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1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543800" cy="98291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4" w:lineRule="exact"/>
        <w:rPr>
          <w:sz w:val="24"/>
          <w:szCs w:val="24"/>
          <w:color w:val="auto"/>
        </w:rPr>
      </w:pPr>
    </w:p>
    <w:p>
      <w:pPr>
        <w:spacing w:after="0"/>
        <w:tabs>
          <w:tab w:leader="none" w:pos="1920" w:val="left"/>
          <w:tab w:leader="none" w:pos="3620" w:val="left"/>
          <w:tab w:leader="none" w:pos="6320" w:val="left"/>
        </w:tabs>
        <w:rPr>
          <w:sz w:val="20"/>
          <w:szCs w:val="20"/>
          <w:color w:val="auto"/>
        </w:rPr>
      </w:pPr>
      <w:r>
        <w:rPr>
          <w:rFonts w:ascii="Lucida Sans" w:cs="Lucida Sans" w:eastAsia="Lucida Sans" w:hAnsi="Lucida Sans"/>
          <w:sz w:val="26"/>
          <w:szCs w:val="26"/>
          <w:b w:val="1"/>
          <w:bCs w:val="1"/>
          <w:color w:val="EF3E2A"/>
        </w:rPr>
        <w:t>F E D E R A L</w:t>
        <w:tab/>
        <w:t>R E A L T Y</w:t>
        <w:tab/>
        <w:t>I N V E S T M E N T</w:t>
        <w:tab/>
        <w:t>T R U S T</w:t>
      </w:r>
    </w:p>
    <w:p>
      <w:pPr>
        <w:spacing w:after="0" w:line="110" w:lineRule="exact"/>
        <w:rPr>
          <w:sz w:val="24"/>
          <w:szCs w:val="24"/>
          <w:color w:val="auto"/>
        </w:rPr>
      </w:pPr>
    </w:p>
    <w:p>
      <w:pPr>
        <w:spacing w:after="0"/>
        <w:rPr>
          <w:sz w:val="20"/>
          <w:szCs w:val="20"/>
          <w:color w:val="auto"/>
        </w:rPr>
      </w:pPr>
      <w:r>
        <w:rPr>
          <w:rFonts w:ascii="Georgia Pro" w:cs="Georgia Pro" w:eastAsia="Georgia Pro" w:hAnsi="Georgia Pro"/>
          <w:sz w:val="60"/>
          <w:szCs w:val="60"/>
          <w:color w:val="E8E7E5"/>
        </w:rPr>
        <w:t>2025 Annual Report</w:t>
      </w:r>
    </w:p>
    <w:p>
      <w:pPr>
        <w:spacing w:after="0" w:line="158" w:lineRule="exact"/>
        <w:rPr>
          <w:sz w:val="24"/>
          <w:szCs w:val="24"/>
          <w:color w:val="auto"/>
        </w:rPr>
      </w:pPr>
    </w:p>
    <w:p>
      <w:pPr>
        <w:spacing w:after="0"/>
        <w:rPr>
          <w:sz w:val="20"/>
          <w:szCs w:val="20"/>
          <w:color w:val="auto"/>
        </w:rPr>
      </w:pPr>
      <w:r>
        <w:rPr>
          <w:rFonts w:ascii="Georgia Pro" w:cs="Georgia Pro" w:eastAsia="Georgia Pro" w:hAnsi="Georgia Pro"/>
          <w:sz w:val="60"/>
          <w:szCs w:val="60"/>
          <w:color w:val="E8E7E5"/>
        </w:rPr>
        <w:t>Form 10-K &amp; Proxy Statement</w:t>
      </w:r>
    </w:p>
    <w:p>
      <w:pPr>
        <w:sectPr>
          <w:pgSz w:w="11880" w:h="15480" w:orient="portrait"/>
          <w:cols w:equalWidth="0" w:num="1">
            <w:col w:w="9300"/>
          </w:cols>
          <w:pgMar w:left="1140" w:top="1440" w:right="1440" w:bottom="1440" w:gutter="0" w:footer="0" w:header="0"/>
        </w:sectPr>
      </w:pPr>
    </w:p>
    <w:bookmarkStart w:id="1" w:name="page2"/>
    <w:bookmarkEnd w:id="1"/>
    <w:p>
      <w:pPr>
        <w:spacing w:after="0"/>
        <w:rPr>
          <w:sz w:val="20"/>
          <w:szCs w:val="20"/>
          <w:color w:val="auto"/>
        </w:rPr>
      </w:pPr>
    </w:p>
    <w:p>
      <w:pPr>
        <w:sectPr>
          <w:pgSz w:w="11880" w:h="15480" w:orient="portrait"/>
          <w:cols w:equalWidth="1" w:num="1" w:space="0"/>
          <w:pgMar w:left="1440" w:top="1440" w:right="1440" w:bottom="875" w:gutter="0" w:footer="0" w:header="0"/>
        </w:sectPr>
      </w:pPr>
    </w:p>
    <w:bookmarkStart w:id="2" w:name="page3"/>
    <w:bookmarkEnd w:id="2"/>
    <w:p>
      <w:pPr>
        <w:ind w:right="3000"/>
        <w:spacing w:after="0" w:line="227" w:lineRule="auto"/>
        <w:rPr>
          <w:sz w:val="20"/>
          <w:szCs w:val="20"/>
          <w:color w:val="auto"/>
        </w:rPr>
      </w:pPr>
      <w:r>
        <w:rPr>
          <w:rFonts w:ascii="Georgia Pro" w:cs="Georgia Pro" w:eastAsia="Georgia Pro" w:hAnsi="Georgia Pro"/>
          <w:sz w:val="100"/>
          <w:szCs w:val="100"/>
          <w:color w:val="262626"/>
        </w:rPr>
        <w:t>Dear Fellow Shareholders,</w:t>
      </w:r>
    </w:p>
    <w:p>
      <w:pPr>
        <w:sectPr>
          <w:pgSz w:w="11880" w:h="15480" w:orient="portrait"/>
          <w:cols w:equalWidth="0" w:num="1">
            <w:col w:w="9120"/>
          </w:cols>
          <w:pgMar w:left="1380" w:top="1348" w:right="1380" w:bottom="791" w:gutter="0" w:footer="0" w:header="0"/>
        </w:sectPr>
      </w:pPr>
    </w:p>
    <w:p>
      <w:pPr>
        <w:spacing w:after="0" w:line="271" w:lineRule="exact"/>
        <w:rPr>
          <w:sz w:val="20"/>
          <w:szCs w:val="20"/>
          <w:color w:val="auto"/>
        </w:rPr>
      </w:pPr>
    </w:p>
    <w:p>
      <w:pPr>
        <w:jc w:val="both"/>
        <w:spacing w:after="0" w:line="221" w:lineRule="auto"/>
        <w:rPr>
          <w:sz w:val="20"/>
          <w:szCs w:val="20"/>
          <w:color w:val="auto"/>
        </w:rPr>
      </w:pPr>
      <w:r>
        <w:rPr>
          <w:rFonts w:ascii="Lucida Sans" w:cs="Lucida Sans" w:eastAsia="Lucida Sans" w:hAnsi="Lucida Sans"/>
          <w:sz w:val="19"/>
          <w:szCs w:val="19"/>
          <w:color w:val="262626"/>
        </w:rPr>
        <w:t>If the past several years have taught us anything, it is that predicting the direction of markets, politics, or headlines has become increasingly difficult. 2025 may have been the clearest example yet. A new administration in Washington, shifting geopolitical dynamics, and intense investor focus on artificial intelligence created a steady stream of noise and uncertainty. Equity markets reached new highs as capital flowed heavily toward companies tied to AI, driving strong performance in a narrow group of sectors while leaving many others, including real estate, largely overlooked.</w:t>
      </w:r>
    </w:p>
    <w:p>
      <w:pPr>
        <w:spacing w:after="0" w:line="225" w:lineRule="exact"/>
        <w:rPr>
          <w:sz w:val="20"/>
          <w:szCs w:val="20"/>
          <w:color w:val="auto"/>
        </w:rPr>
      </w:pPr>
    </w:p>
    <w:p>
      <w:pPr>
        <w:jc w:val="both"/>
        <w:spacing w:after="0" w:line="221" w:lineRule="auto"/>
        <w:rPr>
          <w:sz w:val="20"/>
          <w:szCs w:val="20"/>
          <w:color w:val="auto"/>
        </w:rPr>
      </w:pPr>
      <w:r>
        <w:rPr>
          <w:rFonts w:ascii="Lucida Sans" w:cs="Lucida Sans" w:eastAsia="Lucida Sans" w:hAnsi="Lucida Sans"/>
          <w:sz w:val="19"/>
          <w:szCs w:val="19"/>
          <w:color w:val="262626"/>
        </w:rPr>
        <w:t>Yet amid constant change, in our business some things remain remarkably consistent. That reality was tested directly within several of our core markets during 2025. Workforce reductions tied to government-related employment created periods of uncertainty across portions of the Washington, D.C. metropolitan area (the DMV), a region representing a meaningful part of our portfolio. Periods of disruption like these reinforce the principles that have guided Federal Realty for decades:</w:t>
      </w:r>
    </w:p>
    <w:p>
      <w:pPr>
        <w:spacing w:after="0" w:line="107" w:lineRule="exact"/>
        <w:rPr>
          <w:sz w:val="20"/>
          <w:szCs w:val="20"/>
          <w:color w:val="auto"/>
        </w:rPr>
      </w:pPr>
    </w:p>
    <w:p>
      <w:pPr>
        <w:ind w:left="580" w:hanging="295"/>
        <w:spacing w:after="0" w:line="243" w:lineRule="auto"/>
        <w:tabs>
          <w:tab w:leader="none" w:pos="580" w:val="left"/>
        </w:tabs>
        <w:numPr>
          <w:ilvl w:val="0"/>
          <w:numId w:val="1"/>
        </w:numPr>
        <w:rPr>
          <w:rFonts w:ascii="Lucida Sans" w:cs="Lucida Sans" w:eastAsia="Lucida Sans" w:hAnsi="Lucida Sans"/>
          <w:sz w:val="18"/>
          <w:szCs w:val="18"/>
          <w:color w:val="262626"/>
        </w:rPr>
      </w:pPr>
      <w:r>
        <w:rPr>
          <w:rFonts w:ascii="Lucida Sans" w:cs="Lucida Sans" w:eastAsia="Lucida Sans" w:hAnsi="Lucida Sans"/>
          <w:sz w:val="18"/>
          <w:szCs w:val="18"/>
          <w:color w:val="262626"/>
        </w:rPr>
        <w:t>Owning high-quality real estate in affluent, supply-constrained communities;</w:t>
      </w:r>
    </w:p>
    <w:p>
      <w:pPr>
        <w:spacing w:after="0" w:line="100" w:lineRule="exact"/>
        <w:rPr>
          <w:rFonts w:ascii="Lucida Sans" w:cs="Lucida Sans" w:eastAsia="Lucida Sans" w:hAnsi="Lucida Sans"/>
          <w:sz w:val="18"/>
          <w:szCs w:val="18"/>
          <w:color w:val="262626"/>
        </w:rPr>
      </w:pPr>
    </w:p>
    <w:p>
      <w:pPr>
        <w:ind w:left="580" w:hanging="295"/>
        <w:spacing w:after="0" w:line="229" w:lineRule="auto"/>
        <w:tabs>
          <w:tab w:leader="none" w:pos="580" w:val="left"/>
        </w:tabs>
        <w:numPr>
          <w:ilvl w:val="0"/>
          <w:numId w:val="1"/>
        </w:numPr>
        <w:rPr>
          <w:rFonts w:ascii="Lucida Sans" w:cs="Lucida Sans" w:eastAsia="Lucida Sans" w:hAnsi="Lucida Sans"/>
          <w:sz w:val="19"/>
          <w:szCs w:val="19"/>
          <w:color w:val="262626"/>
        </w:rPr>
      </w:pPr>
      <w:r>
        <w:rPr>
          <w:rFonts w:ascii="Lucida Sans" w:cs="Lucida Sans" w:eastAsia="Lucida Sans" w:hAnsi="Lucida Sans"/>
          <w:sz w:val="19"/>
          <w:szCs w:val="19"/>
          <w:color w:val="262626"/>
        </w:rPr>
        <w:t>Actively curating tenancy to drive long-term performance; and</w:t>
      </w:r>
    </w:p>
    <w:p>
      <w:pPr>
        <w:spacing w:after="0" w:line="102" w:lineRule="exact"/>
        <w:rPr>
          <w:rFonts w:ascii="Lucida Sans" w:cs="Lucida Sans" w:eastAsia="Lucida Sans" w:hAnsi="Lucida Sans"/>
          <w:sz w:val="19"/>
          <w:szCs w:val="19"/>
          <w:color w:val="262626"/>
        </w:rPr>
      </w:pPr>
    </w:p>
    <w:p>
      <w:pPr>
        <w:jc w:val="both"/>
        <w:ind w:left="580" w:hanging="295"/>
        <w:spacing w:after="0" w:line="226" w:lineRule="auto"/>
        <w:tabs>
          <w:tab w:leader="none" w:pos="580" w:val="left"/>
        </w:tabs>
        <w:numPr>
          <w:ilvl w:val="0"/>
          <w:numId w:val="1"/>
        </w:numPr>
        <w:rPr>
          <w:rFonts w:ascii="Lucida Sans" w:cs="Lucida Sans" w:eastAsia="Lucida Sans" w:hAnsi="Lucida Sans"/>
          <w:sz w:val="19"/>
          <w:szCs w:val="19"/>
          <w:color w:val="262626"/>
        </w:rPr>
      </w:pPr>
      <w:r>
        <w:rPr>
          <w:rFonts w:ascii="Lucida Sans" w:cs="Lucida Sans" w:eastAsia="Lucida Sans" w:hAnsi="Lucida Sans"/>
          <w:sz w:val="19"/>
          <w:szCs w:val="19"/>
          <w:color w:val="262626"/>
        </w:rPr>
        <w:t>Maintaining a strong balance sheet that enables us to invest consistently through cycles.</w:t>
      </w:r>
    </w:p>
    <w:p>
      <w:pPr>
        <w:spacing w:after="0" w:line="223" w:lineRule="exact"/>
        <w:rPr>
          <w:sz w:val="20"/>
          <w:szCs w:val="20"/>
          <w:color w:val="auto"/>
        </w:rPr>
      </w:pPr>
    </w:p>
    <w:p>
      <w:pPr>
        <w:jc w:val="both"/>
        <w:spacing w:after="0" w:line="222" w:lineRule="auto"/>
        <w:rPr>
          <w:sz w:val="20"/>
          <w:szCs w:val="20"/>
          <w:color w:val="auto"/>
        </w:rPr>
      </w:pPr>
      <w:r>
        <w:rPr>
          <w:rFonts w:ascii="Lucida Sans" w:cs="Lucida Sans" w:eastAsia="Lucida Sans" w:hAnsi="Lucida Sans"/>
          <w:sz w:val="19"/>
          <w:szCs w:val="19"/>
          <w:color w:val="262626"/>
        </w:rPr>
        <w:t>Even amid this disruption, our DMV properties continued to generate strong traffic and sales performance, underscoring the resilience of the communities we serve. Well-located real estate in affluent communities continues to outperform.</w:t>
      </w:r>
    </w:p>
    <w:p>
      <w:pPr>
        <w:spacing w:after="0" w:line="20" w:lineRule="exact"/>
        <w:rPr>
          <w:sz w:val="20"/>
          <w:szCs w:val="20"/>
          <w:color w:val="auto"/>
        </w:rPr>
      </w:pPr>
      <w:r>
        <w:rPr>
          <w:sz w:val="20"/>
          <w:szCs w:val="20"/>
          <w:color w:val="auto"/>
        </w:rPr>
        <w:br w:type="column"/>
      </w:r>
    </w:p>
    <w:p>
      <w:pPr>
        <w:spacing w:after="0" w:line="251" w:lineRule="exact"/>
        <w:rPr>
          <w:sz w:val="20"/>
          <w:szCs w:val="20"/>
          <w:color w:val="auto"/>
        </w:rPr>
      </w:pPr>
    </w:p>
    <w:p>
      <w:pPr>
        <w:jc w:val="both"/>
        <w:spacing w:after="0" w:line="224" w:lineRule="auto"/>
        <w:rPr>
          <w:sz w:val="20"/>
          <w:szCs w:val="20"/>
          <w:color w:val="auto"/>
        </w:rPr>
      </w:pPr>
      <w:r>
        <w:rPr>
          <w:rFonts w:ascii="Lucida Sans" w:cs="Lucida Sans" w:eastAsia="Lucida Sans" w:hAnsi="Lucida Sans"/>
          <w:sz w:val="19"/>
          <w:szCs w:val="19"/>
          <w:color w:val="262626"/>
        </w:rPr>
        <w:t>What distinguishes retail real estate from nearly every other property type is that value is shaped not only by who occupies a space, but by the quality and balance of the</w:t>
      </w:r>
    </w:p>
    <w:p>
      <w:pPr>
        <w:spacing w:after="0" w:line="2" w:lineRule="exact"/>
        <w:rPr>
          <w:sz w:val="20"/>
          <w:szCs w:val="20"/>
          <w:color w:val="auto"/>
        </w:rPr>
      </w:pPr>
    </w:p>
    <w:p>
      <w:pPr>
        <w:jc w:val="both"/>
        <w:spacing w:after="0" w:line="219" w:lineRule="auto"/>
        <w:rPr>
          <w:sz w:val="20"/>
          <w:szCs w:val="20"/>
          <w:color w:val="auto"/>
        </w:rPr>
      </w:pPr>
      <w:r>
        <w:rPr>
          <w:rFonts w:ascii="Lucida Sans" w:cs="Lucida Sans" w:eastAsia="Lucida Sans" w:hAnsi="Lucida Sans"/>
          <w:sz w:val="19"/>
          <w:szCs w:val="19"/>
          <w:color w:val="262626"/>
        </w:rPr>
        <w:t>surrounding tenancy. Thoughtful merchandising drives traffic, extends customer visits, and strengthens long-term performance. This focus has been refined at Federal Realty over decades and remains a core competitive advantage. As consumers increasingly prioritize experience, connection,</w:t>
      </w:r>
    </w:p>
    <w:p>
      <w:pPr>
        <w:spacing w:after="0" w:line="5" w:lineRule="exact"/>
        <w:rPr>
          <w:sz w:val="20"/>
          <w:szCs w:val="20"/>
          <w:color w:val="auto"/>
        </w:rPr>
      </w:pPr>
    </w:p>
    <w:p>
      <w:pPr>
        <w:jc w:val="both"/>
        <w:spacing w:after="0" w:line="219" w:lineRule="auto"/>
        <w:rPr>
          <w:sz w:val="20"/>
          <w:szCs w:val="20"/>
          <w:color w:val="auto"/>
        </w:rPr>
      </w:pPr>
      <w:r>
        <w:rPr>
          <w:rFonts w:ascii="Lucida Sans" w:cs="Lucida Sans" w:eastAsia="Lucida Sans" w:hAnsi="Lucida Sans"/>
          <w:sz w:val="19"/>
          <w:szCs w:val="19"/>
          <w:color w:val="262626"/>
        </w:rPr>
        <w:t>and quality, well-merchandised retail environments continue to serve as important gathering places within the communities they serve.</w:t>
      </w:r>
    </w:p>
    <w:p>
      <w:pPr>
        <w:spacing w:after="0" w:line="226" w:lineRule="exact"/>
        <w:rPr>
          <w:sz w:val="20"/>
          <w:szCs w:val="20"/>
          <w:color w:val="auto"/>
        </w:rPr>
      </w:pPr>
    </w:p>
    <w:p>
      <w:pPr>
        <w:jc w:val="both"/>
        <w:spacing w:after="0" w:line="222" w:lineRule="auto"/>
        <w:rPr>
          <w:sz w:val="20"/>
          <w:szCs w:val="20"/>
          <w:color w:val="auto"/>
        </w:rPr>
      </w:pPr>
      <w:r>
        <w:rPr>
          <w:rFonts w:ascii="Lucida Sans" w:cs="Lucida Sans" w:eastAsia="Lucida Sans" w:hAnsi="Lucida Sans"/>
          <w:sz w:val="19"/>
          <w:szCs w:val="19"/>
          <w:color w:val="262626"/>
        </w:rPr>
        <w:t>Public markets often gravitate toward what feels shiny and new in the short term, but real value is built over time. Federal Realty has applied these same principles for more than six decades, and 2025 served as another reminder that long-term success in real estate comes from applying consistent discipline even as markets and opportunities evolve.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123190</wp:posOffset>
            </wp:positionV>
            <wp:extent cx="2743200" cy="18300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43200" cy="1830070"/>
                    </a:xfrm>
                    <a:prstGeom prst="rect">
                      <a:avLst/>
                    </a:prstGeom>
                    <a:noFill/>
                  </pic:spPr>
                </pic:pic>
              </a:graphicData>
            </a:graphic>
          </wp:anchor>
        </w:drawing>
      </w:r>
    </w:p>
    <w:p>
      <w:pPr>
        <w:spacing w:after="0" w:line="4076" w:lineRule="exact"/>
        <w:rPr>
          <w:sz w:val="20"/>
          <w:szCs w:val="20"/>
          <w:color w:val="auto"/>
        </w:rPr>
      </w:pPr>
    </w:p>
    <w:p>
      <w:pPr>
        <w:sectPr>
          <w:pgSz w:w="11880" w:h="15480" w:orient="portrait"/>
          <w:cols w:equalWidth="0" w:num="2">
            <w:col w:w="4320" w:space="480"/>
            <w:col w:w="4320"/>
          </w:cols>
          <w:pgMar w:left="1380" w:top="1348" w:right="1380" w:bottom="791"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4980"/>
        <w:spacing w:after="0"/>
        <w:tabs>
          <w:tab w:leader="none" w:pos="5940" w:val="left"/>
          <w:tab w:leader="none" w:pos="6780" w:val="left"/>
          <w:tab w:leader="none" w:pos="6960" w:val="left"/>
          <w:tab w:leader="none" w:pos="7880" w:val="left"/>
        </w:tabs>
        <w:rPr>
          <w:sz w:val="20"/>
          <w:szCs w:val="20"/>
          <w:color w:val="auto"/>
        </w:rPr>
      </w:pPr>
      <w:r>
        <w:rPr>
          <w:rFonts w:ascii="Lucida Sans" w:cs="Lucida Sans" w:eastAsia="Lucida Sans" w:hAnsi="Lucida Sans"/>
          <w:sz w:val="14"/>
          <w:szCs w:val="14"/>
          <w:color w:val="353434"/>
        </w:rPr>
        <w:t>F E D E R A L</w:t>
        <w:tab/>
        <w:t>R E A L T Y</w:t>
      </w:r>
      <w:r>
        <w:rPr>
          <w:rFonts w:ascii="Lucida Sans" w:cs="Lucida Sans" w:eastAsia="Lucida Sans" w:hAnsi="Lucida Sans"/>
          <w:sz w:val="14"/>
          <w:szCs w:val="14"/>
          <w:color w:val="F15638"/>
        </w:rPr>
        <w:tab/>
        <w:t>|</w:t>
      </w:r>
      <w:r>
        <w:rPr>
          <w:rFonts w:ascii="Lucida Sans" w:cs="Lucida Sans" w:eastAsia="Lucida Sans" w:hAnsi="Lucida Sans"/>
          <w:sz w:val="14"/>
          <w:szCs w:val="14"/>
          <w:color w:val="353434"/>
        </w:rPr>
        <w:tab/>
        <w:t>A N N U A L</w:t>
      </w:r>
      <w:r>
        <w:rPr>
          <w:sz w:val="20"/>
          <w:szCs w:val="20"/>
          <w:color w:val="auto"/>
        </w:rPr>
        <w:tab/>
      </w:r>
      <w:r>
        <w:rPr>
          <w:rFonts w:ascii="Lucida Sans" w:cs="Lucida Sans" w:eastAsia="Lucida Sans" w:hAnsi="Lucida Sans"/>
          <w:sz w:val="13"/>
          <w:szCs w:val="13"/>
          <w:color w:val="353434"/>
        </w:rPr>
        <w:t xml:space="preserve">R E P O R T </w:t>
      </w:r>
      <w:r>
        <w:rPr>
          <w:rFonts w:ascii="Georgia Pro" w:cs="Georgia Pro" w:eastAsia="Georgia Pro" w:hAnsi="Georgia Pro"/>
          <w:sz w:val="13"/>
          <w:szCs w:val="13"/>
          <w:b w:val="1"/>
          <w:bCs w:val="1"/>
          <w:color w:val="F15638"/>
        </w:rPr>
        <w:t>2 0 2 5</w:t>
      </w:r>
    </w:p>
    <w:p>
      <w:pPr>
        <w:sectPr>
          <w:pgSz w:w="11880" w:h="15480" w:orient="portrait"/>
          <w:cols w:equalWidth="0" w:num="1">
            <w:col w:w="9120"/>
          </w:cols>
          <w:pgMar w:left="1380" w:top="1348" w:right="1380" w:bottom="791" w:gutter="0" w:footer="0" w:header="0"/>
          <w:type w:val="continuous"/>
        </w:sectPr>
      </w:pPr>
    </w:p>
    <w:bookmarkStart w:id="3" w:name="page4"/>
    <w:bookmarkEnd w:id="3"/>
    <w:p>
      <w:pPr>
        <w:spacing w:after="0"/>
        <w:tabs>
          <w:tab w:leader="none" w:pos="3840" w:val="left"/>
        </w:tabs>
        <w:rPr>
          <w:sz w:val="20"/>
          <w:szCs w:val="20"/>
          <w:color w:val="auto"/>
        </w:rPr>
      </w:pPr>
      <w:r>
        <w:rPr>
          <w:rFonts w:ascii="Lucida Sans" w:cs="Lucida Sans" w:eastAsia="Lucida Sans" w:hAnsi="Lucida Sans"/>
          <w:sz w:val="24"/>
          <w:szCs w:val="24"/>
          <w:b w:val="1"/>
          <w:bCs w:val="1"/>
          <w:color w:val="EF3E2A"/>
        </w:rPr>
        <w:t>I N D U S T R Y - L E A D I N G</w:t>
        <w:tab/>
        <w:t>C O N S I S T E N C Y</w:t>
      </w:r>
    </w:p>
    <w:p>
      <w:pPr>
        <w:ind w:right="3880"/>
        <w:spacing w:after="0" w:line="201" w:lineRule="auto"/>
        <w:rPr>
          <w:sz w:val="20"/>
          <w:szCs w:val="20"/>
          <w:color w:val="auto"/>
        </w:rPr>
      </w:pPr>
      <w:r>
        <w:rPr>
          <w:rFonts w:ascii="Georgia Pro" w:cs="Georgia Pro" w:eastAsia="Georgia Pro" w:hAnsi="Georgia Pro"/>
          <w:sz w:val="52"/>
          <w:szCs w:val="52"/>
          <w:color w:val="262626"/>
        </w:rPr>
        <w:t>58 consecutive years of increased dividends.</w:t>
      </w:r>
    </w:p>
    <w:p>
      <w:pPr>
        <w:jc w:val="right"/>
        <w:spacing w:after="0" w:line="212" w:lineRule="auto"/>
        <w:rPr>
          <w:sz w:val="20"/>
          <w:szCs w:val="20"/>
          <w:color w:val="auto"/>
        </w:rPr>
      </w:pPr>
      <w:r>
        <w:rPr>
          <w:rFonts w:ascii="Lucida Sans" w:cs="Lucida Sans" w:eastAsia="Lucida Sans" w:hAnsi="Lucida Sans"/>
          <w:sz w:val="13"/>
          <w:szCs w:val="13"/>
          <w:b w:val="1"/>
          <w:bCs w:val="1"/>
          <w:color w:val="231F20"/>
        </w:rPr>
        <w:t>$4.52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30480</wp:posOffset>
            </wp:positionV>
            <wp:extent cx="5679440" cy="21094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79440" cy="2109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Lucida Sans" w:cs="Lucida Sans" w:eastAsia="Lucida Sans" w:hAnsi="Lucida Sans"/>
          <w:sz w:val="13"/>
          <w:szCs w:val="13"/>
          <w:b w:val="1"/>
          <w:bCs w:val="1"/>
          <w:color w:val="231F20"/>
        </w:rPr>
        <w:t>$0.12 *</w:t>
      </w:r>
    </w:p>
    <w:p>
      <w:pPr>
        <w:spacing w:after="0" w:line="389" w:lineRule="exact"/>
        <w:rPr>
          <w:sz w:val="20"/>
          <w:szCs w:val="20"/>
          <w:color w:val="auto"/>
        </w:rPr>
      </w:pPr>
    </w:p>
    <w:p>
      <w:pPr>
        <w:spacing w:after="0"/>
        <w:tabs>
          <w:tab w:leader="none" w:pos="8720" w:val="left"/>
        </w:tabs>
        <w:rPr>
          <w:sz w:val="20"/>
          <w:szCs w:val="20"/>
          <w:color w:val="auto"/>
        </w:rPr>
      </w:pPr>
      <w:r>
        <w:rPr>
          <w:rFonts w:ascii="Lucida Sans" w:cs="Lucida Sans" w:eastAsia="Lucida Sans" w:hAnsi="Lucida Sans"/>
          <w:sz w:val="13"/>
          <w:szCs w:val="13"/>
          <w:b w:val="1"/>
          <w:bCs w:val="1"/>
          <w:color w:val="EF3E29"/>
        </w:rPr>
        <w:t>1967</w:t>
      </w:r>
      <w:r>
        <w:rPr>
          <w:sz w:val="20"/>
          <w:szCs w:val="20"/>
          <w:color w:val="auto"/>
        </w:rPr>
        <w:tab/>
      </w:r>
      <w:r>
        <w:rPr>
          <w:rFonts w:ascii="Lucida Sans" w:cs="Lucida Sans" w:eastAsia="Lucida Sans" w:hAnsi="Lucida Sans"/>
          <w:sz w:val="13"/>
          <w:szCs w:val="13"/>
          <w:b w:val="1"/>
          <w:bCs w:val="1"/>
          <w:color w:val="EF3E29"/>
        </w:rPr>
        <w:t>2025</w:t>
      </w:r>
    </w:p>
    <w:p>
      <w:pPr>
        <w:spacing w:after="0" w:line="230" w:lineRule="exact"/>
        <w:rPr>
          <w:sz w:val="20"/>
          <w:szCs w:val="20"/>
          <w:color w:val="auto"/>
        </w:rPr>
      </w:pPr>
    </w:p>
    <w:p>
      <w:pPr>
        <w:ind w:left="20"/>
        <w:spacing w:after="0"/>
        <w:rPr>
          <w:sz w:val="20"/>
          <w:szCs w:val="20"/>
          <w:color w:val="auto"/>
        </w:rPr>
      </w:pPr>
      <w:r>
        <w:rPr>
          <w:rFonts w:ascii="Lucida Sans" w:cs="Lucida Sans" w:eastAsia="Lucida Sans" w:hAnsi="Lucida Sans"/>
          <w:sz w:val="11"/>
          <w:szCs w:val="11"/>
          <w:color w:val="4B4B4D"/>
        </w:rPr>
        <w:t>*Annualized dividend per share.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185420</wp:posOffset>
                </wp:positionV>
                <wp:extent cx="5791200" cy="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91200" cy="4763"/>
                        </a:xfrm>
                        <a:prstGeom prst="line">
                          <a:avLst/>
                        </a:prstGeom>
                        <a:solidFill>
                          <a:srgbClr val="FFFFFF"/>
                        </a:solidFill>
                        <a:ln w="12700">
                          <a:solidFill>
                            <a:srgbClr val="EF3E2A"/>
                          </a:solidFill>
                          <a:miter lim="800000"/>
                          <a:headEnd/>
                          <a:tailEnd/>
                        </a:ln>
                      </wps:spPr>
                      <wps:bodyPr/>
                    </wps:wsp>
                  </a:graphicData>
                </a:graphic>
              </wp:anchor>
            </w:drawing>
          </mc:Choice>
          <mc:Fallback>
            <w:pict>
              <v:line id="Shape 4" o:spid="_x0000_s10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4.6pt" to="456pt,14.6pt" o:allowincell="f" strokecolor="#EF3E2A" strokeweight="1pt"/>
            </w:pict>
          </mc:Fallback>
        </mc:AlternateContent>
      </w:r>
    </w:p>
    <w:p>
      <w:pPr>
        <w:sectPr>
          <w:pgSz w:w="11880" w:h="15480" w:orient="portrait"/>
          <w:cols w:equalWidth="0" w:num="1">
            <w:col w:w="9160"/>
          </w:cols>
          <w:pgMar w:left="1380" w:top="1317" w:right="1340" w:bottom="79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740"/>
        <w:spacing w:after="0" w:line="230" w:lineRule="auto"/>
        <w:tabs>
          <w:tab w:leader="none" w:pos="326" w:val="left"/>
        </w:tabs>
        <w:numPr>
          <w:ilvl w:val="0"/>
          <w:numId w:val="2"/>
        </w:numPr>
        <w:rPr>
          <w:rFonts w:ascii="Lucida Sans" w:cs="Lucida Sans" w:eastAsia="Lucida Sans" w:hAnsi="Lucida Sans"/>
          <w:sz w:val="19"/>
          <w:szCs w:val="19"/>
          <w:b w:val="1"/>
          <w:bCs w:val="1"/>
          <w:color w:val="262626"/>
        </w:rPr>
      </w:pPr>
      <w:r>
        <w:rPr>
          <w:rFonts w:ascii="Lucida Sans" w:cs="Lucida Sans" w:eastAsia="Lucida Sans" w:hAnsi="Lucida Sans"/>
          <w:sz w:val="19"/>
          <w:szCs w:val="19"/>
          <w:b w:val="1"/>
          <w:bCs w:val="1"/>
          <w:color w:val="262626"/>
        </w:rPr>
        <w:t>L o o k B a c k : E x e c u t i o n M a t t e r s</w:t>
      </w:r>
    </w:p>
    <w:p>
      <w:pPr>
        <w:spacing w:after="0" w:line="224" w:lineRule="exact"/>
        <w:rPr>
          <w:sz w:val="20"/>
          <w:szCs w:val="20"/>
          <w:color w:val="auto"/>
        </w:rPr>
      </w:pPr>
    </w:p>
    <w:p>
      <w:pPr>
        <w:jc w:val="both"/>
        <w:spacing w:after="0"/>
        <w:rPr>
          <w:sz w:val="20"/>
          <w:szCs w:val="20"/>
          <w:color w:val="auto"/>
        </w:rPr>
      </w:pPr>
      <w:r>
        <w:rPr>
          <w:rFonts w:ascii="Lucida Sans" w:cs="Lucida Sans" w:eastAsia="Lucida Sans" w:hAnsi="Lucida Sans"/>
          <w:sz w:val="19"/>
          <w:szCs w:val="19"/>
          <w:color w:val="262626"/>
        </w:rPr>
        <w:t>Against that backdrop, Federal Realty delivered another year of excellent operational and financial progress in 2025, reflecting the continued strength of our business model and disciplined execution across the portfolio.</w:t>
      </w:r>
    </w:p>
    <w:p>
      <w:pPr>
        <w:spacing w:after="0" w:line="351" w:lineRule="exact"/>
        <w:rPr>
          <w:sz w:val="20"/>
          <w:szCs w:val="20"/>
          <w:color w:val="auto"/>
        </w:rPr>
      </w:pPr>
    </w:p>
    <w:p>
      <w:pPr>
        <w:jc w:val="both"/>
        <w:spacing w:after="0" w:line="228" w:lineRule="auto"/>
        <w:rPr>
          <w:sz w:val="20"/>
          <w:szCs w:val="20"/>
          <w:color w:val="auto"/>
        </w:rPr>
      </w:pPr>
      <w:r>
        <w:rPr>
          <w:rFonts w:ascii="Lucida Sans" w:cs="Lucida Sans" w:eastAsia="Lucida Sans" w:hAnsi="Lucida Sans"/>
          <w:sz w:val="18"/>
          <w:szCs w:val="18"/>
          <w:color w:val="262626"/>
        </w:rPr>
        <w:t>NAREIT funds from operations per share grew approximately 6.6% year-over-year to a record $7.22 per common share</w:t>
      </w:r>
      <w:r>
        <w:rPr>
          <w:rFonts w:ascii="Lucida Sans" w:cs="Lucida Sans" w:eastAsia="Lucida Sans" w:hAnsi="Lucida Sans"/>
          <w:sz w:val="23"/>
          <w:szCs w:val="23"/>
          <w:color w:val="262626"/>
          <w:vertAlign w:val="superscript"/>
        </w:rPr>
        <w:t>1</w:t>
      </w:r>
      <w:r>
        <w:rPr>
          <w:rFonts w:ascii="Lucida Sans" w:cs="Lucida Sans" w:eastAsia="Lucida Sans" w:hAnsi="Lucida Sans"/>
          <w:sz w:val="18"/>
          <w:szCs w:val="18"/>
          <w:color w:val="262626"/>
        </w:rPr>
        <w:t>. Core funds from operations per share grew approximately 4.3%. Growth was driven by strong leasing execution, embedded rent escalators, and continued operational discipline. Our ability to capture contractual rent growth and bring tenants into operation more quickly contributed meaningfully to results and reinforced the durability of our income stream.</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996950</wp:posOffset>
                </wp:positionV>
                <wp:extent cx="609600" cy="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9600" cy="4763"/>
                        </a:xfrm>
                        <a:prstGeom prst="line">
                          <a:avLst/>
                        </a:prstGeom>
                        <a:solidFill>
                          <a:srgbClr val="FFFFFF"/>
                        </a:solidFill>
                        <a:ln w="6350">
                          <a:solidFill>
                            <a:srgbClr val="262626"/>
                          </a:solidFill>
                          <a:miter lim="800000"/>
                          <a:headEnd/>
                          <a:tailEnd/>
                        </a:ln>
                      </wps:spPr>
                      <wps:bodyPr/>
                    </wps:wsp>
                  </a:graphicData>
                </a:graphic>
              </wp:anchor>
            </w:drawing>
          </mc:Choice>
          <mc:Fallback>
            <w:pict>
              <v:line id="Shape 5" o:spid="_x0000_s10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78.5pt" to="48pt,78.5pt" o:allowincell="f" strokecolor="#262626" strokeweight="0.5pt"/>
            </w:pict>
          </mc:Fallback>
        </mc:AlternateConten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7" w:lineRule="exact"/>
        <w:rPr>
          <w:sz w:val="20"/>
          <w:szCs w:val="20"/>
          <w:color w:val="auto"/>
        </w:rPr>
      </w:pPr>
    </w:p>
    <w:p>
      <w:pPr>
        <w:jc w:val="both"/>
        <w:ind w:right="40"/>
        <w:spacing w:after="0" w:line="221" w:lineRule="auto"/>
        <w:rPr>
          <w:sz w:val="20"/>
          <w:szCs w:val="20"/>
          <w:color w:val="auto"/>
        </w:rPr>
      </w:pPr>
      <w:r>
        <w:rPr>
          <w:rFonts w:ascii="Lucida Sans" w:cs="Lucida Sans" w:eastAsia="Lucida Sans" w:hAnsi="Lucida Sans"/>
          <w:sz w:val="19"/>
          <w:szCs w:val="19"/>
          <w:color w:val="262626"/>
        </w:rPr>
        <w:t>Operationally, 2025 was one of the strongest leasing years in our company’s history. We completed nearly 2.5 million square feet of retail leasing activity, increasing occupancy to 94.1% and leased occupancy to 96.1%. The breadth and durability of leasing demand across all categories have remained strong. Comparable rent spreads reached their highest level in more than a decade at 15% on a cash basis and 27% on a straight-line basis.</w:t>
      </w:r>
    </w:p>
    <w:p>
      <w:pPr>
        <w:spacing w:after="0" w:line="229" w:lineRule="exact"/>
        <w:rPr>
          <w:sz w:val="20"/>
          <w:szCs w:val="20"/>
          <w:color w:val="auto"/>
        </w:rPr>
      </w:pPr>
    </w:p>
    <w:p>
      <w:pPr>
        <w:jc w:val="both"/>
        <w:ind w:right="40"/>
        <w:spacing w:after="0" w:line="222" w:lineRule="auto"/>
        <w:rPr>
          <w:sz w:val="20"/>
          <w:szCs w:val="20"/>
          <w:color w:val="auto"/>
        </w:rPr>
      </w:pPr>
      <w:r>
        <w:rPr>
          <w:rFonts w:ascii="Lucida Sans" w:cs="Lucida Sans" w:eastAsia="Lucida Sans" w:hAnsi="Lucida Sans"/>
          <w:sz w:val="19"/>
          <w:szCs w:val="19"/>
          <w:color w:val="262626"/>
        </w:rPr>
        <w:t>While the industry experienced renewed bankruptcy headlines involving several national retailers, the impact on Federal Realty was limited. Our focus on strong operators resulted in manageable bad debt levels and rapid backfilling opportunities. Simply put, better real estate attracts better tenants, especially during periods of disruption.</w:t>
      </w:r>
    </w:p>
    <w:p>
      <w:pPr>
        <w:spacing w:after="0" w:line="655" w:lineRule="exact"/>
        <w:rPr>
          <w:sz w:val="20"/>
          <w:szCs w:val="20"/>
          <w:color w:val="auto"/>
        </w:rPr>
      </w:pPr>
    </w:p>
    <w:p>
      <w:pPr>
        <w:sectPr>
          <w:pgSz w:w="11880" w:h="15480" w:orient="portrait"/>
          <w:cols w:equalWidth="0" w:num="2">
            <w:col w:w="4320" w:space="480"/>
            <w:col w:w="4360"/>
          </w:cols>
          <w:pgMar w:left="1380" w:top="1317" w:right="1340" w:bottom="791"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00" w:right="40" w:hanging="200"/>
        <w:spacing w:after="0" w:line="202" w:lineRule="auto"/>
        <w:tabs>
          <w:tab w:leader="none" w:pos="200" w:val="left"/>
        </w:tabs>
        <w:numPr>
          <w:ilvl w:val="0"/>
          <w:numId w:val="3"/>
        </w:numPr>
        <w:rPr>
          <w:rFonts w:ascii="Lucida Sans" w:cs="Lucida Sans" w:eastAsia="Lucida Sans" w:hAnsi="Lucida Sans"/>
          <w:sz w:val="25"/>
          <w:szCs w:val="25"/>
          <w:color w:val="262626"/>
          <w:vertAlign w:val="superscript"/>
        </w:rPr>
      </w:pPr>
      <w:r>
        <w:rPr>
          <w:rFonts w:ascii="Lucida Sans" w:cs="Lucida Sans" w:eastAsia="Lucida Sans" w:hAnsi="Lucida Sans"/>
          <w:sz w:val="19"/>
          <w:szCs w:val="19"/>
          <w:color w:val="262626"/>
        </w:rPr>
        <w:t>Nareit funds from operations and Core funds from operations are non-GAAP fiancial measures. See pages 46-47 of our Form 10-K for information on these metrics.</w:t>
      </w:r>
    </w:p>
    <w:p>
      <w:pPr>
        <w:sectPr>
          <w:pgSz w:w="11880" w:h="15480" w:orient="portrait"/>
          <w:cols w:equalWidth="0" w:num="1">
            <w:col w:w="9160"/>
          </w:cols>
          <w:pgMar w:left="1380" w:top="1317" w:right="1340" w:bottom="791" w:gutter="0" w:footer="0" w:header="0"/>
          <w:type w:val="continuous"/>
        </w:sectPr>
      </w:pPr>
    </w:p>
    <w:p>
      <w:pPr>
        <w:spacing w:after="0" w:line="175" w:lineRule="exact"/>
        <w:rPr>
          <w:sz w:val="20"/>
          <w:szCs w:val="20"/>
          <w:color w:val="auto"/>
        </w:rPr>
      </w:pPr>
    </w:p>
    <w:p>
      <w:pPr>
        <w:ind w:left="4980"/>
        <w:spacing w:after="0"/>
        <w:tabs>
          <w:tab w:leader="none" w:pos="5940" w:val="left"/>
          <w:tab w:leader="none" w:pos="6780" w:val="left"/>
          <w:tab w:leader="none" w:pos="6960" w:val="left"/>
          <w:tab w:leader="none" w:pos="7880" w:val="left"/>
        </w:tabs>
        <w:rPr>
          <w:sz w:val="20"/>
          <w:szCs w:val="20"/>
          <w:color w:val="auto"/>
        </w:rPr>
      </w:pPr>
      <w:r>
        <w:rPr>
          <w:rFonts w:ascii="Lucida Sans" w:cs="Lucida Sans" w:eastAsia="Lucida Sans" w:hAnsi="Lucida Sans"/>
          <w:sz w:val="14"/>
          <w:szCs w:val="14"/>
          <w:color w:val="353434"/>
        </w:rPr>
        <w:t>F E D E R A L</w:t>
        <w:tab/>
        <w:t>R E A L T Y</w:t>
      </w:r>
      <w:r>
        <w:rPr>
          <w:rFonts w:ascii="Lucida Sans" w:cs="Lucida Sans" w:eastAsia="Lucida Sans" w:hAnsi="Lucida Sans"/>
          <w:sz w:val="14"/>
          <w:szCs w:val="14"/>
          <w:color w:val="F15638"/>
        </w:rPr>
        <w:tab/>
        <w:t>|</w:t>
      </w:r>
      <w:r>
        <w:rPr>
          <w:rFonts w:ascii="Lucida Sans" w:cs="Lucida Sans" w:eastAsia="Lucida Sans" w:hAnsi="Lucida Sans"/>
          <w:sz w:val="14"/>
          <w:szCs w:val="14"/>
          <w:color w:val="353434"/>
        </w:rPr>
        <w:tab/>
        <w:t>A N N U A L</w:t>
      </w:r>
      <w:r>
        <w:rPr>
          <w:sz w:val="20"/>
          <w:szCs w:val="20"/>
          <w:color w:val="auto"/>
        </w:rPr>
        <w:tab/>
      </w:r>
      <w:r>
        <w:rPr>
          <w:rFonts w:ascii="Lucida Sans" w:cs="Lucida Sans" w:eastAsia="Lucida Sans" w:hAnsi="Lucida Sans"/>
          <w:sz w:val="13"/>
          <w:szCs w:val="13"/>
          <w:color w:val="353434"/>
        </w:rPr>
        <w:t xml:space="preserve">R E P O R T </w:t>
      </w:r>
      <w:r>
        <w:rPr>
          <w:rFonts w:ascii="Georgia Pro" w:cs="Georgia Pro" w:eastAsia="Georgia Pro" w:hAnsi="Georgia Pro"/>
          <w:sz w:val="13"/>
          <w:szCs w:val="13"/>
          <w:b w:val="1"/>
          <w:bCs w:val="1"/>
          <w:color w:val="F15638"/>
        </w:rPr>
        <w:t>2 0 2 5</w:t>
      </w:r>
    </w:p>
    <w:p>
      <w:pPr>
        <w:sectPr>
          <w:pgSz w:w="11880" w:h="15480" w:orient="portrait"/>
          <w:cols w:equalWidth="0" w:num="1">
            <w:col w:w="9160"/>
          </w:cols>
          <w:pgMar w:left="1380" w:top="1317" w:right="1340" w:bottom="791" w:gutter="0" w:footer="0" w:header="0"/>
          <w:type w:val="continuous"/>
        </w:sectPr>
      </w:pPr>
    </w:p>
    <w:bookmarkStart w:id="4" w:name="page5"/>
    <w:bookmarkEnd w:id="4"/>
    <w:p>
      <w:pPr>
        <w:jc w:val="both"/>
        <w:spacing w:after="0" w:line="220" w:lineRule="auto"/>
        <w:rPr>
          <w:sz w:val="20"/>
          <w:szCs w:val="20"/>
          <w:color w:val="auto"/>
        </w:rPr>
      </w:pPr>
      <w:r>
        <w:rPr>
          <w:rFonts w:ascii="Lucida Sans" w:cs="Lucida Sans" w:eastAsia="Lucida Sans" w:hAnsi="Lucida Sans"/>
          <w:sz w:val="19"/>
          <w:szCs w:val="19"/>
          <w:color w:val="262626"/>
        </w:rPr>
        <w:t>And of course, what remains central to our identity as a company is the consistency of our dividend. In 2025, we increased our common dividend for the 58th consecutive year, extending the longest record of annual dividend increases in the REIT industry and maintaining our standing among the small group of public companies known as Dividend Kings. Unlike many businesses that can adjust pricing quickly, real estate operates through long-term lease structures that require patience, discipline, and superior asset quality to generate consistent growth. Our ability to increase dividends year after year reflects the strength of our real estate, the durability of our cash flows, and the resilience of a balance sheet built to perform across economic cycles.</w:t>
      </w:r>
    </w:p>
    <w:p>
      <w:pPr>
        <w:spacing w:after="0" w:line="241" w:lineRule="exact"/>
        <w:rPr>
          <w:sz w:val="20"/>
          <w:szCs w:val="20"/>
          <w:color w:val="auto"/>
        </w:rPr>
      </w:pPr>
    </w:p>
    <w:p>
      <w:pPr>
        <w:spacing w:after="0"/>
        <w:tabs>
          <w:tab w:leader="none" w:pos="1220" w:val="left"/>
        </w:tabs>
        <w:rPr>
          <w:sz w:val="20"/>
          <w:szCs w:val="20"/>
          <w:color w:val="auto"/>
        </w:rPr>
      </w:pPr>
      <w:r>
        <w:rPr>
          <w:rFonts w:ascii="Lucida Sans" w:cs="Lucida Sans" w:eastAsia="Lucida Sans" w:hAnsi="Lucida Sans"/>
          <w:sz w:val="19"/>
          <w:szCs w:val="19"/>
          <w:b w:val="1"/>
          <w:bCs w:val="1"/>
          <w:color w:val="262626"/>
        </w:rPr>
        <w:t>C a p i t a l</w:t>
        <w:tab/>
        <w:t>D e p l o y m e n t :</w:t>
      </w:r>
    </w:p>
    <w:p>
      <w:pPr>
        <w:spacing w:after="0" w:line="225" w:lineRule="auto"/>
        <w:tabs>
          <w:tab w:leader="none" w:pos="1400" w:val="left"/>
          <w:tab w:leader="none" w:pos="2560" w:val="left"/>
          <w:tab w:leader="none" w:pos="3160" w:val="left"/>
        </w:tabs>
        <w:rPr>
          <w:sz w:val="20"/>
          <w:szCs w:val="20"/>
          <w:color w:val="auto"/>
        </w:rPr>
      </w:pPr>
      <w:r>
        <w:rPr>
          <w:rFonts w:ascii="Lucida Sans" w:cs="Lucida Sans" w:eastAsia="Lucida Sans" w:hAnsi="Lucida Sans"/>
          <w:sz w:val="19"/>
          <w:szCs w:val="19"/>
          <w:b w:val="1"/>
          <w:bCs w:val="1"/>
          <w:color w:val="262626"/>
        </w:rPr>
        <w:t>M u l t i p l e</w:t>
        <w:tab/>
        <w:t>L e v e r s</w:t>
        <w:tab/>
        <w:t>f o r</w:t>
        <w:tab/>
        <w:t>G r o w t h</w:t>
      </w:r>
    </w:p>
    <w:p>
      <w:pPr>
        <w:spacing w:after="0" w:line="227" w:lineRule="exact"/>
        <w:rPr>
          <w:sz w:val="20"/>
          <w:szCs w:val="20"/>
          <w:color w:val="auto"/>
        </w:rPr>
      </w:pPr>
    </w:p>
    <w:p>
      <w:pPr>
        <w:jc w:val="both"/>
        <w:spacing w:after="0" w:line="256" w:lineRule="auto"/>
        <w:rPr>
          <w:sz w:val="20"/>
          <w:szCs w:val="20"/>
          <w:color w:val="auto"/>
        </w:rPr>
      </w:pPr>
      <w:r>
        <w:rPr>
          <w:rFonts w:ascii="Lucida Sans" w:cs="Lucida Sans" w:eastAsia="Lucida Sans" w:hAnsi="Lucida Sans"/>
          <w:sz w:val="17"/>
          <w:szCs w:val="17"/>
          <w:color w:val="262626"/>
        </w:rPr>
        <w:t>A hallmark of Federal Realty’s long-term success has been evolving the portfolio while remaining selective about where and how we grow.</w:t>
      </w:r>
    </w:p>
    <w:p>
      <w:pPr>
        <w:spacing w:after="0" w:line="214" w:lineRule="exact"/>
        <w:rPr>
          <w:sz w:val="20"/>
          <w:szCs w:val="20"/>
          <w:color w:val="auto"/>
        </w:rPr>
      </w:pPr>
    </w:p>
    <w:p>
      <w:pPr>
        <w:jc w:val="both"/>
        <w:spacing w:after="0" w:line="246" w:lineRule="auto"/>
        <w:rPr>
          <w:sz w:val="20"/>
          <w:szCs w:val="20"/>
          <w:color w:val="auto"/>
        </w:rPr>
      </w:pPr>
      <w:r>
        <w:rPr>
          <w:rFonts w:ascii="Lucida Sans" w:cs="Lucida Sans" w:eastAsia="Lucida Sans" w:hAnsi="Lucida Sans"/>
          <w:sz w:val="17"/>
          <w:szCs w:val="17"/>
          <w:color w:val="262626"/>
        </w:rPr>
        <w:t>2025 was an active year for capital deployment, with more than $750 million of acquisitions completed, alongside nearly $500 million of dispositions executed during the year and into early 2026. We also invested nearly $200 million in redevelopment—more on that below. These actions reflect our ongoing effort to recycle capital toward opportunities with stronger long-term growth potential while maintaining balance sheet flexibility. We expanded into new markets that meet our disciplined investment criteria: strong demographics, limited retail supply paired with proven retailer success, and dominant properties capable of significant operational improvement. Our acquisitions in markets such as Kansas City and Omaha reflect confidence that Federal Realty’s operating platform and reputation can unlock value in underserved but highly attractive trade areas.</w:t>
      </w:r>
    </w:p>
    <w:p>
      <w:pPr>
        <w:spacing w:after="0" w:line="20" w:lineRule="exact"/>
        <w:rPr>
          <w:sz w:val="20"/>
          <w:szCs w:val="20"/>
          <w:color w:val="auto"/>
        </w:rPr>
      </w:pPr>
      <w:r>
        <w:rPr>
          <w:sz w:val="20"/>
          <w:szCs w:val="20"/>
          <w:color w:val="auto"/>
        </w:rPr>
        <w:br w:type="column"/>
      </w:r>
    </w:p>
    <w:p>
      <w:pPr>
        <w:jc w:val="both"/>
        <w:spacing w:after="0" w:line="246" w:lineRule="auto"/>
        <w:rPr>
          <w:sz w:val="20"/>
          <w:szCs w:val="20"/>
          <w:color w:val="auto"/>
        </w:rPr>
      </w:pPr>
      <w:r>
        <w:rPr>
          <w:rFonts w:ascii="Lucida Sans" w:cs="Lucida Sans" w:eastAsia="Lucida Sans" w:hAnsi="Lucida Sans"/>
          <w:sz w:val="17"/>
          <w:szCs w:val="17"/>
          <w:color w:val="262626"/>
        </w:rPr>
        <w:t>Redevelopment and densification remain equally important drivers of external growth. During the year, both 915 Meeting Street at Pike &amp; Rose and Santana West at Santana Row became 100% committed, marking an important milestone for our mixed-use portfolio and reflecting improving demand for well-located and highly amenitized office environments. Since the start of 2024, we advanced multiple residential developments at our existing retail centers across the portfolio, including projects in Hoboken, New Jersey; Bala Cynwyd and Willow Grove, Pennsylvania; and Santana Row’s Lot 12 in San Jose, California. We also added new retail redevelopment projects at Andorra Shopping Center in suburban Philadelphia and Grossmont Center near San Diego. In many cases, the highest return opportunity is not acquiring new assets, but improving what we already own, a skillset that remains a defining advantage for Federal Realty.</w:t>
      </w:r>
    </w:p>
    <w:p>
      <w:pPr>
        <w:spacing w:after="0" w:line="225" w:lineRule="exact"/>
        <w:rPr>
          <w:sz w:val="20"/>
          <w:szCs w:val="20"/>
          <w:color w:val="auto"/>
        </w:rPr>
      </w:pPr>
    </w:p>
    <w:p>
      <w:pPr>
        <w:spacing w:after="0"/>
        <w:tabs>
          <w:tab w:leader="none" w:pos="1340" w:val="left"/>
        </w:tabs>
        <w:rPr>
          <w:sz w:val="20"/>
          <w:szCs w:val="20"/>
          <w:color w:val="auto"/>
        </w:rPr>
      </w:pPr>
      <w:r>
        <w:rPr>
          <w:rFonts w:ascii="Lucida Sans" w:cs="Lucida Sans" w:eastAsia="Lucida Sans" w:hAnsi="Lucida Sans"/>
          <w:sz w:val="19"/>
          <w:szCs w:val="19"/>
          <w:b w:val="1"/>
          <w:bCs w:val="1"/>
          <w:color w:val="262626"/>
        </w:rPr>
        <w:t>L o o k i n g</w:t>
        <w:tab/>
        <w:t>A h e a d</w:t>
      </w:r>
    </w:p>
    <w:p>
      <w:pPr>
        <w:spacing w:after="0" w:line="226" w:lineRule="exact"/>
        <w:rPr>
          <w:sz w:val="20"/>
          <w:szCs w:val="20"/>
          <w:color w:val="auto"/>
        </w:rPr>
      </w:pPr>
    </w:p>
    <w:p>
      <w:pPr>
        <w:jc w:val="both"/>
        <w:spacing w:after="0" w:line="221" w:lineRule="auto"/>
        <w:rPr>
          <w:sz w:val="20"/>
          <w:szCs w:val="20"/>
          <w:color w:val="auto"/>
        </w:rPr>
      </w:pPr>
      <w:r>
        <w:rPr>
          <w:rFonts w:ascii="Lucida Sans" w:cs="Lucida Sans" w:eastAsia="Lucida Sans" w:hAnsi="Lucida Sans"/>
          <w:sz w:val="19"/>
          <w:szCs w:val="19"/>
          <w:color w:val="262626"/>
        </w:rPr>
        <w:t>As we enter 2026, the fundamental conditions supporting our business remain firmly in place, with limited new retail supply and a strong balance sheet allowing us to remain patient and opportunistic as conditions evolve. In an environment where high-quality space is increasingly scarce, well-located properties serving affluent communities remain positioned for sustained demand.</w:t>
      </w:r>
    </w:p>
    <w:p>
      <w:pPr>
        <w:spacing w:after="0" w:line="230" w:lineRule="exact"/>
        <w:rPr>
          <w:sz w:val="20"/>
          <w:szCs w:val="20"/>
          <w:color w:val="auto"/>
        </w:rPr>
      </w:pPr>
    </w:p>
    <w:p>
      <w:pPr>
        <w:jc w:val="both"/>
        <w:spacing w:after="0" w:line="253" w:lineRule="auto"/>
        <w:rPr>
          <w:sz w:val="20"/>
          <w:szCs w:val="20"/>
          <w:color w:val="auto"/>
        </w:rPr>
      </w:pPr>
      <w:r>
        <w:rPr>
          <w:rFonts w:ascii="Lucida Sans" w:cs="Lucida Sans" w:eastAsia="Lucida Sans" w:hAnsi="Lucida Sans"/>
          <w:sz w:val="17"/>
          <w:szCs w:val="17"/>
          <w:color w:val="262626"/>
        </w:rPr>
        <w:t>Perhaps most importantly, Federal Realty’s business model remains intentionally adaptable.</w:t>
      </w:r>
    </w:p>
    <w:p>
      <w:pPr>
        <w:spacing w:after="0" w:line="1" w:lineRule="exact"/>
        <w:rPr>
          <w:sz w:val="20"/>
          <w:szCs w:val="20"/>
          <w:color w:val="auto"/>
        </w:rPr>
      </w:pPr>
    </w:p>
    <w:p>
      <w:pPr>
        <w:jc w:val="both"/>
        <w:spacing w:after="0" w:line="219" w:lineRule="auto"/>
        <w:rPr>
          <w:sz w:val="20"/>
          <w:szCs w:val="20"/>
          <w:color w:val="auto"/>
        </w:rPr>
      </w:pPr>
      <w:r>
        <w:rPr>
          <w:rFonts w:ascii="Lucida Sans" w:cs="Lucida Sans" w:eastAsia="Lucida Sans" w:hAnsi="Lucida Sans"/>
          <w:sz w:val="19"/>
          <w:szCs w:val="19"/>
          <w:color w:val="262626"/>
        </w:rPr>
        <w:t>Whether opportunities arise through acquisitions, expansions, or redevelopment within our existing portfolio, our objective remains the same: allocate capital toward the opportunities that create the greatest long-term value.</w:t>
      </w:r>
    </w:p>
    <w:p>
      <w:pPr>
        <w:spacing w:after="0" w:line="231" w:lineRule="exact"/>
        <w:rPr>
          <w:sz w:val="20"/>
          <w:szCs w:val="20"/>
          <w:color w:val="auto"/>
        </w:rPr>
      </w:pPr>
    </w:p>
    <w:p>
      <w:pPr>
        <w:jc w:val="both"/>
        <w:spacing w:after="0" w:line="224" w:lineRule="auto"/>
        <w:rPr>
          <w:sz w:val="20"/>
          <w:szCs w:val="20"/>
          <w:color w:val="auto"/>
        </w:rPr>
      </w:pPr>
      <w:r>
        <w:rPr>
          <w:rFonts w:ascii="Lucida Sans" w:cs="Lucida Sans" w:eastAsia="Lucida Sans" w:hAnsi="Lucida Sans"/>
          <w:sz w:val="19"/>
          <w:szCs w:val="19"/>
          <w:color w:val="262626"/>
        </w:rPr>
        <w:t>We look forward to sharing more about this strategy and the opportunities throughout the year.</w:t>
      </w:r>
    </w:p>
    <w:p>
      <w:pPr>
        <w:spacing w:after="0" w:line="200" w:lineRule="exact"/>
        <w:rPr>
          <w:sz w:val="20"/>
          <w:szCs w:val="20"/>
          <w:color w:val="auto"/>
        </w:rPr>
      </w:pPr>
    </w:p>
    <w:p>
      <w:pPr>
        <w:sectPr>
          <w:pgSz w:w="11880" w:h="15480" w:orient="portrait"/>
          <w:cols w:equalWidth="0" w:num="2">
            <w:col w:w="4320" w:space="480"/>
            <w:col w:w="4320"/>
          </w:cols>
          <w:pgMar w:left="1380" w:top="1288" w:right="1380" w:bottom="79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980"/>
        <w:spacing w:after="0"/>
        <w:tabs>
          <w:tab w:leader="none" w:pos="5940" w:val="left"/>
          <w:tab w:leader="none" w:pos="6780" w:val="left"/>
          <w:tab w:leader="none" w:pos="6960" w:val="left"/>
          <w:tab w:leader="none" w:pos="7880" w:val="left"/>
        </w:tabs>
        <w:rPr>
          <w:sz w:val="20"/>
          <w:szCs w:val="20"/>
          <w:color w:val="auto"/>
        </w:rPr>
      </w:pPr>
      <w:r>
        <w:rPr>
          <w:rFonts w:ascii="Lucida Sans" w:cs="Lucida Sans" w:eastAsia="Lucida Sans" w:hAnsi="Lucida Sans"/>
          <w:sz w:val="14"/>
          <w:szCs w:val="14"/>
          <w:color w:val="353434"/>
        </w:rPr>
        <w:t>F E D E R A L</w:t>
        <w:tab/>
        <w:t>R E A L T Y</w:t>
      </w:r>
      <w:r>
        <w:rPr>
          <w:rFonts w:ascii="Lucida Sans" w:cs="Lucida Sans" w:eastAsia="Lucida Sans" w:hAnsi="Lucida Sans"/>
          <w:sz w:val="14"/>
          <w:szCs w:val="14"/>
          <w:color w:val="F15638"/>
        </w:rPr>
        <w:tab/>
        <w:t>|</w:t>
      </w:r>
      <w:r>
        <w:rPr>
          <w:rFonts w:ascii="Lucida Sans" w:cs="Lucida Sans" w:eastAsia="Lucida Sans" w:hAnsi="Lucida Sans"/>
          <w:sz w:val="14"/>
          <w:szCs w:val="14"/>
          <w:color w:val="353434"/>
        </w:rPr>
        <w:tab/>
        <w:t>A N N U A L</w:t>
      </w:r>
      <w:r>
        <w:rPr>
          <w:sz w:val="20"/>
          <w:szCs w:val="20"/>
          <w:color w:val="auto"/>
        </w:rPr>
        <w:tab/>
      </w:r>
      <w:r>
        <w:rPr>
          <w:rFonts w:ascii="Lucida Sans" w:cs="Lucida Sans" w:eastAsia="Lucida Sans" w:hAnsi="Lucida Sans"/>
          <w:sz w:val="13"/>
          <w:szCs w:val="13"/>
          <w:color w:val="353434"/>
        </w:rPr>
        <w:t xml:space="preserve">R E P O R T </w:t>
      </w:r>
      <w:r>
        <w:rPr>
          <w:rFonts w:ascii="Georgia Pro" w:cs="Georgia Pro" w:eastAsia="Georgia Pro" w:hAnsi="Georgia Pro"/>
          <w:sz w:val="13"/>
          <w:szCs w:val="13"/>
          <w:b w:val="1"/>
          <w:bCs w:val="1"/>
          <w:color w:val="F15638"/>
        </w:rPr>
        <w:t>2 0 2 5</w:t>
      </w:r>
    </w:p>
    <w:p>
      <w:pPr>
        <w:sectPr>
          <w:pgSz w:w="11880" w:h="15480" w:orient="portrait"/>
          <w:cols w:equalWidth="0" w:num="1">
            <w:col w:w="9120"/>
          </w:cols>
          <w:pgMar w:left="1380" w:top="1288" w:right="1380" w:bottom="791" w:gutter="0" w:footer="0" w:header="0"/>
          <w:type w:val="continuous"/>
        </w:sectPr>
      </w:pPr>
    </w:p>
    <w:bookmarkStart w:id="5" w:name="page6"/>
    <w:bookmarkEnd w:id="5"/>
    <w:p>
      <w:pPr>
        <w:spacing w:after="0"/>
        <w:tabs>
          <w:tab w:leader="none" w:pos="420" w:val="left"/>
        </w:tabs>
        <w:rPr>
          <w:sz w:val="20"/>
          <w:szCs w:val="20"/>
          <w:color w:val="auto"/>
        </w:rPr>
      </w:pPr>
      <w:r>
        <w:rPr>
          <w:rFonts w:ascii="Lucida Sans" w:cs="Lucida Sans" w:eastAsia="Lucida Sans" w:hAnsi="Lucida Sans"/>
          <w:sz w:val="19"/>
          <w:szCs w:val="19"/>
          <w:b w:val="1"/>
          <w:bCs w:val="1"/>
          <w:color w:val="262626"/>
        </w:rPr>
        <w:t>I n</w:t>
        <w:tab/>
        <w:t>C l o s i n g</w:t>
      </w:r>
    </w:p>
    <w:p>
      <w:pPr>
        <w:spacing w:after="0" w:line="226" w:lineRule="exact"/>
        <w:rPr>
          <w:sz w:val="20"/>
          <w:szCs w:val="20"/>
          <w:color w:val="auto"/>
        </w:rPr>
      </w:pPr>
    </w:p>
    <w:p>
      <w:pPr>
        <w:jc w:val="both"/>
        <w:spacing w:after="0" w:line="249" w:lineRule="auto"/>
        <w:rPr>
          <w:sz w:val="20"/>
          <w:szCs w:val="20"/>
          <w:color w:val="auto"/>
        </w:rPr>
      </w:pPr>
      <w:r>
        <w:rPr>
          <w:rFonts w:ascii="Lucida Sans" w:cs="Lucida Sans" w:eastAsia="Lucida Sans" w:hAnsi="Lucida Sans"/>
          <w:sz w:val="17"/>
          <w:szCs w:val="17"/>
          <w:color w:val="262626"/>
        </w:rPr>
        <w:t>Federal Realty’s success continues to be driven by the dedication of our more than 300 employees who bring our properties to life every day. Their commitment to excellence, together with the guidance and stewardship of our Board of Trustees, allows us to remain focused on creating long-term value for our shareholders.</w:t>
      </w:r>
    </w:p>
    <w:p>
      <w:pPr>
        <w:spacing w:after="0" w:line="221" w:lineRule="exact"/>
        <w:rPr>
          <w:sz w:val="20"/>
          <w:szCs w:val="20"/>
          <w:color w:val="auto"/>
        </w:rPr>
      </w:pPr>
    </w:p>
    <w:p>
      <w:pPr>
        <w:jc w:val="both"/>
        <w:spacing w:after="0" w:line="256" w:lineRule="auto"/>
        <w:rPr>
          <w:sz w:val="20"/>
          <w:szCs w:val="20"/>
          <w:color w:val="auto"/>
        </w:rPr>
      </w:pPr>
      <w:r>
        <w:rPr>
          <w:rFonts w:ascii="Lucida Sans" w:cs="Lucida Sans" w:eastAsia="Lucida Sans" w:hAnsi="Lucida Sans"/>
          <w:sz w:val="17"/>
          <w:szCs w:val="17"/>
          <w:color w:val="262626"/>
        </w:rPr>
        <w:t>Public markets may at times gravitate toward what feels shiny and new, but enduring value is built through disciplined execution over time.</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jc w:val="both"/>
        <w:spacing w:after="0" w:line="224" w:lineRule="auto"/>
        <w:rPr>
          <w:sz w:val="20"/>
          <w:szCs w:val="20"/>
          <w:color w:val="auto"/>
        </w:rPr>
      </w:pPr>
      <w:r>
        <w:rPr>
          <w:rFonts w:ascii="Lucida Sans" w:cs="Lucida Sans" w:eastAsia="Lucida Sans" w:hAnsi="Lucida Sans"/>
          <w:sz w:val="19"/>
          <w:szCs w:val="19"/>
          <w:color w:val="262626"/>
        </w:rPr>
        <w:t>On behalf of the Board of Trustees and our entire team, thank you for your continued trust and investment in Federal Realty.</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9"/>
          <w:szCs w:val="19"/>
          <w:color w:val="262626"/>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1578610</wp:posOffset>
            </wp:positionH>
            <wp:positionV relativeFrom="paragraph">
              <wp:posOffset>52070</wp:posOffset>
            </wp:positionV>
            <wp:extent cx="1170305" cy="6223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extLst>
                    </a:blip>
                    <a:srcRect/>
                    <a:stretch>
                      <a:fillRect/>
                    </a:stretch>
                  </pic:blipFill>
                  <pic:spPr bwMode="auto">
                    <a:xfrm>
                      <a:off x="0" y="0"/>
                      <a:ext cx="1170305" cy="622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2520"/>
        <w:spacing w:after="0"/>
        <w:rPr>
          <w:sz w:val="20"/>
          <w:szCs w:val="20"/>
          <w:color w:val="auto"/>
        </w:rPr>
      </w:pPr>
      <w:r>
        <w:rPr>
          <w:rFonts w:ascii="Lucida Sans" w:cs="Lucida Sans" w:eastAsia="Lucida Sans" w:hAnsi="Lucida Sans"/>
          <w:sz w:val="20"/>
          <w:szCs w:val="20"/>
          <w:b w:val="1"/>
          <w:bCs w:val="1"/>
          <w:color w:val="262626"/>
        </w:rPr>
        <w:t>Donald C. Wood</w:t>
      </w:r>
    </w:p>
    <w:p>
      <w:pPr>
        <w:spacing w:after="0" w:line="55" w:lineRule="exact"/>
        <w:rPr>
          <w:sz w:val="20"/>
          <w:szCs w:val="20"/>
          <w:color w:val="auto"/>
        </w:rPr>
      </w:pPr>
    </w:p>
    <w:p>
      <w:pPr>
        <w:ind w:left="2300"/>
        <w:spacing w:after="0"/>
        <w:rPr>
          <w:sz w:val="20"/>
          <w:szCs w:val="20"/>
          <w:color w:val="auto"/>
        </w:rPr>
      </w:pPr>
      <w:r>
        <w:rPr>
          <w:rFonts w:ascii="Arial" w:cs="Arial" w:eastAsia="Arial" w:hAnsi="Arial"/>
          <w:sz w:val="19"/>
          <w:szCs w:val="19"/>
          <w:color w:val="262626"/>
        </w:rPr>
        <w:t>Chief Executive Officer</w:t>
      </w:r>
    </w:p>
    <w:p>
      <w:pPr>
        <w:spacing w:after="0" w:line="295" w:lineRule="exact"/>
        <w:rPr>
          <w:sz w:val="20"/>
          <w:szCs w:val="20"/>
          <w:color w:val="auto"/>
        </w:rPr>
      </w:pPr>
    </w:p>
    <w:p>
      <w:pPr>
        <w:sectPr>
          <w:pgSz w:w="11880" w:h="15480" w:orient="portrait"/>
          <w:cols w:equalWidth="0" w:num="2">
            <w:col w:w="4320" w:space="480"/>
            <w:col w:w="4320"/>
          </w:cols>
          <w:pgMar w:left="1380" w:top="1262" w:right="1380" w:bottom="79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4980"/>
        <w:spacing w:after="0"/>
        <w:tabs>
          <w:tab w:leader="none" w:pos="5940" w:val="left"/>
          <w:tab w:leader="none" w:pos="6780" w:val="left"/>
          <w:tab w:leader="none" w:pos="6960" w:val="left"/>
          <w:tab w:leader="none" w:pos="7880" w:val="left"/>
        </w:tabs>
        <w:rPr>
          <w:sz w:val="20"/>
          <w:szCs w:val="20"/>
          <w:color w:val="auto"/>
        </w:rPr>
      </w:pPr>
      <w:r>
        <w:rPr>
          <w:rFonts w:ascii="Lucida Sans" w:cs="Lucida Sans" w:eastAsia="Lucida Sans" w:hAnsi="Lucida Sans"/>
          <w:sz w:val="14"/>
          <w:szCs w:val="14"/>
          <w:color w:val="353434"/>
        </w:rPr>
        <w:t>F E D E R A L</w:t>
        <w:tab/>
        <w:t>R E A L T Y</w:t>
      </w:r>
      <w:r>
        <w:rPr>
          <w:rFonts w:ascii="Lucida Sans" w:cs="Lucida Sans" w:eastAsia="Lucida Sans" w:hAnsi="Lucida Sans"/>
          <w:sz w:val="14"/>
          <w:szCs w:val="14"/>
          <w:color w:val="F15638"/>
        </w:rPr>
        <w:tab/>
        <w:t>|</w:t>
      </w:r>
      <w:r>
        <w:rPr>
          <w:rFonts w:ascii="Lucida Sans" w:cs="Lucida Sans" w:eastAsia="Lucida Sans" w:hAnsi="Lucida Sans"/>
          <w:sz w:val="14"/>
          <w:szCs w:val="14"/>
          <w:color w:val="353434"/>
        </w:rPr>
        <w:tab/>
        <w:t>A N N U A L</w:t>
      </w:r>
      <w:r>
        <w:rPr>
          <w:sz w:val="20"/>
          <w:szCs w:val="20"/>
          <w:color w:val="auto"/>
        </w:rPr>
        <w:tab/>
      </w:r>
      <w:r>
        <w:rPr>
          <w:rFonts w:ascii="Lucida Sans" w:cs="Lucida Sans" w:eastAsia="Lucida Sans" w:hAnsi="Lucida Sans"/>
          <w:sz w:val="13"/>
          <w:szCs w:val="13"/>
          <w:color w:val="353434"/>
        </w:rPr>
        <w:t xml:space="preserve">R E P O R T </w:t>
      </w:r>
      <w:r>
        <w:rPr>
          <w:rFonts w:ascii="Georgia Pro" w:cs="Georgia Pro" w:eastAsia="Georgia Pro" w:hAnsi="Georgia Pro"/>
          <w:sz w:val="13"/>
          <w:szCs w:val="13"/>
          <w:b w:val="1"/>
          <w:bCs w:val="1"/>
          <w:color w:val="F15638"/>
        </w:rPr>
        <w:t>2 0 2 5</w:t>
      </w:r>
    </w:p>
    <w:p>
      <w:pPr>
        <w:sectPr>
          <w:pgSz w:w="11880" w:h="15480" w:orient="portrait"/>
          <w:cols w:equalWidth="0" w:num="1">
            <w:col w:w="9120"/>
          </w:cols>
          <w:pgMar w:left="1380" w:top="1262" w:right="1380" w:bottom="791" w:gutter="0" w:footer="0" w:header="0"/>
          <w:type w:val="continuous"/>
        </w:sectPr>
      </w:pPr>
    </w:p>
    <w:bookmarkStart w:id="6" w:name="page7"/>
    <w:bookmarkEnd w:id="6"/>
    <w:p>
      <w:pPr>
        <w:jc w:val="center"/>
        <w:ind w:right="-59"/>
        <w:spacing w:after="0"/>
        <w:rPr>
          <w:sz w:val="20"/>
          <w:szCs w:val="20"/>
          <w:color w:val="auto"/>
        </w:rPr>
      </w:pPr>
      <w:r>
        <w:rPr>
          <w:rFonts w:ascii="Times New Roman" w:cs="Times New Roman" w:eastAsia="Times New Roman" w:hAnsi="Times New Roman"/>
          <w:sz w:val="27"/>
          <w:szCs w:val="27"/>
          <w:b w:val="1"/>
          <w:bCs w:val="1"/>
          <w:color w:val="231F20"/>
        </w:rPr>
        <w:t>UNITED STATES</w:t>
      </w:r>
    </w:p>
    <w:p>
      <w:pPr>
        <w:spacing w:after="0" w:line="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7"/>
          <w:szCs w:val="27"/>
          <w:b w:val="1"/>
          <w:bCs w:val="1"/>
          <w:color w:val="231F20"/>
        </w:rPr>
        <w:t>SECURITIES AND EXCHANGE COMMISSION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231F20"/>
        </w:rPr>
        <w:t>WASHINGTON, D.C. 20549</w:t>
      </w:r>
    </w:p>
    <w:p>
      <w:pPr>
        <w:spacing w:after="0" w:line="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30"/>
          <w:szCs w:val="30"/>
          <w:b w:val="1"/>
          <w:bCs w:val="1"/>
          <w:color w:val="231F20"/>
        </w:rPr>
        <w:t>FORM 10-K</w:t>
      </w:r>
    </w:p>
    <w:p>
      <w:pPr>
        <w:spacing w:after="0" w:line="191" w:lineRule="exact"/>
        <w:rPr>
          <w:sz w:val="20"/>
          <w:szCs w:val="20"/>
          <w:color w:val="auto"/>
        </w:rPr>
      </w:pPr>
    </w:p>
    <w:p>
      <w:pPr>
        <w:ind w:left="140"/>
        <w:spacing w:after="0" w:line="196" w:lineRule="exact"/>
        <w:rPr>
          <w:sz w:val="20"/>
          <w:szCs w:val="20"/>
          <w:color w:val="auto"/>
        </w:rPr>
      </w:pPr>
      <w:r>
        <w:rPr>
          <w:rFonts w:ascii="Times New Roman" w:cs="Times New Roman" w:eastAsia="Times New Roman" w:hAnsi="Times New Roman"/>
          <w:sz w:val="17"/>
          <w:szCs w:val="17"/>
          <w:b w:val="1"/>
          <w:bCs w:val="1"/>
          <w:color w:val="231F20"/>
        </w:rPr>
        <w:t>ANNUAL REPORT PURSUANT TO THE SECTION 13 OR 15(D) OF THE SECURITIES EXCHANGE ACT OF 1934</w:t>
      </w:r>
    </w:p>
    <w:p>
      <w:pPr>
        <w:spacing w:after="0" w:line="13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b w:val="1"/>
          <w:bCs w:val="1"/>
          <w:color w:val="231F20"/>
        </w:rPr>
        <w:t>For the fiscal year ended December 31, 2025</w:t>
      </w:r>
    </w:p>
    <w:p>
      <w:pPr>
        <w:spacing w:after="0" w:line="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b w:val="1"/>
          <w:bCs w:val="1"/>
          <w:color w:val="231F20"/>
        </w:rPr>
        <w:t>OR</w:t>
      </w:r>
    </w:p>
    <w:p>
      <w:pPr>
        <w:spacing w:after="0" w:line="136" w:lineRule="exact"/>
        <w:rPr>
          <w:sz w:val="20"/>
          <w:szCs w:val="20"/>
          <w:color w:val="auto"/>
        </w:rPr>
      </w:pPr>
    </w:p>
    <w:p>
      <w:pPr>
        <w:ind w:left="140"/>
        <w:spacing w:after="0" w:line="196" w:lineRule="exact"/>
        <w:rPr>
          <w:sz w:val="20"/>
          <w:szCs w:val="20"/>
          <w:color w:val="auto"/>
        </w:rPr>
      </w:pPr>
      <w:r>
        <w:rPr>
          <w:rFonts w:ascii="Times New Roman" w:cs="Times New Roman" w:eastAsia="Times New Roman" w:hAnsi="Times New Roman"/>
          <w:sz w:val="17"/>
          <w:szCs w:val="17"/>
          <w:b w:val="1"/>
          <w:bCs w:val="1"/>
          <w:color w:val="231F20"/>
        </w:rPr>
        <w:t>TRANSITION REPORT PURSUANT TO SECTION 13 OR 15(D) OF THE SECURITIES EXCHANGE ACT OF 1934</w:t>
      </w:r>
    </w:p>
    <w:p>
      <w:pPr>
        <w:spacing w:after="0" w:line="136" w:lineRule="exact"/>
        <w:rPr>
          <w:sz w:val="20"/>
          <w:szCs w:val="20"/>
          <w:color w:val="auto"/>
        </w:rPr>
      </w:pPr>
    </w:p>
    <w:p>
      <w:pPr>
        <w:ind w:left="3000"/>
        <w:spacing w:after="0"/>
        <w:tabs>
          <w:tab w:leader="none" w:pos="6120" w:val="left"/>
        </w:tabs>
        <w:rPr>
          <w:sz w:val="20"/>
          <w:szCs w:val="20"/>
          <w:color w:val="auto"/>
        </w:rPr>
      </w:pPr>
      <w:r>
        <w:rPr>
          <w:rFonts w:ascii="Times New Roman" w:cs="Times New Roman" w:eastAsia="Times New Roman" w:hAnsi="Times New Roman"/>
          <w:sz w:val="19"/>
          <w:szCs w:val="19"/>
          <w:b w:val="1"/>
          <w:bCs w:val="1"/>
          <w:color w:val="231F20"/>
        </w:rPr>
        <w:t>For the transition period from</w:t>
      </w:r>
      <w:r>
        <w:rPr>
          <w:sz w:val="20"/>
          <w:szCs w:val="20"/>
          <w:color w:val="auto"/>
        </w:rPr>
        <w:tab/>
      </w:r>
      <w:r>
        <w:rPr>
          <w:rFonts w:ascii="Times New Roman" w:cs="Times New Roman" w:eastAsia="Times New Roman" w:hAnsi="Times New Roman"/>
          <w:sz w:val="19"/>
          <w:szCs w:val="19"/>
          <w:b w:val="1"/>
          <w:bCs w:val="1"/>
          <w:color w:val="231F20"/>
        </w:rPr>
        <w:t>to</w:t>
      </w:r>
    </w:p>
    <w:p>
      <w:pPr>
        <w:spacing w:after="0" w:line="260"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9"/>
          <w:szCs w:val="19"/>
          <w:b w:val="1"/>
          <w:bCs w:val="1"/>
          <w:color w:val="231F20"/>
        </w:rPr>
        <w:t>Commission file number: 1-07533 (Federal Realty Investment Trust)</w:t>
      </w:r>
    </w:p>
    <w:p>
      <w:pPr>
        <w:spacing w:after="0" w:line="33"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9"/>
          <w:szCs w:val="19"/>
          <w:b w:val="1"/>
          <w:bCs w:val="1"/>
          <w:color w:val="231F20"/>
        </w:rPr>
        <w:t>Commission file number: 333-262016-01 (Federal Realty OP LP)</w:t>
      </w:r>
    </w:p>
    <w:p>
      <w:pPr>
        <w:spacing w:after="0" w:line="2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36"/>
          <w:szCs w:val="36"/>
          <w:b w:val="1"/>
          <w:bCs w:val="1"/>
          <w:color w:val="231F20"/>
        </w:rPr>
        <w:t>FEDERAL REALTY INVESTMENT TRUST</w:t>
      </w:r>
    </w:p>
    <w:p>
      <w:pPr>
        <w:spacing w:after="0" w:line="6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36"/>
          <w:szCs w:val="36"/>
          <w:b w:val="1"/>
          <w:bCs w:val="1"/>
          <w:color w:val="231F20"/>
        </w:rPr>
        <w:t>FEDERAL REALTY OP LP</w:t>
      </w:r>
    </w:p>
    <w:p>
      <w:pPr>
        <w:spacing w:after="0" w:line="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231F20"/>
        </w:rPr>
        <w:t>(Exact Name of Registrant as Specified in its charter)</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160" w:type="dxa"/>
            <w:vAlign w:val="bottom"/>
            <w:gridSpan w:val="4"/>
          </w:tcPr>
          <w:p>
            <w:pPr>
              <w:jc w:val="center"/>
              <w:ind w:left="272"/>
              <w:spacing w:after="0"/>
              <w:rPr>
                <w:sz w:val="20"/>
                <w:szCs w:val="20"/>
                <w:color w:val="auto"/>
              </w:rPr>
            </w:pPr>
            <w:r>
              <w:rPr>
                <w:rFonts w:ascii="Times New Roman" w:cs="Times New Roman" w:eastAsia="Times New Roman" w:hAnsi="Times New Roman"/>
                <w:sz w:val="19"/>
                <w:szCs w:val="19"/>
                <w:b w:val="1"/>
                <w:bCs w:val="1"/>
                <w:color w:val="231F20"/>
                <w:w w:val="99"/>
              </w:rPr>
              <w:t>Maryland (Federal Realty Investment Trust)</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20" w:type="dxa"/>
            <w:vAlign w:val="bottom"/>
            <w:gridSpan w:val="2"/>
          </w:tcPr>
          <w:p>
            <w:pPr>
              <w:jc w:val="center"/>
              <w:ind w:right="776"/>
              <w:spacing w:after="0"/>
              <w:rPr>
                <w:sz w:val="20"/>
                <w:szCs w:val="20"/>
                <w:color w:val="auto"/>
              </w:rPr>
            </w:pPr>
            <w:r>
              <w:rPr>
                <w:rFonts w:ascii="Times New Roman" w:cs="Times New Roman" w:eastAsia="Times New Roman" w:hAnsi="Times New Roman"/>
                <w:sz w:val="19"/>
                <w:szCs w:val="19"/>
                <w:b w:val="1"/>
                <w:bCs w:val="1"/>
                <w:color w:val="231F20"/>
              </w:rPr>
              <w:t>87-3916363</w:t>
            </w:r>
          </w:p>
        </w:tc>
      </w:tr>
      <w:tr>
        <w:trPr>
          <w:trHeight w:val="240"/>
        </w:trPr>
        <w:tc>
          <w:tcPr>
            <w:tcW w:w="4160" w:type="dxa"/>
            <w:vAlign w:val="bottom"/>
            <w:gridSpan w:val="4"/>
          </w:tcPr>
          <w:p>
            <w:pPr>
              <w:jc w:val="center"/>
              <w:ind w:left="252"/>
              <w:spacing w:after="0"/>
              <w:rPr>
                <w:sz w:val="20"/>
                <w:szCs w:val="20"/>
                <w:color w:val="auto"/>
              </w:rPr>
            </w:pPr>
            <w:r>
              <w:rPr>
                <w:rFonts w:ascii="Times New Roman" w:cs="Times New Roman" w:eastAsia="Times New Roman" w:hAnsi="Times New Roman"/>
                <w:sz w:val="19"/>
                <w:szCs w:val="19"/>
                <w:b w:val="1"/>
                <w:bCs w:val="1"/>
                <w:color w:val="231F20"/>
                <w:w w:val="99"/>
              </w:rPr>
              <w:t>Delaware (Federal Realty OP LP)</w:t>
            </w: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20" w:type="dxa"/>
            <w:vAlign w:val="bottom"/>
            <w:gridSpan w:val="2"/>
          </w:tcPr>
          <w:p>
            <w:pPr>
              <w:jc w:val="center"/>
              <w:ind w:right="776"/>
              <w:spacing w:after="0"/>
              <w:rPr>
                <w:sz w:val="20"/>
                <w:szCs w:val="20"/>
                <w:color w:val="auto"/>
              </w:rPr>
            </w:pPr>
            <w:r>
              <w:rPr>
                <w:rFonts w:ascii="Times New Roman" w:cs="Times New Roman" w:eastAsia="Times New Roman" w:hAnsi="Times New Roman"/>
                <w:sz w:val="19"/>
                <w:szCs w:val="19"/>
                <w:b w:val="1"/>
                <w:bCs w:val="1"/>
                <w:color w:val="231F20"/>
              </w:rPr>
              <w:t>52-0782497</w:t>
            </w:r>
          </w:p>
        </w:tc>
      </w:tr>
      <w:tr>
        <w:trPr>
          <w:trHeight w:val="202"/>
        </w:trPr>
        <w:tc>
          <w:tcPr>
            <w:tcW w:w="1360" w:type="dxa"/>
            <w:vAlign w:val="bottom"/>
          </w:tcPr>
          <w:p>
            <w:pPr>
              <w:spacing w:after="0"/>
              <w:rPr>
                <w:sz w:val="17"/>
                <w:szCs w:val="17"/>
                <w:color w:val="auto"/>
              </w:rPr>
            </w:pPr>
          </w:p>
        </w:tc>
        <w:tc>
          <w:tcPr>
            <w:tcW w:w="2800" w:type="dxa"/>
            <w:vAlign w:val="bottom"/>
            <w:gridSpan w:val="3"/>
          </w:tcPr>
          <w:p>
            <w:pPr>
              <w:jc w:val="center"/>
              <w:ind w:right="934"/>
              <w:spacing w:after="0"/>
              <w:rPr>
                <w:sz w:val="20"/>
                <w:szCs w:val="20"/>
                <w:color w:val="auto"/>
              </w:rPr>
            </w:pPr>
            <w:r>
              <w:rPr>
                <w:rFonts w:ascii="Times New Roman" w:cs="Times New Roman" w:eastAsia="Times New Roman" w:hAnsi="Times New Roman"/>
                <w:sz w:val="15"/>
                <w:szCs w:val="15"/>
                <w:b w:val="1"/>
                <w:bCs w:val="1"/>
                <w:color w:val="231F20"/>
              </w:rPr>
              <w:t>(State of Organization)</w:t>
            </w: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0" w:type="dxa"/>
            <w:vAlign w:val="bottom"/>
          </w:tcPr>
          <w:p>
            <w:pPr>
              <w:jc w:val="center"/>
              <w:ind w:right="1016"/>
              <w:spacing w:after="0"/>
              <w:rPr>
                <w:sz w:val="20"/>
                <w:szCs w:val="20"/>
                <w:color w:val="auto"/>
              </w:rPr>
            </w:pPr>
            <w:r>
              <w:rPr>
                <w:rFonts w:ascii="Times New Roman" w:cs="Times New Roman" w:eastAsia="Times New Roman" w:hAnsi="Times New Roman"/>
                <w:sz w:val="15"/>
                <w:szCs w:val="15"/>
                <w:b w:val="1"/>
                <w:bCs w:val="1"/>
                <w:color w:val="231F20"/>
              </w:rPr>
              <w:t>(IRS Employer Identification No.)</w:t>
            </w:r>
          </w:p>
        </w:tc>
      </w:tr>
      <w:tr>
        <w:trPr>
          <w:trHeight w:val="263"/>
        </w:trPr>
        <w:tc>
          <w:tcPr>
            <w:tcW w:w="1360" w:type="dxa"/>
            <w:vAlign w:val="bottom"/>
          </w:tcPr>
          <w:p>
            <w:pPr>
              <w:spacing w:after="0"/>
              <w:rPr>
                <w:sz w:val="22"/>
                <w:szCs w:val="22"/>
                <w:color w:val="auto"/>
              </w:rPr>
            </w:pPr>
          </w:p>
        </w:tc>
        <w:tc>
          <w:tcPr>
            <w:tcW w:w="8200" w:type="dxa"/>
            <w:vAlign w:val="bottom"/>
            <w:gridSpan w:val="9"/>
          </w:tcPr>
          <w:p>
            <w:pPr>
              <w:jc w:val="center"/>
              <w:ind w:right="916"/>
              <w:spacing w:after="0"/>
              <w:rPr>
                <w:sz w:val="20"/>
                <w:szCs w:val="20"/>
                <w:color w:val="auto"/>
              </w:rPr>
            </w:pPr>
            <w:r>
              <w:rPr>
                <w:rFonts w:ascii="Times New Roman" w:cs="Times New Roman" w:eastAsia="Times New Roman" w:hAnsi="Times New Roman"/>
                <w:sz w:val="17"/>
                <w:szCs w:val="17"/>
                <w:b w:val="1"/>
                <w:bCs w:val="1"/>
                <w:color w:val="231F20"/>
              </w:rPr>
              <w:t>909 Rose Avenue, Suite 200, North Bethesda, Maryland 20852</w:t>
            </w:r>
          </w:p>
        </w:tc>
      </w:tr>
      <w:tr>
        <w:trPr>
          <w:trHeight w:val="202"/>
        </w:trPr>
        <w:tc>
          <w:tcPr>
            <w:tcW w:w="13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180" w:type="dxa"/>
            <w:vAlign w:val="bottom"/>
            <w:gridSpan w:val="6"/>
          </w:tcPr>
          <w:p>
            <w:pPr>
              <w:ind w:left="340"/>
              <w:spacing w:after="0"/>
              <w:rPr>
                <w:sz w:val="20"/>
                <w:szCs w:val="20"/>
                <w:color w:val="auto"/>
              </w:rPr>
            </w:pPr>
            <w:r>
              <w:rPr>
                <w:rFonts w:ascii="Times New Roman" w:cs="Times New Roman" w:eastAsia="Times New Roman" w:hAnsi="Times New Roman"/>
                <w:sz w:val="15"/>
                <w:szCs w:val="15"/>
                <w:b w:val="1"/>
                <w:bCs w:val="1"/>
                <w:color w:val="231F20"/>
              </w:rPr>
              <w:t>(Address of Principal Executive Offices)</w:t>
            </w:r>
          </w:p>
        </w:tc>
        <w:tc>
          <w:tcPr>
            <w:tcW w:w="3620" w:type="dxa"/>
            <w:vAlign w:val="bottom"/>
            <w:gridSpan w:val="2"/>
          </w:tcPr>
          <w:p>
            <w:pPr>
              <w:ind w:left="180"/>
              <w:spacing w:after="0"/>
              <w:rPr>
                <w:sz w:val="20"/>
                <w:szCs w:val="20"/>
                <w:color w:val="auto"/>
              </w:rPr>
            </w:pPr>
            <w:r>
              <w:rPr>
                <w:rFonts w:ascii="Times New Roman" w:cs="Times New Roman" w:eastAsia="Times New Roman" w:hAnsi="Times New Roman"/>
                <w:sz w:val="15"/>
                <w:szCs w:val="15"/>
                <w:b w:val="1"/>
                <w:bCs w:val="1"/>
                <w:color w:val="231F20"/>
              </w:rPr>
              <w:t>(Zip Code)</w:t>
            </w:r>
          </w:p>
        </w:tc>
      </w:tr>
      <w:tr>
        <w:trPr>
          <w:trHeight w:val="284"/>
        </w:trPr>
        <w:tc>
          <w:tcPr>
            <w:tcW w:w="1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80" w:type="dxa"/>
            <w:vAlign w:val="bottom"/>
            <w:gridSpan w:val="2"/>
          </w:tcPr>
          <w:p>
            <w:pPr>
              <w:jc w:val="center"/>
              <w:ind w:left="134"/>
              <w:spacing w:after="0"/>
              <w:rPr>
                <w:sz w:val="20"/>
                <w:szCs w:val="20"/>
                <w:color w:val="auto"/>
              </w:rPr>
            </w:pPr>
            <w:r>
              <w:rPr>
                <w:rFonts w:ascii="Times New Roman" w:cs="Times New Roman" w:eastAsia="Times New Roman" w:hAnsi="Times New Roman"/>
                <w:sz w:val="17"/>
                <w:szCs w:val="17"/>
                <w:b w:val="1"/>
                <w:bCs w:val="1"/>
                <w:color w:val="231F20"/>
              </w:rPr>
              <w:t>(301) 998-8100</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0" w:type="dxa"/>
            <w:vAlign w:val="bottom"/>
          </w:tcPr>
          <w:p>
            <w:pPr>
              <w:spacing w:after="0"/>
              <w:rPr>
                <w:sz w:val="24"/>
                <w:szCs w:val="24"/>
                <w:color w:val="auto"/>
              </w:rPr>
            </w:pPr>
          </w:p>
        </w:tc>
      </w:tr>
      <w:tr>
        <w:trPr>
          <w:trHeight w:val="202"/>
        </w:trPr>
        <w:tc>
          <w:tcPr>
            <w:tcW w:w="13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6800" w:type="dxa"/>
            <w:vAlign w:val="bottom"/>
            <w:gridSpan w:val="8"/>
          </w:tcPr>
          <w:p>
            <w:pPr>
              <w:jc w:val="center"/>
              <w:ind w:right="2336"/>
              <w:spacing w:after="0"/>
              <w:rPr>
                <w:sz w:val="20"/>
                <w:szCs w:val="20"/>
                <w:color w:val="auto"/>
              </w:rPr>
            </w:pPr>
            <w:r>
              <w:rPr>
                <w:rFonts w:ascii="Times New Roman" w:cs="Times New Roman" w:eastAsia="Times New Roman" w:hAnsi="Times New Roman"/>
                <w:sz w:val="15"/>
                <w:szCs w:val="15"/>
                <w:b w:val="1"/>
                <w:bCs w:val="1"/>
                <w:color w:val="231F20"/>
              </w:rPr>
              <w:t>(Registrant’s Telephone Number, Including Area Code)</w:t>
            </w:r>
          </w:p>
        </w:tc>
      </w:tr>
      <w:tr>
        <w:trPr>
          <w:trHeight w:val="297"/>
        </w:trPr>
        <w:tc>
          <w:tcPr>
            <w:tcW w:w="4160" w:type="dxa"/>
            <w:vAlign w:val="bottom"/>
            <w:gridSpan w:val="4"/>
          </w:tcPr>
          <w:p>
            <w:pPr>
              <w:spacing w:after="0"/>
              <w:rPr>
                <w:sz w:val="20"/>
                <w:szCs w:val="20"/>
                <w:color w:val="auto"/>
              </w:rPr>
            </w:pPr>
            <w:r>
              <w:rPr>
                <w:rFonts w:ascii="Times New Roman" w:cs="Times New Roman" w:eastAsia="Times New Roman" w:hAnsi="Times New Roman"/>
                <w:sz w:val="17"/>
                <w:szCs w:val="17"/>
                <w:color w:val="231F20"/>
              </w:rPr>
              <w:t>Securities registered pursuant to Section 12(b) of the Act:</w:t>
            </w: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0" w:type="dxa"/>
            <w:vAlign w:val="bottom"/>
          </w:tcPr>
          <w:p>
            <w:pPr>
              <w:spacing w:after="0"/>
              <w:rPr>
                <w:sz w:val="24"/>
                <w:szCs w:val="24"/>
                <w:color w:val="auto"/>
              </w:rPr>
            </w:pPr>
          </w:p>
        </w:tc>
      </w:tr>
      <w:tr>
        <w:trPr>
          <w:trHeight w:val="307"/>
        </w:trPr>
        <w:tc>
          <w:tcPr>
            <w:tcW w:w="1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0" w:type="dxa"/>
            <w:vAlign w:val="bottom"/>
            <w:tcBorders>
              <w:bottom w:val="single" w:sz="8" w:color="231F20"/>
            </w:tcBorders>
            <w:gridSpan w:val="6"/>
          </w:tcPr>
          <w:p>
            <w:pPr>
              <w:jc w:val="center"/>
              <w:spacing w:after="0"/>
              <w:rPr>
                <w:sz w:val="20"/>
                <w:szCs w:val="20"/>
                <w:color w:val="auto"/>
              </w:rPr>
            </w:pPr>
            <w:r>
              <w:rPr>
                <w:rFonts w:ascii="Times New Roman" w:cs="Times New Roman" w:eastAsia="Times New Roman" w:hAnsi="Times New Roman"/>
                <w:sz w:val="17"/>
                <w:szCs w:val="17"/>
                <w:b w:val="1"/>
                <w:bCs w:val="1"/>
                <w:color w:val="231F20"/>
              </w:rPr>
              <w:t>Federal Realty Investment Trust</w:t>
            </w:r>
          </w:p>
        </w:tc>
        <w:tc>
          <w:tcPr>
            <w:tcW w:w="3400" w:type="dxa"/>
            <w:vAlign w:val="bottom"/>
          </w:tcPr>
          <w:p>
            <w:pPr>
              <w:spacing w:after="0"/>
              <w:rPr>
                <w:sz w:val="24"/>
                <w:szCs w:val="24"/>
                <w:color w:val="auto"/>
              </w:rPr>
            </w:pPr>
          </w:p>
        </w:tc>
      </w:tr>
      <w:tr>
        <w:trPr>
          <w:trHeight w:val="308"/>
        </w:trPr>
        <w:tc>
          <w:tcPr>
            <w:tcW w:w="136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231F20"/>
              </w:rPr>
              <w:t>Title of Each Class</w:t>
            </w:r>
          </w:p>
        </w:tc>
        <w:tc>
          <w:tcPr>
            <w:tcW w:w="1400" w:type="dxa"/>
            <w:vAlign w:val="bottom"/>
            <w:gridSpan w:val="2"/>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gridSpan w:val="3"/>
          </w:tcPr>
          <w:p>
            <w:pPr>
              <w:jc w:val="center"/>
              <w:ind w:right="380"/>
              <w:spacing w:after="0"/>
              <w:rPr>
                <w:sz w:val="20"/>
                <w:szCs w:val="20"/>
                <w:color w:val="auto"/>
              </w:rPr>
            </w:pPr>
            <w:r>
              <w:rPr>
                <w:rFonts w:ascii="Times New Roman" w:cs="Times New Roman" w:eastAsia="Times New Roman" w:hAnsi="Times New Roman"/>
                <w:sz w:val="17"/>
                <w:szCs w:val="17"/>
                <w:b w:val="1"/>
                <w:bCs w:val="1"/>
                <w:color w:val="231F20"/>
              </w:rPr>
              <w:t>Trading Symbol</w:t>
            </w:r>
          </w:p>
        </w:tc>
        <w:tc>
          <w:tcPr>
            <w:tcW w:w="220" w:type="dxa"/>
            <w:vAlign w:val="bottom"/>
          </w:tcPr>
          <w:p>
            <w:pPr>
              <w:spacing w:after="0"/>
              <w:rPr>
                <w:sz w:val="24"/>
                <w:szCs w:val="24"/>
                <w:color w:val="auto"/>
              </w:rPr>
            </w:pPr>
          </w:p>
        </w:tc>
        <w:tc>
          <w:tcPr>
            <w:tcW w:w="34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231F20"/>
              </w:rPr>
              <w:t>Name of Each Exchange On Which Registered</w:t>
            </w:r>
          </w:p>
        </w:tc>
      </w:tr>
      <w:tr>
        <w:trPr>
          <w:trHeight w:val="20"/>
        </w:trPr>
        <w:tc>
          <w:tcPr>
            <w:tcW w:w="1360" w:type="dxa"/>
            <w:vAlign w:val="bottom"/>
          </w:tcPr>
          <w:p>
            <w:pPr>
              <w:spacing w:after="0" w:line="20" w:lineRule="exact"/>
              <w:rPr>
                <w:sz w:val="1"/>
                <w:szCs w:val="1"/>
                <w:color w:val="auto"/>
              </w:rPr>
            </w:pPr>
          </w:p>
        </w:tc>
        <w:tc>
          <w:tcPr>
            <w:tcW w:w="1400" w:type="dxa"/>
            <w:vAlign w:val="bottom"/>
            <w:tcBorders>
              <w:right w:val="single" w:sz="8" w:color="231F20"/>
            </w:tcBorders>
            <w:shd w:val="clear" w:color="auto" w:fill="231F20"/>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shd w:val="clear" w:color="auto" w:fill="231F2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0" w:type="dxa"/>
            <w:vAlign w:val="bottom"/>
            <w:shd w:val="clear" w:color="auto" w:fill="231F20"/>
          </w:tcPr>
          <w:p>
            <w:pPr>
              <w:spacing w:after="0" w:line="20" w:lineRule="exact"/>
              <w:rPr>
                <w:sz w:val="1"/>
                <w:szCs w:val="1"/>
                <w:color w:val="auto"/>
              </w:rPr>
            </w:pPr>
          </w:p>
        </w:tc>
      </w:tr>
      <w:tr>
        <w:trPr>
          <w:trHeight w:val="237"/>
        </w:trPr>
        <w:tc>
          <w:tcPr>
            <w:tcW w:w="4160" w:type="dxa"/>
            <w:vAlign w:val="bottom"/>
            <w:gridSpan w:val="4"/>
          </w:tcPr>
          <w:p>
            <w:pPr>
              <w:jc w:val="center"/>
              <w:spacing w:after="0"/>
              <w:rPr>
                <w:sz w:val="20"/>
                <w:szCs w:val="20"/>
                <w:color w:val="auto"/>
              </w:rPr>
            </w:pPr>
            <w:r>
              <w:rPr>
                <w:rFonts w:ascii="Times New Roman" w:cs="Times New Roman" w:eastAsia="Times New Roman" w:hAnsi="Times New Roman"/>
                <w:sz w:val="17"/>
                <w:szCs w:val="17"/>
                <w:color w:val="231F20"/>
              </w:rPr>
              <w:t>Common Shares of Beneficial Interest</w:t>
            </w:r>
          </w:p>
        </w:tc>
        <w:tc>
          <w:tcPr>
            <w:tcW w:w="200" w:type="dxa"/>
            <w:vAlign w:val="bottom"/>
          </w:tcPr>
          <w:p>
            <w:pPr>
              <w:spacing w:after="0"/>
              <w:rPr>
                <w:sz w:val="20"/>
                <w:szCs w:val="20"/>
                <w:color w:val="auto"/>
              </w:rPr>
            </w:pPr>
          </w:p>
        </w:tc>
        <w:tc>
          <w:tcPr>
            <w:tcW w:w="1580" w:type="dxa"/>
            <w:vAlign w:val="bottom"/>
            <w:gridSpan w:val="3"/>
          </w:tcPr>
          <w:p>
            <w:pPr>
              <w:jc w:val="center"/>
              <w:ind w:right="400"/>
              <w:spacing w:after="0"/>
              <w:rPr>
                <w:sz w:val="20"/>
                <w:szCs w:val="20"/>
                <w:color w:val="auto"/>
              </w:rPr>
            </w:pPr>
            <w:r>
              <w:rPr>
                <w:rFonts w:ascii="Times New Roman" w:cs="Times New Roman" w:eastAsia="Times New Roman" w:hAnsi="Times New Roman"/>
                <w:sz w:val="19"/>
                <w:szCs w:val="19"/>
                <w:color w:val="231F20"/>
                <w:w w:val="97"/>
              </w:rPr>
              <w:t>FRT</w:t>
            </w:r>
          </w:p>
        </w:tc>
        <w:tc>
          <w:tcPr>
            <w:tcW w:w="220" w:type="dxa"/>
            <w:vAlign w:val="bottom"/>
          </w:tcPr>
          <w:p>
            <w:pPr>
              <w:spacing w:after="0"/>
              <w:rPr>
                <w:sz w:val="20"/>
                <w:szCs w:val="20"/>
                <w:color w:val="auto"/>
              </w:rPr>
            </w:pPr>
          </w:p>
        </w:tc>
        <w:tc>
          <w:tcPr>
            <w:tcW w:w="3400" w:type="dxa"/>
            <w:vAlign w:val="bottom"/>
          </w:tcPr>
          <w:p>
            <w:pPr>
              <w:jc w:val="center"/>
              <w:spacing w:after="0"/>
              <w:rPr>
                <w:sz w:val="20"/>
                <w:szCs w:val="20"/>
                <w:color w:val="auto"/>
              </w:rPr>
            </w:pPr>
            <w:r>
              <w:rPr>
                <w:rFonts w:ascii="Times New Roman" w:cs="Times New Roman" w:eastAsia="Times New Roman" w:hAnsi="Times New Roman"/>
                <w:sz w:val="17"/>
                <w:szCs w:val="17"/>
                <w:color w:val="231F20"/>
              </w:rPr>
              <w:t>New York Stock Exchange</w:t>
            </w:r>
          </w:p>
        </w:tc>
      </w:tr>
      <w:tr>
        <w:trPr>
          <w:trHeight w:val="171"/>
        </w:trPr>
        <w:tc>
          <w:tcPr>
            <w:tcW w:w="4160" w:type="dxa"/>
            <w:vAlign w:val="bottom"/>
            <w:gridSpan w:val="4"/>
          </w:tcPr>
          <w:p>
            <w:pPr>
              <w:jc w:val="center"/>
              <w:spacing w:after="0" w:line="172" w:lineRule="exact"/>
              <w:rPr>
                <w:sz w:val="20"/>
                <w:szCs w:val="20"/>
                <w:color w:val="auto"/>
              </w:rPr>
            </w:pPr>
            <w:r>
              <w:rPr>
                <w:rFonts w:ascii="Times New Roman" w:cs="Times New Roman" w:eastAsia="Times New Roman" w:hAnsi="Times New Roman"/>
                <w:sz w:val="17"/>
                <w:szCs w:val="17"/>
                <w:color w:val="231F20"/>
              </w:rPr>
              <w:t>$.01 par value per share, with associated Common Share</w:t>
            </w: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0" w:type="dxa"/>
            <w:vAlign w:val="bottom"/>
          </w:tcPr>
          <w:p>
            <w:pPr>
              <w:spacing w:after="0"/>
              <w:rPr>
                <w:sz w:val="14"/>
                <w:szCs w:val="14"/>
                <w:color w:val="auto"/>
              </w:rPr>
            </w:pPr>
          </w:p>
        </w:tc>
      </w:tr>
      <w:tr>
        <w:trPr>
          <w:trHeight w:val="222"/>
        </w:trPr>
        <w:tc>
          <w:tcPr>
            <w:tcW w:w="1360" w:type="dxa"/>
            <w:vAlign w:val="bottom"/>
          </w:tcPr>
          <w:p>
            <w:pPr>
              <w:spacing w:after="0"/>
              <w:rPr>
                <w:sz w:val="19"/>
                <w:szCs w:val="19"/>
                <w:color w:val="auto"/>
              </w:rPr>
            </w:pPr>
          </w:p>
        </w:tc>
        <w:tc>
          <w:tcPr>
            <w:tcW w:w="2800" w:type="dxa"/>
            <w:vAlign w:val="bottom"/>
            <w:gridSpan w:val="3"/>
          </w:tcPr>
          <w:p>
            <w:pPr>
              <w:jc w:val="center"/>
              <w:ind w:right="1334"/>
              <w:spacing w:after="0"/>
              <w:rPr>
                <w:sz w:val="20"/>
                <w:szCs w:val="20"/>
                <w:color w:val="auto"/>
              </w:rPr>
            </w:pPr>
            <w:r>
              <w:rPr>
                <w:rFonts w:ascii="Times New Roman" w:cs="Times New Roman" w:eastAsia="Times New Roman" w:hAnsi="Times New Roman"/>
                <w:sz w:val="17"/>
                <w:szCs w:val="17"/>
                <w:color w:val="231F20"/>
                <w:w w:val="99"/>
              </w:rPr>
              <w:t>Purchase Rights</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0" w:type="dxa"/>
            <w:vAlign w:val="bottom"/>
          </w:tcPr>
          <w:p>
            <w:pPr>
              <w:spacing w:after="0"/>
              <w:rPr>
                <w:sz w:val="19"/>
                <w:szCs w:val="19"/>
                <w:color w:val="auto"/>
              </w:rPr>
            </w:pPr>
          </w:p>
        </w:tc>
      </w:tr>
      <w:tr>
        <w:trPr>
          <w:trHeight w:val="291"/>
        </w:trPr>
        <w:tc>
          <w:tcPr>
            <w:tcW w:w="4160" w:type="dxa"/>
            <w:vAlign w:val="bottom"/>
            <w:gridSpan w:val="4"/>
          </w:tcPr>
          <w:p>
            <w:pPr>
              <w:jc w:val="center"/>
              <w:spacing w:after="0"/>
              <w:rPr>
                <w:sz w:val="20"/>
                <w:szCs w:val="20"/>
                <w:color w:val="auto"/>
              </w:rPr>
            </w:pPr>
            <w:r>
              <w:rPr>
                <w:rFonts w:ascii="Times New Roman" w:cs="Times New Roman" w:eastAsia="Times New Roman" w:hAnsi="Times New Roman"/>
                <w:sz w:val="17"/>
                <w:szCs w:val="17"/>
                <w:color w:val="231F20"/>
              </w:rPr>
              <w:t>Depositary Shares, each representing 1/1000 of a share</w:t>
            </w:r>
          </w:p>
        </w:tc>
        <w:tc>
          <w:tcPr>
            <w:tcW w:w="200" w:type="dxa"/>
            <w:vAlign w:val="bottom"/>
          </w:tcPr>
          <w:p>
            <w:pPr>
              <w:spacing w:after="0"/>
              <w:rPr>
                <w:sz w:val="24"/>
                <w:szCs w:val="24"/>
                <w:color w:val="auto"/>
              </w:rPr>
            </w:pPr>
          </w:p>
        </w:tc>
        <w:tc>
          <w:tcPr>
            <w:tcW w:w="1580" w:type="dxa"/>
            <w:vAlign w:val="bottom"/>
            <w:gridSpan w:val="3"/>
          </w:tcPr>
          <w:p>
            <w:pPr>
              <w:jc w:val="center"/>
              <w:ind w:right="400"/>
              <w:spacing w:after="0"/>
              <w:rPr>
                <w:sz w:val="20"/>
                <w:szCs w:val="20"/>
                <w:color w:val="auto"/>
              </w:rPr>
            </w:pPr>
            <w:r>
              <w:rPr>
                <w:rFonts w:ascii="Times New Roman" w:cs="Times New Roman" w:eastAsia="Times New Roman" w:hAnsi="Times New Roman"/>
                <w:sz w:val="19"/>
                <w:szCs w:val="19"/>
                <w:color w:val="231F20"/>
              </w:rPr>
              <w:t>FRT-C</w:t>
            </w:r>
          </w:p>
        </w:tc>
        <w:tc>
          <w:tcPr>
            <w:tcW w:w="220" w:type="dxa"/>
            <w:vAlign w:val="bottom"/>
          </w:tcPr>
          <w:p>
            <w:pPr>
              <w:spacing w:after="0"/>
              <w:rPr>
                <w:sz w:val="24"/>
                <w:szCs w:val="24"/>
                <w:color w:val="auto"/>
              </w:rPr>
            </w:pPr>
          </w:p>
        </w:tc>
        <w:tc>
          <w:tcPr>
            <w:tcW w:w="3400" w:type="dxa"/>
            <w:vAlign w:val="bottom"/>
          </w:tcPr>
          <w:p>
            <w:pPr>
              <w:jc w:val="center"/>
              <w:spacing w:after="0"/>
              <w:rPr>
                <w:sz w:val="20"/>
                <w:szCs w:val="20"/>
                <w:color w:val="auto"/>
              </w:rPr>
            </w:pPr>
            <w:r>
              <w:rPr>
                <w:rFonts w:ascii="Times New Roman" w:cs="Times New Roman" w:eastAsia="Times New Roman" w:hAnsi="Times New Roman"/>
                <w:sz w:val="17"/>
                <w:szCs w:val="17"/>
                <w:color w:val="231F20"/>
              </w:rPr>
              <w:t>New York Stock Exchange</w:t>
            </w:r>
          </w:p>
        </w:tc>
      </w:tr>
      <w:tr>
        <w:trPr>
          <w:trHeight w:val="171"/>
        </w:trPr>
        <w:tc>
          <w:tcPr>
            <w:tcW w:w="4160" w:type="dxa"/>
            <w:vAlign w:val="bottom"/>
            <w:gridSpan w:val="4"/>
          </w:tcPr>
          <w:p>
            <w:pPr>
              <w:jc w:val="center"/>
              <w:spacing w:after="0" w:line="172" w:lineRule="exact"/>
              <w:rPr>
                <w:sz w:val="20"/>
                <w:szCs w:val="20"/>
                <w:color w:val="auto"/>
              </w:rPr>
            </w:pPr>
            <w:r>
              <w:rPr>
                <w:rFonts w:ascii="Times New Roman" w:cs="Times New Roman" w:eastAsia="Times New Roman" w:hAnsi="Times New Roman"/>
                <w:sz w:val="17"/>
                <w:szCs w:val="17"/>
                <w:color w:val="231F20"/>
              </w:rPr>
              <w:t>of 5.00% Series C Cumulative Redeemable Preferred</w:t>
            </w: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0" w:type="dxa"/>
            <w:vAlign w:val="bottom"/>
          </w:tcPr>
          <w:p>
            <w:pPr>
              <w:spacing w:after="0"/>
              <w:rPr>
                <w:sz w:val="14"/>
                <w:szCs w:val="14"/>
                <w:color w:val="auto"/>
              </w:rPr>
            </w:pPr>
          </w:p>
        </w:tc>
      </w:tr>
      <w:tr>
        <w:trPr>
          <w:trHeight w:val="222"/>
        </w:trPr>
        <w:tc>
          <w:tcPr>
            <w:tcW w:w="4160" w:type="dxa"/>
            <w:vAlign w:val="bottom"/>
            <w:gridSpan w:val="4"/>
          </w:tcPr>
          <w:p>
            <w:pPr>
              <w:jc w:val="center"/>
              <w:spacing w:after="0"/>
              <w:rPr>
                <w:sz w:val="20"/>
                <w:szCs w:val="20"/>
                <w:color w:val="auto"/>
              </w:rPr>
            </w:pPr>
            <w:r>
              <w:rPr>
                <w:rFonts w:ascii="Times New Roman" w:cs="Times New Roman" w:eastAsia="Times New Roman" w:hAnsi="Times New Roman"/>
                <w:sz w:val="17"/>
                <w:szCs w:val="17"/>
                <w:color w:val="231F20"/>
                <w:w w:val="99"/>
              </w:rPr>
              <w:t>Stock, $.01 par value per share</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0" w:type="dxa"/>
            <w:vAlign w:val="bottom"/>
          </w:tcPr>
          <w:p>
            <w:pPr>
              <w:spacing w:after="0"/>
              <w:rPr>
                <w:sz w:val="19"/>
                <w:szCs w:val="19"/>
                <w:color w:val="auto"/>
              </w:rPr>
            </w:pPr>
          </w:p>
        </w:tc>
      </w:tr>
      <w:tr>
        <w:trPr>
          <w:trHeight w:val="381"/>
        </w:trPr>
        <w:tc>
          <w:tcPr>
            <w:tcW w:w="1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780" w:type="dxa"/>
            <w:vAlign w:val="bottom"/>
            <w:gridSpan w:val="4"/>
          </w:tcPr>
          <w:p>
            <w:pPr>
              <w:jc w:val="center"/>
              <w:ind w:right="160"/>
              <w:spacing w:after="0"/>
              <w:rPr>
                <w:sz w:val="20"/>
                <w:szCs w:val="20"/>
                <w:color w:val="auto"/>
              </w:rPr>
            </w:pPr>
            <w:r>
              <w:rPr>
                <w:rFonts w:ascii="Times New Roman" w:cs="Times New Roman" w:eastAsia="Times New Roman" w:hAnsi="Times New Roman"/>
                <w:sz w:val="17"/>
                <w:szCs w:val="17"/>
                <w:b w:val="1"/>
                <w:bCs w:val="1"/>
                <w:color w:val="231F20"/>
              </w:rPr>
              <w:t>Federal Realty OP LP</w:t>
            </w:r>
          </w:p>
        </w:tc>
        <w:tc>
          <w:tcPr>
            <w:tcW w:w="220" w:type="dxa"/>
            <w:vAlign w:val="bottom"/>
          </w:tcPr>
          <w:p>
            <w:pPr>
              <w:spacing w:after="0"/>
              <w:rPr>
                <w:sz w:val="24"/>
                <w:szCs w:val="24"/>
                <w:color w:val="auto"/>
              </w:rPr>
            </w:pPr>
          </w:p>
        </w:tc>
        <w:tc>
          <w:tcPr>
            <w:tcW w:w="3400" w:type="dxa"/>
            <w:vAlign w:val="bottom"/>
          </w:tcPr>
          <w:p>
            <w:pPr>
              <w:spacing w:after="0"/>
              <w:rPr>
                <w:sz w:val="24"/>
                <w:szCs w:val="24"/>
                <w:color w:val="auto"/>
              </w:rPr>
            </w:pPr>
          </w:p>
        </w:tc>
      </w:tr>
      <w:tr>
        <w:trPr>
          <w:trHeight w:val="308"/>
        </w:trPr>
        <w:tc>
          <w:tcPr>
            <w:tcW w:w="136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231F20"/>
              </w:rPr>
              <w:t>Title of Each Class</w:t>
            </w:r>
          </w:p>
        </w:tc>
        <w:tc>
          <w:tcPr>
            <w:tcW w:w="1400" w:type="dxa"/>
            <w:vAlign w:val="bottom"/>
            <w:gridSpan w:val="2"/>
          </w:tcPr>
          <w:p>
            <w:pPr>
              <w:spacing w:after="0"/>
              <w:rPr>
                <w:sz w:val="24"/>
                <w:szCs w:val="24"/>
                <w:color w:val="auto"/>
              </w:rPr>
            </w:pPr>
          </w:p>
        </w:tc>
        <w:tc>
          <w:tcPr>
            <w:tcW w:w="200" w:type="dxa"/>
            <w:vAlign w:val="bottom"/>
            <w:tcBorders>
              <w:top w:val="single" w:sz="8" w:color="231F20"/>
            </w:tcBorders>
          </w:tcPr>
          <w:p>
            <w:pPr>
              <w:spacing w:after="0"/>
              <w:rPr>
                <w:sz w:val="24"/>
                <w:szCs w:val="24"/>
                <w:color w:val="auto"/>
              </w:rPr>
            </w:pPr>
          </w:p>
        </w:tc>
        <w:tc>
          <w:tcPr>
            <w:tcW w:w="1400" w:type="dxa"/>
            <w:vAlign w:val="bottom"/>
            <w:tcBorders>
              <w:top w:val="single" w:sz="8" w:color="231F20"/>
            </w:tcBorders>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231F20"/>
              </w:rPr>
              <w:t>Trading Symbol</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231F20"/>
              </w:rPr>
              <w:t>Name of Each Exchange On Which Registered</w:t>
            </w:r>
          </w:p>
        </w:tc>
      </w:tr>
      <w:tr>
        <w:trPr>
          <w:trHeight w:val="271"/>
        </w:trPr>
        <w:tc>
          <w:tcPr>
            <w:tcW w:w="1360" w:type="dxa"/>
            <w:vAlign w:val="bottom"/>
          </w:tcPr>
          <w:p>
            <w:pPr>
              <w:spacing w:after="0"/>
              <w:rPr>
                <w:sz w:val="23"/>
                <w:szCs w:val="23"/>
                <w:color w:val="auto"/>
              </w:rPr>
            </w:pPr>
          </w:p>
        </w:tc>
        <w:tc>
          <w:tcPr>
            <w:tcW w:w="1400" w:type="dxa"/>
            <w:vAlign w:val="bottom"/>
            <w:tcBorders>
              <w:top w:val="single" w:sz="8" w:color="231F20"/>
            </w:tcBorders>
          </w:tcPr>
          <w:p>
            <w:pPr>
              <w:jc w:val="center"/>
              <w:spacing w:after="0"/>
              <w:rPr>
                <w:sz w:val="20"/>
                <w:szCs w:val="20"/>
                <w:color w:val="auto"/>
              </w:rPr>
            </w:pPr>
            <w:r>
              <w:rPr>
                <w:rFonts w:ascii="Times New Roman" w:cs="Times New Roman" w:eastAsia="Times New Roman" w:hAnsi="Times New Roman"/>
                <w:sz w:val="17"/>
                <w:szCs w:val="17"/>
                <w:color w:val="231F20"/>
              </w:rPr>
              <w:t>None</w:t>
            </w:r>
          </w:p>
        </w:tc>
        <w:tc>
          <w:tcPr>
            <w:tcW w:w="1400" w:type="dxa"/>
            <w:vAlign w:val="bottom"/>
            <w:gridSpan w:val="2"/>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Borders>
              <w:top w:val="single" w:sz="8" w:color="231F20"/>
            </w:tcBorders>
          </w:tcPr>
          <w:p>
            <w:pPr>
              <w:jc w:val="center"/>
              <w:spacing w:after="0"/>
              <w:rPr>
                <w:sz w:val="20"/>
                <w:szCs w:val="20"/>
                <w:color w:val="auto"/>
              </w:rPr>
            </w:pPr>
            <w:r>
              <w:rPr>
                <w:rFonts w:ascii="Times New Roman" w:cs="Times New Roman" w:eastAsia="Times New Roman" w:hAnsi="Times New Roman"/>
                <w:sz w:val="19"/>
                <w:szCs w:val="19"/>
                <w:color w:val="231F20"/>
              </w:rPr>
              <w:t>N/A</w:t>
            </w:r>
          </w:p>
        </w:tc>
        <w:tc>
          <w:tcPr>
            <w:tcW w:w="400" w:type="dxa"/>
            <w:vAlign w:val="bottom"/>
            <w:gridSpan w:val="2"/>
          </w:tcPr>
          <w:p>
            <w:pPr>
              <w:spacing w:after="0"/>
              <w:rPr>
                <w:sz w:val="23"/>
                <w:szCs w:val="23"/>
                <w:color w:val="auto"/>
              </w:rPr>
            </w:pPr>
          </w:p>
        </w:tc>
        <w:tc>
          <w:tcPr>
            <w:tcW w:w="220" w:type="dxa"/>
            <w:vAlign w:val="bottom"/>
          </w:tcPr>
          <w:p>
            <w:pPr>
              <w:spacing w:after="0"/>
              <w:rPr>
                <w:sz w:val="23"/>
                <w:szCs w:val="23"/>
                <w:color w:val="auto"/>
              </w:rPr>
            </w:pPr>
          </w:p>
        </w:tc>
        <w:tc>
          <w:tcPr>
            <w:tcW w:w="3400" w:type="dxa"/>
            <w:vAlign w:val="bottom"/>
            <w:tcBorders>
              <w:top w:val="single" w:sz="8" w:color="231F20"/>
            </w:tcBorders>
          </w:tcPr>
          <w:p>
            <w:pPr>
              <w:jc w:val="center"/>
              <w:spacing w:after="0"/>
              <w:rPr>
                <w:sz w:val="20"/>
                <w:szCs w:val="20"/>
                <w:color w:val="auto"/>
              </w:rPr>
            </w:pPr>
            <w:r>
              <w:rPr>
                <w:rFonts w:ascii="Times New Roman" w:cs="Times New Roman" w:eastAsia="Times New Roman" w:hAnsi="Times New Roman"/>
                <w:sz w:val="17"/>
                <w:szCs w:val="17"/>
                <w:color w:val="231F20"/>
                <w:w w:val="95"/>
              </w:rPr>
              <w:t>N/A</w:t>
            </w:r>
          </w:p>
        </w:tc>
      </w:tr>
    </w:tbl>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31F20"/>
        </w:rPr>
        <w:t>Securities registered pursuant to Section 12(g) of the Act: None</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31F20"/>
        </w:rPr>
        <w:t>Indicate by check mark if the registrant is a well-known seasoned issuer, as defined in Rule 405 of the Securities Act.</w:t>
      </w:r>
    </w:p>
    <w:p>
      <w:pPr>
        <w:sectPr>
          <w:pgSz w:w="11880" w:h="15480" w:orient="portrait"/>
          <w:cols w:equalWidth="0" w:num="1">
            <w:col w:w="9860"/>
          </w:cols>
          <w:pgMar w:left="980" w:top="1209" w:right="1040" w:bottom="641" w:gutter="0" w:footer="0" w:header="0"/>
        </w:sectPr>
      </w:pPr>
    </w:p>
    <w:p>
      <w:pPr>
        <w:spacing w:after="0" w:line="73"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17"/>
          <w:szCs w:val="17"/>
          <w:color w:val="231F20"/>
        </w:rPr>
        <w:t>Federal Realty Investment Trust Federal Realty OP LP</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231F20"/>
        </w:rPr>
        <w:t>Yes</w:t>
      </w:r>
    </w:p>
    <w:p>
      <w:pPr>
        <w:spacing w:after="0" w:line="40"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231F20"/>
        </w:rPr>
        <w:t>Yes</w:t>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231F20"/>
        </w:rPr>
        <w:t>No</w:t>
      </w:r>
    </w:p>
    <w:p>
      <w:pPr>
        <w:spacing w:after="0" w:line="12"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231F20"/>
        </w:rPr>
        <w:t>No</w:t>
      </w:r>
    </w:p>
    <w:p>
      <w:pPr>
        <w:spacing w:after="0" w:line="73" w:lineRule="exact"/>
        <w:rPr>
          <w:sz w:val="20"/>
          <w:szCs w:val="20"/>
          <w:color w:val="auto"/>
        </w:rPr>
      </w:pPr>
    </w:p>
    <w:p>
      <w:pPr>
        <w:sectPr>
          <w:pgSz w:w="11880" w:h="15480" w:orient="portrait"/>
          <w:cols w:equalWidth="0" w:num="3">
            <w:col w:w="2200" w:space="580"/>
            <w:col w:w="480" w:space="160"/>
            <w:col w:w="6440"/>
          </w:cols>
          <w:pgMar w:left="980" w:top="1209" w:right="1040" w:bottom="641"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231F20"/>
        </w:rPr>
        <w:t>Indicate by check mark if the registrant is not required to file reports pursuant to Section 13 or Section 15(d) of the Act.</w:t>
      </w:r>
    </w:p>
    <w:p>
      <w:pPr>
        <w:sectPr>
          <w:pgSz w:w="11880" w:h="15480" w:orient="portrait"/>
          <w:cols w:equalWidth="0" w:num="1">
            <w:col w:w="9860"/>
          </w:cols>
          <w:pgMar w:left="980" w:top="1209" w:right="1040" w:bottom="641" w:gutter="0" w:footer="0" w:header="0"/>
          <w:type w:val="continuous"/>
        </w:sectPr>
      </w:pPr>
    </w:p>
    <w:p>
      <w:pPr>
        <w:spacing w:after="0" w:line="73"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17"/>
          <w:szCs w:val="17"/>
          <w:color w:val="231F20"/>
        </w:rPr>
        <w:t>Federal Realty Investment Trust Federal Realty OP LP</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231F20"/>
        </w:rPr>
        <w:t>Yes</w:t>
      </w:r>
    </w:p>
    <w:p>
      <w:pPr>
        <w:spacing w:after="0" w:line="40"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231F20"/>
        </w:rPr>
        <w:t>Yes</w:t>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231F20"/>
        </w:rPr>
        <w:t>No</w:t>
      </w:r>
    </w:p>
    <w:p>
      <w:pPr>
        <w:spacing w:after="0" w:line="12"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231F20"/>
        </w:rPr>
        <w:t>No</w:t>
      </w:r>
    </w:p>
    <w:p>
      <w:pPr>
        <w:spacing w:after="0" w:line="73" w:lineRule="exact"/>
        <w:rPr>
          <w:sz w:val="20"/>
          <w:szCs w:val="20"/>
          <w:color w:val="auto"/>
        </w:rPr>
      </w:pPr>
    </w:p>
    <w:p>
      <w:pPr>
        <w:sectPr>
          <w:pgSz w:w="11880" w:h="15480" w:orient="portrait"/>
          <w:cols w:equalWidth="0" w:num="3">
            <w:col w:w="2200" w:space="580"/>
            <w:col w:w="480" w:space="160"/>
            <w:col w:w="6440"/>
          </w:cols>
          <w:pgMar w:left="980" w:top="1209" w:right="1040" w:bottom="641" w:gutter="0" w:footer="0" w:header="0"/>
          <w:type w:val="continuous"/>
        </w:sectPr>
      </w:pPr>
    </w:p>
    <w:p>
      <w:pPr>
        <w:jc w:val="both"/>
        <w:spacing w:after="0" w:line="268" w:lineRule="auto"/>
        <w:rPr>
          <w:sz w:val="20"/>
          <w:szCs w:val="20"/>
          <w:color w:val="auto"/>
        </w:rPr>
      </w:pPr>
      <w:r>
        <w:rPr>
          <w:rFonts w:ascii="Times New Roman" w:cs="Times New Roman" w:eastAsia="Times New Roman" w:hAnsi="Times New Roman"/>
          <w:sz w:val="17"/>
          <w:szCs w:val="17"/>
          <w:color w:val="231F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ectPr>
          <w:pgSz w:w="11880" w:h="15480" w:orient="portrait"/>
          <w:cols w:equalWidth="0" w:num="1">
            <w:col w:w="9860"/>
          </w:cols>
          <w:pgMar w:left="980" w:top="1209" w:right="1040" w:bottom="641" w:gutter="0" w:footer="0" w:header="0"/>
          <w:type w:val="continuous"/>
        </w:sectPr>
      </w:pPr>
    </w:p>
    <w:p>
      <w:pPr>
        <w:spacing w:after="0" w:line="24" w:lineRule="exact"/>
        <w:rPr>
          <w:sz w:val="20"/>
          <w:szCs w:val="20"/>
          <w:color w:val="auto"/>
        </w:rPr>
      </w:pPr>
    </w:p>
    <w:p>
      <w:pPr>
        <w:ind w:right="20"/>
        <w:spacing w:after="0" w:line="285" w:lineRule="auto"/>
        <w:rPr>
          <w:sz w:val="20"/>
          <w:szCs w:val="20"/>
          <w:color w:val="auto"/>
        </w:rPr>
      </w:pPr>
      <w:r>
        <w:rPr>
          <w:rFonts w:ascii="Times New Roman" w:cs="Times New Roman" w:eastAsia="Times New Roman" w:hAnsi="Times New Roman"/>
          <w:sz w:val="17"/>
          <w:szCs w:val="17"/>
          <w:color w:val="231F20"/>
        </w:rPr>
        <w:t>Federal Realty Investment Trust Federal Realty OP LP</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7"/>
          <w:szCs w:val="17"/>
          <w:color w:val="231F20"/>
        </w:rPr>
        <w:t>Yes Yes</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r>
        <w:rPr>
          <w:rFonts w:ascii="Times New Roman" w:cs="Times New Roman" w:eastAsia="Times New Roman" w:hAnsi="Times New Roman"/>
          <w:sz w:val="17"/>
          <w:szCs w:val="17"/>
          <w:color w:val="231F20"/>
        </w:rPr>
        <w:t>No</w:t>
      </w:r>
    </w:p>
    <w:p>
      <w:pPr>
        <w:spacing w:after="0" w:line="12"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231F20"/>
        </w:rPr>
        <w:t>No</w:t>
      </w:r>
    </w:p>
    <w:p>
      <w:pPr>
        <w:sectPr>
          <w:pgSz w:w="11880" w:h="15480" w:orient="portrait"/>
          <w:cols w:equalWidth="0" w:num="3">
            <w:col w:w="2220" w:space="720"/>
            <w:col w:w="280" w:space="160"/>
            <w:col w:w="6480"/>
          </w:cols>
          <w:pgMar w:left="980" w:top="1209" w:right="1040" w:bottom="641" w:gutter="0" w:footer="0" w:header="0"/>
          <w:type w:val="continuous"/>
        </w:sectPr>
      </w:pPr>
    </w:p>
    <w:bookmarkStart w:id="7" w:name="page8"/>
    <w:bookmarkEnd w:id="7"/>
    <w:p>
      <w:pPr>
        <w:jc w:val="both"/>
        <w:spacing w:after="0" w:line="268" w:lineRule="auto"/>
        <w:rPr>
          <w:sz w:val="20"/>
          <w:szCs w:val="20"/>
          <w:color w:val="auto"/>
        </w:rPr>
      </w:pPr>
      <w:r>
        <w:rPr>
          <w:rFonts w:ascii="Times New Roman" w:cs="Times New Roman" w:eastAsia="Times New Roman" w:hAnsi="Times New Roman"/>
          <w:sz w:val="17"/>
          <w:szCs w:val="17"/>
          <w:color w:val="231F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spacing w:after="0" w:line="9" w:lineRule="exact"/>
        <w:rPr>
          <w:sz w:val="20"/>
          <w:szCs w:val="20"/>
          <w:color w:val="auto"/>
        </w:rPr>
      </w:pPr>
    </w:p>
    <w:p>
      <w:pPr>
        <w:spacing w:after="0" w:line="196" w:lineRule="exact"/>
        <w:tabs>
          <w:tab w:leader="none" w:pos="2920" w:val="left"/>
          <w:tab w:leader="none" w:pos="3580" w:val="left"/>
        </w:tabs>
        <w:rPr>
          <w:sz w:val="20"/>
          <w:szCs w:val="20"/>
          <w:color w:val="auto"/>
        </w:rPr>
      </w:pPr>
      <w:r>
        <w:rPr>
          <w:rFonts w:ascii="Times New Roman" w:cs="Times New Roman" w:eastAsia="Times New Roman" w:hAnsi="Times New Roman"/>
          <w:sz w:val="17"/>
          <w:szCs w:val="17"/>
          <w:color w:val="231F20"/>
        </w:rPr>
        <w:t>Federal Realty Investment Trust</w:t>
      </w:r>
      <w:r>
        <w:rPr>
          <w:sz w:val="20"/>
          <w:szCs w:val="20"/>
          <w:color w:val="auto"/>
        </w:rPr>
        <w:tab/>
      </w:r>
      <w:r>
        <w:rPr>
          <w:rFonts w:ascii="Times New Roman" w:cs="Times New Roman" w:eastAsia="Times New Roman" w:hAnsi="Times New Roman"/>
          <w:sz w:val="17"/>
          <w:szCs w:val="17"/>
          <w:color w:val="231F20"/>
        </w:rPr>
        <w:t>Yes</w:t>
      </w:r>
      <w:r>
        <w:rPr>
          <w:sz w:val="20"/>
          <w:szCs w:val="20"/>
          <w:color w:val="auto"/>
        </w:rPr>
        <w:tab/>
      </w:r>
      <w:r>
        <w:rPr>
          <w:rFonts w:ascii="Times New Roman" w:cs="Times New Roman" w:eastAsia="Times New Roman" w:hAnsi="Times New Roman"/>
          <w:sz w:val="16"/>
          <w:szCs w:val="16"/>
          <w:color w:val="231F20"/>
        </w:rPr>
        <w:t>No</w:t>
      </w:r>
    </w:p>
    <w:p>
      <w:pPr>
        <w:spacing w:after="0" w:line="12" w:lineRule="exact"/>
        <w:rPr>
          <w:sz w:val="20"/>
          <w:szCs w:val="20"/>
          <w:color w:val="auto"/>
        </w:rPr>
      </w:pPr>
    </w:p>
    <w:p>
      <w:pPr>
        <w:spacing w:after="0" w:line="196" w:lineRule="exact"/>
        <w:tabs>
          <w:tab w:leader="none" w:pos="2920" w:val="left"/>
          <w:tab w:leader="none" w:pos="3580" w:val="left"/>
        </w:tabs>
        <w:rPr>
          <w:sz w:val="20"/>
          <w:szCs w:val="20"/>
          <w:color w:val="auto"/>
        </w:rPr>
      </w:pPr>
      <w:r>
        <w:rPr>
          <w:rFonts w:ascii="Times New Roman" w:cs="Times New Roman" w:eastAsia="Times New Roman" w:hAnsi="Times New Roman"/>
          <w:sz w:val="17"/>
          <w:szCs w:val="17"/>
          <w:color w:val="231F20"/>
        </w:rPr>
        <w:t>Federal Realty OP LP</w:t>
      </w:r>
      <w:r>
        <w:rPr>
          <w:sz w:val="20"/>
          <w:szCs w:val="20"/>
          <w:color w:val="auto"/>
        </w:rPr>
        <w:tab/>
      </w:r>
      <w:r>
        <w:rPr>
          <w:rFonts w:ascii="Times New Roman" w:cs="Times New Roman" w:eastAsia="Times New Roman" w:hAnsi="Times New Roman"/>
          <w:sz w:val="17"/>
          <w:szCs w:val="17"/>
          <w:color w:val="231F20"/>
        </w:rPr>
        <w:t>Yes</w:t>
      </w:r>
      <w:r>
        <w:rPr>
          <w:sz w:val="20"/>
          <w:szCs w:val="20"/>
          <w:color w:val="auto"/>
        </w:rPr>
        <w:tab/>
      </w:r>
      <w:r>
        <w:rPr>
          <w:rFonts w:ascii="Times New Roman" w:cs="Times New Roman" w:eastAsia="Times New Roman" w:hAnsi="Times New Roman"/>
          <w:sz w:val="16"/>
          <w:szCs w:val="16"/>
          <w:color w:val="231F20"/>
        </w:rPr>
        <w:t>No</w:t>
      </w:r>
    </w:p>
    <w:p>
      <w:pPr>
        <w:sectPr>
          <w:pgSz w:w="11880" w:h="15480" w:orient="portrait"/>
          <w:cols w:equalWidth="0" w:num="1">
            <w:col w:w="9860"/>
          </w:cols>
          <w:pgMar w:left="980" w:top="928" w:right="1040" w:bottom="1440" w:gutter="0" w:footer="0" w:header="0"/>
        </w:sectPr>
      </w:pPr>
    </w:p>
    <w:p>
      <w:pPr>
        <w:spacing w:after="0" w:line="73"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7"/>
          <w:szCs w:val="17"/>
          <w:color w:val="231F20"/>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04"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2220" w:type="dxa"/>
            <w:vAlign w:val="bottom"/>
            <w:tcBorders>
              <w:bottom w:val="single" w:sz="8" w:color="231F20"/>
            </w:tcBorders>
            <w:gridSpan w:val="2"/>
          </w:tcPr>
          <w:p>
            <w:pPr>
              <w:spacing w:after="0"/>
              <w:rPr>
                <w:sz w:val="20"/>
                <w:szCs w:val="20"/>
                <w:color w:val="auto"/>
              </w:rPr>
            </w:pPr>
            <w:r>
              <w:rPr>
                <w:rFonts w:ascii="Times New Roman" w:cs="Times New Roman" w:eastAsia="Times New Roman" w:hAnsi="Times New Roman"/>
                <w:sz w:val="17"/>
                <w:szCs w:val="17"/>
                <w:color w:val="231F20"/>
              </w:rPr>
              <w:t>Federal Realty Investment Trust</w:t>
            </w:r>
          </w:p>
        </w:tc>
        <w:tc>
          <w:tcPr>
            <w:tcW w:w="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980" w:type="dxa"/>
            <w:vAlign w:val="bottom"/>
          </w:tcPr>
          <w:p>
            <w:pPr>
              <w:spacing w:after="0"/>
              <w:rPr>
                <w:sz w:val="17"/>
                <w:szCs w:val="17"/>
                <w:color w:val="auto"/>
              </w:rPr>
            </w:pPr>
          </w:p>
        </w:tc>
      </w:tr>
      <w:tr>
        <w:trPr>
          <w:trHeight w:val="265"/>
        </w:trPr>
        <w:tc>
          <w:tcPr>
            <w:tcW w:w="2280" w:type="dxa"/>
            <w:vAlign w:val="bottom"/>
            <w:gridSpan w:val="3"/>
          </w:tcPr>
          <w:p>
            <w:pPr>
              <w:spacing w:after="0"/>
              <w:rPr>
                <w:sz w:val="20"/>
                <w:szCs w:val="20"/>
                <w:color w:val="auto"/>
              </w:rPr>
            </w:pPr>
            <w:r>
              <w:rPr>
                <w:rFonts w:ascii="Times New Roman" w:cs="Times New Roman" w:eastAsia="Times New Roman" w:hAnsi="Times New Roman"/>
                <w:sz w:val="17"/>
                <w:szCs w:val="17"/>
                <w:color w:val="231F20"/>
              </w:rPr>
              <w:t>Large accelerated filer</w:t>
            </w:r>
          </w:p>
        </w:tc>
        <w:tc>
          <w:tcPr>
            <w:tcW w:w="1300" w:type="dxa"/>
            <w:vAlign w:val="bottom"/>
          </w:tcPr>
          <w:p>
            <w:pPr>
              <w:spacing w:after="0" w:line="1" w:lineRule="exact"/>
              <w:rPr>
                <w:sz w:val="23"/>
                <w:szCs w:val="23"/>
                <w:color w:val="auto"/>
              </w:rPr>
            </w:pPr>
          </w:p>
        </w:tc>
        <w:tc>
          <w:tcPr>
            <w:tcW w:w="2980" w:type="dxa"/>
            <w:vAlign w:val="bottom"/>
          </w:tcPr>
          <w:p>
            <w:pPr>
              <w:ind w:left="1100"/>
              <w:spacing w:after="0"/>
              <w:rPr>
                <w:sz w:val="20"/>
                <w:szCs w:val="20"/>
                <w:color w:val="auto"/>
              </w:rPr>
            </w:pPr>
            <w:r>
              <w:rPr>
                <w:rFonts w:ascii="Times New Roman" w:cs="Times New Roman" w:eastAsia="Times New Roman" w:hAnsi="Times New Roman"/>
                <w:sz w:val="17"/>
                <w:szCs w:val="17"/>
                <w:color w:val="231F20"/>
              </w:rPr>
              <w:t>Accelerated filer</w:t>
            </w:r>
          </w:p>
        </w:tc>
      </w:tr>
      <w:tr>
        <w:trPr>
          <w:trHeight w:val="314"/>
        </w:trPr>
        <w:tc>
          <w:tcPr>
            <w:tcW w:w="2280" w:type="dxa"/>
            <w:vAlign w:val="bottom"/>
            <w:gridSpan w:val="3"/>
          </w:tcPr>
          <w:p>
            <w:pPr>
              <w:spacing w:after="0"/>
              <w:rPr>
                <w:sz w:val="20"/>
                <w:szCs w:val="20"/>
                <w:color w:val="auto"/>
              </w:rPr>
            </w:pPr>
            <w:r>
              <w:rPr>
                <w:rFonts w:ascii="Times New Roman" w:cs="Times New Roman" w:eastAsia="Times New Roman" w:hAnsi="Times New Roman"/>
                <w:sz w:val="17"/>
                <w:szCs w:val="17"/>
                <w:color w:val="231F20"/>
              </w:rPr>
              <w:t>Non-accelerated filer</w:t>
            </w:r>
          </w:p>
        </w:tc>
        <w:tc>
          <w:tcPr>
            <w:tcW w:w="1300" w:type="dxa"/>
            <w:vAlign w:val="bottom"/>
          </w:tcPr>
          <w:p>
            <w:pPr>
              <w:spacing w:after="0" w:line="1" w:lineRule="exact"/>
              <w:rPr>
                <w:sz w:val="24"/>
                <w:szCs w:val="24"/>
                <w:color w:val="auto"/>
              </w:rPr>
            </w:pPr>
          </w:p>
        </w:tc>
        <w:tc>
          <w:tcPr>
            <w:tcW w:w="2980" w:type="dxa"/>
            <w:vAlign w:val="bottom"/>
          </w:tcPr>
          <w:p>
            <w:pPr>
              <w:ind w:left="1100"/>
              <w:spacing w:after="0"/>
              <w:rPr>
                <w:sz w:val="20"/>
                <w:szCs w:val="20"/>
                <w:color w:val="auto"/>
              </w:rPr>
            </w:pPr>
            <w:r>
              <w:rPr>
                <w:rFonts w:ascii="Times New Roman" w:cs="Times New Roman" w:eastAsia="Times New Roman" w:hAnsi="Times New Roman"/>
                <w:sz w:val="17"/>
                <w:szCs w:val="17"/>
                <w:color w:val="231F20"/>
                <w:w w:val="99"/>
              </w:rPr>
              <w:t>Smaller reporting company</w:t>
            </w:r>
          </w:p>
        </w:tc>
      </w:tr>
      <w:tr>
        <w:trPr>
          <w:trHeight w:val="300"/>
        </w:trPr>
        <w:tc>
          <w:tcPr>
            <w:tcW w:w="1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980" w:type="dxa"/>
            <w:vAlign w:val="bottom"/>
          </w:tcPr>
          <w:p>
            <w:pPr>
              <w:ind w:left="1100"/>
              <w:spacing w:after="0"/>
              <w:rPr>
                <w:sz w:val="20"/>
                <w:szCs w:val="20"/>
                <w:color w:val="auto"/>
              </w:rPr>
            </w:pPr>
            <w:r>
              <w:rPr>
                <w:rFonts w:ascii="Times New Roman" w:cs="Times New Roman" w:eastAsia="Times New Roman" w:hAnsi="Times New Roman"/>
                <w:sz w:val="17"/>
                <w:szCs w:val="17"/>
                <w:color w:val="231F20"/>
                <w:w w:val="99"/>
              </w:rPr>
              <w:t>Emerging growth company</w:t>
            </w:r>
          </w:p>
        </w:tc>
      </w:tr>
      <w:tr>
        <w:trPr>
          <w:trHeight w:val="213"/>
        </w:trPr>
        <w:tc>
          <w:tcPr>
            <w:tcW w:w="1520" w:type="dxa"/>
            <w:vAlign w:val="bottom"/>
            <w:tcBorders>
              <w:bottom w:val="single" w:sz="8" w:color="231F20"/>
            </w:tcBorders>
          </w:tcPr>
          <w:p>
            <w:pPr>
              <w:spacing w:after="0"/>
              <w:rPr>
                <w:sz w:val="20"/>
                <w:szCs w:val="20"/>
                <w:color w:val="auto"/>
              </w:rPr>
            </w:pPr>
            <w:r>
              <w:rPr>
                <w:rFonts w:ascii="Times New Roman" w:cs="Times New Roman" w:eastAsia="Times New Roman" w:hAnsi="Times New Roman"/>
                <w:sz w:val="17"/>
                <w:szCs w:val="17"/>
                <w:color w:val="231F20"/>
              </w:rPr>
              <w:t>Federal Realty OP LP</w:t>
            </w:r>
          </w:p>
        </w:tc>
        <w:tc>
          <w:tcPr>
            <w:tcW w:w="760" w:type="dxa"/>
            <w:vAlign w:val="bottom"/>
            <w:gridSpan w:val="2"/>
          </w:tcPr>
          <w:p>
            <w:pPr>
              <w:spacing w:after="0"/>
              <w:rPr>
                <w:sz w:val="18"/>
                <w:szCs w:val="18"/>
                <w:color w:val="auto"/>
              </w:rPr>
            </w:pPr>
          </w:p>
        </w:tc>
        <w:tc>
          <w:tcPr>
            <w:tcW w:w="1300" w:type="dxa"/>
            <w:vAlign w:val="bottom"/>
          </w:tcPr>
          <w:p>
            <w:pPr>
              <w:spacing w:after="0"/>
              <w:rPr>
                <w:sz w:val="18"/>
                <w:szCs w:val="18"/>
                <w:color w:val="auto"/>
              </w:rPr>
            </w:pPr>
          </w:p>
        </w:tc>
        <w:tc>
          <w:tcPr>
            <w:tcW w:w="2980" w:type="dxa"/>
            <w:vAlign w:val="bottom"/>
          </w:tcPr>
          <w:p>
            <w:pPr>
              <w:spacing w:after="0"/>
              <w:rPr>
                <w:sz w:val="18"/>
                <w:szCs w:val="18"/>
                <w:color w:val="auto"/>
              </w:rPr>
            </w:pPr>
          </w:p>
        </w:tc>
      </w:tr>
      <w:tr>
        <w:trPr>
          <w:trHeight w:val="265"/>
        </w:trPr>
        <w:tc>
          <w:tcPr>
            <w:tcW w:w="2280" w:type="dxa"/>
            <w:vAlign w:val="bottom"/>
            <w:gridSpan w:val="3"/>
          </w:tcPr>
          <w:p>
            <w:pPr>
              <w:spacing w:after="0"/>
              <w:rPr>
                <w:sz w:val="20"/>
                <w:szCs w:val="20"/>
                <w:color w:val="auto"/>
              </w:rPr>
            </w:pPr>
            <w:r>
              <w:rPr>
                <w:rFonts w:ascii="Times New Roman" w:cs="Times New Roman" w:eastAsia="Times New Roman" w:hAnsi="Times New Roman"/>
                <w:sz w:val="17"/>
                <w:szCs w:val="17"/>
                <w:color w:val="231F20"/>
              </w:rPr>
              <w:t>Large accelerated filer</w:t>
            </w:r>
          </w:p>
        </w:tc>
        <w:tc>
          <w:tcPr>
            <w:tcW w:w="1300" w:type="dxa"/>
            <w:vAlign w:val="bottom"/>
          </w:tcPr>
          <w:p>
            <w:pPr>
              <w:spacing w:after="0" w:line="1" w:lineRule="exact"/>
              <w:rPr>
                <w:sz w:val="23"/>
                <w:szCs w:val="23"/>
                <w:color w:val="auto"/>
              </w:rPr>
            </w:pPr>
          </w:p>
        </w:tc>
        <w:tc>
          <w:tcPr>
            <w:tcW w:w="2980" w:type="dxa"/>
            <w:vAlign w:val="bottom"/>
          </w:tcPr>
          <w:p>
            <w:pPr>
              <w:ind w:left="1100"/>
              <w:spacing w:after="0"/>
              <w:rPr>
                <w:sz w:val="20"/>
                <w:szCs w:val="20"/>
                <w:color w:val="auto"/>
              </w:rPr>
            </w:pPr>
            <w:r>
              <w:rPr>
                <w:rFonts w:ascii="Times New Roman" w:cs="Times New Roman" w:eastAsia="Times New Roman" w:hAnsi="Times New Roman"/>
                <w:sz w:val="17"/>
                <w:szCs w:val="17"/>
                <w:color w:val="231F20"/>
              </w:rPr>
              <w:t>Accelerated filer</w:t>
            </w:r>
          </w:p>
        </w:tc>
      </w:tr>
      <w:tr>
        <w:trPr>
          <w:trHeight w:val="299"/>
        </w:trPr>
        <w:tc>
          <w:tcPr>
            <w:tcW w:w="2280" w:type="dxa"/>
            <w:vAlign w:val="bottom"/>
            <w:gridSpan w:val="3"/>
          </w:tcPr>
          <w:p>
            <w:pPr>
              <w:spacing w:after="0"/>
              <w:rPr>
                <w:sz w:val="20"/>
                <w:szCs w:val="20"/>
                <w:color w:val="auto"/>
              </w:rPr>
            </w:pPr>
            <w:r>
              <w:rPr>
                <w:rFonts w:ascii="Times New Roman" w:cs="Times New Roman" w:eastAsia="Times New Roman" w:hAnsi="Times New Roman"/>
                <w:sz w:val="17"/>
                <w:szCs w:val="17"/>
                <w:color w:val="231F20"/>
              </w:rPr>
              <w:t>Non-accelerated filer</w:t>
            </w:r>
          </w:p>
        </w:tc>
        <w:tc>
          <w:tcPr>
            <w:tcW w:w="1300" w:type="dxa"/>
            <w:vAlign w:val="bottom"/>
          </w:tcPr>
          <w:p>
            <w:pPr>
              <w:spacing w:after="0" w:line="1" w:lineRule="exact"/>
              <w:rPr>
                <w:sz w:val="24"/>
                <w:szCs w:val="24"/>
                <w:color w:val="auto"/>
              </w:rPr>
            </w:pPr>
          </w:p>
        </w:tc>
        <w:tc>
          <w:tcPr>
            <w:tcW w:w="2980" w:type="dxa"/>
            <w:vAlign w:val="bottom"/>
          </w:tcPr>
          <w:p>
            <w:pPr>
              <w:ind w:left="1100"/>
              <w:spacing w:after="0"/>
              <w:rPr>
                <w:sz w:val="20"/>
                <w:szCs w:val="20"/>
                <w:color w:val="auto"/>
              </w:rPr>
            </w:pPr>
            <w:r>
              <w:rPr>
                <w:rFonts w:ascii="Times New Roman" w:cs="Times New Roman" w:eastAsia="Times New Roman" w:hAnsi="Times New Roman"/>
                <w:sz w:val="17"/>
                <w:szCs w:val="17"/>
                <w:color w:val="231F20"/>
                <w:w w:val="99"/>
              </w:rPr>
              <w:t>Smaller reporting company</w:t>
            </w:r>
          </w:p>
        </w:tc>
      </w:tr>
      <w:tr>
        <w:trPr>
          <w:trHeight w:val="286"/>
        </w:trPr>
        <w:tc>
          <w:tcPr>
            <w:tcW w:w="1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980" w:type="dxa"/>
            <w:vAlign w:val="bottom"/>
          </w:tcPr>
          <w:p>
            <w:pPr>
              <w:ind w:left="1100"/>
              <w:spacing w:after="0"/>
              <w:rPr>
                <w:sz w:val="20"/>
                <w:szCs w:val="20"/>
                <w:color w:val="auto"/>
              </w:rPr>
            </w:pPr>
            <w:r>
              <w:rPr>
                <w:rFonts w:ascii="Times New Roman" w:cs="Times New Roman" w:eastAsia="Times New Roman" w:hAnsi="Times New Roman"/>
                <w:sz w:val="17"/>
                <w:szCs w:val="17"/>
                <w:color w:val="231F20"/>
                <w:w w:val="99"/>
              </w:rPr>
              <w:t>Emerging growth company</w:t>
            </w:r>
          </w:p>
        </w:tc>
      </w:tr>
    </w:tbl>
    <w:p>
      <w:pPr>
        <w:spacing w:after="0" w:line="128" w:lineRule="exact"/>
        <w:rPr>
          <w:sz w:val="20"/>
          <w:szCs w:val="20"/>
          <w:color w:val="auto"/>
        </w:rPr>
      </w:pPr>
    </w:p>
    <w:p>
      <w:pPr>
        <w:ind w:left="40" w:right="460"/>
        <w:spacing w:after="0" w:line="243" w:lineRule="auto"/>
        <w:rPr>
          <w:sz w:val="20"/>
          <w:szCs w:val="20"/>
          <w:color w:val="auto"/>
        </w:rPr>
      </w:pPr>
      <w:r>
        <w:rPr>
          <w:rFonts w:ascii="Times New Roman" w:cs="Times New Roman" w:eastAsia="Times New Roman" w:hAnsi="Times New Roman"/>
          <w:sz w:val="17"/>
          <w:szCs w:val="17"/>
          <w:color w:val="231F20"/>
        </w:rPr>
        <w:t>If an emerging growth company, indicate by checkmark if the registrant has elected not use the extended transition period for complying with any new or revised financial accounting standards provided pursuant to Section 13(a) of the Exchange Act.</w:t>
      </w:r>
    </w:p>
    <w:p>
      <w:pPr>
        <w:spacing w:after="0" w:line="9" w:lineRule="exact"/>
        <w:rPr>
          <w:sz w:val="20"/>
          <w:szCs w:val="20"/>
          <w:color w:val="auto"/>
        </w:rPr>
      </w:pPr>
    </w:p>
    <w:p>
      <w:pPr>
        <w:ind w:left="40" w:right="260"/>
        <w:spacing w:after="0" w:line="231" w:lineRule="auto"/>
        <w:rPr>
          <w:sz w:val="20"/>
          <w:szCs w:val="20"/>
          <w:color w:val="auto"/>
        </w:rPr>
      </w:pPr>
      <w:r>
        <w:rPr>
          <w:rFonts w:ascii="Times New Roman" w:cs="Times New Roman" w:eastAsia="Times New Roman" w:hAnsi="Times New Roman"/>
          <w:sz w:val="17"/>
          <w:szCs w:val="17"/>
          <w:color w:val="231F20"/>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p>
    <w:p>
      <w:pPr>
        <w:sectPr>
          <w:pgSz w:w="11880" w:h="15480" w:orient="portrait"/>
          <w:cols w:equalWidth="0" w:num="1">
            <w:col w:w="9860"/>
          </w:cols>
          <w:pgMar w:left="980" w:top="928" w:right="1040" w:bottom="1440" w:gutter="0" w:footer="0" w:header="0"/>
          <w:type w:val="continuous"/>
        </w:sectPr>
      </w:pPr>
    </w:p>
    <w:p>
      <w:pPr>
        <w:spacing w:after="0" w:line="7" w:lineRule="exact"/>
        <w:rPr>
          <w:sz w:val="20"/>
          <w:szCs w:val="20"/>
          <w:color w:val="auto"/>
        </w:rPr>
      </w:pPr>
    </w:p>
    <w:tbl>
      <w:tblPr>
        <w:tblLayout w:type="fixed"/>
        <w:tblInd w:w="40" w:type="dxa"/>
        <w:tblCellMar>
          <w:top w:w="0" w:type="dxa"/>
          <w:left w:w="0" w:type="dxa"/>
          <w:bottom w:w="0" w:type="dxa"/>
          <w:right w:w="0" w:type="dxa"/>
        </w:tblCellMar>
      </w:tblPr>
      <w:tr>
        <w:trPr>
          <w:trHeight w:val="242"/>
        </w:trPr>
        <w:tc>
          <w:tcPr>
            <w:tcW w:w="2280" w:type="dxa"/>
            <w:vAlign w:val="bottom"/>
          </w:tcPr>
          <w:p>
            <w:pPr>
              <w:spacing w:after="0"/>
              <w:rPr>
                <w:sz w:val="20"/>
                <w:szCs w:val="20"/>
                <w:color w:val="auto"/>
              </w:rPr>
            </w:pPr>
            <w:r>
              <w:rPr>
                <w:rFonts w:ascii="Times New Roman" w:cs="Times New Roman" w:eastAsia="Times New Roman" w:hAnsi="Times New Roman"/>
                <w:sz w:val="17"/>
                <w:szCs w:val="17"/>
                <w:color w:val="231F20"/>
              </w:rPr>
              <w:t>Federal Realty Investment Trust</w:t>
            </w:r>
          </w:p>
        </w:tc>
        <w:tc>
          <w:tcPr>
            <w:tcW w:w="200" w:type="dxa"/>
            <w:vAlign w:val="bottom"/>
          </w:tcPr>
          <w:p>
            <w:pPr>
              <w:spacing w:after="0" w:line="1" w:lineRule="exact"/>
              <w:rPr>
                <w:sz w:val="21"/>
                <w:szCs w:val="21"/>
                <w:color w:val="auto"/>
              </w:rPr>
            </w:pPr>
          </w:p>
        </w:tc>
      </w:tr>
      <w:tr>
        <w:trPr>
          <w:trHeight w:val="265"/>
        </w:trPr>
        <w:tc>
          <w:tcPr>
            <w:tcW w:w="2280" w:type="dxa"/>
            <w:vAlign w:val="bottom"/>
          </w:tcPr>
          <w:p>
            <w:pPr>
              <w:spacing w:after="0"/>
              <w:rPr>
                <w:sz w:val="20"/>
                <w:szCs w:val="20"/>
                <w:color w:val="auto"/>
              </w:rPr>
            </w:pPr>
            <w:r>
              <w:rPr>
                <w:rFonts w:ascii="Times New Roman" w:cs="Times New Roman" w:eastAsia="Times New Roman" w:hAnsi="Times New Roman"/>
                <w:sz w:val="17"/>
                <w:szCs w:val="17"/>
                <w:color w:val="231F20"/>
              </w:rPr>
              <w:t>Federal Realty OP LP</w:t>
            </w:r>
          </w:p>
        </w:tc>
        <w:tc>
          <w:tcPr>
            <w:tcW w:w="200" w:type="dxa"/>
            <w:vAlign w:val="bottom"/>
          </w:tcPr>
          <w:p>
            <w:pPr>
              <w:spacing w:after="0" w:line="1" w:lineRule="exact"/>
              <w:rPr>
                <w:sz w:val="23"/>
                <w:szCs w:val="23"/>
                <w:color w:val="auto"/>
              </w:rPr>
            </w:pPr>
          </w:p>
        </w:tc>
      </w:tr>
    </w:tbl>
    <w:p>
      <w:pPr>
        <w:spacing w:after="0" w:line="61" w:lineRule="exact"/>
        <w:rPr>
          <w:sz w:val="20"/>
          <w:szCs w:val="20"/>
          <w:color w:val="auto"/>
        </w:rPr>
      </w:pPr>
    </w:p>
    <w:p>
      <w:pPr>
        <w:ind w:left="40" w:right="480"/>
        <w:spacing w:after="0" w:line="243" w:lineRule="auto"/>
        <w:rPr>
          <w:sz w:val="20"/>
          <w:szCs w:val="20"/>
          <w:color w:val="auto"/>
        </w:rPr>
      </w:pPr>
      <w:r>
        <w:rPr>
          <w:rFonts w:ascii="Times New Roman" w:cs="Times New Roman" w:eastAsia="Times New Roman" w:hAnsi="Times New Roman"/>
          <w:sz w:val="17"/>
          <w:szCs w:val="17"/>
          <w:color w:val="231F20"/>
        </w:rPr>
        <w:t>If securities are registered pursuant to Section 12(b) of the Act, indicate by check mark whether the financial statements of the registrant included in the filing reflect the correction of an error to previously issued financial statements.</w:t>
      </w:r>
    </w:p>
    <w:p>
      <w:pPr>
        <w:spacing w:after="0" w:line="43" w:lineRule="exact"/>
        <w:rPr>
          <w:sz w:val="20"/>
          <w:szCs w:val="20"/>
          <w:color w:val="auto"/>
        </w:rPr>
      </w:pPr>
    </w:p>
    <w:p>
      <w:pPr>
        <w:ind w:left="40"/>
        <w:spacing w:after="0" w:line="196" w:lineRule="exact"/>
        <w:rPr>
          <w:sz w:val="20"/>
          <w:szCs w:val="20"/>
          <w:color w:val="auto"/>
        </w:rPr>
      </w:pPr>
      <w:r>
        <w:rPr>
          <w:rFonts w:ascii="Times New Roman" w:cs="Times New Roman" w:eastAsia="Times New Roman" w:hAnsi="Times New Roman"/>
          <w:sz w:val="17"/>
          <w:szCs w:val="17"/>
          <w:color w:val="231F20"/>
        </w:rPr>
        <w:t>Federal Realty Investment Trust</w:t>
      </w:r>
    </w:p>
    <w:p>
      <w:pPr>
        <w:spacing w:after="0" w:line="47" w:lineRule="exact"/>
        <w:rPr>
          <w:sz w:val="20"/>
          <w:szCs w:val="20"/>
          <w:color w:val="auto"/>
        </w:rPr>
      </w:pPr>
    </w:p>
    <w:p>
      <w:pPr>
        <w:ind w:left="40"/>
        <w:spacing w:after="0" w:line="196" w:lineRule="exact"/>
        <w:rPr>
          <w:sz w:val="20"/>
          <w:szCs w:val="20"/>
          <w:color w:val="auto"/>
        </w:rPr>
      </w:pPr>
      <w:r>
        <w:rPr>
          <w:rFonts w:ascii="Times New Roman" w:cs="Times New Roman" w:eastAsia="Times New Roman" w:hAnsi="Times New Roman"/>
          <w:sz w:val="17"/>
          <w:szCs w:val="17"/>
          <w:color w:val="231F20"/>
        </w:rPr>
        <w:t>Federal Realty OP LP</w:t>
      </w:r>
    </w:p>
    <w:p>
      <w:pPr>
        <w:spacing w:after="0" w:line="121" w:lineRule="exact"/>
        <w:rPr>
          <w:sz w:val="20"/>
          <w:szCs w:val="20"/>
          <w:color w:val="auto"/>
        </w:rPr>
      </w:pPr>
    </w:p>
    <w:p>
      <w:pPr>
        <w:jc w:val="both"/>
        <w:ind w:left="40" w:right="800"/>
        <w:spacing w:after="0" w:line="243" w:lineRule="auto"/>
        <w:rPr>
          <w:sz w:val="20"/>
          <w:szCs w:val="20"/>
          <w:color w:val="auto"/>
        </w:rPr>
      </w:pPr>
      <w:r>
        <w:rPr>
          <w:rFonts w:ascii="Times New Roman" w:cs="Times New Roman" w:eastAsia="Times New Roman" w:hAnsi="Times New Roman"/>
          <w:sz w:val="17"/>
          <w:szCs w:val="17"/>
          <w:color w:val="231F20"/>
        </w:rPr>
        <w:t>Indicate by check mark whether any of those error corrections are restatements that required a recovery analysis of incentive-based compensation received by any of the registrant’s executive officers during the relevant recovery period pursuant to § 240.10D-1(b).</w:t>
      </w:r>
    </w:p>
    <w:p>
      <w:pPr>
        <w:spacing w:after="0" w:line="43" w:lineRule="exact"/>
        <w:rPr>
          <w:sz w:val="20"/>
          <w:szCs w:val="20"/>
          <w:color w:val="auto"/>
        </w:rPr>
      </w:pPr>
    </w:p>
    <w:p>
      <w:pPr>
        <w:ind w:left="40"/>
        <w:spacing w:after="0" w:line="196" w:lineRule="exact"/>
        <w:rPr>
          <w:sz w:val="20"/>
          <w:szCs w:val="20"/>
          <w:color w:val="auto"/>
        </w:rPr>
      </w:pPr>
      <w:r>
        <w:rPr>
          <w:rFonts w:ascii="Times New Roman" w:cs="Times New Roman" w:eastAsia="Times New Roman" w:hAnsi="Times New Roman"/>
          <w:sz w:val="17"/>
          <w:szCs w:val="17"/>
          <w:color w:val="231F20"/>
        </w:rPr>
        <w:t>Federal Realty Investment Trust</w:t>
      </w:r>
    </w:p>
    <w:p>
      <w:pPr>
        <w:spacing w:after="0" w:line="47" w:lineRule="exact"/>
        <w:rPr>
          <w:sz w:val="20"/>
          <w:szCs w:val="20"/>
          <w:color w:val="auto"/>
        </w:rPr>
      </w:pPr>
    </w:p>
    <w:p>
      <w:pPr>
        <w:ind w:left="40"/>
        <w:spacing w:after="0" w:line="196" w:lineRule="exact"/>
        <w:rPr>
          <w:sz w:val="20"/>
          <w:szCs w:val="20"/>
          <w:color w:val="auto"/>
        </w:rPr>
      </w:pPr>
      <w:r>
        <w:rPr>
          <w:rFonts w:ascii="Times New Roman" w:cs="Times New Roman" w:eastAsia="Times New Roman" w:hAnsi="Times New Roman"/>
          <w:sz w:val="17"/>
          <w:szCs w:val="17"/>
          <w:color w:val="231F20"/>
        </w:rPr>
        <w:t>Federal Realty OP LP</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31F20"/>
        </w:rPr>
        <w:t>Indicate by check mark whether the registrant is a shell company (as defined in Rule 12b-2 of the Act).</w:t>
      </w:r>
    </w:p>
    <w:p>
      <w:pPr>
        <w:spacing w:after="0" w:line="58" w:lineRule="exact"/>
        <w:rPr>
          <w:sz w:val="20"/>
          <w:szCs w:val="20"/>
          <w:color w:val="auto"/>
        </w:rPr>
      </w:pPr>
    </w:p>
    <w:p>
      <w:pPr>
        <w:spacing w:after="0" w:line="196" w:lineRule="exact"/>
        <w:tabs>
          <w:tab w:leader="none" w:pos="2920" w:val="left"/>
          <w:tab w:leader="none" w:pos="3580" w:val="left"/>
        </w:tabs>
        <w:rPr>
          <w:sz w:val="20"/>
          <w:szCs w:val="20"/>
          <w:color w:val="auto"/>
        </w:rPr>
      </w:pPr>
      <w:r>
        <w:rPr>
          <w:rFonts w:ascii="Times New Roman" w:cs="Times New Roman" w:eastAsia="Times New Roman" w:hAnsi="Times New Roman"/>
          <w:sz w:val="17"/>
          <w:szCs w:val="17"/>
          <w:color w:val="231F20"/>
        </w:rPr>
        <w:t>Federal Realty Investment Trust</w:t>
      </w:r>
      <w:r>
        <w:rPr>
          <w:sz w:val="20"/>
          <w:szCs w:val="20"/>
          <w:color w:val="auto"/>
        </w:rPr>
        <w:tab/>
      </w:r>
      <w:r>
        <w:rPr>
          <w:rFonts w:ascii="Times New Roman" w:cs="Times New Roman" w:eastAsia="Times New Roman" w:hAnsi="Times New Roman"/>
          <w:sz w:val="17"/>
          <w:szCs w:val="17"/>
          <w:color w:val="231F20"/>
        </w:rPr>
        <w:t>Yes</w:t>
      </w:r>
      <w:r>
        <w:rPr>
          <w:sz w:val="20"/>
          <w:szCs w:val="20"/>
          <w:color w:val="auto"/>
        </w:rPr>
        <w:tab/>
      </w:r>
      <w:r>
        <w:rPr>
          <w:rFonts w:ascii="Times New Roman" w:cs="Times New Roman" w:eastAsia="Times New Roman" w:hAnsi="Times New Roman"/>
          <w:sz w:val="16"/>
          <w:szCs w:val="16"/>
          <w:color w:val="231F20"/>
        </w:rPr>
        <w:t>No</w:t>
      </w:r>
    </w:p>
    <w:p>
      <w:pPr>
        <w:spacing w:after="0" w:line="12" w:lineRule="exact"/>
        <w:rPr>
          <w:sz w:val="20"/>
          <w:szCs w:val="20"/>
          <w:color w:val="auto"/>
        </w:rPr>
      </w:pPr>
    </w:p>
    <w:p>
      <w:pPr>
        <w:spacing w:after="0" w:line="196" w:lineRule="exact"/>
        <w:tabs>
          <w:tab w:leader="none" w:pos="2920" w:val="left"/>
          <w:tab w:leader="none" w:pos="3580" w:val="left"/>
        </w:tabs>
        <w:rPr>
          <w:sz w:val="20"/>
          <w:szCs w:val="20"/>
          <w:color w:val="auto"/>
        </w:rPr>
      </w:pPr>
      <w:r>
        <w:rPr>
          <w:rFonts w:ascii="Times New Roman" w:cs="Times New Roman" w:eastAsia="Times New Roman" w:hAnsi="Times New Roman"/>
          <w:sz w:val="17"/>
          <w:szCs w:val="17"/>
          <w:color w:val="231F20"/>
        </w:rPr>
        <w:t>Federal Realty OP LP</w:t>
      </w:r>
      <w:r>
        <w:rPr>
          <w:sz w:val="20"/>
          <w:szCs w:val="20"/>
          <w:color w:val="auto"/>
        </w:rPr>
        <w:tab/>
      </w:r>
      <w:r>
        <w:rPr>
          <w:rFonts w:ascii="Times New Roman" w:cs="Times New Roman" w:eastAsia="Times New Roman" w:hAnsi="Times New Roman"/>
          <w:sz w:val="17"/>
          <w:szCs w:val="17"/>
          <w:color w:val="231F20"/>
        </w:rPr>
        <w:t>Yes</w:t>
      </w:r>
      <w:r>
        <w:rPr>
          <w:sz w:val="20"/>
          <w:szCs w:val="20"/>
          <w:color w:val="auto"/>
        </w:rPr>
        <w:tab/>
      </w:r>
      <w:r>
        <w:rPr>
          <w:rFonts w:ascii="Times New Roman" w:cs="Times New Roman" w:eastAsia="Times New Roman" w:hAnsi="Times New Roman"/>
          <w:sz w:val="16"/>
          <w:szCs w:val="16"/>
          <w:color w:val="231F20"/>
        </w:rPr>
        <w:t>No</w:t>
      </w:r>
    </w:p>
    <w:p>
      <w:pPr>
        <w:spacing w:after="0" w:line="298" w:lineRule="exact"/>
        <w:rPr>
          <w:sz w:val="20"/>
          <w:szCs w:val="20"/>
          <w:color w:val="auto"/>
        </w:rPr>
      </w:pPr>
    </w:p>
    <w:p>
      <w:pPr>
        <w:ind w:right="140"/>
        <w:spacing w:after="0" w:line="275" w:lineRule="auto"/>
        <w:rPr>
          <w:sz w:val="20"/>
          <w:szCs w:val="20"/>
          <w:color w:val="auto"/>
        </w:rPr>
      </w:pPr>
      <w:r>
        <w:rPr>
          <w:rFonts w:ascii="Times New Roman" w:cs="Times New Roman" w:eastAsia="Times New Roman" w:hAnsi="Times New Roman"/>
          <w:sz w:val="17"/>
          <w:szCs w:val="17"/>
          <w:color w:val="231F20"/>
        </w:rPr>
        <w:t>The aggregate market value of the registrant's common shares held by non-affiliates of the registrant, based upon the closing sales price of the registrant's common shares on June 30, 2025:</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31F20"/>
        </w:rPr>
        <w:t>Federal Realty Investment Trust: $8.2 billion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31F20"/>
        </w:rPr>
        <w:t>Federal Realty OP LP: N/A</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31F20"/>
        </w:rPr>
        <w:t>The number of Federal Realty Investment Trust's common shares outstanding on February 9, 2026 was 86,276,033.</w:t>
      </w:r>
    </w:p>
    <w:p>
      <w:pPr>
        <w:sectPr>
          <w:pgSz w:w="11880" w:h="15480" w:orient="portrait"/>
          <w:cols w:equalWidth="0" w:num="1">
            <w:col w:w="9860"/>
          </w:cols>
          <w:pgMar w:left="980" w:top="928" w:right="1040" w:bottom="1440" w:gutter="0" w:footer="0" w:header="0"/>
          <w:type w:val="continuous"/>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9"/>
          <w:szCs w:val="19"/>
          <w:b w:val="1"/>
          <w:bCs w:val="1"/>
          <w:color w:val="231F20"/>
        </w:rPr>
        <w:t>DOCUMENTS INCORPORATED BY REFERENCE</w:t>
      </w:r>
    </w:p>
    <w:p>
      <w:pPr>
        <w:spacing w:after="0" w:line="110" w:lineRule="exact"/>
        <w:rPr>
          <w:sz w:val="20"/>
          <w:szCs w:val="20"/>
          <w:color w:val="auto"/>
        </w:rPr>
      </w:pPr>
    </w:p>
    <w:p>
      <w:pPr>
        <w:ind w:right="200"/>
        <w:spacing w:after="0" w:line="284" w:lineRule="auto"/>
        <w:rPr>
          <w:sz w:val="20"/>
          <w:szCs w:val="20"/>
          <w:color w:val="auto"/>
        </w:rPr>
      </w:pPr>
      <w:r>
        <w:rPr>
          <w:rFonts w:ascii="Times New Roman" w:cs="Times New Roman" w:eastAsia="Times New Roman" w:hAnsi="Times New Roman"/>
          <w:sz w:val="19"/>
          <w:szCs w:val="19"/>
          <w:color w:val="231F20"/>
        </w:rPr>
        <w:t>Portions of Federal Realty Investment Trust’s Proxy Statement to be filed with the Securities and Exchange Commission (the "SEC") for its annual meeting of shareholders to be held in May 2026 will be incorporated by reference into Part III hereof.</w:t>
      </w: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231F20"/>
        </w:rPr>
        <w:t>EXPLANATORY NOTE</w:t>
      </w:r>
    </w:p>
    <w:p>
      <w:pPr>
        <w:spacing w:after="0" w:line="110" w:lineRule="exact"/>
        <w:rPr>
          <w:sz w:val="20"/>
          <w:szCs w:val="20"/>
          <w:color w:val="auto"/>
        </w:rPr>
      </w:pPr>
    </w:p>
    <w:p>
      <w:pPr>
        <w:ind w:right="220"/>
        <w:spacing w:after="0" w:line="272" w:lineRule="auto"/>
        <w:rPr>
          <w:sz w:val="20"/>
          <w:szCs w:val="20"/>
          <w:color w:val="auto"/>
        </w:rPr>
      </w:pPr>
      <w:r>
        <w:rPr>
          <w:rFonts w:ascii="Times New Roman" w:cs="Times New Roman" w:eastAsia="Times New Roman" w:hAnsi="Times New Roman"/>
          <w:sz w:val="18"/>
          <w:szCs w:val="18"/>
          <w:color w:val="231F20"/>
        </w:rPr>
        <w:t>This report combines the annual reports on Form 10-K for the year ended December 31, 2025, of Federal Realty Investment Trust and Federal Realty OP LP. Unless stated otherwise or the context otherwise requires, references to "Federal Realty Investment Trust," the "Parent Company" or the "Trust" mean Federal Realty Investment Trust; and references to "Federal Realty OP LP" or the "Operating Partnership" mean Federal Realty OP LP. The term "the Company," "we," "us," and "our" refer to the Parent Company and its business and operations conducted through its directly and indirectly owned subsidiaries, including the Operating Partnership. References to "shares" and "shareholders" refer to the shares and shareholders of the Parent Company and not the limited partnership interests for limited partners of the Operating Partnership.</w:t>
      </w:r>
    </w:p>
    <w:p>
      <w:pPr>
        <w:spacing w:after="0" w:line="50"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9"/>
          <w:szCs w:val="19"/>
          <w:color w:val="231F20"/>
        </w:rPr>
        <w:t>The Parent Company is a real estate investment trust ("REIT") that owns 100% of the limited liability company interests of, is the sole member of, and exercises exclusive control over Federal Realty GP LLC (the "General Partner"), which is the sole general partner of the Operating Partnership. As of December 31, 2025, the Parent Company owned 100% of the outstanding partnership units (the "OP Units") in the Operating Partnership.</w:t>
      </w:r>
    </w:p>
    <w:p>
      <w:pPr>
        <w:spacing w:after="0" w:line="57" w:lineRule="exact"/>
        <w:rPr>
          <w:sz w:val="20"/>
          <w:szCs w:val="20"/>
          <w:color w:val="auto"/>
        </w:rPr>
      </w:pPr>
    </w:p>
    <w:p>
      <w:pPr>
        <w:ind w:right="120"/>
        <w:spacing w:after="0" w:line="284" w:lineRule="auto"/>
        <w:rPr>
          <w:sz w:val="20"/>
          <w:szCs w:val="20"/>
          <w:color w:val="auto"/>
        </w:rPr>
      </w:pPr>
      <w:r>
        <w:rPr>
          <w:rFonts w:ascii="Times New Roman" w:cs="Times New Roman" w:eastAsia="Times New Roman" w:hAnsi="Times New Roman"/>
          <w:sz w:val="19"/>
          <w:szCs w:val="19"/>
          <w:color w:val="231F20"/>
        </w:rPr>
        <w:t>The Company believes combining the annual reports on Form 10-K of the Parent Company and the Operating Partnership into this single report provides the following benefits:</w:t>
      </w:r>
    </w:p>
    <w:p>
      <w:pPr>
        <w:spacing w:after="0" w:line="34" w:lineRule="exact"/>
        <w:rPr>
          <w:sz w:val="20"/>
          <w:szCs w:val="20"/>
          <w:color w:val="auto"/>
        </w:rPr>
      </w:pPr>
    </w:p>
    <w:p>
      <w:pPr>
        <w:ind w:left="680" w:right="20" w:hanging="335"/>
        <w:spacing w:after="0" w:line="284" w:lineRule="auto"/>
        <w:tabs>
          <w:tab w:leader="none" w:pos="680" w:val="left"/>
        </w:tabs>
        <w:numPr>
          <w:ilvl w:val="0"/>
          <w:numId w:val="6"/>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Enhances investors' understanding of the Parent Company and the Operating Partnership by enabling investors to view the businesses as a whole in the same manner as management views and operates the business;</w:t>
      </w:r>
    </w:p>
    <w:p>
      <w:pPr>
        <w:spacing w:after="0" w:line="34" w:lineRule="exact"/>
        <w:rPr>
          <w:rFonts w:ascii="Times New Roman" w:cs="Times New Roman" w:eastAsia="Times New Roman" w:hAnsi="Times New Roman"/>
          <w:sz w:val="19"/>
          <w:szCs w:val="19"/>
          <w:color w:val="231F20"/>
        </w:rPr>
      </w:pPr>
    </w:p>
    <w:p>
      <w:pPr>
        <w:ind w:left="680" w:hanging="335"/>
        <w:spacing w:after="0"/>
        <w:tabs>
          <w:tab w:leader="none" w:pos="680" w:val="left"/>
        </w:tabs>
        <w:numPr>
          <w:ilvl w:val="0"/>
          <w:numId w:val="6"/>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Eliminates duplicate disclosure and provides a more streamlined and readable presentation; and</w:t>
      </w:r>
    </w:p>
    <w:p>
      <w:pPr>
        <w:spacing w:after="0" w:line="104" w:lineRule="exact"/>
        <w:rPr>
          <w:rFonts w:ascii="Times New Roman" w:cs="Times New Roman" w:eastAsia="Times New Roman" w:hAnsi="Times New Roman"/>
          <w:sz w:val="19"/>
          <w:szCs w:val="19"/>
          <w:color w:val="231F20"/>
        </w:rPr>
      </w:pPr>
    </w:p>
    <w:p>
      <w:pPr>
        <w:ind w:left="680" w:hanging="335"/>
        <w:spacing w:after="0"/>
        <w:tabs>
          <w:tab w:leader="none" w:pos="680" w:val="left"/>
        </w:tabs>
        <w:numPr>
          <w:ilvl w:val="0"/>
          <w:numId w:val="6"/>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Creates time and cost efficiencies through the preparation of one combined report instead of two separate reports.</w:t>
      </w:r>
    </w:p>
    <w:p>
      <w:pPr>
        <w:spacing w:after="0" w:line="105"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9"/>
          <w:szCs w:val="19"/>
          <w:color w:val="231F20"/>
        </w:rPr>
        <w:t>Management operates the Parent Company and the Operating Partnership as one business. Since the Operating Partnership is managed by the Parent Company, and the Parent Company conducts substantially all of its operations through the Operating Partnership, the management of the Parent Company consists of the same individuals as the management of the Operating Partnership.</w:t>
      </w:r>
    </w:p>
    <w:p>
      <w:pPr>
        <w:spacing w:after="0" w:line="5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9"/>
          <w:szCs w:val="19"/>
          <w:color w:val="231F20"/>
        </w:rPr>
        <w:t>We believe it is important to understand the few differences between the Parent Company and the Operating Partnership in the context of how the Parent Company and the Operating Partnership operate as a consolidated company. The Parent Company is a REIT, whose only material asset is its direct and indirect interest in the Operating Partnership. As a result, the Parent Company does not conduct business itself other than issuing public equity from time to time. The Parent Company is not expected to incur any material indebtedness. The Operating Partnership holds substantially all of our assets and retains the ownership interests in the Company's joint ventures. Except for net proceeds from public equity issuances by the Parent Company, which are contributed to the Operating Partnership in exchange for OP Units, the Operating Partnership generates all capital required by the Company’s business. Sources of this capital include the Operating Partnership’s operations, its direct or indirect incurrence of indebtedness, and the issuance of partnership units.</w:t>
      </w:r>
    </w:p>
    <w:p>
      <w:pPr>
        <w:spacing w:after="0" w:line="68"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9"/>
          <w:szCs w:val="19"/>
          <w:color w:val="231F20"/>
        </w:rPr>
        <w:t>Shareholders' equity, partner capital, and non-controlling interests are the primary areas of difference between the Consolidated Financial Statements of the Parent Company and those of the Operating Partnership. The Operating Partnership’s capital currently includes OP Units owned by the Parent, and may in the future include OP Units owned by third parties. OP Units owned by third parties, if any, are accounted for in capital in the Operating Partnership’s financial statements and in non-controlling interests in the Parent Company’s financial statements.</w:t>
      </w:r>
    </w:p>
    <w:p>
      <w:pPr>
        <w:spacing w:after="0" w:line="5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9"/>
          <w:szCs w:val="19"/>
          <w:color w:val="231F20"/>
        </w:rPr>
        <w:t>The Parent Company consolidates the Operating Partnership for financial reporting purposes, and the Parent Company does not have assets other than its investment in the Operating Partnership. Therefore, while shareholders’ equity and partners' capital differ as discussed above, the assets and liabilities of the Parent Company and the Operating Partnership are the same on their respective financial statements.</w:t>
      </w:r>
    </w:p>
    <w:p>
      <w:pPr>
        <w:spacing w:after="0" w:line="57"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9"/>
          <w:szCs w:val="19"/>
          <w:color w:val="231F20"/>
        </w:rPr>
        <w:t>In order to highlight the differences between the Parent Company and the Operating Partnership, there are sections in this report that separately discuss the Parent Company and the Operating Partnership, including separate financial statements (but combined footnotes), separate controls and procedures sections, and separate Exhibit 31 and 32 certifications. In the sections that combine disclosure for the Parent Company and the Operating Partnership, this report refers to actions or holdings as being actions or holdings of the Company.</w:t>
      </w:r>
    </w:p>
    <w:p>
      <w:pPr>
        <w:sectPr>
          <w:pgSz w:w="11880" w:h="15480" w:orient="portrait"/>
          <w:cols w:equalWidth="0" w:num="1">
            <w:col w:w="9740"/>
          </w:cols>
          <w:pgMar w:left="1060" w:top="958" w:right="1080" w:bottom="1440" w:gutter="0" w:footer="0" w:header="0"/>
        </w:sectPr>
      </w:pPr>
    </w:p>
    <w:bookmarkStart w:id="9" w:name="page10"/>
    <w:bookmarkEnd w:id="9"/>
    <w:p>
      <w:pPr>
        <w:ind w:left="2940"/>
        <w:spacing w:after="0"/>
        <w:rPr>
          <w:sz w:val="20"/>
          <w:szCs w:val="20"/>
          <w:color w:val="auto"/>
        </w:rPr>
      </w:pPr>
      <w:r>
        <w:rPr>
          <w:rFonts w:ascii="Times New Roman" w:cs="Times New Roman" w:eastAsia="Times New Roman" w:hAnsi="Times New Roman"/>
          <w:sz w:val="19"/>
          <w:szCs w:val="19"/>
          <w:b w:val="1"/>
          <w:bCs w:val="1"/>
          <w:color w:val="231F20"/>
        </w:rPr>
        <w:t>FEDERAL REALTY INVESTMENT TRUST</w:t>
      </w:r>
    </w:p>
    <w:p>
      <w:pPr>
        <w:spacing w:after="0" w:line="33"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9"/>
          <w:szCs w:val="19"/>
          <w:b w:val="1"/>
          <w:bCs w:val="1"/>
          <w:color w:val="231F20"/>
        </w:rPr>
        <w:t>FEDERAL REALTY OP LP</w:t>
      </w:r>
    </w:p>
    <w:p>
      <w:pPr>
        <w:spacing w:after="0" w:line="158"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9"/>
          <w:szCs w:val="19"/>
          <w:b w:val="1"/>
          <w:bCs w:val="1"/>
          <w:color w:val="231F20"/>
        </w:rPr>
        <w:t>ANNUAL REPORT ON FORM 10-K</w:t>
      </w:r>
    </w:p>
    <w:p>
      <w:pPr>
        <w:spacing w:after="0" w:line="33"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9"/>
          <w:szCs w:val="19"/>
          <w:b w:val="1"/>
          <w:bCs w:val="1"/>
          <w:color w:val="231F20"/>
        </w:rPr>
        <w:t>FISCAL YEAR ENDED DECEMBER 31, 2025</w:t>
      </w:r>
    </w:p>
    <w:p>
      <w:pPr>
        <w:spacing w:after="0" w:line="82"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9"/>
          <w:szCs w:val="19"/>
          <w:b w:val="1"/>
          <w:bCs w:val="1"/>
          <w:color w:val="231F20"/>
        </w:rPr>
        <w:t>TABLE OF CONTENTS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PART I</w:t>
      </w:r>
    </w:p>
    <w:p>
      <w:pPr>
        <w:spacing w:after="0" w:line="52" w:lineRule="exact"/>
        <w:rPr>
          <w:sz w:val="20"/>
          <w:szCs w:val="20"/>
          <w:color w:val="auto"/>
        </w:rPr>
      </w:pPr>
    </w:p>
    <w:p>
      <w:pPr>
        <w:spacing w:after="0"/>
        <w:tabs>
          <w:tab w:leader="none" w:pos="1160" w:val="left"/>
          <w:tab w:leader="dot" w:pos="9340" w:val="left"/>
        </w:tabs>
        <w:rPr>
          <w:sz w:val="20"/>
          <w:szCs w:val="20"/>
          <w:color w:val="auto"/>
        </w:rPr>
      </w:pPr>
      <w:r>
        <w:rPr>
          <w:rFonts w:ascii="Times New Roman" w:cs="Times New Roman" w:eastAsia="Times New Roman" w:hAnsi="Times New Roman"/>
          <w:sz w:val="19"/>
          <w:szCs w:val="19"/>
          <w:color w:val="231F20"/>
        </w:rPr>
        <w:t>Item 1.</w:t>
      </w:r>
      <w:r>
        <w:rPr>
          <w:sz w:val="20"/>
          <w:szCs w:val="20"/>
          <w:color w:val="auto"/>
        </w:rPr>
        <w:tab/>
      </w:r>
      <w:r>
        <w:rPr>
          <w:rFonts w:ascii="Times New Roman" w:cs="Times New Roman" w:eastAsia="Times New Roman" w:hAnsi="Times New Roman"/>
          <w:sz w:val="19"/>
          <w:szCs w:val="19"/>
          <w:color w:val="231F20"/>
        </w:rPr>
        <w:t>Business</w:t>
      </w:r>
      <w:r>
        <w:rPr>
          <w:sz w:val="20"/>
          <w:szCs w:val="20"/>
          <w:color w:val="auto"/>
        </w:rPr>
        <w:tab/>
      </w:r>
      <w:r>
        <w:rPr>
          <w:rFonts w:ascii="Times New Roman" w:cs="Times New Roman" w:eastAsia="Times New Roman" w:hAnsi="Times New Roman"/>
          <w:sz w:val="19"/>
          <w:szCs w:val="19"/>
          <w:color w:val="231F20"/>
        </w:rPr>
        <w:t>3</w:t>
      </w:r>
    </w:p>
    <w:p>
      <w:pPr>
        <w:spacing w:after="0" w:line="52" w:lineRule="exact"/>
        <w:rPr>
          <w:sz w:val="20"/>
          <w:szCs w:val="20"/>
          <w:color w:val="auto"/>
        </w:rPr>
      </w:pPr>
    </w:p>
    <w:p>
      <w:pPr>
        <w:spacing w:after="0"/>
        <w:tabs>
          <w:tab w:leader="none" w:pos="1160" w:val="left"/>
          <w:tab w:leader="dot" w:pos="9340" w:val="left"/>
        </w:tabs>
        <w:rPr>
          <w:sz w:val="20"/>
          <w:szCs w:val="20"/>
          <w:color w:val="auto"/>
        </w:rPr>
      </w:pPr>
      <w:r>
        <w:rPr>
          <w:rFonts w:ascii="Times New Roman" w:cs="Times New Roman" w:eastAsia="Times New Roman" w:hAnsi="Times New Roman"/>
          <w:sz w:val="19"/>
          <w:szCs w:val="19"/>
          <w:color w:val="231F20"/>
        </w:rPr>
        <w:t>Item 1A.</w:t>
      </w:r>
      <w:r>
        <w:rPr>
          <w:sz w:val="20"/>
          <w:szCs w:val="20"/>
          <w:color w:val="auto"/>
        </w:rPr>
        <w:tab/>
      </w:r>
      <w:r>
        <w:rPr>
          <w:rFonts w:ascii="Times New Roman" w:cs="Times New Roman" w:eastAsia="Times New Roman" w:hAnsi="Times New Roman"/>
          <w:sz w:val="19"/>
          <w:szCs w:val="19"/>
          <w:color w:val="231F20"/>
        </w:rPr>
        <w:t>Risk Factors</w:t>
      </w:r>
      <w:r>
        <w:rPr>
          <w:sz w:val="20"/>
          <w:szCs w:val="20"/>
          <w:color w:val="auto"/>
        </w:rPr>
        <w:tab/>
      </w:r>
      <w:r>
        <w:rPr>
          <w:rFonts w:ascii="Times New Roman" w:cs="Times New Roman" w:eastAsia="Times New Roman" w:hAnsi="Times New Roman"/>
          <w:sz w:val="19"/>
          <w:szCs w:val="19"/>
          <w:color w:val="231F20"/>
        </w:rPr>
        <w:t>8</w:t>
      </w:r>
    </w:p>
    <w:p>
      <w:pPr>
        <w:spacing w:after="0" w:line="52" w:lineRule="exact"/>
        <w:rPr>
          <w:sz w:val="20"/>
          <w:szCs w:val="20"/>
          <w:color w:val="auto"/>
        </w:rPr>
      </w:pPr>
    </w:p>
    <w:p>
      <w:pPr>
        <w:spacing w:after="0"/>
        <w:tabs>
          <w:tab w:leader="none" w:pos="1160" w:val="left"/>
          <w:tab w:leader="dot" w:pos="9340" w:val="left"/>
        </w:tabs>
        <w:rPr>
          <w:sz w:val="20"/>
          <w:szCs w:val="20"/>
          <w:color w:val="auto"/>
        </w:rPr>
      </w:pPr>
      <w:r>
        <w:rPr>
          <w:rFonts w:ascii="Times New Roman" w:cs="Times New Roman" w:eastAsia="Times New Roman" w:hAnsi="Times New Roman"/>
          <w:sz w:val="19"/>
          <w:szCs w:val="19"/>
          <w:color w:val="231F20"/>
        </w:rPr>
        <w:t>Item 1B.</w:t>
      </w:r>
      <w:r>
        <w:rPr>
          <w:sz w:val="20"/>
          <w:szCs w:val="20"/>
          <w:color w:val="auto"/>
        </w:rPr>
        <w:tab/>
      </w:r>
      <w:r>
        <w:rPr>
          <w:rFonts w:ascii="Times New Roman" w:cs="Times New Roman" w:eastAsia="Times New Roman" w:hAnsi="Times New Roman"/>
          <w:sz w:val="19"/>
          <w:szCs w:val="19"/>
          <w:color w:val="231F20"/>
        </w:rPr>
        <w:t>Unresolved Staff Comments</w:t>
      </w:r>
      <w:r>
        <w:rPr>
          <w:sz w:val="20"/>
          <w:szCs w:val="20"/>
          <w:color w:val="auto"/>
        </w:rPr>
        <w:tab/>
      </w:r>
      <w:r>
        <w:rPr>
          <w:rFonts w:ascii="Times New Roman" w:cs="Times New Roman" w:eastAsia="Times New Roman" w:hAnsi="Times New Roman"/>
          <w:sz w:val="18"/>
          <w:szCs w:val="18"/>
          <w:color w:val="231F20"/>
        </w:rPr>
        <w:t>19</w:t>
      </w:r>
    </w:p>
    <w:p>
      <w:pPr>
        <w:spacing w:after="0" w:line="53" w:lineRule="exact"/>
        <w:rPr>
          <w:sz w:val="20"/>
          <w:szCs w:val="20"/>
          <w:color w:val="auto"/>
        </w:rPr>
      </w:pPr>
    </w:p>
    <w:p>
      <w:pPr>
        <w:spacing w:after="0"/>
        <w:tabs>
          <w:tab w:leader="none" w:pos="1160" w:val="left"/>
          <w:tab w:leader="dot" w:pos="9340" w:val="left"/>
        </w:tabs>
        <w:rPr>
          <w:sz w:val="20"/>
          <w:szCs w:val="20"/>
          <w:color w:val="auto"/>
        </w:rPr>
      </w:pPr>
      <w:r>
        <w:rPr>
          <w:rFonts w:ascii="Times New Roman" w:cs="Times New Roman" w:eastAsia="Times New Roman" w:hAnsi="Times New Roman"/>
          <w:sz w:val="19"/>
          <w:szCs w:val="19"/>
          <w:color w:val="231F20"/>
        </w:rPr>
        <w:t>Item 1C.</w:t>
      </w:r>
      <w:r>
        <w:rPr>
          <w:sz w:val="20"/>
          <w:szCs w:val="20"/>
          <w:color w:val="auto"/>
        </w:rPr>
        <w:tab/>
      </w:r>
      <w:r>
        <w:rPr>
          <w:rFonts w:ascii="Times New Roman" w:cs="Times New Roman" w:eastAsia="Times New Roman" w:hAnsi="Times New Roman"/>
          <w:sz w:val="19"/>
          <w:szCs w:val="19"/>
          <w:color w:val="231F20"/>
        </w:rPr>
        <w:t>Cyber Security</w:t>
      </w:r>
      <w:r>
        <w:rPr>
          <w:sz w:val="20"/>
          <w:szCs w:val="20"/>
          <w:color w:val="auto"/>
        </w:rPr>
        <w:tab/>
      </w:r>
      <w:r>
        <w:rPr>
          <w:rFonts w:ascii="Times New Roman" w:cs="Times New Roman" w:eastAsia="Times New Roman" w:hAnsi="Times New Roman"/>
          <w:sz w:val="18"/>
          <w:szCs w:val="18"/>
          <w:color w:val="231F20"/>
        </w:rPr>
        <w:t>19</w:t>
      </w:r>
    </w:p>
    <w:p>
      <w:pPr>
        <w:spacing w:after="0" w:line="52" w:lineRule="exact"/>
        <w:rPr>
          <w:sz w:val="20"/>
          <w:szCs w:val="20"/>
          <w:color w:val="auto"/>
        </w:rPr>
      </w:pPr>
    </w:p>
    <w:p>
      <w:pPr>
        <w:spacing w:after="0"/>
        <w:tabs>
          <w:tab w:leader="none" w:pos="1160" w:val="left"/>
          <w:tab w:leader="dot" w:pos="9340" w:val="left"/>
        </w:tabs>
        <w:rPr>
          <w:sz w:val="20"/>
          <w:szCs w:val="20"/>
          <w:color w:val="auto"/>
        </w:rPr>
      </w:pPr>
      <w:r>
        <w:rPr>
          <w:rFonts w:ascii="Times New Roman" w:cs="Times New Roman" w:eastAsia="Times New Roman" w:hAnsi="Times New Roman"/>
          <w:sz w:val="19"/>
          <w:szCs w:val="19"/>
          <w:color w:val="231F20"/>
        </w:rPr>
        <w:t>Item 2.</w:t>
      </w:r>
      <w:r>
        <w:rPr>
          <w:sz w:val="20"/>
          <w:szCs w:val="20"/>
          <w:color w:val="auto"/>
        </w:rPr>
        <w:tab/>
      </w:r>
      <w:r>
        <w:rPr>
          <w:rFonts w:ascii="Times New Roman" w:cs="Times New Roman" w:eastAsia="Times New Roman" w:hAnsi="Times New Roman"/>
          <w:sz w:val="19"/>
          <w:szCs w:val="19"/>
          <w:color w:val="231F20"/>
        </w:rPr>
        <w:t>Properties</w:t>
      </w:r>
      <w:r>
        <w:rPr>
          <w:sz w:val="20"/>
          <w:szCs w:val="20"/>
          <w:color w:val="auto"/>
        </w:rPr>
        <w:tab/>
      </w:r>
      <w:r>
        <w:rPr>
          <w:rFonts w:ascii="Times New Roman" w:cs="Times New Roman" w:eastAsia="Times New Roman" w:hAnsi="Times New Roman"/>
          <w:sz w:val="18"/>
          <w:szCs w:val="18"/>
          <w:color w:val="231F20"/>
        </w:rPr>
        <w:t>19</w:t>
      </w:r>
    </w:p>
    <w:p>
      <w:pPr>
        <w:spacing w:after="0" w:line="53" w:lineRule="exact"/>
        <w:rPr>
          <w:sz w:val="20"/>
          <w:szCs w:val="20"/>
          <w:color w:val="auto"/>
        </w:rPr>
      </w:pPr>
    </w:p>
    <w:p>
      <w:pPr>
        <w:spacing w:after="0"/>
        <w:tabs>
          <w:tab w:leader="none" w:pos="1160" w:val="left"/>
          <w:tab w:leader="dot" w:pos="9340" w:val="left"/>
        </w:tabs>
        <w:rPr>
          <w:sz w:val="20"/>
          <w:szCs w:val="20"/>
          <w:color w:val="auto"/>
        </w:rPr>
      </w:pPr>
      <w:r>
        <w:rPr>
          <w:rFonts w:ascii="Times New Roman" w:cs="Times New Roman" w:eastAsia="Times New Roman" w:hAnsi="Times New Roman"/>
          <w:sz w:val="19"/>
          <w:szCs w:val="19"/>
          <w:color w:val="231F20"/>
        </w:rPr>
        <w:t>Item 3.</w:t>
      </w:r>
      <w:r>
        <w:rPr>
          <w:sz w:val="20"/>
          <w:szCs w:val="20"/>
          <w:color w:val="auto"/>
        </w:rPr>
        <w:tab/>
      </w:r>
      <w:r>
        <w:rPr>
          <w:rFonts w:ascii="Times New Roman" w:cs="Times New Roman" w:eastAsia="Times New Roman" w:hAnsi="Times New Roman"/>
          <w:sz w:val="19"/>
          <w:szCs w:val="19"/>
          <w:color w:val="231F20"/>
        </w:rPr>
        <w:t>Legal Proceedings</w:t>
      </w:r>
      <w:r>
        <w:rPr>
          <w:sz w:val="20"/>
          <w:szCs w:val="20"/>
          <w:color w:val="auto"/>
        </w:rPr>
        <w:tab/>
      </w:r>
      <w:r>
        <w:rPr>
          <w:rFonts w:ascii="Times New Roman" w:cs="Times New Roman" w:eastAsia="Times New Roman" w:hAnsi="Times New Roman"/>
          <w:sz w:val="18"/>
          <w:szCs w:val="18"/>
          <w:color w:val="231F20"/>
        </w:rPr>
        <w:t>28</w:t>
      </w:r>
    </w:p>
    <w:p>
      <w:pPr>
        <w:spacing w:after="0" w:line="52" w:lineRule="exact"/>
        <w:rPr>
          <w:sz w:val="20"/>
          <w:szCs w:val="20"/>
          <w:color w:val="auto"/>
        </w:rPr>
      </w:pPr>
    </w:p>
    <w:p>
      <w:pPr>
        <w:spacing w:after="0"/>
        <w:tabs>
          <w:tab w:leader="none" w:pos="1160" w:val="left"/>
          <w:tab w:leader="dot" w:pos="9340" w:val="left"/>
        </w:tabs>
        <w:rPr>
          <w:sz w:val="20"/>
          <w:szCs w:val="20"/>
          <w:color w:val="auto"/>
        </w:rPr>
      </w:pPr>
      <w:r>
        <w:rPr>
          <w:rFonts w:ascii="Times New Roman" w:cs="Times New Roman" w:eastAsia="Times New Roman" w:hAnsi="Times New Roman"/>
          <w:sz w:val="19"/>
          <w:szCs w:val="19"/>
          <w:color w:val="231F20"/>
        </w:rPr>
        <w:t>Item 4.</w:t>
      </w:r>
      <w:r>
        <w:rPr>
          <w:sz w:val="20"/>
          <w:szCs w:val="20"/>
          <w:color w:val="auto"/>
        </w:rPr>
        <w:tab/>
      </w:r>
      <w:r>
        <w:rPr>
          <w:rFonts w:ascii="Times New Roman" w:cs="Times New Roman" w:eastAsia="Times New Roman" w:hAnsi="Times New Roman"/>
          <w:sz w:val="19"/>
          <w:szCs w:val="19"/>
          <w:color w:val="231F20"/>
        </w:rPr>
        <w:t>Mine Safety Disclosures</w:t>
      </w:r>
      <w:r>
        <w:rPr>
          <w:sz w:val="20"/>
          <w:szCs w:val="20"/>
          <w:color w:val="auto"/>
        </w:rPr>
        <w:tab/>
      </w:r>
      <w:r>
        <w:rPr>
          <w:rFonts w:ascii="Times New Roman" w:cs="Times New Roman" w:eastAsia="Times New Roman" w:hAnsi="Times New Roman"/>
          <w:sz w:val="18"/>
          <w:szCs w:val="18"/>
          <w:color w:val="231F20"/>
        </w:rPr>
        <w:t>28</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PART II</w:t>
      </w:r>
    </w:p>
    <w:p>
      <w:pPr>
        <w:spacing w:after="0" w:line="33"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9"/>
          <w:szCs w:val="19"/>
          <w:color w:val="231F20"/>
        </w:rPr>
        <w:t>Item 5.</w:t>
      </w:r>
      <w:r>
        <w:rPr>
          <w:sz w:val="20"/>
          <w:szCs w:val="20"/>
          <w:color w:val="auto"/>
        </w:rPr>
        <w:tab/>
      </w:r>
      <w:r>
        <w:rPr>
          <w:rFonts w:ascii="Times New Roman" w:cs="Times New Roman" w:eastAsia="Times New Roman" w:hAnsi="Times New Roman"/>
          <w:sz w:val="18"/>
          <w:szCs w:val="18"/>
          <w:color w:val="231F20"/>
        </w:rPr>
        <w:t>Market for Our Common Equity and Related Shareholder Matters and Issuer Purchases of Equity</w:t>
      </w:r>
    </w:p>
    <w:p>
      <w:pPr>
        <w:spacing w:after="0" w:line="23" w:lineRule="exact"/>
        <w:rPr>
          <w:sz w:val="20"/>
          <w:szCs w:val="20"/>
          <w:color w:val="auto"/>
        </w:rPr>
      </w:pPr>
    </w:p>
    <w:p>
      <w:pPr>
        <w:ind w:left="1180"/>
        <w:spacing w:after="0"/>
        <w:tabs>
          <w:tab w:leader="dot" w:pos="9340" w:val="left"/>
        </w:tabs>
        <w:rPr>
          <w:sz w:val="20"/>
          <w:szCs w:val="20"/>
          <w:color w:val="auto"/>
        </w:rPr>
      </w:pPr>
      <w:r>
        <w:rPr>
          <w:rFonts w:ascii="Times New Roman" w:cs="Times New Roman" w:eastAsia="Times New Roman" w:hAnsi="Times New Roman"/>
          <w:sz w:val="19"/>
          <w:szCs w:val="19"/>
          <w:color w:val="231F20"/>
        </w:rPr>
        <w:t>Securities</w:t>
      </w:r>
      <w:r>
        <w:rPr>
          <w:sz w:val="20"/>
          <w:szCs w:val="20"/>
          <w:color w:val="auto"/>
        </w:rPr>
        <w:tab/>
      </w:r>
      <w:r>
        <w:rPr>
          <w:rFonts w:ascii="Times New Roman" w:cs="Times New Roman" w:eastAsia="Times New Roman" w:hAnsi="Times New Roman"/>
          <w:sz w:val="18"/>
          <w:szCs w:val="18"/>
          <w:color w:val="231F20"/>
        </w:rPr>
        <w:t>29</w:t>
      </w:r>
    </w:p>
    <w:p>
      <w:pPr>
        <w:spacing w:after="0" w:line="30" w:lineRule="exact"/>
        <w:rPr>
          <w:sz w:val="20"/>
          <w:szCs w:val="20"/>
          <w:color w:val="auto"/>
        </w:rPr>
      </w:pPr>
    </w:p>
    <w:p>
      <w:pPr>
        <w:spacing w:after="0"/>
        <w:tabs>
          <w:tab w:leader="none" w:pos="1160" w:val="left"/>
          <w:tab w:leader="dot" w:pos="9340" w:val="left"/>
        </w:tabs>
        <w:rPr>
          <w:sz w:val="20"/>
          <w:szCs w:val="20"/>
          <w:color w:val="auto"/>
        </w:rPr>
      </w:pPr>
      <w:r>
        <w:rPr>
          <w:rFonts w:ascii="Times New Roman" w:cs="Times New Roman" w:eastAsia="Times New Roman" w:hAnsi="Times New Roman"/>
          <w:sz w:val="19"/>
          <w:szCs w:val="19"/>
          <w:color w:val="231F20"/>
        </w:rPr>
        <w:t>Item 6.</w:t>
      </w:r>
      <w:r>
        <w:rPr>
          <w:sz w:val="20"/>
          <w:szCs w:val="20"/>
          <w:color w:val="auto"/>
        </w:rPr>
        <w:tab/>
      </w:r>
      <w:r>
        <w:rPr>
          <w:rFonts w:ascii="Times New Roman" w:cs="Times New Roman" w:eastAsia="Times New Roman" w:hAnsi="Times New Roman"/>
          <w:sz w:val="19"/>
          <w:szCs w:val="19"/>
          <w:color w:val="231F20"/>
        </w:rPr>
        <w:t>Reserved</w:t>
      </w:r>
      <w:r>
        <w:rPr>
          <w:sz w:val="20"/>
          <w:szCs w:val="20"/>
          <w:color w:val="auto"/>
        </w:rPr>
        <w:tab/>
      </w:r>
      <w:r>
        <w:rPr>
          <w:rFonts w:ascii="Times New Roman" w:cs="Times New Roman" w:eastAsia="Times New Roman" w:hAnsi="Times New Roman"/>
          <w:sz w:val="18"/>
          <w:szCs w:val="18"/>
          <w:color w:val="231F20"/>
        </w:rPr>
        <w:t>31</w:t>
      </w:r>
    </w:p>
    <w:p>
      <w:pPr>
        <w:spacing w:after="0" w:line="53" w:lineRule="exact"/>
        <w:rPr>
          <w:sz w:val="20"/>
          <w:szCs w:val="20"/>
          <w:color w:val="auto"/>
        </w:rPr>
      </w:pPr>
    </w:p>
    <w:p>
      <w:pPr>
        <w:spacing w:after="0"/>
        <w:tabs>
          <w:tab w:leader="none" w:pos="1160" w:val="left"/>
          <w:tab w:leader="dot" w:pos="9340" w:val="left"/>
        </w:tabs>
        <w:rPr>
          <w:sz w:val="20"/>
          <w:szCs w:val="20"/>
          <w:color w:val="auto"/>
        </w:rPr>
      </w:pPr>
      <w:r>
        <w:rPr>
          <w:rFonts w:ascii="Times New Roman" w:cs="Times New Roman" w:eastAsia="Times New Roman" w:hAnsi="Times New Roman"/>
          <w:sz w:val="19"/>
          <w:szCs w:val="19"/>
          <w:color w:val="231F20"/>
        </w:rPr>
        <w:t>Item 7.</w:t>
      </w:r>
      <w:r>
        <w:rPr>
          <w:sz w:val="20"/>
          <w:szCs w:val="20"/>
          <w:color w:val="auto"/>
        </w:rPr>
        <w:tab/>
      </w:r>
      <w:r>
        <w:rPr>
          <w:rFonts w:ascii="Times New Roman" w:cs="Times New Roman" w:eastAsia="Times New Roman" w:hAnsi="Times New Roman"/>
          <w:sz w:val="19"/>
          <w:szCs w:val="19"/>
          <w:color w:val="231F20"/>
        </w:rPr>
        <w:t>Management’s Discussion and Analysis of Financial Condition and Results of Operations</w:t>
      </w:r>
      <w:r>
        <w:rPr>
          <w:sz w:val="20"/>
          <w:szCs w:val="20"/>
          <w:color w:val="auto"/>
        </w:rPr>
        <w:tab/>
      </w:r>
      <w:r>
        <w:rPr>
          <w:rFonts w:ascii="Times New Roman" w:cs="Times New Roman" w:eastAsia="Times New Roman" w:hAnsi="Times New Roman"/>
          <w:sz w:val="18"/>
          <w:szCs w:val="18"/>
          <w:color w:val="231F20"/>
        </w:rPr>
        <w:t>31</w:t>
      </w:r>
    </w:p>
    <w:p>
      <w:pPr>
        <w:spacing w:after="0" w:line="52" w:lineRule="exact"/>
        <w:rPr>
          <w:sz w:val="20"/>
          <w:szCs w:val="20"/>
          <w:color w:val="auto"/>
        </w:rPr>
      </w:pPr>
    </w:p>
    <w:p>
      <w:pPr>
        <w:spacing w:after="0"/>
        <w:tabs>
          <w:tab w:leader="none" w:pos="1160" w:val="left"/>
          <w:tab w:leader="dot" w:pos="9340" w:val="left"/>
        </w:tabs>
        <w:rPr>
          <w:sz w:val="20"/>
          <w:szCs w:val="20"/>
          <w:color w:val="auto"/>
        </w:rPr>
      </w:pPr>
      <w:r>
        <w:rPr>
          <w:rFonts w:ascii="Times New Roman" w:cs="Times New Roman" w:eastAsia="Times New Roman" w:hAnsi="Times New Roman"/>
          <w:sz w:val="19"/>
          <w:szCs w:val="19"/>
          <w:color w:val="231F20"/>
        </w:rPr>
        <w:t>Item 7A.</w:t>
      </w:r>
      <w:r>
        <w:rPr>
          <w:sz w:val="20"/>
          <w:szCs w:val="20"/>
          <w:color w:val="auto"/>
        </w:rPr>
        <w:tab/>
      </w:r>
      <w:r>
        <w:rPr>
          <w:rFonts w:ascii="Times New Roman" w:cs="Times New Roman" w:eastAsia="Times New Roman" w:hAnsi="Times New Roman"/>
          <w:sz w:val="19"/>
          <w:szCs w:val="19"/>
          <w:color w:val="231F20"/>
        </w:rPr>
        <w:t>Quantitative and Qualitative Disclosures About Market Risk</w:t>
      </w:r>
      <w:r>
        <w:rPr>
          <w:sz w:val="20"/>
          <w:szCs w:val="20"/>
          <w:color w:val="auto"/>
        </w:rPr>
        <w:tab/>
      </w:r>
      <w:r>
        <w:rPr>
          <w:rFonts w:ascii="Times New Roman" w:cs="Times New Roman" w:eastAsia="Times New Roman" w:hAnsi="Times New Roman"/>
          <w:sz w:val="18"/>
          <w:szCs w:val="18"/>
          <w:color w:val="231F20"/>
        </w:rPr>
        <w:t>47</w:t>
      </w:r>
    </w:p>
    <w:p>
      <w:pPr>
        <w:spacing w:after="0" w:line="53" w:lineRule="exact"/>
        <w:rPr>
          <w:sz w:val="20"/>
          <w:szCs w:val="20"/>
          <w:color w:val="auto"/>
        </w:rPr>
      </w:pPr>
    </w:p>
    <w:p>
      <w:pPr>
        <w:spacing w:after="0"/>
        <w:tabs>
          <w:tab w:leader="none" w:pos="1160" w:val="left"/>
          <w:tab w:leader="dot" w:pos="9340" w:val="left"/>
        </w:tabs>
        <w:rPr>
          <w:sz w:val="20"/>
          <w:szCs w:val="20"/>
          <w:color w:val="auto"/>
        </w:rPr>
      </w:pPr>
      <w:r>
        <w:rPr>
          <w:rFonts w:ascii="Times New Roman" w:cs="Times New Roman" w:eastAsia="Times New Roman" w:hAnsi="Times New Roman"/>
          <w:sz w:val="19"/>
          <w:szCs w:val="19"/>
          <w:color w:val="231F20"/>
        </w:rPr>
        <w:t>Item 8.</w:t>
      </w:r>
      <w:r>
        <w:rPr>
          <w:sz w:val="20"/>
          <w:szCs w:val="20"/>
          <w:color w:val="auto"/>
        </w:rPr>
        <w:tab/>
      </w:r>
      <w:r>
        <w:rPr>
          <w:rFonts w:ascii="Times New Roman" w:cs="Times New Roman" w:eastAsia="Times New Roman" w:hAnsi="Times New Roman"/>
          <w:sz w:val="19"/>
          <w:szCs w:val="19"/>
          <w:color w:val="231F20"/>
        </w:rPr>
        <w:t>Financial Statements and Supplementary Data</w:t>
      </w:r>
      <w:r>
        <w:rPr>
          <w:sz w:val="20"/>
          <w:szCs w:val="20"/>
          <w:color w:val="auto"/>
        </w:rPr>
        <w:tab/>
      </w:r>
      <w:r>
        <w:rPr>
          <w:rFonts w:ascii="Times New Roman" w:cs="Times New Roman" w:eastAsia="Times New Roman" w:hAnsi="Times New Roman"/>
          <w:sz w:val="18"/>
          <w:szCs w:val="18"/>
          <w:color w:val="231F20"/>
        </w:rPr>
        <w:t>48</w:t>
      </w:r>
    </w:p>
    <w:p>
      <w:pPr>
        <w:spacing w:after="0" w:line="52" w:lineRule="exact"/>
        <w:rPr>
          <w:sz w:val="20"/>
          <w:szCs w:val="20"/>
          <w:color w:val="auto"/>
        </w:rPr>
      </w:pPr>
    </w:p>
    <w:p>
      <w:pPr>
        <w:spacing w:after="0"/>
        <w:tabs>
          <w:tab w:leader="none" w:pos="1160" w:val="left"/>
          <w:tab w:leader="dot" w:pos="9340" w:val="left"/>
        </w:tabs>
        <w:rPr>
          <w:sz w:val="20"/>
          <w:szCs w:val="20"/>
          <w:color w:val="auto"/>
        </w:rPr>
      </w:pPr>
      <w:r>
        <w:rPr>
          <w:rFonts w:ascii="Times New Roman" w:cs="Times New Roman" w:eastAsia="Times New Roman" w:hAnsi="Times New Roman"/>
          <w:sz w:val="19"/>
          <w:szCs w:val="19"/>
          <w:color w:val="231F20"/>
        </w:rPr>
        <w:t>Item 9.</w:t>
      </w:r>
      <w:r>
        <w:rPr>
          <w:sz w:val="20"/>
          <w:szCs w:val="20"/>
          <w:color w:val="auto"/>
        </w:rPr>
        <w:tab/>
      </w:r>
      <w:r>
        <w:rPr>
          <w:rFonts w:ascii="Times New Roman" w:cs="Times New Roman" w:eastAsia="Times New Roman" w:hAnsi="Times New Roman"/>
          <w:sz w:val="19"/>
          <w:szCs w:val="19"/>
          <w:color w:val="231F20"/>
        </w:rPr>
        <w:t>Changes In and Disagreements with Accountants on Accounting and Financial Disclosure</w:t>
      </w:r>
      <w:r>
        <w:rPr>
          <w:sz w:val="20"/>
          <w:szCs w:val="20"/>
          <w:color w:val="auto"/>
        </w:rPr>
        <w:tab/>
      </w:r>
      <w:r>
        <w:rPr>
          <w:rFonts w:ascii="Times New Roman" w:cs="Times New Roman" w:eastAsia="Times New Roman" w:hAnsi="Times New Roman"/>
          <w:sz w:val="18"/>
          <w:szCs w:val="18"/>
          <w:color w:val="231F20"/>
        </w:rPr>
        <w:t>48</w:t>
      </w:r>
    </w:p>
    <w:p>
      <w:pPr>
        <w:spacing w:after="0" w:line="53" w:lineRule="exact"/>
        <w:rPr>
          <w:sz w:val="20"/>
          <w:szCs w:val="20"/>
          <w:color w:val="auto"/>
        </w:rPr>
      </w:pPr>
    </w:p>
    <w:p>
      <w:pPr>
        <w:spacing w:after="0"/>
        <w:tabs>
          <w:tab w:leader="none" w:pos="1160" w:val="left"/>
          <w:tab w:leader="dot" w:pos="9340" w:val="left"/>
        </w:tabs>
        <w:rPr>
          <w:sz w:val="20"/>
          <w:szCs w:val="20"/>
          <w:color w:val="auto"/>
        </w:rPr>
      </w:pPr>
      <w:r>
        <w:rPr>
          <w:rFonts w:ascii="Times New Roman" w:cs="Times New Roman" w:eastAsia="Times New Roman" w:hAnsi="Times New Roman"/>
          <w:sz w:val="19"/>
          <w:szCs w:val="19"/>
          <w:color w:val="231F20"/>
        </w:rPr>
        <w:t>Item 9A.</w:t>
      </w:r>
      <w:r>
        <w:rPr>
          <w:sz w:val="20"/>
          <w:szCs w:val="20"/>
          <w:color w:val="auto"/>
        </w:rPr>
        <w:tab/>
      </w:r>
      <w:r>
        <w:rPr>
          <w:rFonts w:ascii="Times New Roman" w:cs="Times New Roman" w:eastAsia="Times New Roman" w:hAnsi="Times New Roman"/>
          <w:sz w:val="19"/>
          <w:szCs w:val="19"/>
          <w:color w:val="231F20"/>
        </w:rPr>
        <w:t>Controls and Procedures</w:t>
      </w:r>
      <w:r>
        <w:rPr>
          <w:sz w:val="20"/>
          <w:szCs w:val="20"/>
          <w:color w:val="auto"/>
        </w:rPr>
        <w:tab/>
      </w:r>
      <w:r>
        <w:rPr>
          <w:rFonts w:ascii="Times New Roman" w:cs="Times New Roman" w:eastAsia="Times New Roman" w:hAnsi="Times New Roman"/>
          <w:sz w:val="18"/>
          <w:szCs w:val="18"/>
          <w:color w:val="231F20"/>
        </w:rPr>
        <w:t>48</w:t>
      </w:r>
    </w:p>
    <w:p>
      <w:pPr>
        <w:spacing w:after="0" w:line="52" w:lineRule="exact"/>
        <w:rPr>
          <w:sz w:val="20"/>
          <w:szCs w:val="20"/>
          <w:color w:val="auto"/>
        </w:rPr>
      </w:pPr>
    </w:p>
    <w:p>
      <w:pPr>
        <w:spacing w:after="0"/>
        <w:tabs>
          <w:tab w:leader="none" w:pos="1160" w:val="left"/>
          <w:tab w:leader="dot" w:pos="9340" w:val="left"/>
        </w:tabs>
        <w:rPr>
          <w:sz w:val="20"/>
          <w:szCs w:val="20"/>
          <w:color w:val="auto"/>
        </w:rPr>
      </w:pPr>
      <w:r>
        <w:rPr>
          <w:rFonts w:ascii="Times New Roman" w:cs="Times New Roman" w:eastAsia="Times New Roman" w:hAnsi="Times New Roman"/>
          <w:sz w:val="19"/>
          <w:szCs w:val="19"/>
          <w:color w:val="231F20"/>
        </w:rPr>
        <w:t>Item 9B.</w:t>
      </w:r>
      <w:r>
        <w:rPr>
          <w:sz w:val="20"/>
          <w:szCs w:val="20"/>
          <w:color w:val="auto"/>
        </w:rPr>
        <w:tab/>
      </w:r>
      <w:r>
        <w:rPr>
          <w:rFonts w:ascii="Times New Roman" w:cs="Times New Roman" w:eastAsia="Times New Roman" w:hAnsi="Times New Roman"/>
          <w:sz w:val="19"/>
          <w:szCs w:val="19"/>
          <w:color w:val="231F20"/>
        </w:rPr>
        <w:t>Other Information</w:t>
      </w:r>
      <w:r>
        <w:rPr>
          <w:sz w:val="20"/>
          <w:szCs w:val="20"/>
          <w:color w:val="auto"/>
        </w:rPr>
        <w:tab/>
      </w:r>
      <w:r>
        <w:rPr>
          <w:rFonts w:ascii="Times New Roman" w:cs="Times New Roman" w:eastAsia="Times New Roman" w:hAnsi="Times New Roman"/>
          <w:sz w:val="18"/>
          <w:szCs w:val="18"/>
          <w:color w:val="231F20"/>
        </w:rPr>
        <w:t>49</w:t>
      </w:r>
    </w:p>
    <w:p>
      <w:pPr>
        <w:spacing w:after="0" w:line="67" w:lineRule="exact"/>
        <w:rPr>
          <w:sz w:val="20"/>
          <w:szCs w:val="20"/>
          <w:color w:val="auto"/>
        </w:rPr>
      </w:pPr>
    </w:p>
    <w:p>
      <w:pPr>
        <w:spacing w:after="0"/>
        <w:tabs>
          <w:tab w:leader="none" w:pos="1160" w:val="left"/>
          <w:tab w:leader="dot" w:pos="9340" w:val="left"/>
        </w:tabs>
        <w:rPr>
          <w:sz w:val="20"/>
          <w:szCs w:val="20"/>
          <w:color w:val="auto"/>
        </w:rPr>
      </w:pPr>
      <w:r>
        <w:rPr>
          <w:rFonts w:ascii="Times New Roman" w:cs="Times New Roman" w:eastAsia="Times New Roman" w:hAnsi="Times New Roman"/>
          <w:sz w:val="19"/>
          <w:szCs w:val="19"/>
          <w:color w:val="231F20"/>
        </w:rPr>
        <w:t>Item 9C.</w:t>
      </w:r>
      <w:r>
        <w:rPr>
          <w:sz w:val="20"/>
          <w:szCs w:val="20"/>
          <w:color w:val="auto"/>
        </w:rPr>
        <w:tab/>
      </w:r>
      <w:r>
        <w:rPr>
          <w:rFonts w:ascii="Times New Roman" w:cs="Times New Roman" w:eastAsia="Times New Roman" w:hAnsi="Times New Roman"/>
          <w:sz w:val="19"/>
          <w:szCs w:val="19"/>
          <w:color w:val="231F20"/>
        </w:rPr>
        <w:t>Disclosure Regarding Foreign Jurisdictions that Prevent Inspections</w:t>
      </w:r>
      <w:r>
        <w:rPr>
          <w:sz w:val="20"/>
          <w:szCs w:val="20"/>
          <w:color w:val="auto"/>
        </w:rPr>
        <w:tab/>
      </w:r>
      <w:r>
        <w:rPr>
          <w:rFonts w:ascii="Times New Roman" w:cs="Times New Roman" w:eastAsia="Times New Roman" w:hAnsi="Times New Roman"/>
          <w:sz w:val="18"/>
          <w:szCs w:val="18"/>
          <w:color w:val="231F20"/>
        </w:rPr>
        <w:t>48</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PART III</w:t>
      </w:r>
    </w:p>
    <w:p>
      <w:pPr>
        <w:spacing w:after="0" w:line="52" w:lineRule="exact"/>
        <w:rPr>
          <w:sz w:val="20"/>
          <w:szCs w:val="20"/>
          <w:color w:val="auto"/>
        </w:rPr>
      </w:pPr>
    </w:p>
    <w:p>
      <w:pPr>
        <w:spacing w:after="0"/>
        <w:tabs>
          <w:tab w:leader="none" w:pos="1160" w:val="left"/>
          <w:tab w:leader="dot" w:pos="9340" w:val="left"/>
        </w:tabs>
        <w:rPr>
          <w:sz w:val="20"/>
          <w:szCs w:val="20"/>
          <w:color w:val="auto"/>
        </w:rPr>
      </w:pPr>
      <w:r>
        <w:rPr>
          <w:rFonts w:ascii="Times New Roman" w:cs="Times New Roman" w:eastAsia="Times New Roman" w:hAnsi="Times New Roman"/>
          <w:sz w:val="19"/>
          <w:szCs w:val="19"/>
          <w:color w:val="231F20"/>
        </w:rPr>
        <w:t>Item 10.</w:t>
      </w:r>
      <w:r>
        <w:rPr>
          <w:sz w:val="20"/>
          <w:szCs w:val="20"/>
          <w:color w:val="auto"/>
        </w:rPr>
        <w:tab/>
      </w:r>
      <w:r>
        <w:rPr>
          <w:rFonts w:ascii="Times New Roman" w:cs="Times New Roman" w:eastAsia="Times New Roman" w:hAnsi="Times New Roman"/>
          <w:sz w:val="19"/>
          <w:szCs w:val="19"/>
          <w:color w:val="231F20"/>
        </w:rPr>
        <w:t>Trustees, Executive Officers and Corporate Governance</w:t>
      </w:r>
      <w:r>
        <w:rPr>
          <w:sz w:val="20"/>
          <w:szCs w:val="20"/>
          <w:color w:val="auto"/>
        </w:rPr>
        <w:tab/>
      </w:r>
      <w:r>
        <w:rPr>
          <w:rFonts w:ascii="Times New Roman" w:cs="Times New Roman" w:eastAsia="Times New Roman" w:hAnsi="Times New Roman"/>
          <w:sz w:val="18"/>
          <w:szCs w:val="18"/>
          <w:color w:val="231F20"/>
        </w:rPr>
        <w:t>51</w:t>
      </w:r>
    </w:p>
    <w:p>
      <w:pPr>
        <w:spacing w:after="0" w:line="53" w:lineRule="exact"/>
        <w:rPr>
          <w:sz w:val="20"/>
          <w:szCs w:val="20"/>
          <w:color w:val="auto"/>
        </w:rPr>
      </w:pPr>
    </w:p>
    <w:p>
      <w:pPr>
        <w:spacing w:after="0"/>
        <w:tabs>
          <w:tab w:leader="none" w:pos="1160" w:val="left"/>
          <w:tab w:leader="dot" w:pos="9340" w:val="left"/>
        </w:tabs>
        <w:rPr>
          <w:sz w:val="20"/>
          <w:szCs w:val="20"/>
          <w:color w:val="auto"/>
        </w:rPr>
      </w:pPr>
      <w:r>
        <w:rPr>
          <w:rFonts w:ascii="Times New Roman" w:cs="Times New Roman" w:eastAsia="Times New Roman" w:hAnsi="Times New Roman"/>
          <w:sz w:val="19"/>
          <w:szCs w:val="19"/>
          <w:color w:val="231F20"/>
        </w:rPr>
        <w:t>Item 11.</w:t>
      </w:r>
      <w:r>
        <w:rPr>
          <w:sz w:val="20"/>
          <w:szCs w:val="20"/>
          <w:color w:val="auto"/>
        </w:rPr>
        <w:tab/>
      </w:r>
      <w:r>
        <w:rPr>
          <w:rFonts w:ascii="Times New Roman" w:cs="Times New Roman" w:eastAsia="Times New Roman" w:hAnsi="Times New Roman"/>
          <w:sz w:val="19"/>
          <w:szCs w:val="19"/>
          <w:color w:val="231F20"/>
        </w:rPr>
        <w:t>Executive Compensation</w:t>
      </w:r>
      <w:r>
        <w:rPr>
          <w:sz w:val="20"/>
          <w:szCs w:val="20"/>
          <w:color w:val="auto"/>
        </w:rPr>
        <w:tab/>
      </w:r>
      <w:r>
        <w:rPr>
          <w:rFonts w:ascii="Times New Roman" w:cs="Times New Roman" w:eastAsia="Times New Roman" w:hAnsi="Times New Roman"/>
          <w:sz w:val="18"/>
          <w:szCs w:val="18"/>
          <w:color w:val="231F20"/>
        </w:rPr>
        <w:t>51</w:t>
      </w:r>
    </w:p>
    <w:p>
      <w:pPr>
        <w:spacing w:after="0" w:line="33" w:lineRule="exact"/>
        <w:rPr>
          <w:sz w:val="20"/>
          <w:szCs w:val="20"/>
          <w:color w:val="auto"/>
        </w:rPr>
      </w:pPr>
    </w:p>
    <w:p>
      <w:pPr>
        <w:spacing w:after="0"/>
        <w:tabs>
          <w:tab w:leader="none" w:pos="1160" w:val="left"/>
          <w:tab w:leader="dot" w:pos="9340" w:val="left"/>
        </w:tabs>
        <w:rPr>
          <w:sz w:val="20"/>
          <w:szCs w:val="20"/>
          <w:color w:val="auto"/>
        </w:rPr>
      </w:pPr>
      <w:r>
        <w:rPr>
          <w:rFonts w:ascii="Times New Roman" w:cs="Times New Roman" w:eastAsia="Times New Roman" w:hAnsi="Times New Roman"/>
          <w:sz w:val="19"/>
          <w:szCs w:val="19"/>
          <w:color w:val="231F20"/>
        </w:rPr>
        <w:t>Item 12.</w:t>
      </w:r>
      <w:r>
        <w:rPr>
          <w:sz w:val="20"/>
          <w:szCs w:val="20"/>
          <w:color w:val="auto"/>
        </w:rPr>
        <w:tab/>
      </w:r>
      <w:r>
        <w:rPr>
          <w:rFonts w:ascii="Times New Roman" w:cs="Times New Roman" w:eastAsia="Times New Roman" w:hAnsi="Times New Roman"/>
          <w:sz w:val="19"/>
          <w:szCs w:val="19"/>
          <w:color w:val="231F20"/>
        </w:rPr>
        <w:t>Security Ownership of Certain Beneficial Owners and Management and Related Shareholder Matters</w:t>
      </w:r>
      <w:r>
        <w:rPr>
          <w:sz w:val="20"/>
          <w:szCs w:val="20"/>
          <w:color w:val="auto"/>
        </w:rPr>
        <w:tab/>
      </w:r>
      <w:r>
        <w:rPr>
          <w:rFonts w:ascii="Times New Roman" w:cs="Times New Roman" w:eastAsia="Times New Roman" w:hAnsi="Times New Roman"/>
          <w:sz w:val="18"/>
          <w:szCs w:val="18"/>
          <w:color w:val="231F20"/>
        </w:rPr>
        <w:t>51</w:t>
      </w:r>
    </w:p>
    <w:p>
      <w:pPr>
        <w:spacing w:after="0" w:line="72" w:lineRule="exact"/>
        <w:rPr>
          <w:sz w:val="20"/>
          <w:szCs w:val="20"/>
          <w:color w:val="auto"/>
        </w:rPr>
      </w:pPr>
    </w:p>
    <w:p>
      <w:pPr>
        <w:spacing w:after="0"/>
        <w:tabs>
          <w:tab w:leader="none" w:pos="1160" w:val="left"/>
          <w:tab w:leader="dot" w:pos="9340" w:val="left"/>
        </w:tabs>
        <w:rPr>
          <w:sz w:val="20"/>
          <w:szCs w:val="20"/>
          <w:color w:val="auto"/>
        </w:rPr>
      </w:pPr>
      <w:r>
        <w:rPr>
          <w:rFonts w:ascii="Times New Roman" w:cs="Times New Roman" w:eastAsia="Times New Roman" w:hAnsi="Times New Roman"/>
          <w:sz w:val="19"/>
          <w:szCs w:val="19"/>
          <w:color w:val="231F20"/>
        </w:rPr>
        <w:t>Item 13.</w:t>
      </w:r>
      <w:r>
        <w:rPr>
          <w:sz w:val="20"/>
          <w:szCs w:val="20"/>
          <w:color w:val="auto"/>
        </w:rPr>
        <w:tab/>
      </w:r>
      <w:r>
        <w:rPr>
          <w:rFonts w:ascii="Times New Roman" w:cs="Times New Roman" w:eastAsia="Times New Roman" w:hAnsi="Times New Roman"/>
          <w:sz w:val="19"/>
          <w:szCs w:val="19"/>
          <w:color w:val="231F20"/>
        </w:rPr>
        <w:t>Certain Relationships and Related Transactions, and Trustee Independence</w:t>
      </w:r>
      <w:r>
        <w:rPr>
          <w:sz w:val="20"/>
          <w:szCs w:val="20"/>
          <w:color w:val="auto"/>
        </w:rPr>
        <w:tab/>
      </w:r>
      <w:r>
        <w:rPr>
          <w:rFonts w:ascii="Times New Roman" w:cs="Times New Roman" w:eastAsia="Times New Roman" w:hAnsi="Times New Roman"/>
          <w:sz w:val="18"/>
          <w:szCs w:val="18"/>
          <w:color w:val="231F20"/>
        </w:rPr>
        <w:t>51</w:t>
      </w:r>
    </w:p>
    <w:p>
      <w:pPr>
        <w:spacing w:after="0" w:line="52" w:lineRule="exact"/>
        <w:rPr>
          <w:sz w:val="20"/>
          <w:szCs w:val="20"/>
          <w:color w:val="auto"/>
        </w:rPr>
      </w:pPr>
    </w:p>
    <w:p>
      <w:pPr>
        <w:spacing w:after="0"/>
        <w:tabs>
          <w:tab w:leader="none" w:pos="1160" w:val="left"/>
          <w:tab w:leader="dot" w:pos="9340" w:val="left"/>
        </w:tabs>
        <w:rPr>
          <w:sz w:val="20"/>
          <w:szCs w:val="20"/>
          <w:color w:val="auto"/>
        </w:rPr>
      </w:pPr>
      <w:r>
        <w:rPr>
          <w:rFonts w:ascii="Times New Roman" w:cs="Times New Roman" w:eastAsia="Times New Roman" w:hAnsi="Times New Roman"/>
          <w:sz w:val="19"/>
          <w:szCs w:val="19"/>
          <w:color w:val="231F20"/>
        </w:rPr>
        <w:t>Item 14.</w:t>
      </w:r>
      <w:r>
        <w:rPr>
          <w:sz w:val="20"/>
          <w:szCs w:val="20"/>
          <w:color w:val="auto"/>
        </w:rPr>
        <w:tab/>
      </w:r>
      <w:r>
        <w:rPr>
          <w:rFonts w:ascii="Times New Roman" w:cs="Times New Roman" w:eastAsia="Times New Roman" w:hAnsi="Times New Roman"/>
          <w:sz w:val="19"/>
          <w:szCs w:val="19"/>
          <w:color w:val="231F20"/>
        </w:rPr>
        <w:t>Principal Accountant Fees and Services</w:t>
      </w:r>
      <w:r>
        <w:rPr>
          <w:sz w:val="20"/>
          <w:szCs w:val="20"/>
          <w:color w:val="auto"/>
        </w:rPr>
        <w:tab/>
      </w:r>
      <w:r>
        <w:rPr>
          <w:rFonts w:ascii="Times New Roman" w:cs="Times New Roman" w:eastAsia="Times New Roman" w:hAnsi="Times New Roman"/>
          <w:sz w:val="18"/>
          <w:szCs w:val="18"/>
          <w:color w:val="231F20"/>
        </w:rPr>
        <w:t>51</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PART IV</w:t>
      </w:r>
    </w:p>
    <w:p>
      <w:pPr>
        <w:spacing w:after="0" w:line="52" w:lineRule="exact"/>
        <w:rPr>
          <w:sz w:val="20"/>
          <w:szCs w:val="20"/>
          <w:color w:val="auto"/>
        </w:rPr>
      </w:pPr>
    </w:p>
    <w:p>
      <w:pPr>
        <w:spacing w:after="0"/>
        <w:tabs>
          <w:tab w:leader="none" w:pos="1160" w:val="left"/>
          <w:tab w:leader="dot" w:pos="9340" w:val="left"/>
        </w:tabs>
        <w:rPr>
          <w:sz w:val="20"/>
          <w:szCs w:val="20"/>
          <w:color w:val="auto"/>
        </w:rPr>
      </w:pPr>
      <w:r>
        <w:rPr>
          <w:rFonts w:ascii="Times New Roman" w:cs="Times New Roman" w:eastAsia="Times New Roman" w:hAnsi="Times New Roman"/>
          <w:sz w:val="19"/>
          <w:szCs w:val="19"/>
          <w:color w:val="231F20"/>
        </w:rPr>
        <w:t>Item 15.</w:t>
      </w:r>
      <w:r>
        <w:rPr>
          <w:sz w:val="20"/>
          <w:szCs w:val="20"/>
          <w:color w:val="auto"/>
        </w:rPr>
        <w:tab/>
      </w:r>
      <w:r>
        <w:rPr>
          <w:rFonts w:ascii="Times New Roman" w:cs="Times New Roman" w:eastAsia="Times New Roman" w:hAnsi="Times New Roman"/>
          <w:sz w:val="19"/>
          <w:szCs w:val="19"/>
          <w:color w:val="231F20"/>
        </w:rPr>
        <w:t>Exhibits and Financial Statement Schedules</w:t>
      </w:r>
      <w:r>
        <w:rPr>
          <w:sz w:val="20"/>
          <w:szCs w:val="20"/>
          <w:color w:val="auto"/>
        </w:rPr>
        <w:tab/>
      </w:r>
      <w:r>
        <w:rPr>
          <w:rFonts w:ascii="Times New Roman" w:cs="Times New Roman" w:eastAsia="Times New Roman" w:hAnsi="Times New Roman"/>
          <w:sz w:val="18"/>
          <w:szCs w:val="18"/>
          <w:color w:val="231F20"/>
        </w:rPr>
        <w:t>51</w:t>
      </w:r>
    </w:p>
    <w:p>
      <w:pPr>
        <w:spacing w:after="0" w:line="67" w:lineRule="exact"/>
        <w:rPr>
          <w:sz w:val="20"/>
          <w:szCs w:val="20"/>
          <w:color w:val="auto"/>
        </w:rPr>
      </w:pPr>
    </w:p>
    <w:p>
      <w:pPr>
        <w:spacing w:after="0"/>
        <w:tabs>
          <w:tab w:leader="none" w:pos="1160" w:val="left"/>
          <w:tab w:leader="none" w:pos="9340" w:val="left"/>
        </w:tabs>
        <w:rPr>
          <w:sz w:val="20"/>
          <w:szCs w:val="20"/>
          <w:color w:val="auto"/>
        </w:rPr>
      </w:pPr>
      <w:r>
        <w:rPr>
          <w:rFonts w:ascii="Times New Roman" w:cs="Times New Roman" w:eastAsia="Times New Roman" w:hAnsi="Times New Roman"/>
          <w:sz w:val="19"/>
          <w:szCs w:val="19"/>
          <w:color w:val="231F20"/>
        </w:rPr>
        <w:t>Item 16.</w:t>
      </w:r>
      <w:r>
        <w:rPr>
          <w:sz w:val="20"/>
          <w:szCs w:val="20"/>
          <w:color w:val="auto"/>
        </w:rPr>
        <w:tab/>
      </w:r>
      <w:r>
        <w:rPr>
          <w:rFonts w:ascii="Times New Roman" w:cs="Times New Roman" w:eastAsia="Times New Roman" w:hAnsi="Times New Roman"/>
          <w:sz w:val="19"/>
          <w:szCs w:val="19"/>
          <w:color w:val="231F20"/>
        </w:rPr>
        <w:t>Form 10-K Summary</w:t>
      </w:r>
      <w:r>
        <w:rPr>
          <w:sz w:val="20"/>
          <w:szCs w:val="20"/>
          <w:color w:val="auto"/>
        </w:rPr>
        <w:tab/>
      </w:r>
      <w:r>
        <w:rPr>
          <w:rFonts w:ascii="Times New Roman" w:cs="Times New Roman" w:eastAsia="Times New Roman" w:hAnsi="Times New Roman"/>
          <w:sz w:val="18"/>
          <w:szCs w:val="18"/>
          <w:color w:val="231F20"/>
        </w:rPr>
        <w:t>55</w:t>
      </w:r>
    </w:p>
    <w:p>
      <w:pPr>
        <w:spacing w:after="0" w:line="338" w:lineRule="exact"/>
        <w:rPr>
          <w:sz w:val="20"/>
          <w:szCs w:val="20"/>
          <w:color w:val="auto"/>
        </w:rPr>
      </w:pPr>
    </w:p>
    <w:p>
      <w:pPr>
        <w:spacing w:after="0"/>
        <w:tabs>
          <w:tab w:leader="dot" w:pos="9340" w:val="left"/>
        </w:tabs>
        <w:rPr>
          <w:sz w:val="20"/>
          <w:szCs w:val="20"/>
          <w:color w:val="auto"/>
        </w:rPr>
      </w:pPr>
      <w:r>
        <w:rPr>
          <w:rFonts w:ascii="Times New Roman" w:cs="Times New Roman" w:eastAsia="Times New Roman" w:hAnsi="Times New Roman"/>
          <w:sz w:val="19"/>
          <w:szCs w:val="19"/>
          <w:color w:val="231F20"/>
        </w:rPr>
        <w:t>SIGNATURES</w:t>
      </w:r>
      <w:r>
        <w:rPr>
          <w:sz w:val="20"/>
          <w:szCs w:val="20"/>
          <w:color w:val="auto"/>
        </w:rPr>
        <w:tab/>
      </w:r>
      <w:r>
        <w:rPr>
          <w:rFonts w:ascii="Times New Roman" w:cs="Times New Roman" w:eastAsia="Times New Roman" w:hAnsi="Times New Roman"/>
          <w:sz w:val="18"/>
          <w:szCs w:val="18"/>
          <w:color w:val="231F20"/>
        </w:rPr>
        <w:t>56</w:t>
      </w:r>
    </w:p>
    <w:p>
      <w:pPr>
        <w:sectPr>
          <w:pgSz w:w="11880" w:h="15480" w:orient="portrait"/>
          <w:cols w:equalWidth="0" w:num="1">
            <w:col w:w="9540"/>
          </w:cols>
          <w:pgMar w:left="1120" w:top="958" w:right="12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231F20"/>
        </w:rPr>
        <w:t>2</w:t>
      </w:r>
    </w:p>
    <w:p>
      <w:pPr>
        <w:sectPr>
          <w:pgSz w:w="11880" w:h="15480" w:orient="portrait"/>
          <w:cols w:equalWidth="0" w:num="1">
            <w:col w:w="9540"/>
          </w:cols>
          <w:pgMar w:left="1120" w:top="958" w:right="1220" w:bottom="0" w:gutter="0" w:footer="0" w:header="0"/>
          <w:type w:val="continuous"/>
        </w:sectPr>
      </w:pPr>
    </w:p>
    <w:bookmarkStart w:id="10" w:name="page11"/>
    <w:bookmarkEnd w:id="10"/>
    <w:p>
      <w:pPr>
        <w:jc w:val="center"/>
        <w:spacing w:after="0"/>
        <w:rPr>
          <w:sz w:val="20"/>
          <w:szCs w:val="20"/>
          <w:color w:val="auto"/>
        </w:rPr>
      </w:pPr>
      <w:r>
        <w:rPr>
          <w:rFonts w:ascii="Times New Roman" w:cs="Times New Roman" w:eastAsia="Times New Roman" w:hAnsi="Times New Roman"/>
          <w:sz w:val="19"/>
          <w:szCs w:val="19"/>
          <w:b w:val="1"/>
          <w:bCs w:val="1"/>
          <w:color w:val="231F20"/>
        </w:rPr>
        <w:t>PART I</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231F20"/>
        </w:rPr>
        <w:t>Forward-Looking Statements</w:t>
      </w:r>
    </w:p>
    <w:p>
      <w:pPr>
        <w:spacing w:after="0" w:line="24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9"/>
          <w:szCs w:val="19"/>
          <w:color w:val="231F20"/>
        </w:rPr>
        <w:t>Certain statements included in this Annual Report on Form 10-K are forward-looking statements. Those statements include statements regarding the intent, belief or current expectations of Federal Realty Investment Trust and Federal Realty OP LP (together, “we” “our” or “us”) and members of our management team, as well as the assumptions on which such statements are based, and generally are identified by the use of words such as “may,” “will,” “seeks,” “anticipates,” “believes,” “estimates,” “expects,” “plans,” “intends,” “should” or similar expressions. Actual results may differ materially from those contemplated by such forward-looking statements. Further, forward-looking statements speak only as of the date they are made, and we undertake no obligation to update or revise forward-looking statements to reflect changed assumptions, the occurrence of unanticipated events or changes to future operating results over time, unless required by law.</w:t>
      </w:r>
    </w:p>
    <w:p>
      <w:pPr>
        <w:spacing w:after="0" w:line="19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9"/>
          <w:szCs w:val="19"/>
          <w:color w:val="231F20"/>
        </w:rPr>
        <w:t>The following are some of the risks and uncertainties, although not all risks and uncertainties, that could cause our actual results to differ materially from those presented in our forward-looking statements:</w:t>
      </w:r>
    </w:p>
    <w:p>
      <w:pPr>
        <w:spacing w:after="0" w:line="167" w:lineRule="exact"/>
        <w:rPr>
          <w:sz w:val="20"/>
          <w:szCs w:val="20"/>
          <w:color w:val="auto"/>
        </w:rPr>
      </w:pPr>
    </w:p>
    <w:p>
      <w:pPr>
        <w:ind w:left="680" w:hanging="335"/>
        <w:spacing w:after="0" w:line="262" w:lineRule="auto"/>
        <w:tabs>
          <w:tab w:leader="none" w:pos="680" w:val="left"/>
        </w:tabs>
        <w:numPr>
          <w:ilvl w:val="0"/>
          <w:numId w:val="7"/>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risks that our tenants will not pay rent, may vacate early or may file for bankruptcy or that we may be unable to renew leases or re-let space at favorable rents as leases expire or to fill existing vacancy;</w:t>
      </w:r>
    </w:p>
    <w:p>
      <w:pPr>
        <w:jc w:val="both"/>
        <w:ind w:left="680" w:hanging="335"/>
        <w:spacing w:after="0" w:line="250" w:lineRule="auto"/>
        <w:tabs>
          <w:tab w:leader="none" w:pos="680" w:val="left"/>
        </w:tabs>
        <w:numPr>
          <w:ilvl w:val="0"/>
          <w:numId w:val="7"/>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risks that we may not be able to proceed with or obtain necessary approvals for any development, redevelopment or renovation project, and that completion of anticipated or ongoing property development, redevelopment, or renovation projects that we do pursue may cost more, take more time to complete or fail to perform as expected;</w:t>
      </w:r>
    </w:p>
    <w:p>
      <w:pPr>
        <w:spacing w:after="0" w:line="1" w:lineRule="exact"/>
        <w:rPr>
          <w:rFonts w:ascii="Times New Roman" w:cs="Times New Roman" w:eastAsia="Times New Roman" w:hAnsi="Times New Roman"/>
          <w:sz w:val="19"/>
          <w:szCs w:val="19"/>
          <w:color w:val="231F20"/>
        </w:rPr>
      </w:pPr>
    </w:p>
    <w:p>
      <w:pPr>
        <w:jc w:val="both"/>
        <w:ind w:left="680" w:hanging="335"/>
        <w:spacing w:after="0" w:line="250" w:lineRule="auto"/>
        <w:tabs>
          <w:tab w:leader="none" w:pos="680" w:val="left"/>
        </w:tabs>
        <w:numPr>
          <w:ilvl w:val="0"/>
          <w:numId w:val="7"/>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costs associated with the periodic maintenance and repair or renovation of space, insurance and other operations may increase, that environmental issues may develop at our properties and result in unanticipated costs, and, because real estate is illiquid, that we may not be able to sell properties when appropriate;</w:t>
      </w:r>
    </w:p>
    <w:p>
      <w:pPr>
        <w:spacing w:after="0" w:line="3" w:lineRule="exact"/>
        <w:rPr>
          <w:rFonts w:ascii="Times New Roman" w:cs="Times New Roman" w:eastAsia="Times New Roman" w:hAnsi="Times New Roman"/>
          <w:sz w:val="19"/>
          <w:szCs w:val="19"/>
          <w:color w:val="231F20"/>
        </w:rPr>
      </w:pPr>
    </w:p>
    <w:p>
      <w:pPr>
        <w:ind w:left="680" w:hanging="335"/>
        <w:spacing w:after="0" w:line="250" w:lineRule="auto"/>
        <w:tabs>
          <w:tab w:leader="none" w:pos="680" w:val="left"/>
        </w:tabs>
        <w:numPr>
          <w:ilvl w:val="0"/>
          <w:numId w:val="7"/>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risks that our growth will be limited if we cannot obtain additional capital, or if the costs of capital we obtain are significantly higher than historical levels;</w:t>
      </w:r>
    </w:p>
    <w:p>
      <w:pPr>
        <w:spacing w:after="0" w:line="1" w:lineRule="exact"/>
        <w:rPr>
          <w:rFonts w:ascii="Times New Roman" w:cs="Times New Roman" w:eastAsia="Times New Roman" w:hAnsi="Times New Roman"/>
          <w:sz w:val="19"/>
          <w:szCs w:val="19"/>
          <w:color w:val="231F20"/>
        </w:rPr>
      </w:pPr>
    </w:p>
    <w:p>
      <w:pPr>
        <w:ind w:left="680" w:hanging="335"/>
        <w:spacing w:after="0" w:line="250" w:lineRule="auto"/>
        <w:tabs>
          <w:tab w:leader="none" w:pos="680" w:val="left"/>
        </w:tabs>
        <w:numPr>
          <w:ilvl w:val="0"/>
          <w:numId w:val="7"/>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risks associated with general economic conditions, including inflation, tariffs, and local economic conditions in our geographic markets;</w:t>
      </w:r>
    </w:p>
    <w:p>
      <w:pPr>
        <w:spacing w:after="0" w:line="1" w:lineRule="exact"/>
        <w:rPr>
          <w:rFonts w:ascii="Times New Roman" w:cs="Times New Roman" w:eastAsia="Times New Roman" w:hAnsi="Times New Roman"/>
          <w:sz w:val="19"/>
          <w:szCs w:val="19"/>
          <w:color w:val="231F20"/>
        </w:rPr>
      </w:pPr>
    </w:p>
    <w:p>
      <w:pPr>
        <w:jc w:val="both"/>
        <w:ind w:left="680" w:hanging="335"/>
        <w:spacing w:after="0" w:line="250" w:lineRule="auto"/>
        <w:tabs>
          <w:tab w:leader="none" w:pos="680" w:val="left"/>
        </w:tabs>
        <w:numPr>
          <w:ilvl w:val="0"/>
          <w:numId w:val="7"/>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risks of financing on terms which are acceptable to us, our ability to meet existing financial covenants and the limitations imposed on our operations by those covenants, and the possibility of increases in interest rates that would result in increased interest expense;</w:t>
      </w:r>
    </w:p>
    <w:p>
      <w:pPr>
        <w:spacing w:after="0" w:line="1" w:lineRule="exact"/>
        <w:rPr>
          <w:rFonts w:ascii="Times New Roman" w:cs="Times New Roman" w:eastAsia="Times New Roman" w:hAnsi="Times New Roman"/>
          <w:sz w:val="19"/>
          <w:szCs w:val="19"/>
          <w:color w:val="231F20"/>
        </w:rPr>
      </w:pPr>
    </w:p>
    <w:p>
      <w:pPr>
        <w:jc w:val="both"/>
        <w:ind w:left="680" w:hanging="335"/>
        <w:spacing w:after="0" w:line="250" w:lineRule="auto"/>
        <w:tabs>
          <w:tab w:leader="none" w:pos="680" w:val="left"/>
        </w:tabs>
        <w:numPr>
          <w:ilvl w:val="0"/>
          <w:numId w:val="7"/>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 and</w:t>
      </w:r>
    </w:p>
    <w:p>
      <w:pPr>
        <w:spacing w:after="0" w:line="2" w:lineRule="exact"/>
        <w:rPr>
          <w:rFonts w:ascii="Times New Roman" w:cs="Times New Roman" w:eastAsia="Times New Roman" w:hAnsi="Times New Roman"/>
          <w:sz w:val="19"/>
          <w:szCs w:val="19"/>
          <w:color w:val="231F20"/>
        </w:rPr>
      </w:pPr>
    </w:p>
    <w:p>
      <w:pPr>
        <w:jc w:val="both"/>
        <w:ind w:left="680" w:hanging="335"/>
        <w:spacing w:after="0" w:line="254" w:lineRule="auto"/>
        <w:tabs>
          <w:tab w:leader="none" w:pos="680" w:val="left"/>
        </w:tabs>
        <w:numPr>
          <w:ilvl w:val="0"/>
          <w:numId w:val="7"/>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risks related to natural disasters, climate change and public health crises (such as worldwide pandemics), and the measures that international, federal, state and local governments, agencies, law enforcement and/or health authorities implement to address them, may precipitate or materially exacerbate one or more of the above-mentioned risks, and may significantly disrupt or prevent us from operating our business in the ordinary course for an extended period.</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In addition, we describe risks and uncertainties that could cause actual results and events to differ materially in “Risk</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Factors” (Part I, Item 1A of this Annual Report on Form 10-K), “Quantitative and Qualitative Disclosures about Market</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Risk” (Part II, Item 7A), and “Management’s Discussion and Analysis of Financial Conditions and Results of Operations” (Part</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II, Item 7).</w:t>
      </w:r>
    </w:p>
    <w:p>
      <w:pPr>
        <w:spacing w:after="0" w:line="155"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9"/>
          <w:szCs w:val="19"/>
          <w:b w:val="1"/>
          <w:bCs w:val="1"/>
          <w:color w:val="231F20"/>
        </w:rPr>
        <w:t>ITEM 1.</w:t>
        <w:tab/>
        <w:t>BUSINESS</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General</w:t>
      </w:r>
    </w:p>
    <w:p>
      <w:pPr>
        <w:spacing w:after="0" w:line="110" w:lineRule="exact"/>
        <w:rPr>
          <w:sz w:val="20"/>
          <w:szCs w:val="20"/>
          <w:color w:val="auto"/>
        </w:rPr>
      </w:pPr>
    </w:p>
    <w:p>
      <w:pPr>
        <w:ind w:right="400"/>
        <w:spacing w:after="0" w:line="261" w:lineRule="auto"/>
        <w:rPr>
          <w:sz w:val="20"/>
          <w:szCs w:val="20"/>
          <w:color w:val="auto"/>
        </w:rPr>
      </w:pPr>
      <w:r>
        <w:rPr>
          <w:rFonts w:ascii="Times New Roman" w:cs="Times New Roman" w:eastAsia="Times New Roman" w:hAnsi="Times New Roman"/>
          <w:sz w:val="19"/>
          <w:szCs w:val="19"/>
          <w:color w:val="231F20"/>
        </w:rPr>
        <w:t>Federal Realty Investment Trust (the "Parent Company" or the "Trust") is an equity real estate investment trust ("REIT"). Federal Realty OP LP (the "Operating Partnership") is the entity through which the Trust conducts substantially all of its operations and owns substantially all of its assets. The Trust owns 100% of the limited liability company interest of, is sole member of, and exercises exclusive control over Federal Realty GP LLC (the "General Partner"), which in turn, is the sole</w:t>
      </w:r>
    </w:p>
    <w:p>
      <w:pPr>
        <w:sectPr>
          <w:pgSz w:w="11880" w:h="15480" w:orient="portrait"/>
          <w:cols w:equalWidth="0" w:num="1">
            <w:col w:w="9760"/>
          </w:cols>
          <w:pgMar w:left="1060" w:top="1414" w:right="1060" w:bottom="0" w:gutter="0" w:footer="0" w:header="0"/>
        </w:sect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231F20"/>
        </w:rPr>
        <w:t>3</w:t>
      </w:r>
    </w:p>
    <w:p>
      <w:pPr>
        <w:sectPr>
          <w:pgSz w:w="11880" w:h="15480" w:orient="portrait"/>
          <w:cols w:equalWidth="0" w:num="1">
            <w:col w:w="9760"/>
          </w:cols>
          <w:pgMar w:left="1060" w:top="1414" w:right="1060" w:bottom="0" w:gutter="0" w:footer="0" w:header="0"/>
          <w:type w:val="continuous"/>
        </w:sectPr>
      </w:pPr>
    </w:p>
    <w:bookmarkStart w:id="11" w:name="page12"/>
    <w:bookmarkEnd w:id="11"/>
    <w:p>
      <w:pPr>
        <w:ind w:right="40"/>
        <w:spacing w:after="0" w:line="254" w:lineRule="auto"/>
        <w:rPr>
          <w:sz w:val="20"/>
          <w:szCs w:val="20"/>
          <w:color w:val="auto"/>
        </w:rPr>
      </w:pPr>
      <w:r>
        <w:rPr>
          <w:rFonts w:ascii="Times New Roman" w:cs="Times New Roman" w:eastAsia="Times New Roman" w:hAnsi="Times New Roman"/>
          <w:sz w:val="19"/>
          <w:szCs w:val="19"/>
          <w:color w:val="231F20"/>
        </w:rPr>
        <w:t>general partner of the Operating Partnership. Unless stated otherwise or the context otherwise requires, "we," "our," and "us" means the Trust and its business and operations conducted through its directly and indirectly owned subsidiaries, including the Operating Partnership. We specialize in the ownership, management, and redevelopment of high quality retail and mixed-use properties. These properties are located primarily in major coastal markets and select underserved markets that we believe have strong economic and demographic fundamentals. As of December 31, 2025, we owned or had a majority interest in community and neighborhood shopping centers and mixed-use properties which are operated as 104 predominantly retail real estate projects comprising approximately 28.8 million commercial square feet. In total, the real estate projects were 96.1% leased and 94.1% occupied at December 31, 2025. Our revenue is primarily generated from lease agreements with tenants. We have paid quarterly dividends to our shareholders continuously since our founding in 1962 and have increased our dividends per common share for 58 consecutive years.</w:t>
      </w:r>
    </w:p>
    <w:p>
      <w:pPr>
        <w:spacing w:after="0" w:line="14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9"/>
          <w:szCs w:val="19"/>
          <w:color w:val="231F20"/>
        </w:rPr>
        <w:t xml:space="preserve">We were founded in 1962 as a REIT under the laws of the District of Columbia and re-formed as a REIT in the state of Maryland in 1999. In January of 2022, we consummated the UPREIT reorganization described in the Explanatory Note at the beginning of this Annual Report. We operate in a manner intended to qualify as a REIT for tax purposes pursuant to provisions of the Internal Revenue Code of 1986, as amended (the “Code”). Our principal executive offices are located at 909 Rose Avenue, North Bethesda, Maryland 20852. Our telephone number is (301) 998-8100. Our website address is </w:t>
      </w:r>
      <w:r>
        <w:rPr>
          <w:rFonts w:ascii="Times New Roman" w:cs="Times New Roman" w:eastAsia="Times New Roman" w:hAnsi="Times New Roman"/>
          <w:sz w:val="19"/>
          <w:szCs w:val="19"/>
          <w:i w:val="1"/>
          <w:iCs w:val="1"/>
          <w:color w:val="231F20"/>
        </w:rPr>
        <w:t>www.federalrealty.com</w:t>
      </w:r>
      <w:r>
        <w:rPr>
          <w:rFonts w:ascii="Times New Roman" w:cs="Times New Roman" w:eastAsia="Times New Roman" w:hAnsi="Times New Roman"/>
          <w:sz w:val="19"/>
          <w:szCs w:val="19"/>
          <w:color w:val="231F20"/>
        </w:rPr>
        <w:t>. The information contained on our website is not a part of this report and is not incorporated herein by</w:t>
      </w:r>
      <w:r>
        <w:rPr>
          <w:rFonts w:ascii="Times New Roman" w:cs="Times New Roman" w:eastAsia="Times New Roman" w:hAnsi="Times New Roman"/>
          <w:sz w:val="19"/>
          <w:szCs w:val="19"/>
          <w:i w:val="1"/>
          <w:iCs w:val="1"/>
          <w:color w:val="231F20"/>
        </w:rPr>
        <w:t xml:space="preserve"> </w:t>
      </w:r>
      <w:r>
        <w:rPr>
          <w:rFonts w:ascii="Times New Roman" w:cs="Times New Roman" w:eastAsia="Times New Roman" w:hAnsi="Times New Roman"/>
          <w:sz w:val="19"/>
          <w:szCs w:val="19"/>
          <w:color w:val="231F20"/>
        </w:rPr>
        <w:t>reference.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Business Objectives and Strategies</w:t>
      </w:r>
    </w:p>
    <w:p>
      <w:pPr>
        <w:spacing w:after="0" w:line="110" w:lineRule="exact"/>
        <w:rPr>
          <w:sz w:val="20"/>
          <w:szCs w:val="20"/>
          <w:color w:val="auto"/>
        </w:rPr>
      </w:pPr>
    </w:p>
    <w:p>
      <w:pPr>
        <w:ind w:right="240"/>
        <w:spacing w:after="0" w:line="262" w:lineRule="auto"/>
        <w:rPr>
          <w:sz w:val="20"/>
          <w:szCs w:val="20"/>
          <w:color w:val="auto"/>
        </w:rPr>
      </w:pPr>
      <w:r>
        <w:rPr>
          <w:rFonts w:ascii="Times New Roman" w:cs="Times New Roman" w:eastAsia="Times New Roman" w:hAnsi="Times New Roman"/>
          <w:sz w:val="19"/>
          <w:szCs w:val="19"/>
          <w:color w:val="231F20"/>
        </w:rPr>
        <w:t>Our primary business objective is to own, manage, acquire and redevelop a portfolio of high quality retail focused properties that will:</w:t>
      </w:r>
    </w:p>
    <w:p>
      <w:pPr>
        <w:spacing w:after="0" w:line="1" w:lineRule="exact"/>
        <w:rPr>
          <w:sz w:val="20"/>
          <w:szCs w:val="20"/>
          <w:color w:val="auto"/>
        </w:rPr>
      </w:pPr>
    </w:p>
    <w:p>
      <w:pPr>
        <w:ind w:left="680" w:hanging="335"/>
        <w:spacing w:after="0"/>
        <w:tabs>
          <w:tab w:leader="none" w:pos="680" w:val="left"/>
        </w:tabs>
        <w:numPr>
          <w:ilvl w:val="0"/>
          <w:numId w:val="8"/>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provide increasing cash flow for distribution to shareholders;</w:t>
      </w:r>
    </w:p>
    <w:p>
      <w:pPr>
        <w:spacing w:after="0" w:line="9" w:lineRule="exact"/>
        <w:rPr>
          <w:rFonts w:ascii="Times New Roman" w:cs="Times New Roman" w:eastAsia="Times New Roman" w:hAnsi="Times New Roman"/>
          <w:sz w:val="19"/>
          <w:szCs w:val="19"/>
          <w:color w:val="231F20"/>
        </w:rPr>
      </w:pPr>
    </w:p>
    <w:p>
      <w:pPr>
        <w:ind w:left="680" w:hanging="335"/>
        <w:spacing w:after="0"/>
        <w:tabs>
          <w:tab w:leader="none" w:pos="680" w:val="left"/>
        </w:tabs>
        <w:numPr>
          <w:ilvl w:val="0"/>
          <w:numId w:val="8"/>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generate higher internal growth than the shopping center industry over the long term;</w:t>
      </w:r>
    </w:p>
    <w:p>
      <w:pPr>
        <w:spacing w:after="0" w:line="9" w:lineRule="exact"/>
        <w:rPr>
          <w:rFonts w:ascii="Times New Roman" w:cs="Times New Roman" w:eastAsia="Times New Roman" w:hAnsi="Times New Roman"/>
          <w:sz w:val="19"/>
          <w:szCs w:val="19"/>
          <w:color w:val="231F20"/>
        </w:rPr>
      </w:pPr>
    </w:p>
    <w:p>
      <w:pPr>
        <w:ind w:left="680" w:hanging="335"/>
        <w:spacing w:after="0"/>
        <w:tabs>
          <w:tab w:leader="none" w:pos="680" w:val="left"/>
        </w:tabs>
        <w:numPr>
          <w:ilvl w:val="0"/>
          <w:numId w:val="8"/>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provide potential for capital appreciation; and</w:t>
      </w:r>
    </w:p>
    <w:p>
      <w:pPr>
        <w:spacing w:after="0" w:line="9" w:lineRule="exact"/>
        <w:rPr>
          <w:rFonts w:ascii="Times New Roman" w:cs="Times New Roman" w:eastAsia="Times New Roman" w:hAnsi="Times New Roman"/>
          <w:sz w:val="19"/>
          <w:szCs w:val="19"/>
          <w:color w:val="231F20"/>
        </w:rPr>
      </w:pPr>
    </w:p>
    <w:p>
      <w:pPr>
        <w:ind w:left="680" w:hanging="335"/>
        <w:spacing w:after="0"/>
        <w:tabs>
          <w:tab w:leader="none" w:pos="680" w:val="left"/>
        </w:tabs>
        <w:numPr>
          <w:ilvl w:val="0"/>
          <w:numId w:val="8"/>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protect investor capital.</w:t>
      </w:r>
    </w:p>
    <w:p>
      <w:pPr>
        <w:spacing w:after="0" w:line="160" w:lineRule="exact"/>
        <w:rPr>
          <w:sz w:val="20"/>
          <w:szCs w:val="20"/>
          <w:color w:val="auto"/>
        </w:rPr>
      </w:pPr>
    </w:p>
    <w:p>
      <w:pPr>
        <w:ind w:right="260"/>
        <w:spacing w:after="0" w:line="267" w:lineRule="auto"/>
        <w:rPr>
          <w:sz w:val="20"/>
          <w:szCs w:val="20"/>
          <w:color w:val="auto"/>
        </w:rPr>
      </w:pPr>
      <w:r>
        <w:rPr>
          <w:rFonts w:ascii="Times New Roman" w:cs="Times New Roman" w:eastAsia="Times New Roman" w:hAnsi="Times New Roman"/>
          <w:sz w:val="19"/>
          <w:szCs w:val="19"/>
          <w:color w:val="231F20"/>
        </w:rPr>
        <w:t>Our portfolio includes, and we continue to acquire and redevelop, high quality retail in many formats ranging from regional, community and neighborhood shopping centers that often are anchored by grocery stores to mixed-use properties that are typically centered around a retail component but also include residential and office components.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231F20"/>
        </w:rPr>
        <w:t>Operating Strategies</w:t>
      </w:r>
    </w:p>
    <w:p>
      <w:pPr>
        <w:spacing w:after="0" w:line="107"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9"/>
          <w:szCs w:val="19"/>
          <w:color w:val="231F20"/>
        </w:rPr>
        <w:t>We continuously evaluate and assess our operating strategies to ensure they are effective and put us in the best position to address changes in the market. We actively manage our properties to maximize rents and maintain occupancy levels by attracting and retaining a strong and diverse base of tenants and replacing less relevant, weaker, underperforming tenants with stronger ones. Our properties are generally located in some of the most densely populated and affluent areas of the country. These strong demographics help our tenants generate higher sales, which has generally enabled us to maintain higher occupancy rates, charge higher rental rates, and maintain steady rent growth, all of which increase the value of our portfolio. Our operating strategies also include:</w:t>
      </w:r>
    </w:p>
    <w:p>
      <w:pPr>
        <w:spacing w:after="0" w:line="6" w:lineRule="exact"/>
        <w:rPr>
          <w:sz w:val="20"/>
          <w:szCs w:val="20"/>
          <w:color w:val="auto"/>
        </w:rPr>
      </w:pPr>
    </w:p>
    <w:p>
      <w:pPr>
        <w:jc w:val="both"/>
        <w:ind w:left="680" w:right="120" w:hanging="335"/>
        <w:spacing w:after="0" w:line="250" w:lineRule="auto"/>
        <w:tabs>
          <w:tab w:leader="none" w:pos="680" w:val="left"/>
        </w:tabs>
        <w:numPr>
          <w:ilvl w:val="0"/>
          <w:numId w:val="9"/>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increasing rental rates through the negotiation of contractual rental increases during the term of the lease, the renewal of expiring leases or the leasing of space to new tenants at higher rental rates while limiting vacancy and down-time;</w:t>
      </w:r>
    </w:p>
    <w:p>
      <w:pPr>
        <w:spacing w:after="0" w:line="1" w:lineRule="exact"/>
        <w:rPr>
          <w:rFonts w:ascii="Times New Roman" w:cs="Times New Roman" w:eastAsia="Times New Roman" w:hAnsi="Times New Roman"/>
          <w:sz w:val="19"/>
          <w:szCs w:val="19"/>
          <w:color w:val="231F20"/>
        </w:rPr>
      </w:pPr>
    </w:p>
    <w:p>
      <w:pPr>
        <w:ind w:left="680" w:hanging="335"/>
        <w:spacing w:after="0"/>
        <w:tabs>
          <w:tab w:leader="none" w:pos="680" w:val="left"/>
        </w:tabs>
        <w:numPr>
          <w:ilvl w:val="0"/>
          <w:numId w:val="9"/>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maintaining a diversified tenant base, thereby limiting exposure to any one tenant’s financial or operating difficulties;</w:t>
      </w:r>
    </w:p>
    <w:p>
      <w:pPr>
        <w:spacing w:after="0" w:line="9" w:lineRule="exact"/>
        <w:rPr>
          <w:rFonts w:ascii="Times New Roman" w:cs="Times New Roman" w:eastAsia="Times New Roman" w:hAnsi="Times New Roman"/>
          <w:sz w:val="19"/>
          <w:szCs w:val="19"/>
          <w:color w:val="231F20"/>
        </w:rPr>
      </w:pPr>
    </w:p>
    <w:p>
      <w:pPr>
        <w:ind w:left="680" w:right="480" w:hanging="335"/>
        <w:spacing w:after="0" w:line="250" w:lineRule="auto"/>
        <w:tabs>
          <w:tab w:leader="none" w:pos="680" w:val="left"/>
        </w:tabs>
        <w:numPr>
          <w:ilvl w:val="0"/>
          <w:numId w:val="9"/>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actively managing the merchandising mix of our tenant base to achieve a balance of strong national and regional tenants with local specialty tenants;</w:t>
      </w:r>
    </w:p>
    <w:p>
      <w:pPr>
        <w:spacing w:after="0" w:line="1" w:lineRule="exact"/>
        <w:rPr>
          <w:rFonts w:ascii="Times New Roman" w:cs="Times New Roman" w:eastAsia="Times New Roman" w:hAnsi="Times New Roman"/>
          <w:sz w:val="19"/>
          <w:szCs w:val="19"/>
          <w:color w:val="231F20"/>
        </w:rPr>
      </w:pPr>
    </w:p>
    <w:p>
      <w:pPr>
        <w:ind w:left="680" w:hanging="335"/>
        <w:spacing w:after="0"/>
        <w:tabs>
          <w:tab w:leader="none" w:pos="680" w:val="left"/>
        </w:tabs>
        <w:numPr>
          <w:ilvl w:val="0"/>
          <w:numId w:val="9"/>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minimizing overhead and operating costs;</w:t>
      </w:r>
    </w:p>
    <w:p>
      <w:pPr>
        <w:spacing w:after="0" w:line="9" w:lineRule="exact"/>
        <w:rPr>
          <w:rFonts w:ascii="Times New Roman" w:cs="Times New Roman" w:eastAsia="Times New Roman" w:hAnsi="Times New Roman"/>
          <w:sz w:val="19"/>
          <w:szCs w:val="19"/>
          <w:color w:val="231F20"/>
        </w:rPr>
      </w:pPr>
    </w:p>
    <w:p>
      <w:pPr>
        <w:jc w:val="both"/>
        <w:ind w:left="680" w:right="120" w:hanging="335"/>
        <w:spacing w:after="0" w:line="250" w:lineRule="auto"/>
        <w:tabs>
          <w:tab w:leader="none" w:pos="680" w:val="left"/>
        </w:tabs>
        <w:numPr>
          <w:ilvl w:val="0"/>
          <w:numId w:val="9"/>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actively managing the physical appearance of our properties and the construction quality, condition and design of the buildings and other improvements located on our properties to maximize our ability to attract customers and thereby generate higher rents and occupancy rates;</w:t>
      </w:r>
    </w:p>
    <w:p>
      <w:pPr>
        <w:spacing w:after="0" w:line="1" w:lineRule="exact"/>
        <w:rPr>
          <w:rFonts w:ascii="Times New Roman" w:cs="Times New Roman" w:eastAsia="Times New Roman" w:hAnsi="Times New Roman"/>
          <w:sz w:val="19"/>
          <w:szCs w:val="19"/>
          <w:color w:val="231F20"/>
        </w:rPr>
      </w:pPr>
    </w:p>
    <w:p>
      <w:pPr>
        <w:ind w:left="680" w:right="100" w:hanging="335"/>
        <w:spacing w:after="0" w:line="250" w:lineRule="auto"/>
        <w:tabs>
          <w:tab w:leader="none" w:pos="680" w:val="left"/>
        </w:tabs>
        <w:numPr>
          <w:ilvl w:val="0"/>
          <w:numId w:val="9"/>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managing our properties to take into account their impact on climate change and their resilience in the face of climate change;</w:t>
      </w:r>
    </w:p>
    <w:p>
      <w:pPr>
        <w:spacing w:after="0" w:line="1" w:lineRule="exact"/>
        <w:rPr>
          <w:rFonts w:ascii="Times New Roman" w:cs="Times New Roman" w:eastAsia="Times New Roman" w:hAnsi="Times New Roman"/>
          <w:sz w:val="19"/>
          <w:szCs w:val="19"/>
          <w:color w:val="231F20"/>
        </w:rPr>
      </w:pPr>
    </w:p>
    <w:p>
      <w:pPr>
        <w:ind w:left="680" w:hanging="335"/>
        <w:spacing w:after="0"/>
        <w:tabs>
          <w:tab w:leader="none" w:pos="680" w:val="left"/>
        </w:tabs>
        <w:numPr>
          <w:ilvl w:val="0"/>
          <w:numId w:val="9"/>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developing local and regional market expertise in order to capitalize on market and retailing trends;</w:t>
      </w:r>
    </w:p>
    <w:p>
      <w:pPr>
        <w:spacing w:after="0" w:line="9" w:lineRule="exact"/>
        <w:rPr>
          <w:rFonts w:ascii="Times New Roman" w:cs="Times New Roman" w:eastAsia="Times New Roman" w:hAnsi="Times New Roman"/>
          <w:sz w:val="19"/>
          <w:szCs w:val="19"/>
          <w:color w:val="231F20"/>
        </w:rPr>
      </w:pPr>
    </w:p>
    <w:p>
      <w:pPr>
        <w:ind w:left="680" w:right="280" w:hanging="335"/>
        <w:spacing w:after="0" w:line="250" w:lineRule="auto"/>
        <w:tabs>
          <w:tab w:leader="none" w:pos="680" w:val="left"/>
        </w:tabs>
        <w:numPr>
          <w:ilvl w:val="0"/>
          <w:numId w:val="9"/>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leveraging the contacts and experience of our management team to build and maintain long-term relationships with tenants;</w:t>
      </w:r>
    </w:p>
    <w:p>
      <w:pPr>
        <w:spacing w:after="0" w:line="1" w:lineRule="exact"/>
        <w:rPr>
          <w:rFonts w:ascii="Times New Roman" w:cs="Times New Roman" w:eastAsia="Times New Roman" w:hAnsi="Times New Roman"/>
          <w:sz w:val="19"/>
          <w:szCs w:val="19"/>
          <w:color w:val="231F20"/>
        </w:rPr>
      </w:pPr>
    </w:p>
    <w:p>
      <w:pPr>
        <w:ind w:left="680" w:hanging="335"/>
        <w:spacing w:after="0"/>
        <w:tabs>
          <w:tab w:leader="none" w:pos="680" w:val="left"/>
        </w:tabs>
        <w:numPr>
          <w:ilvl w:val="0"/>
          <w:numId w:val="9"/>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providing exceptional customer service; and</w:t>
      </w:r>
    </w:p>
    <w:p>
      <w:pPr>
        <w:spacing w:after="0" w:line="9" w:lineRule="exact"/>
        <w:rPr>
          <w:rFonts w:ascii="Times New Roman" w:cs="Times New Roman" w:eastAsia="Times New Roman" w:hAnsi="Times New Roman"/>
          <w:sz w:val="19"/>
          <w:szCs w:val="19"/>
          <w:color w:val="231F20"/>
        </w:rPr>
      </w:pPr>
    </w:p>
    <w:p>
      <w:pPr>
        <w:ind w:left="680" w:hanging="335"/>
        <w:spacing w:after="0" w:line="261" w:lineRule="auto"/>
        <w:tabs>
          <w:tab w:leader="none" w:pos="680" w:val="left"/>
        </w:tabs>
        <w:numPr>
          <w:ilvl w:val="0"/>
          <w:numId w:val="9"/>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creating an experience at many of our properties that is identifiable, unique and serves the surrounding communities to help insulate these properties and the tenants at these properties from the impact of on-line retailing.</w:t>
      </w:r>
    </w:p>
    <w:p>
      <w:pPr>
        <w:sectPr>
          <w:pgSz w:w="11880" w:h="15480" w:orient="portrait"/>
          <w:cols w:equalWidth="0" w:num="1">
            <w:col w:w="9720"/>
          </w:cols>
          <w:pgMar w:left="1060" w:top="963" w:right="11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231F20"/>
        </w:rPr>
        <w:t>4</w:t>
      </w:r>
    </w:p>
    <w:p>
      <w:pPr>
        <w:sectPr>
          <w:pgSz w:w="11880" w:h="15480" w:orient="portrait"/>
          <w:cols w:equalWidth="0" w:num="1">
            <w:col w:w="9720"/>
          </w:cols>
          <w:pgMar w:left="1060" w:top="963" w:right="1100" w:bottom="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9"/>
          <w:szCs w:val="19"/>
          <w:i w:val="1"/>
          <w:iCs w:val="1"/>
          <w:color w:val="231F20"/>
        </w:rPr>
        <w:t>Investing Strategies</w:t>
      </w:r>
    </w:p>
    <w:p>
      <w:pPr>
        <w:spacing w:after="0" w:line="107" w:lineRule="exact"/>
        <w:rPr>
          <w:sz w:val="20"/>
          <w:szCs w:val="20"/>
          <w:color w:val="auto"/>
        </w:rPr>
      </w:pPr>
    </w:p>
    <w:p>
      <w:pPr>
        <w:jc w:val="both"/>
        <w:ind w:right="180"/>
        <w:spacing w:after="0" w:line="258" w:lineRule="auto"/>
        <w:rPr>
          <w:sz w:val="20"/>
          <w:szCs w:val="20"/>
          <w:color w:val="auto"/>
        </w:rPr>
      </w:pPr>
      <w:r>
        <w:rPr>
          <w:rFonts w:ascii="Times New Roman" w:cs="Times New Roman" w:eastAsia="Times New Roman" w:hAnsi="Times New Roman"/>
          <w:sz w:val="19"/>
          <w:szCs w:val="19"/>
          <w:color w:val="231F20"/>
        </w:rPr>
        <w:t>Our investment strategy is to deploy capital at risk-adjusted rates of return that exceed our long-term weighted average cost of capital in projects that have potential for future income growth and increased value. Our investments primarily fall into one of the following four categories:</w:t>
      </w:r>
    </w:p>
    <w:p>
      <w:pPr>
        <w:spacing w:after="0" w:line="1" w:lineRule="exact"/>
        <w:rPr>
          <w:sz w:val="20"/>
          <w:szCs w:val="20"/>
          <w:color w:val="auto"/>
        </w:rPr>
      </w:pPr>
    </w:p>
    <w:p>
      <w:pPr>
        <w:jc w:val="both"/>
        <w:ind w:left="680" w:right="220" w:hanging="335"/>
        <w:spacing w:after="0" w:line="250" w:lineRule="auto"/>
        <w:tabs>
          <w:tab w:leader="none" w:pos="680" w:val="left"/>
        </w:tabs>
        <w:numPr>
          <w:ilvl w:val="0"/>
          <w:numId w:val="10"/>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acquiring quality retail and mixed-use properties located in densely populated and/or affluent areas where barriers to entry for further development are high, and that have possibilities for enhancing operating performance and creating value through renovation, expansion, reconfiguration and/or retenanting;</w:t>
      </w:r>
    </w:p>
    <w:p>
      <w:pPr>
        <w:spacing w:after="0" w:line="1" w:lineRule="exact"/>
        <w:rPr>
          <w:rFonts w:ascii="Times New Roman" w:cs="Times New Roman" w:eastAsia="Times New Roman" w:hAnsi="Times New Roman"/>
          <w:sz w:val="19"/>
          <w:szCs w:val="19"/>
          <w:color w:val="231F20"/>
        </w:rPr>
      </w:pPr>
    </w:p>
    <w:p>
      <w:pPr>
        <w:ind w:left="680" w:right="360" w:hanging="335"/>
        <w:spacing w:after="0" w:line="250" w:lineRule="auto"/>
        <w:tabs>
          <w:tab w:leader="none" w:pos="680" w:val="left"/>
        </w:tabs>
        <w:numPr>
          <w:ilvl w:val="0"/>
          <w:numId w:val="10"/>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renovating, expanding, reconfiguring and/or retenanting our existing properties to take advantage of under-utilized land or existing square footage to increase revenue;</w:t>
      </w:r>
    </w:p>
    <w:p>
      <w:pPr>
        <w:spacing w:after="0" w:line="1" w:lineRule="exact"/>
        <w:rPr>
          <w:rFonts w:ascii="Times New Roman" w:cs="Times New Roman" w:eastAsia="Times New Roman" w:hAnsi="Times New Roman"/>
          <w:sz w:val="19"/>
          <w:szCs w:val="19"/>
          <w:color w:val="231F20"/>
        </w:rPr>
      </w:pPr>
    </w:p>
    <w:p>
      <w:pPr>
        <w:ind w:left="680" w:right="460" w:hanging="335"/>
        <w:spacing w:after="0" w:line="250" w:lineRule="auto"/>
        <w:tabs>
          <w:tab w:leader="none" w:pos="680" w:val="left"/>
        </w:tabs>
        <w:numPr>
          <w:ilvl w:val="0"/>
          <w:numId w:val="10"/>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renovating or expanding tenant spaces for tenants capable of producing higher sales, and therefore, paying higher rents; and</w:t>
      </w:r>
    </w:p>
    <w:p>
      <w:pPr>
        <w:spacing w:after="0" w:line="1" w:lineRule="exact"/>
        <w:rPr>
          <w:rFonts w:ascii="Times New Roman" w:cs="Times New Roman" w:eastAsia="Times New Roman" w:hAnsi="Times New Roman"/>
          <w:sz w:val="19"/>
          <w:szCs w:val="19"/>
          <w:color w:val="231F20"/>
        </w:rPr>
      </w:pPr>
    </w:p>
    <w:p>
      <w:pPr>
        <w:ind w:left="680" w:right="180" w:hanging="335"/>
        <w:spacing w:after="0" w:line="261" w:lineRule="auto"/>
        <w:tabs>
          <w:tab w:leader="none" w:pos="680" w:val="left"/>
        </w:tabs>
        <w:numPr>
          <w:ilvl w:val="0"/>
          <w:numId w:val="10"/>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developing the retail portions of mixed-use properties and developing or otherwise investing in non-retail portions of mixed-use properties we already own in order to capitalize on the overall value created in these properties.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231F20"/>
        </w:rPr>
        <w:t>Investment Criteria</w:t>
      </w:r>
    </w:p>
    <w:p>
      <w:pPr>
        <w:spacing w:after="0" w:line="107" w:lineRule="exact"/>
        <w:rPr>
          <w:sz w:val="20"/>
          <w:szCs w:val="20"/>
          <w:color w:val="auto"/>
        </w:rPr>
      </w:pPr>
    </w:p>
    <w:p>
      <w:pPr>
        <w:ind w:right="320"/>
        <w:spacing w:after="0" w:line="262" w:lineRule="auto"/>
        <w:rPr>
          <w:sz w:val="20"/>
          <w:szCs w:val="20"/>
          <w:color w:val="auto"/>
        </w:rPr>
      </w:pPr>
      <w:r>
        <w:rPr>
          <w:rFonts w:ascii="Times New Roman" w:cs="Times New Roman" w:eastAsia="Times New Roman" w:hAnsi="Times New Roman"/>
          <w:sz w:val="19"/>
          <w:szCs w:val="19"/>
          <w:color w:val="231F20"/>
        </w:rPr>
        <w:t>When we evaluate potential redevelopment, retenanting, expansion, acquisition and development opportunities, we consider such factors as:</w:t>
      </w:r>
    </w:p>
    <w:p>
      <w:pPr>
        <w:spacing w:after="0" w:line="1" w:lineRule="exact"/>
        <w:rPr>
          <w:sz w:val="20"/>
          <w:szCs w:val="20"/>
          <w:color w:val="auto"/>
        </w:rPr>
      </w:pPr>
    </w:p>
    <w:p>
      <w:pPr>
        <w:ind w:left="680" w:right="120" w:hanging="335"/>
        <w:spacing w:after="0" w:line="250" w:lineRule="auto"/>
        <w:tabs>
          <w:tab w:leader="none" w:pos="680" w:val="left"/>
        </w:tabs>
        <w:numPr>
          <w:ilvl w:val="0"/>
          <w:numId w:val="11"/>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the expected returns in relation to our short and long-term cost of capital as well as the anticipated risk we will face in achieving the expected returns;</w:t>
      </w:r>
    </w:p>
    <w:p>
      <w:pPr>
        <w:spacing w:after="0" w:line="1" w:lineRule="exact"/>
        <w:rPr>
          <w:rFonts w:ascii="Times New Roman" w:cs="Times New Roman" w:eastAsia="Times New Roman" w:hAnsi="Times New Roman"/>
          <w:sz w:val="19"/>
          <w:szCs w:val="19"/>
          <w:color w:val="231F20"/>
        </w:rPr>
      </w:pPr>
    </w:p>
    <w:p>
      <w:pPr>
        <w:ind w:left="680" w:hanging="335"/>
        <w:spacing w:after="0"/>
        <w:tabs>
          <w:tab w:leader="none" w:pos="680" w:val="left"/>
        </w:tabs>
        <w:numPr>
          <w:ilvl w:val="0"/>
          <w:numId w:val="11"/>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the anticipated growth rate of operating income generated by the property;</w:t>
      </w:r>
    </w:p>
    <w:p>
      <w:pPr>
        <w:spacing w:after="0" w:line="9" w:lineRule="exact"/>
        <w:rPr>
          <w:rFonts w:ascii="Times New Roman" w:cs="Times New Roman" w:eastAsia="Times New Roman" w:hAnsi="Times New Roman"/>
          <w:sz w:val="19"/>
          <w:szCs w:val="19"/>
          <w:color w:val="231F20"/>
        </w:rPr>
      </w:pPr>
    </w:p>
    <w:p>
      <w:pPr>
        <w:ind w:left="680" w:hanging="335"/>
        <w:spacing w:after="0"/>
        <w:tabs>
          <w:tab w:leader="none" w:pos="680" w:val="left"/>
        </w:tabs>
        <w:numPr>
          <w:ilvl w:val="0"/>
          <w:numId w:val="11"/>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the ability to increase the long-term value of the property through redevelopment and retenanting;</w:t>
      </w:r>
    </w:p>
    <w:p>
      <w:pPr>
        <w:spacing w:after="0" w:line="9" w:lineRule="exact"/>
        <w:rPr>
          <w:rFonts w:ascii="Times New Roman" w:cs="Times New Roman" w:eastAsia="Times New Roman" w:hAnsi="Times New Roman"/>
          <w:sz w:val="19"/>
          <w:szCs w:val="19"/>
          <w:color w:val="231F20"/>
        </w:rPr>
      </w:pPr>
    </w:p>
    <w:p>
      <w:pPr>
        <w:ind w:left="680" w:hanging="335"/>
        <w:spacing w:after="0"/>
        <w:tabs>
          <w:tab w:leader="none" w:pos="680" w:val="left"/>
        </w:tabs>
        <w:numPr>
          <w:ilvl w:val="0"/>
          <w:numId w:val="11"/>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the tenant mix at the property, tenant sales performance and the creditworthiness of those tenants;</w:t>
      </w:r>
    </w:p>
    <w:p>
      <w:pPr>
        <w:spacing w:after="0" w:line="9" w:lineRule="exact"/>
        <w:rPr>
          <w:rFonts w:ascii="Times New Roman" w:cs="Times New Roman" w:eastAsia="Times New Roman" w:hAnsi="Times New Roman"/>
          <w:sz w:val="19"/>
          <w:szCs w:val="19"/>
          <w:color w:val="231F20"/>
        </w:rPr>
      </w:pPr>
    </w:p>
    <w:p>
      <w:pPr>
        <w:ind w:left="680" w:right="200" w:hanging="335"/>
        <w:spacing w:after="0" w:line="250" w:lineRule="auto"/>
        <w:tabs>
          <w:tab w:leader="none" w:pos="680" w:val="left"/>
        </w:tabs>
        <w:numPr>
          <w:ilvl w:val="0"/>
          <w:numId w:val="11"/>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the geographic area in which the property is located, including the population density, household incomes, education levels, as well as the population and income trends in that geographic area. This may from time to time include the evaluation of new markets;</w:t>
      </w:r>
    </w:p>
    <w:p>
      <w:pPr>
        <w:spacing w:after="0" w:line="1" w:lineRule="exact"/>
        <w:rPr>
          <w:rFonts w:ascii="Times New Roman" w:cs="Times New Roman" w:eastAsia="Times New Roman" w:hAnsi="Times New Roman"/>
          <w:sz w:val="19"/>
          <w:szCs w:val="19"/>
          <w:color w:val="231F20"/>
        </w:rPr>
      </w:pPr>
    </w:p>
    <w:p>
      <w:pPr>
        <w:ind w:left="680" w:right="140" w:hanging="335"/>
        <w:spacing w:after="0" w:line="250" w:lineRule="auto"/>
        <w:tabs>
          <w:tab w:leader="none" w:pos="680" w:val="left"/>
        </w:tabs>
        <w:numPr>
          <w:ilvl w:val="0"/>
          <w:numId w:val="11"/>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competitive conditions in the vicinity of the property, including gross leasable area (GLA) per capita, competition for tenants and the ability of others to create competing properties through redevelopment, new construction or renovation;</w:t>
      </w:r>
    </w:p>
    <w:p>
      <w:pPr>
        <w:spacing w:after="0" w:line="1" w:lineRule="exact"/>
        <w:rPr>
          <w:rFonts w:ascii="Times New Roman" w:cs="Times New Roman" w:eastAsia="Times New Roman" w:hAnsi="Times New Roman"/>
          <w:sz w:val="19"/>
          <w:szCs w:val="19"/>
          <w:color w:val="231F20"/>
        </w:rPr>
      </w:pPr>
    </w:p>
    <w:p>
      <w:pPr>
        <w:ind w:left="680" w:right="640" w:hanging="335"/>
        <w:spacing w:after="0" w:line="250" w:lineRule="auto"/>
        <w:tabs>
          <w:tab w:leader="none" w:pos="680" w:val="left"/>
        </w:tabs>
        <w:numPr>
          <w:ilvl w:val="0"/>
          <w:numId w:val="11"/>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access to and visibility of the property from existing roadways and the potential for new, widened or realigned, roadways within the property’s trade area, which may affect access and commuting and shopping patterns;</w:t>
      </w:r>
    </w:p>
    <w:p>
      <w:pPr>
        <w:spacing w:after="0" w:line="1" w:lineRule="exact"/>
        <w:rPr>
          <w:rFonts w:ascii="Times New Roman" w:cs="Times New Roman" w:eastAsia="Times New Roman" w:hAnsi="Times New Roman"/>
          <w:sz w:val="19"/>
          <w:szCs w:val="19"/>
          <w:color w:val="231F20"/>
        </w:rPr>
      </w:pPr>
    </w:p>
    <w:p>
      <w:pPr>
        <w:ind w:left="680" w:hanging="335"/>
        <w:spacing w:after="0"/>
        <w:tabs>
          <w:tab w:leader="none" w:pos="680" w:val="left"/>
        </w:tabs>
        <w:numPr>
          <w:ilvl w:val="0"/>
          <w:numId w:val="11"/>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the level and success of our existing investments in the market area;</w:t>
      </w:r>
    </w:p>
    <w:p>
      <w:pPr>
        <w:spacing w:after="0" w:line="9" w:lineRule="exact"/>
        <w:rPr>
          <w:rFonts w:ascii="Times New Roman" w:cs="Times New Roman" w:eastAsia="Times New Roman" w:hAnsi="Times New Roman"/>
          <w:sz w:val="19"/>
          <w:szCs w:val="19"/>
          <w:color w:val="231F20"/>
        </w:rPr>
      </w:pPr>
    </w:p>
    <w:p>
      <w:pPr>
        <w:ind w:left="680" w:right="220" w:hanging="335"/>
        <w:spacing w:after="0" w:line="250" w:lineRule="auto"/>
        <w:tabs>
          <w:tab w:leader="none" w:pos="680" w:val="left"/>
        </w:tabs>
        <w:numPr>
          <w:ilvl w:val="0"/>
          <w:numId w:val="11"/>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the current market value of the land, buildings and other improvements and the potential for increasing those market values; and</w:t>
      </w:r>
    </w:p>
    <w:p>
      <w:pPr>
        <w:spacing w:after="0" w:line="1" w:lineRule="exact"/>
        <w:rPr>
          <w:rFonts w:ascii="Times New Roman" w:cs="Times New Roman" w:eastAsia="Times New Roman" w:hAnsi="Times New Roman"/>
          <w:sz w:val="19"/>
          <w:szCs w:val="19"/>
          <w:color w:val="231F20"/>
        </w:rPr>
      </w:pPr>
    </w:p>
    <w:p>
      <w:pPr>
        <w:ind w:left="680" w:right="520" w:hanging="335"/>
        <w:spacing w:after="0" w:line="261" w:lineRule="auto"/>
        <w:tabs>
          <w:tab w:leader="none" w:pos="680" w:val="left"/>
        </w:tabs>
        <w:numPr>
          <w:ilvl w:val="0"/>
          <w:numId w:val="11"/>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the physical condition of the land, buildings and other improvements, including the structural and environmental condition.</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231F20"/>
        </w:rPr>
        <w:t>Financing Strategies</w:t>
      </w:r>
    </w:p>
    <w:p>
      <w:pPr>
        <w:spacing w:after="0" w:line="107" w:lineRule="exact"/>
        <w:rPr>
          <w:sz w:val="20"/>
          <w:szCs w:val="20"/>
          <w:color w:val="auto"/>
        </w:rPr>
      </w:pPr>
    </w:p>
    <w:p>
      <w:pPr>
        <w:ind w:right="460"/>
        <w:spacing w:after="0" w:line="258" w:lineRule="auto"/>
        <w:rPr>
          <w:sz w:val="20"/>
          <w:szCs w:val="20"/>
          <w:color w:val="auto"/>
        </w:rPr>
      </w:pPr>
      <w:r>
        <w:rPr>
          <w:rFonts w:ascii="Times New Roman" w:cs="Times New Roman" w:eastAsia="Times New Roman" w:hAnsi="Times New Roman"/>
          <w:sz w:val="19"/>
          <w:szCs w:val="19"/>
          <w:color w:val="231F20"/>
        </w:rPr>
        <w:t>Our financing strategies are designed to enable us to maintain an investment grade balance sheet while retaining sufficient flexibility to fund our operating and investing activities in the most cost-efficient way possible. Our financing strategies include:</w:t>
      </w:r>
    </w:p>
    <w:p>
      <w:pPr>
        <w:spacing w:after="0" w:line="1" w:lineRule="exact"/>
        <w:rPr>
          <w:sz w:val="20"/>
          <w:szCs w:val="20"/>
          <w:color w:val="auto"/>
        </w:rPr>
      </w:pPr>
    </w:p>
    <w:p>
      <w:pPr>
        <w:ind w:left="680" w:right="20" w:hanging="335"/>
        <w:spacing w:after="0" w:line="250" w:lineRule="auto"/>
        <w:tabs>
          <w:tab w:leader="none" w:pos="680" w:val="left"/>
        </w:tabs>
        <w:numPr>
          <w:ilvl w:val="0"/>
          <w:numId w:val="12"/>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maintaining a prudent level of overall leverage and an appropriate pool of unencumbered properties that is sufficient to support our unsecured borrowings;</w:t>
      </w:r>
    </w:p>
    <w:p>
      <w:pPr>
        <w:spacing w:after="0" w:line="1" w:lineRule="exact"/>
        <w:rPr>
          <w:rFonts w:ascii="Times New Roman" w:cs="Times New Roman" w:eastAsia="Times New Roman" w:hAnsi="Times New Roman"/>
          <w:sz w:val="19"/>
          <w:szCs w:val="19"/>
          <w:color w:val="231F20"/>
        </w:rPr>
      </w:pPr>
    </w:p>
    <w:p>
      <w:pPr>
        <w:ind w:left="680" w:hanging="335"/>
        <w:spacing w:after="0"/>
        <w:tabs>
          <w:tab w:leader="none" w:pos="680" w:val="left"/>
        </w:tabs>
        <w:numPr>
          <w:ilvl w:val="0"/>
          <w:numId w:val="12"/>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managing our exposure to variable-rate debt;</w:t>
      </w:r>
    </w:p>
    <w:p>
      <w:pPr>
        <w:spacing w:after="0" w:line="9" w:lineRule="exact"/>
        <w:rPr>
          <w:rFonts w:ascii="Times New Roman" w:cs="Times New Roman" w:eastAsia="Times New Roman" w:hAnsi="Times New Roman"/>
          <w:sz w:val="19"/>
          <w:szCs w:val="19"/>
          <w:color w:val="231F20"/>
        </w:rPr>
      </w:pPr>
    </w:p>
    <w:p>
      <w:pPr>
        <w:ind w:left="680" w:right="140" w:hanging="335"/>
        <w:spacing w:after="0" w:line="250" w:lineRule="auto"/>
        <w:tabs>
          <w:tab w:leader="none" w:pos="680" w:val="left"/>
        </w:tabs>
        <w:numPr>
          <w:ilvl w:val="0"/>
          <w:numId w:val="12"/>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maintaining sufficient levels of cash and available line of credit to fund operating and investing needs on a short-term basis;</w:t>
      </w:r>
    </w:p>
    <w:p>
      <w:pPr>
        <w:spacing w:after="0" w:line="1" w:lineRule="exact"/>
        <w:rPr>
          <w:rFonts w:ascii="Times New Roman" w:cs="Times New Roman" w:eastAsia="Times New Roman" w:hAnsi="Times New Roman"/>
          <w:sz w:val="19"/>
          <w:szCs w:val="19"/>
          <w:color w:val="231F20"/>
        </w:rPr>
      </w:pPr>
    </w:p>
    <w:p>
      <w:pPr>
        <w:ind w:left="680" w:right="20" w:hanging="335"/>
        <w:spacing w:after="0" w:line="250" w:lineRule="auto"/>
        <w:tabs>
          <w:tab w:leader="none" w:pos="680" w:val="left"/>
        </w:tabs>
        <w:numPr>
          <w:ilvl w:val="0"/>
          <w:numId w:val="12"/>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taking advantage of market opportunities to refinance existing debt, reduce interest costs and manage our debt maturity schedule so that a significant portion of our debt relative to our size does not mature in any one year;</w:t>
      </w:r>
    </w:p>
    <w:p>
      <w:pPr>
        <w:spacing w:after="0" w:line="1" w:lineRule="exact"/>
        <w:rPr>
          <w:rFonts w:ascii="Times New Roman" w:cs="Times New Roman" w:eastAsia="Times New Roman" w:hAnsi="Times New Roman"/>
          <w:sz w:val="19"/>
          <w:szCs w:val="19"/>
          <w:color w:val="231F20"/>
        </w:rPr>
      </w:pPr>
    </w:p>
    <w:p>
      <w:pPr>
        <w:ind w:left="680" w:hanging="335"/>
        <w:spacing w:after="0" w:line="250" w:lineRule="auto"/>
        <w:tabs>
          <w:tab w:leader="none" w:pos="680" w:val="left"/>
        </w:tabs>
        <w:numPr>
          <w:ilvl w:val="0"/>
          <w:numId w:val="12"/>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selling properties that have limited growth potential or are not a strategic fit within our overall portfolio and redeploying the proceeds to redevelop, renovate, retenant and/or expand our existing properties, acquire new properties or reduce debt; and</w:t>
      </w:r>
    </w:p>
    <w:p>
      <w:pPr>
        <w:spacing w:after="0" w:line="1" w:lineRule="exact"/>
        <w:rPr>
          <w:rFonts w:ascii="Times New Roman" w:cs="Times New Roman" w:eastAsia="Times New Roman" w:hAnsi="Times New Roman"/>
          <w:sz w:val="19"/>
          <w:szCs w:val="19"/>
          <w:color w:val="231F20"/>
        </w:rPr>
      </w:pPr>
    </w:p>
    <w:p>
      <w:pPr>
        <w:ind w:left="680" w:right="240" w:hanging="335"/>
        <w:spacing w:after="0" w:line="250" w:lineRule="auto"/>
        <w:tabs>
          <w:tab w:leader="none" w:pos="680" w:val="left"/>
        </w:tabs>
        <w:numPr>
          <w:ilvl w:val="0"/>
          <w:numId w:val="12"/>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utilizing the most advantageous long-term source of capital available to us to finance redevelopment and acquisition opportunities, which may include:</w:t>
      </w:r>
    </w:p>
    <w:p>
      <w:pPr>
        <w:spacing w:after="0" w:line="1" w:lineRule="exact"/>
        <w:rPr>
          <w:rFonts w:ascii="Times New Roman" w:cs="Times New Roman" w:eastAsia="Times New Roman" w:hAnsi="Times New Roman"/>
          <w:sz w:val="19"/>
          <w:szCs w:val="19"/>
          <w:color w:val="231F20"/>
        </w:rPr>
      </w:pPr>
    </w:p>
    <w:p>
      <w:pPr>
        <w:ind w:left="1380" w:right="80" w:hanging="350"/>
        <w:spacing w:after="0" w:line="250" w:lineRule="auto"/>
        <w:tabs>
          <w:tab w:leader="none" w:pos="1380" w:val="left"/>
        </w:tabs>
        <w:numPr>
          <w:ilvl w:val="1"/>
          <w:numId w:val="12"/>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the sale of our equity or debt securities through public offerings, including our at-the-market ("ATM") equity program in which we may from time to time offer and sell common shares including through forward sales contracts, or private placements,</w:t>
      </w:r>
    </w:p>
    <w:p>
      <w:pPr>
        <w:spacing w:after="0" w:line="1" w:lineRule="exact"/>
        <w:rPr>
          <w:rFonts w:ascii="Times New Roman" w:cs="Times New Roman" w:eastAsia="Times New Roman" w:hAnsi="Times New Roman"/>
          <w:sz w:val="19"/>
          <w:szCs w:val="19"/>
          <w:color w:val="231F20"/>
        </w:rPr>
      </w:pPr>
    </w:p>
    <w:p>
      <w:pPr>
        <w:ind w:left="1380" w:hanging="350"/>
        <w:spacing w:after="0"/>
        <w:tabs>
          <w:tab w:leader="none" w:pos="1380" w:val="left"/>
        </w:tabs>
        <w:numPr>
          <w:ilvl w:val="1"/>
          <w:numId w:val="12"/>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the incurrence of indebtedness through unsecured or secured borrowings including exchangeable debt,</w:t>
      </w:r>
    </w:p>
    <w:p>
      <w:pPr>
        <w:sectPr>
          <w:pgSz w:w="11880" w:h="15480" w:orient="portrait"/>
          <w:cols w:equalWidth="0" w:num="1">
            <w:col w:w="9760"/>
          </w:cols>
          <w:pgMar w:left="1060" w:top="962"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231F20"/>
        </w:rPr>
        <w:t>5</w:t>
      </w:r>
    </w:p>
    <w:p>
      <w:pPr>
        <w:sectPr>
          <w:pgSz w:w="11880" w:h="15480" w:orient="portrait"/>
          <w:cols w:equalWidth="0" w:num="1">
            <w:col w:w="9760"/>
          </w:cols>
          <w:pgMar w:left="1060" w:top="962" w:right="1060" w:bottom="0" w:gutter="0" w:footer="0" w:header="0"/>
          <w:type w:val="continuous"/>
        </w:sectPr>
      </w:pPr>
    </w:p>
    <w:bookmarkStart w:id="13" w:name="page14"/>
    <w:bookmarkEnd w:id="13"/>
    <w:p>
      <w:pPr>
        <w:ind w:left="1380" w:right="20" w:hanging="350"/>
        <w:spacing w:after="0" w:line="258" w:lineRule="auto"/>
        <w:tabs>
          <w:tab w:leader="none" w:pos="1380" w:val="left"/>
        </w:tabs>
        <w:numPr>
          <w:ilvl w:val="0"/>
          <w:numId w:val="13"/>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the issuance of units in our operating partnership (generally issued in exchange for a tax deferred contribution of property); these units typically receive the same distributions as our common shares and the holders of these units have the right to exchange their units for cash or common shares at our option, or</w:t>
      </w:r>
    </w:p>
    <w:p>
      <w:pPr>
        <w:spacing w:after="0" w:line="1" w:lineRule="exact"/>
        <w:rPr>
          <w:rFonts w:ascii="Times New Roman" w:cs="Times New Roman" w:eastAsia="Times New Roman" w:hAnsi="Times New Roman"/>
          <w:sz w:val="19"/>
          <w:szCs w:val="19"/>
          <w:color w:val="231F20"/>
        </w:rPr>
      </w:pPr>
    </w:p>
    <w:p>
      <w:pPr>
        <w:ind w:left="1380" w:hanging="350"/>
        <w:spacing w:after="0"/>
        <w:tabs>
          <w:tab w:leader="none" w:pos="1380" w:val="left"/>
        </w:tabs>
        <w:numPr>
          <w:ilvl w:val="0"/>
          <w:numId w:val="13"/>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the use of joint venture arrangements.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Human Capital</w:t>
      </w:r>
    </w:p>
    <w:p>
      <w:pPr>
        <w:spacing w:after="0" w:line="110"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9"/>
          <w:szCs w:val="19"/>
          <w:color w:val="231F20"/>
        </w:rPr>
        <w:t>At February 9, 2026, we had 314 full-time employees and 6 part-time employees. None of our employees are represented by a collective bargaining unit. We believe that our relationship with our employees is good. We are an Equal Opportunity/ Affirmative Action employer, and strive to maintain a workplace that is free from discrimination on the basis of race, color, religion, age, sex, national origin, disability status, genetics, protected veteran status, sexual orientation, and gender identity or expression.</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231F20"/>
        </w:rPr>
        <w:t>Health, Safety, and Wellness</w:t>
      </w:r>
    </w:p>
    <w:p>
      <w:pPr>
        <w:spacing w:after="0" w:line="107"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9"/>
          <w:szCs w:val="19"/>
          <w:color w:val="231F20"/>
        </w:rPr>
        <w:t>We are committed to the health, safety, and wellness of our employees, and foster an environment that allows our people to succeed while balancing work and life. We provide our employees with access to health and wellness programs, which includes benefits that support both physical and mental health. We have also transitioned to a hybrid work model.</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231F20"/>
        </w:rPr>
        <w:t>Compensation and Benefits</w:t>
      </w:r>
    </w:p>
    <w:p>
      <w:pPr>
        <w:spacing w:after="0" w:line="10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9"/>
          <w:szCs w:val="19"/>
          <w:color w:val="231F20"/>
        </w:rPr>
        <w:t>We provide competitive pay and benefits including health, dental, vision, short and long-term disability, life insurance and a 401(k) retirement program, as well as a generous paid time off program that includes vacation, sick, and personal leave. In addition to our equity awards program, we also reward employees with spot bonuses for stellar performance or going above and beyond the base requirements of their job description.</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231F20"/>
        </w:rPr>
        <w:t>Talent Development</w:t>
      </w:r>
    </w:p>
    <w:p>
      <w:pPr>
        <w:spacing w:after="0" w:line="107" w:lineRule="exact"/>
        <w:rPr>
          <w:sz w:val="20"/>
          <w:szCs w:val="20"/>
          <w:color w:val="auto"/>
        </w:rPr>
      </w:pPr>
    </w:p>
    <w:p>
      <w:pPr>
        <w:ind w:right="460"/>
        <w:spacing w:after="0" w:line="267" w:lineRule="auto"/>
        <w:rPr>
          <w:sz w:val="20"/>
          <w:szCs w:val="20"/>
          <w:color w:val="auto"/>
        </w:rPr>
      </w:pPr>
      <w:r>
        <w:rPr>
          <w:rFonts w:ascii="Times New Roman" w:cs="Times New Roman" w:eastAsia="Times New Roman" w:hAnsi="Times New Roman"/>
          <w:sz w:val="19"/>
          <w:szCs w:val="19"/>
          <w:color w:val="231F20"/>
        </w:rPr>
        <w:t>Employees have access to a variety of different training courses, books, book summaries and audio books, and an array of source materials covering a myriad of different business and soft skills training subjects. Additionally, we provide reimbursement for tuition and professional licenses.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231F20"/>
        </w:rPr>
        <w:t>Community Involvement</w:t>
      </w:r>
    </w:p>
    <w:p>
      <w:pPr>
        <w:spacing w:after="0" w:line="107"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9"/>
          <w:szCs w:val="19"/>
          <w:color w:val="231F20"/>
        </w:rPr>
        <w:t>Giving back to the community is an integral part of who we are and what we do. We provide ample ways to give back through programs at our properties or charitable endeavors and volunteer opportunities that also serve as team building exercises for our employees.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Tax Status</w:t>
      </w:r>
    </w:p>
    <w:p>
      <w:pPr>
        <w:spacing w:after="0" w:line="11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9"/>
          <w:szCs w:val="19"/>
          <w:color w:val="231F20"/>
        </w:rPr>
        <w:t>We elected to be taxed as a REIT under the federal income tax laws when we filed our 1962 tax return. As a REIT, we are generally not subject to federal income tax on taxable income that we distribute to our shareholders. Under the Code, REITs are subject to numerous organizational and operational requirements, including the requirement to generally distribute at least 90% of taxable income each year. We will be subject to federal income tax on our taxable income (including, for our taxable years ending on or prior to December 31, 2017, any applicable alternative minimum tax) at regular corporate rates if we fail to qualify as a REIT for tax purposes in any taxable year, or to the extent we distribute less than 100% of our taxable income. We will also generally not qualify for treatment as a REIT for federal income tax purposes for four years following the year during which qualification is lost. Even if we qualify as a REIT for federal income tax purposes, we may be subject to certain state and local income and franchise taxes and to federal income and excise taxes on our undistributed taxable income.</w:t>
      </w:r>
    </w:p>
    <w:p>
      <w:pPr>
        <w:spacing w:after="0" w:line="144"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9"/>
          <w:szCs w:val="19"/>
          <w:color w:val="231F20"/>
        </w:rPr>
        <w:t>We have elected to treat certain of our subsidiaries as taxable REIT subsidiaries, which we refer to as a TRS. In general, a TRS may engage in any real estate business and certain non-real estate businesses, subject to certain limitations under the Code. A TRS is subject to federal and state income taxes. Our TRS activities have not been material.</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General Economic Conditions</w:t>
      </w:r>
    </w:p>
    <w:p>
      <w:pPr>
        <w:spacing w:after="0" w:line="110" w:lineRule="exact"/>
        <w:rPr>
          <w:sz w:val="20"/>
          <w:szCs w:val="20"/>
          <w:color w:val="auto"/>
        </w:rPr>
      </w:pPr>
    </w:p>
    <w:p>
      <w:pPr>
        <w:ind w:right="140"/>
        <w:spacing w:after="0" w:line="230" w:lineRule="auto"/>
        <w:rPr>
          <w:sz w:val="20"/>
          <w:szCs w:val="20"/>
          <w:color w:val="auto"/>
        </w:rPr>
      </w:pPr>
      <w:r>
        <w:rPr>
          <w:rFonts w:ascii="Times New Roman" w:cs="Times New Roman" w:eastAsia="Times New Roman" w:hAnsi="Times New Roman"/>
          <w:sz w:val="19"/>
          <w:szCs w:val="19"/>
          <w:color w:val="231F20"/>
        </w:rPr>
        <w:t>Significant uncertainty continues within the macro-economic environment including inflation risk, changes in interest rates, new or higher tariffs and their impact on trade and prices, increases or decreases in federal government spending, and potentially worsening economic conditions, which presents risks for our business and tenants. We continue to monitor and address risks related to the general state of the economy. We believe the actions we have taken to maintain a strong financial position and reinforce our liquidity will continue to mitigate the negative short term impacts of the current economic environment. The extent of the future effects on our business, results of operations, cash flows, and growth strategies is highly uncertain and will ultimately depend on future developments, none of which can be predicted.</w:t>
      </w:r>
    </w:p>
    <w:p>
      <w:pPr>
        <w:sectPr>
          <w:pgSz w:w="11880" w:h="15480" w:orient="portrait"/>
          <w:cols w:equalWidth="0" w:num="1">
            <w:col w:w="9740"/>
          </w:cols>
          <w:pgMar w:left="1060" w:top="963"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231F20"/>
        </w:rPr>
        <w:t>6</w:t>
      </w:r>
    </w:p>
    <w:p>
      <w:pPr>
        <w:sectPr>
          <w:pgSz w:w="11880" w:h="15480" w:orient="portrait"/>
          <w:cols w:equalWidth="0" w:num="1">
            <w:col w:w="9740"/>
          </w:cols>
          <w:pgMar w:left="1060" w:top="963" w:right="1080" w:bottom="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9"/>
          <w:szCs w:val="19"/>
          <w:b w:val="1"/>
          <w:bCs w:val="1"/>
          <w:color w:val="231F20"/>
        </w:rPr>
        <w:t>Governmental Regulations Affecting Our Properties</w:t>
      </w:r>
    </w:p>
    <w:p>
      <w:pPr>
        <w:spacing w:after="0" w:line="110" w:lineRule="exact"/>
        <w:rPr>
          <w:sz w:val="20"/>
          <w:szCs w:val="20"/>
          <w:color w:val="auto"/>
        </w:rPr>
      </w:pPr>
    </w:p>
    <w:p>
      <w:pPr>
        <w:jc w:val="both"/>
        <w:ind w:right="140"/>
        <w:spacing w:after="0" w:line="261" w:lineRule="auto"/>
        <w:rPr>
          <w:sz w:val="20"/>
          <w:szCs w:val="20"/>
          <w:color w:val="auto"/>
        </w:rPr>
      </w:pPr>
      <w:r>
        <w:rPr>
          <w:rFonts w:ascii="Times New Roman" w:cs="Times New Roman" w:eastAsia="Times New Roman" w:hAnsi="Times New Roman"/>
          <w:sz w:val="19"/>
          <w:szCs w:val="19"/>
          <w:color w:val="231F20"/>
        </w:rPr>
        <w:t>We and our properties are subject to a variety of federal, state and local environmental, health, safety and similar laws. Please see Item 1A. "Risk Factors - Risk Factors Related to our REIT Status and Other Laws and Regulations" for further discussion of potential material effects of our compliance with government regulation, including environmental regulations and the rules governing REITs.</w:t>
      </w:r>
    </w:p>
    <w:p>
      <w:pPr>
        <w:spacing w:after="0" w:line="13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9"/>
          <w:szCs w:val="19"/>
          <w:color w:val="231F20"/>
        </w:rPr>
        <w:t>The application of these laws to a specific property that we own depends on a variety of property-specific circumstances, including the current and former uses of the property, the building materials used at the property and the physical layout of the property. Under certain environmental laws, we, as the owner or operator of properties currently or previously owned, may be required to investigate and clean up certain hazardous or toxic substances, asbestos-containing materials, or petroleum product releases at the property, we may be held liable for property damage and for investigation and clean up costs incurred in connection with the contamination, and we may be liable under common law to third parties for damages and injuries resulting from environmental contamination emanating from the real estate. Such costs or liabilities could exceed the value of the affected real estate. The presence of contamination or the failure to remediate contamination may adversely affect our ability to sell or lease real estate or to borrow using the real estate as collateral.</w:t>
      </w:r>
    </w:p>
    <w:p>
      <w:pPr>
        <w:spacing w:after="0" w:line="144"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9"/>
          <w:szCs w:val="19"/>
          <w:color w:val="231F20"/>
        </w:rPr>
        <w:t>Neither existing environmental, health, safety and similar laws nor the costs of our compliance with these laws has had a material adverse effect on our financial condition or results of operations, and management does not believe they will in the future. In addition, we have not incurred, and do not expect to incur, any material costs or liabilities due to environmental contamination at properties we currently own or have owned in the past. However, we cannot predict the impact of new or changed laws or regulations on properties we currently own or may acquire in the future. We have no current plans for substantial capital expenditures with respect to compliance with environmental, health, safety and similar laws and we carry environmental insurance which covers a number of environmental risks for most of our properties.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Energy and Emissions Regulations Affecting Our Properties</w:t>
      </w:r>
    </w:p>
    <w:p>
      <w:pPr>
        <w:spacing w:after="0" w:line="95"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9"/>
          <w:szCs w:val="19"/>
          <w:color w:val="231F20"/>
        </w:rPr>
        <w:t>Some jurisdictions in which we own property have enacted or may enact legislation that requires use of only certain types of energy sources, limits energy usage on site, or limits allowable emissions from buildings with fines or other costs being</w:t>
      </w:r>
    </w:p>
    <w:p>
      <w:pPr>
        <w:spacing w:after="0" w:line="2" w:lineRule="exact"/>
        <w:rPr>
          <w:sz w:val="20"/>
          <w:szCs w:val="20"/>
          <w:color w:val="auto"/>
        </w:rPr>
      </w:pPr>
    </w:p>
    <w:p>
      <w:pPr>
        <w:jc w:val="both"/>
        <w:ind w:right="300"/>
        <w:spacing w:after="0" w:line="272" w:lineRule="auto"/>
        <w:rPr>
          <w:sz w:val="20"/>
          <w:szCs w:val="20"/>
          <w:color w:val="auto"/>
        </w:rPr>
      </w:pPr>
      <w:r>
        <w:rPr>
          <w:rFonts w:ascii="Times New Roman" w:cs="Times New Roman" w:eastAsia="Times New Roman" w:hAnsi="Times New Roman"/>
          <w:sz w:val="19"/>
          <w:szCs w:val="19"/>
          <w:color w:val="231F20"/>
        </w:rPr>
        <w:t>imposed for exceeding those limits. This type of legislation typically includes an extended period of time from adoption to implementation to allow property owners ample opportunity to make investments and take other actions to comply with the legislation. Any investments we believe we will need to make to comply with laws that have been passed to date are being</w:t>
      </w:r>
    </w:p>
    <w:p>
      <w:pPr>
        <w:spacing w:after="0" w:line="1"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9"/>
          <w:szCs w:val="19"/>
          <w:color w:val="231F20"/>
        </w:rPr>
        <w:t>included as part of our ordinary capital improvement planning process for our properties. We also address the potential effects of these types of laws in our energy reduction and energy efficient efforts that are described in more detail in Item 7. "Management's Discussion and Analysis of Financial Condition and Results of Operations - Corporate Responsibility." These types of laws have not had a material adverse effect on our financial condition or results of operations and management does not believe they will have a material adverse effect in the future. We cannot, however, predict the impact of new or changed laws or regulations on properties we currently own or may acquire in the future.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Competition</w:t>
      </w:r>
    </w:p>
    <w:p>
      <w:pPr>
        <w:spacing w:after="0" w:line="110"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9"/>
          <w:szCs w:val="19"/>
          <w:color w:val="231F20"/>
        </w:rPr>
        <w:t>Numerous commercial developers and real estate companies compete with us with respect to the leasing and the acquisition of properties. Some of these competitors may possess greater capital resources than we do, although we do not believe that any single competitor or group of competitors in any of the primary markets where our properties are located are dominant in that market. This competition may:</w:t>
      </w:r>
    </w:p>
    <w:p>
      <w:pPr>
        <w:spacing w:after="0" w:line="1" w:lineRule="exact"/>
        <w:rPr>
          <w:sz w:val="20"/>
          <w:szCs w:val="20"/>
          <w:color w:val="auto"/>
        </w:rPr>
      </w:pPr>
    </w:p>
    <w:p>
      <w:pPr>
        <w:ind w:left="680" w:hanging="335"/>
        <w:spacing w:after="0"/>
        <w:tabs>
          <w:tab w:leader="none" w:pos="680" w:val="left"/>
        </w:tabs>
        <w:numPr>
          <w:ilvl w:val="0"/>
          <w:numId w:val="14"/>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reduce the number of properties available for acquisition;</w:t>
      </w:r>
    </w:p>
    <w:p>
      <w:pPr>
        <w:spacing w:after="0" w:line="8" w:lineRule="exact"/>
        <w:rPr>
          <w:rFonts w:ascii="Times New Roman" w:cs="Times New Roman" w:eastAsia="Times New Roman" w:hAnsi="Times New Roman"/>
          <w:sz w:val="19"/>
          <w:szCs w:val="19"/>
          <w:color w:val="231F20"/>
        </w:rPr>
      </w:pPr>
    </w:p>
    <w:p>
      <w:pPr>
        <w:ind w:left="680" w:hanging="335"/>
        <w:spacing w:after="0"/>
        <w:tabs>
          <w:tab w:leader="none" w:pos="680" w:val="left"/>
        </w:tabs>
        <w:numPr>
          <w:ilvl w:val="0"/>
          <w:numId w:val="14"/>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increase the cost of properties available for acquisition;</w:t>
      </w:r>
    </w:p>
    <w:p>
      <w:pPr>
        <w:spacing w:after="0" w:line="9" w:lineRule="exact"/>
        <w:rPr>
          <w:rFonts w:ascii="Times New Roman" w:cs="Times New Roman" w:eastAsia="Times New Roman" w:hAnsi="Times New Roman"/>
          <w:sz w:val="19"/>
          <w:szCs w:val="19"/>
          <w:color w:val="231F20"/>
        </w:rPr>
      </w:pPr>
    </w:p>
    <w:p>
      <w:pPr>
        <w:ind w:left="680" w:hanging="335"/>
        <w:spacing w:after="0"/>
        <w:tabs>
          <w:tab w:leader="none" w:pos="680" w:val="left"/>
        </w:tabs>
        <w:numPr>
          <w:ilvl w:val="0"/>
          <w:numId w:val="14"/>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interfere with our ability to attract and retain tenants, leading to increased vacancy rates and/or reduced rents; and</w:t>
      </w:r>
    </w:p>
    <w:p>
      <w:pPr>
        <w:spacing w:after="0" w:line="9" w:lineRule="exact"/>
        <w:rPr>
          <w:rFonts w:ascii="Times New Roman" w:cs="Times New Roman" w:eastAsia="Times New Roman" w:hAnsi="Times New Roman"/>
          <w:sz w:val="19"/>
          <w:szCs w:val="19"/>
          <w:color w:val="231F20"/>
        </w:rPr>
      </w:pPr>
    </w:p>
    <w:p>
      <w:pPr>
        <w:ind w:left="680" w:hanging="335"/>
        <w:spacing w:after="0"/>
        <w:tabs>
          <w:tab w:leader="none" w:pos="680" w:val="left"/>
        </w:tabs>
        <w:numPr>
          <w:ilvl w:val="0"/>
          <w:numId w:val="14"/>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adversely affect our ability to minimize expenses of operation.</w:t>
      </w:r>
    </w:p>
    <w:p>
      <w:pPr>
        <w:spacing w:after="0" w:line="160" w:lineRule="exact"/>
        <w:rPr>
          <w:sz w:val="20"/>
          <w:szCs w:val="20"/>
          <w:color w:val="auto"/>
        </w:rPr>
      </w:pPr>
    </w:p>
    <w:p>
      <w:pPr>
        <w:jc w:val="both"/>
        <w:ind w:right="640"/>
        <w:spacing w:after="0" w:line="267" w:lineRule="auto"/>
        <w:rPr>
          <w:sz w:val="20"/>
          <w:szCs w:val="20"/>
          <w:color w:val="auto"/>
        </w:rPr>
      </w:pPr>
      <w:r>
        <w:rPr>
          <w:rFonts w:ascii="Times New Roman" w:cs="Times New Roman" w:eastAsia="Times New Roman" w:hAnsi="Times New Roman"/>
          <w:sz w:val="19"/>
          <w:szCs w:val="19"/>
          <w:color w:val="231F20"/>
        </w:rPr>
        <w:t>Retailers at our properties also face increasing competition from online retailers, outlet stores, discount shopping clubs, superstores, and other forms of sales and marketing of goods and services, such as direct mail. This competition could contribute to lease defaults and insolvency of tenants.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Available Information</w:t>
      </w:r>
    </w:p>
    <w:p>
      <w:pPr>
        <w:spacing w:after="0" w:line="110"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9"/>
          <w:szCs w:val="19"/>
          <w:color w:val="231F20"/>
        </w:rPr>
        <w:t xml:space="preserve">Copies of our Annual Report on Form 10-K, Quarterly Reports on Form 10-Q, Current Reports on Form 8-K, and amendments to those reports filed or furnished pursuant to Section 13(a) or 15(d) of the Securities Exchange Act of 1934 (the “Exchange Act”) are available free of charge through the Investors section of our website at </w:t>
      </w:r>
      <w:r>
        <w:rPr>
          <w:rFonts w:ascii="Times New Roman" w:cs="Times New Roman" w:eastAsia="Times New Roman" w:hAnsi="Times New Roman"/>
          <w:sz w:val="19"/>
          <w:szCs w:val="19"/>
          <w:i w:val="1"/>
          <w:iCs w:val="1"/>
          <w:color w:val="231F20"/>
        </w:rPr>
        <w:t>www.federalrealty.com</w:t>
      </w:r>
      <w:r>
        <w:rPr>
          <w:rFonts w:ascii="Times New Roman" w:cs="Times New Roman" w:eastAsia="Times New Roman" w:hAnsi="Times New Roman"/>
          <w:sz w:val="19"/>
          <w:szCs w:val="19"/>
          <w:color w:val="231F20"/>
        </w:rPr>
        <w:t xml:space="preserve"> as soon as reasonably practicable after we electronically file the material with, or furnish the material to, the Securities and Exchange Commission, or the SEC.</w:t>
      </w:r>
    </w:p>
    <w:p>
      <w:pPr>
        <w:sectPr>
          <w:pgSz w:w="11880" w:h="15480" w:orient="portrait"/>
          <w:cols w:equalWidth="0" w:num="1">
            <w:col w:w="9700"/>
          </w:cols>
          <w:pgMar w:left="1060" w:top="958" w:right="1120" w:bottom="0" w:gutter="0" w:footer="0" w:header="0"/>
        </w:sectPr>
      </w:pPr>
    </w:p>
    <w:p>
      <w:pPr>
        <w:spacing w:after="0" w:line="200" w:lineRule="exact"/>
        <w:rPr>
          <w:sz w:val="20"/>
          <w:szCs w:val="20"/>
          <w:color w:val="auto"/>
        </w:rPr>
      </w:pPr>
    </w:p>
    <w:p>
      <w:pPr>
        <w:spacing w:after="0" w:line="34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231F20"/>
        </w:rPr>
        <w:t>7</w:t>
      </w:r>
    </w:p>
    <w:p>
      <w:pPr>
        <w:sectPr>
          <w:pgSz w:w="11880" w:h="15480" w:orient="portrait"/>
          <w:cols w:equalWidth="0" w:num="1">
            <w:col w:w="9700"/>
          </w:cols>
          <w:pgMar w:left="1060" w:top="958" w:right="1120" w:bottom="0" w:gutter="0" w:footer="0" w:header="0"/>
          <w:type w:val="continuous"/>
        </w:sectPr>
      </w:pPr>
    </w:p>
    <w:bookmarkStart w:id="15" w:name="page16"/>
    <w:bookmarkEnd w:id="15"/>
    <w:p>
      <w:pPr>
        <w:ind w:right="260"/>
        <w:spacing w:after="0" w:line="261" w:lineRule="auto"/>
        <w:rPr>
          <w:sz w:val="20"/>
          <w:szCs w:val="20"/>
          <w:color w:val="auto"/>
        </w:rPr>
      </w:pPr>
      <w:r>
        <w:rPr>
          <w:rFonts w:ascii="Times New Roman" w:cs="Times New Roman" w:eastAsia="Times New Roman" w:hAnsi="Times New Roman"/>
          <w:sz w:val="19"/>
          <w:szCs w:val="19"/>
          <w:color w:val="231F20"/>
        </w:rPr>
        <w:t>Our Corporate Governance Guidelines, Code of Business Conduct, Code of Ethics applicable to our Chief Executive Officer and senior financial officers, Whistleblower Policy, organizational documents and the charters of our audit committee, compensation and human capital committee and nominating and corporate governance committee are all available in the Corporate Governance section of the Investors section of our website.</w:t>
      </w:r>
    </w:p>
    <w:p>
      <w:pPr>
        <w:spacing w:after="0" w:line="133" w:lineRule="exact"/>
        <w:rPr>
          <w:sz w:val="20"/>
          <w:szCs w:val="20"/>
          <w:color w:val="auto"/>
        </w:rPr>
      </w:pPr>
    </w:p>
    <w:p>
      <w:pPr>
        <w:ind w:right="220"/>
        <w:spacing w:after="0" w:line="284" w:lineRule="auto"/>
        <w:rPr>
          <w:sz w:val="20"/>
          <w:szCs w:val="20"/>
          <w:color w:val="auto"/>
        </w:rPr>
      </w:pPr>
      <w:r>
        <w:rPr>
          <w:rFonts w:ascii="Times New Roman" w:cs="Times New Roman" w:eastAsia="Times New Roman" w:hAnsi="Times New Roman"/>
          <w:sz w:val="19"/>
          <w:szCs w:val="19"/>
          <w:color w:val="231F20"/>
        </w:rPr>
        <w:t>Amendments to the Code of Ethics or Code of Business Conduct or waivers that apply to any of our executive officers or our senior financial officers will be disclosed in the Corporate Governance section of our website as well.</w:t>
      </w:r>
    </w:p>
    <w:p>
      <w:pPr>
        <w:spacing w:after="0" w:line="200" w:lineRule="exact"/>
        <w:rPr>
          <w:sz w:val="20"/>
          <w:szCs w:val="20"/>
          <w:color w:val="auto"/>
        </w:rPr>
      </w:pPr>
    </w:p>
    <w:p>
      <w:pPr>
        <w:spacing w:after="0" w:line="229"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9"/>
          <w:szCs w:val="19"/>
          <w:b w:val="1"/>
          <w:bCs w:val="1"/>
          <w:color w:val="231F20"/>
        </w:rPr>
        <w:t>ITEM 1A.</w:t>
      </w:r>
      <w:r>
        <w:rPr>
          <w:sz w:val="20"/>
          <w:szCs w:val="20"/>
          <w:color w:val="auto"/>
        </w:rPr>
        <w:tab/>
      </w:r>
      <w:r>
        <w:rPr>
          <w:rFonts w:ascii="Times New Roman" w:cs="Times New Roman" w:eastAsia="Times New Roman" w:hAnsi="Times New Roman"/>
          <w:sz w:val="18"/>
          <w:szCs w:val="18"/>
          <w:b w:val="1"/>
          <w:bCs w:val="1"/>
          <w:color w:val="231F20"/>
        </w:rPr>
        <w:t>RISK FACTORS</w:t>
      </w:r>
    </w:p>
    <w:p>
      <w:pPr>
        <w:spacing w:after="0" w:line="11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9"/>
          <w:szCs w:val="19"/>
          <w:color w:val="231F20"/>
        </w:rPr>
        <w:t>This Annual Report on Form 10-K contains forward-looking statements within the meaning of Section 27A of the Securities Act of 1933, Section 21E of the Exchange Act and the Private Securities Litigation Reform Act of 1995. Also, documents that we “incorporate by reference” into this Annual Report on Form 10-K, including documents that we subsequently file with the SEC will contain forward-looking statements. When we refer to forward-looking statements or information, sometimes we use words such as “may,” “will,” “could,” “should,” “plans,” “intends,” “expects,” “believes,” “estimates,” “anticipates” and “continues.” In particular, the below risk factors describe forward-looking information. The risk factors describe risks that may affect these statements but are not all-inclusive, particularly with respect to possible future events. Many things can happen that can cause actual results to be different from those we describe. These factors include, but are not limited to the following:</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231F20"/>
        </w:rPr>
        <w:t>Risk Factors Related to our Real Estate Investments and Operations</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Revenue from our properties may be reduced or limited if the retail operations of our tenants are not successful.</w:t>
      </w:r>
    </w:p>
    <w:p>
      <w:pPr>
        <w:spacing w:after="0" w:line="11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9"/>
          <w:szCs w:val="19"/>
          <w:color w:val="231F20"/>
        </w:rPr>
        <w:t>Revenue from our properties depends primarily on the ability of our tenants to pay the full amount of rent and other charges due under their leases on a timely basis. Some of our leases provide for the payment, in addition to base rent, of additional rent above the base amount according to a specified percentage of the gross sales generated by the tenants and generally provide for reimbursement of real estate taxes and expenses of operating the property. Economic, legal, and/or competitive conditions, such as impacts from higher tariffs, changing interest rates, the cost and availability of labor, and changes in federal government spending, may impact the success of our tenants’ retail operations and therefore the amount of rent and expense reimbursements we receive from our tenants. Any reduction in our tenants' abilities to pay base rent, percentage rent, or other charges on a timely basis, including the closing of stores prior to the end of the lease term or the filing by any of our tenants for bankruptcy protection, will adversely affect our financial condition and results of operations. In the event of default by a tenant, we may experience delays and unexpected costs in enforcing our rights as landlord under lease terms, which may also adversely affect our financial condition and results of operations.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Our net income depends on the success and continued presence of our “anchor” tenants.</w:t>
      </w:r>
    </w:p>
    <w:p>
      <w:pPr>
        <w:spacing w:after="0" w:line="11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9"/>
          <w:szCs w:val="19"/>
          <w:color w:val="231F20"/>
        </w:rPr>
        <w:t>Our net income could be adversely affected in the event of a downturn in the business, or the bankruptcy or insolvency, of any anchor store or anchor tenant. Anchor tenants generally occupy large amounts of square footage, pay a significant portion of the total rents at a property and contribute to the success of other tenants by drawing significant numbers of customers to a property. The closing of one or more anchor stores at a property could adversely affect that property and result in lease terminations by, or reductions in rent from, other tenants whose leases may permit termination or rent reduction in those circumstances or whose own operations may suffer as a result. If we were to experience high levels of anchor turnover and closings, an oversupply of larger retail spaces could result and we may see an increase in vacancy, and/or a decrease in rents for those spaces, which could have a negative impact to our net income. As of December 31, 2025, our anchor tenant space is 97.3% leased and 95.5% occupied.</w:t>
      </w:r>
    </w:p>
    <w:p>
      <w:pPr>
        <w:spacing w:after="0" w:line="196"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9"/>
          <w:szCs w:val="19"/>
          <w:b w:val="1"/>
          <w:bCs w:val="1"/>
          <w:color w:val="231F20"/>
        </w:rPr>
        <w:t>A shift in retail shopping from brick and mortar stores to online shopping may have an adverse impact on our cash flow, financial condition and results of operations.</w:t>
      </w:r>
    </w:p>
    <w:p>
      <w:pPr>
        <w:spacing w:after="0" w:line="3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9"/>
          <w:szCs w:val="19"/>
          <w:color w:val="231F20"/>
        </w:rPr>
        <w:t>Many retailers operating brick and mortar stores have made online sales a vital piece of their business. The shift to online shopping may cause declines in brick and mortar sales generated by certain of our tenants and may cause certain of our tenants to reduce the size or number of their retail locations in the future. This risk is partially mitigated by our strategy of maintaining a diverse portfolio of retail properties. The trend of retailers utilizing brick and mortar locations for ‘showroom’ and on-line sales distribution purposes (particularly at shopping centers in densely populated areas like ours) may further mitigate this risk. However, there can be no assurance that our shopping centers will not be further impacted by the shift to online shopping. As a result, our cash flow, financial condition, and results of operations could be adversely affected.</w:t>
      </w:r>
    </w:p>
    <w:p>
      <w:pPr>
        <w:sectPr>
          <w:pgSz w:w="11880" w:h="15480" w:orient="portrait"/>
          <w:cols w:equalWidth="0" w:num="1">
            <w:col w:w="9740"/>
          </w:cols>
          <w:pgMar w:left="1060" w:top="963"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231F20"/>
        </w:rPr>
        <w:t>8</w:t>
      </w:r>
    </w:p>
    <w:p>
      <w:pPr>
        <w:sectPr>
          <w:pgSz w:w="11880" w:h="15480" w:orient="portrait"/>
          <w:cols w:equalWidth="0" w:num="1">
            <w:col w:w="9740"/>
          </w:cols>
          <w:pgMar w:left="1060" w:top="963" w:right="1080" w:bottom="0" w:gutter="0" w:footer="0" w:header="0"/>
          <w:type w:val="continuous"/>
        </w:sectPr>
      </w:pPr>
    </w:p>
    <w:bookmarkStart w:id="16" w:name="page17"/>
    <w:bookmarkEnd w:id="16"/>
    <w:p>
      <w:pPr>
        <w:ind w:right="140"/>
        <w:spacing w:after="0" w:line="286" w:lineRule="auto"/>
        <w:rPr>
          <w:sz w:val="20"/>
          <w:szCs w:val="20"/>
          <w:color w:val="auto"/>
        </w:rPr>
      </w:pPr>
      <w:r>
        <w:rPr>
          <w:rFonts w:ascii="Times New Roman" w:cs="Times New Roman" w:eastAsia="Times New Roman" w:hAnsi="Times New Roman"/>
          <w:sz w:val="19"/>
          <w:szCs w:val="19"/>
          <w:b w:val="1"/>
          <w:bCs w:val="1"/>
          <w:color w:val="231F20"/>
        </w:rPr>
        <w:t>We have properties that are geographically concentrated, and adverse economic or real estate market declines in these areas could have a material adverse effect on us.</w:t>
      </w:r>
    </w:p>
    <w:p>
      <w:pPr>
        <w:spacing w:after="0" w:line="36"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9"/>
          <w:szCs w:val="19"/>
          <w:color w:val="231F20"/>
        </w:rPr>
        <w:t>As of December 31, 2025, our tenants operated in 14 states and the District of Columbia. Any adverse situation that disproportionately affects the the markets where our properties are concentrated may have a magnified adverse effect on our portfolio. Refer to “Properties” (Item 2 of this Annual Report on Form 10-K) for additional discussion of the geographic concentration. Real estate markets are subject to economic downturns, as they have been in the past, and we cannot predict how economic conditions will impact this market in both the short and long term.</w:t>
      </w:r>
    </w:p>
    <w:p>
      <w:pPr>
        <w:spacing w:after="0" w:line="133" w:lineRule="exact"/>
        <w:rPr>
          <w:sz w:val="20"/>
          <w:szCs w:val="20"/>
          <w:color w:val="auto"/>
        </w:rPr>
      </w:pPr>
    </w:p>
    <w:p>
      <w:pPr>
        <w:ind w:right="40"/>
        <w:spacing w:after="0" w:line="284" w:lineRule="auto"/>
        <w:rPr>
          <w:sz w:val="20"/>
          <w:szCs w:val="20"/>
          <w:color w:val="auto"/>
        </w:rPr>
      </w:pPr>
      <w:r>
        <w:rPr>
          <w:rFonts w:ascii="Times New Roman" w:cs="Times New Roman" w:eastAsia="Times New Roman" w:hAnsi="Times New Roman"/>
          <w:sz w:val="19"/>
          <w:szCs w:val="19"/>
          <w:color w:val="231F20"/>
        </w:rPr>
        <w:t>Declines in the economy or a decline in the real estate market in these states could hurt our financial performance and the value of our properties. Factors that may negatively affect economic conditions in these states include:</w:t>
      </w:r>
    </w:p>
    <w:p>
      <w:pPr>
        <w:spacing w:after="0" w:line="167" w:lineRule="exact"/>
        <w:rPr>
          <w:sz w:val="20"/>
          <w:szCs w:val="20"/>
          <w:color w:val="auto"/>
        </w:rPr>
      </w:pPr>
    </w:p>
    <w:p>
      <w:pPr>
        <w:ind w:left="680" w:hanging="335"/>
        <w:spacing w:after="0"/>
        <w:tabs>
          <w:tab w:leader="none" w:pos="680" w:val="left"/>
        </w:tabs>
        <w:numPr>
          <w:ilvl w:val="0"/>
          <w:numId w:val="15"/>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business or government layoffs or downsizing;</w:t>
      </w:r>
    </w:p>
    <w:p>
      <w:pPr>
        <w:spacing w:after="0" w:line="30" w:lineRule="exact"/>
        <w:rPr>
          <w:rFonts w:ascii="Times New Roman" w:cs="Times New Roman" w:eastAsia="Times New Roman" w:hAnsi="Times New Roman"/>
          <w:sz w:val="19"/>
          <w:szCs w:val="19"/>
          <w:color w:val="231F20"/>
        </w:rPr>
      </w:pPr>
    </w:p>
    <w:p>
      <w:pPr>
        <w:ind w:left="680" w:hanging="335"/>
        <w:spacing w:after="0"/>
        <w:tabs>
          <w:tab w:leader="none" w:pos="680" w:val="left"/>
        </w:tabs>
        <w:numPr>
          <w:ilvl w:val="0"/>
          <w:numId w:val="15"/>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industry slowdowns;</w:t>
      </w:r>
    </w:p>
    <w:p>
      <w:pPr>
        <w:spacing w:after="0" w:line="9" w:lineRule="exact"/>
        <w:rPr>
          <w:rFonts w:ascii="Times New Roman" w:cs="Times New Roman" w:eastAsia="Times New Roman" w:hAnsi="Times New Roman"/>
          <w:sz w:val="19"/>
          <w:szCs w:val="19"/>
          <w:color w:val="231F20"/>
        </w:rPr>
      </w:pPr>
    </w:p>
    <w:p>
      <w:pPr>
        <w:ind w:left="680" w:hanging="335"/>
        <w:spacing w:after="0"/>
        <w:tabs>
          <w:tab w:leader="none" w:pos="680" w:val="left"/>
        </w:tabs>
        <w:numPr>
          <w:ilvl w:val="0"/>
          <w:numId w:val="15"/>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elevated levels of inflation over an extended period of time;</w:t>
      </w:r>
    </w:p>
    <w:p>
      <w:pPr>
        <w:spacing w:after="0" w:line="9" w:lineRule="exact"/>
        <w:rPr>
          <w:rFonts w:ascii="Times New Roman" w:cs="Times New Roman" w:eastAsia="Times New Roman" w:hAnsi="Times New Roman"/>
          <w:sz w:val="19"/>
          <w:szCs w:val="19"/>
          <w:color w:val="231F20"/>
        </w:rPr>
      </w:pPr>
    </w:p>
    <w:p>
      <w:pPr>
        <w:ind w:left="680" w:hanging="335"/>
        <w:spacing w:after="0"/>
        <w:tabs>
          <w:tab w:leader="none" w:pos="680" w:val="left"/>
        </w:tabs>
        <w:numPr>
          <w:ilvl w:val="0"/>
          <w:numId w:val="15"/>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increasing interest rates;</w:t>
      </w:r>
    </w:p>
    <w:p>
      <w:pPr>
        <w:spacing w:after="0" w:line="9" w:lineRule="exact"/>
        <w:rPr>
          <w:rFonts w:ascii="Times New Roman" w:cs="Times New Roman" w:eastAsia="Times New Roman" w:hAnsi="Times New Roman"/>
          <w:sz w:val="19"/>
          <w:szCs w:val="19"/>
          <w:color w:val="231F20"/>
        </w:rPr>
      </w:pPr>
    </w:p>
    <w:p>
      <w:pPr>
        <w:ind w:left="680" w:hanging="335"/>
        <w:spacing w:after="0"/>
        <w:tabs>
          <w:tab w:leader="none" w:pos="680" w:val="left"/>
        </w:tabs>
        <w:numPr>
          <w:ilvl w:val="0"/>
          <w:numId w:val="15"/>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introduction of new or higher tariffs;</w:t>
      </w:r>
    </w:p>
    <w:p>
      <w:pPr>
        <w:spacing w:after="0" w:line="9" w:lineRule="exact"/>
        <w:rPr>
          <w:rFonts w:ascii="Times New Roman" w:cs="Times New Roman" w:eastAsia="Times New Roman" w:hAnsi="Times New Roman"/>
          <w:sz w:val="19"/>
          <w:szCs w:val="19"/>
          <w:color w:val="231F20"/>
        </w:rPr>
      </w:pPr>
    </w:p>
    <w:p>
      <w:pPr>
        <w:ind w:left="680" w:hanging="335"/>
        <w:spacing w:after="0"/>
        <w:tabs>
          <w:tab w:leader="none" w:pos="680" w:val="left"/>
        </w:tabs>
        <w:numPr>
          <w:ilvl w:val="0"/>
          <w:numId w:val="15"/>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significant decrease in federal government spending;</w:t>
      </w:r>
    </w:p>
    <w:p>
      <w:pPr>
        <w:spacing w:after="0" w:line="9" w:lineRule="exact"/>
        <w:rPr>
          <w:rFonts w:ascii="Times New Roman" w:cs="Times New Roman" w:eastAsia="Times New Roman" w:hAnsi="Times New Roman"/>
          <w:sz w:val="19"/>
          <w:szCs w:val="19"/>
          <w:color w:val="231F20"/>
        </w:rPr>
      </w:pPr>
    </w:p>
    <w:p>
      <w:pPr>
        <w:ind w:left="680" w:hanging="335"/>
        <w:spacing w:after="0"/>
        <w:tabs>
          <w:tab w:leader="none" w:pos="680" w:val="left"/>
        </w:tabs>
        <w:numPr>
          <w:ilvl w:val="0"/>
          <w:numId w:val="15"/>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increased business restrictions due to health crises;</w:t>
      </w:r>
    </w:p>
    <w:p>
      <w:pPr>
        <w:spacing w:after="0" w:line="9" w:lineRule="exact"/>
        <w:rPr>
          <w:rFonts w:ascii="Times New Roman" w:cs="Times New Roman" w:eastAsia="Times New Roman" w:hAnsi="Times New Roman"/>
          <w:sz w:val="19"/>
          <w:szCs w:val="19"/>
          <w:color w:val="231F20"/>
        </w:rPr>
      </w:pPr>
    </w:p>
    <w:p>
      <w:pPr>
        <w:ind w:left="680" w:hanging="335"/>
        <w:spacing w:after="0"/>
        <w:tabs>
          <w:tab w:leader="none" w:pos="680" w:val="left"/>
        </w:tabs>
        <w:numPr>
          <w:ilvl w:val="0"/>
          <w:numId w:val="15"/>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relocations of businesses;</w:t>
      </w:r>
    </w:p>
    <w:p>
      <w:pPr>
        <w:spacing w:after="0" w:line="9" w:lineRule="exact"/>
        <w:rPr>
          <w:rFonts w:ascii="Times New Roman" w:cs="Times New Roman" w:eastAsia="Times New Roman" w:hAnsi="Times New Roman"/>
          <w:sz w:val="19"/>
          <w:szCs w:val="19"/>
          <w:color w:val="231F20"/>
        </w:rPr>
      </w:pPr>
    </w:p>
    <w:p>
      <w:pPr>
        <w:ind w:left="680" w:hanging="335"/>
        <w:spacing w:after="0"/>
        <w:tabs>
          <w:tab w:leader="none" w:pos="680" w:val="left"/>
        </w:tabs>
        <w:numPr>
          <w:ilvl w:val="0"/>
          <w:numId w:val="15"/>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changing demographics;</w:t>
      </w:r>
    </w:p>
    <w:p>
      <w:pPr>
        <w:spacing w:after="0" w:line="9" w:lineRule="exact"/>
        <w:rPr>
          <w:rFonts w:ascii="Times New Roman" w:cs="Times New Roman" w:eastAsia="Times New Roman" w:hAnsi="Times New Roman"/>
          <w:sz w:val="19"/>
          <w:szCs w:val="19"/>
          <w:color w:val="231F20"/>
        </w:rPr>
      </w:pPr>
    </w:p>
    <w:p>
      <w:pPr>
        <w:ind w:left="680" w:hanging="335"/>
        <w:spacing w:after="0"/>
        <w:tabs>
          <w:tab w:leader="none" w:pos="680" w:val="left"/>
        </w:tabs>
        <w:numPr>
          <w:ilvl w:val="0"/>
          <w:numId w:val="15"/>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increased telecommuting and use of alternative work places;</w:t>
      </w:r>
    </w:p>
    <w:p>
      <w:pPr>
        <w:spacing w:after="0" w:line="9" w:lineRule="exact"/>
        <w:rPr>
          <w:rFonts w:ascii="Times New Roman" w:cs="Times New Roman" w:eastAsia="Times New Roman" w:hAnsi="Times New Roman"/>
          <w:sz w:val="19"/>
          <w:szCs w:val="19"/>
          <w:color w:val="231F20"/>
        </w:rPr>
      </w:pPr>
    </w:p>
    <w:p>
      <w:pPr>
        <w:ind w:left="680" w:hanging="335"/>
        <w:spacing w:after="0"/>
        <w:tabs>
          <w:tab w:leader="none" w:pos="680" w:val="left"/>
        </w:tabs>
        <w:numPr>
          <w:ilvl w:val="0"/>
          <w:numId w:val="15"/>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infrastructure quality;</w:t>
      </w:r>
    </w:p>
    <w:p>
      <w:pPr>
        <w:spacing w:after="0" w:line="9" w:lineRule="exact"/>
        <w:rPr>
          <w:rFonts w:ascii="Times New Roman" w:cs="Times New Roman" w:eastAsia="Times New Roman" w:hAnsi="Times New Roman"/>
          <w:sz w:val="19"/>
          <w:szCs w:val="19"/>
          <w:color w:val="231F20"/>
        </w:rPr>
      </w:pPr>
    </w:p>
    <w:p>
      <w:pPr>
        <w:ind w:left="680" w:hanging="335"/>
        <w:spacing w:after="0"/>
        <w:tabs>
          <w:tab w:leader="none" w:pos="680" w:val="left"/>
        </w:tabs>
        <w:numPr>
          <w:ilvl w:val="0"/>
          <w:numId w:val="15"/>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any oversupply of, or reduced demand for, real estate;</w:t>
      </w:r>
    </w:p>
    <w:p>
      <w:pPr>
        <w:spacing w:after="0" w:line="9" w:lineRule="exact"/>
        <w:rPr>
          <w:rFonts w:ascii="Times New Roman" w:cs="Times New Roman" w:eastAsia="Times New Roman" w:hAnsi="Times New Roman"/>
          <w:sz w:val="19"/>
          <w:szCs w:val="19"/>
          <w:color w:val="231F20"/>
        </w:rPr>
      </w:pPr>
    </w:p>
    <w:p>
      <w:pPr>
        <w:ind w:left="680" w:hanging="335"/>
        <w:spacing w:after="0"/>
        <w:tabs>
          <w:tab w:leader="none" w:pos="680" w:val="left"/>
        </w:tabs>
        <w:numPr>
          <w:ilvl w:val="0"/>
          <w:numId w:val="15"/>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concessions or reduced rental rates under new leases for properties where tenants defaulted; and</w:t>
      </w:r>
    </w:p>
    <w:p>
      <w:pPr>
        <w:spacing w:after="0" w:line="9" w:lineRule="exact"/>
        <w:rPr>
          <w:rFonts w:ascii="Times New Roman" w:cs="Times New Roman" w:eastAsia="Times New Roman" w:hAnsi="Times New Roman"/>
          <w:sz w:val="19"/>
          <w:szCs w:val="19"/>
          <w:color w:val="231F20"/>
        </w:rPr>
      </w:pPr>
    </w:p>
    <w:p>
      <w:pPr>
        <w:ind w:left="680" w:hanging="335"/>
        <w:spacing w:after="0"/>
        <w:tabs>
          <w:tab w:leader="none" w:pos="680" w:val="left"/>
        </w:tabs>
        <w:numPr>
          <w:ilvl w:val="0"/>
          <w:numId w:val="15"/>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increased operating costs including insurance premiums and real estate taxes.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We may be unable to collect balances due from tenants that file for bankruptcy protection.</w:t>
      </w:r>
    </w:p>
    <w:p>
      <w:pPr>
        <w:spacing w:after="0" w:line="110"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9"/>
          <w:szCs w:val="19"/>
          <w:color w:val="231F20"/>
        </w:rPr>
        <w:t>If a tenant or lease guarantor files for bankruptcy, we may not be able to collect all pre-petition amounts owed by that party. In addition, a tenant that files for bankruptcy protection may terminate our lease in which event we would have a general unsecured claim that would likely be for less than the full amount owed to us for the remainder of the lease term, which could adversely affect our financial condition and results of operations.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We may experience difficulty or delay in renewing leases or re-leasing space.</w:t>
      </w:r>
    </w:p>
    <w:p>
      <w:pPr>
        <w:spacing w:after="0" w:line="110"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9"/>
          <w:szCs w:val="19"/>
          <w:color w:val="231F20"/>
        </w:rPr>
        <w:t>We derive most of our revenue directly or indirectly from rent received from our tenants. We are subject to the risks that, upon expiration or termination of leases, whether by their terms, as a result of a tenant bankruptcy, general economic conditions or otherwise, leases for space in our properties may not be renewed, space may not be re-leased, or the terms of renewal or re-lease, including the cost of required renovations or concessions to tenants, may be less favorable than current lease terms and may include decreases in rental rates. As a result, our net income could be reduced.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Our development activities have inherent risks.</w:t>
      </w:r>
    </w:p>
    <w:p>
      <w:pPr>
        <w:spacing w:after="0" w:line="11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9"/>
          <w:szCs w:val="19"/>
          <w:color w:val="231F20"/>
        </w:rPr>
        <w:t>The ground-up development of improvements on real property, as opposed to the renovation and redevelopment of existing improvements, presents substantial risks. We generally do not look to acquire raw land for future development; however, we do intend to develop and construct additional buildings on projects we already own in order to maximize the value of our real estate. We may also choose to delay completion of a project if market conditions do not allow an appropriate return. If conditions arise and we are not able or decide not to complete a project or if the expected cash flows of our project do not exceed the book value, an impairment of the project may be required. If any new projects are not successful, it may adversely affect our financial condition and results of operations.</w:t>
      </w:r>
    </w:p>
    <w:p>
      <w:pPr>
        <w:spacing w:after="0" w:line="137"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9"/>
          <w:szCs w:val="19"/>
          <w:color w:val="231F20"/>
        </w:rPr>
        <w:t>In addition to the risks associated with real estate investment in general, as described elsewhere and the specific risks above, the risks associated with our remaining development activities include:</w:t>
      </w:r>
    </w:p>
    <w:p>
      <w:pPr>
        <w:spacing w:after="0" w:line="1" w:lineRule="exact"/>
        <w:rPr>
          <w:sz w:val="20"/>
          <w:szCs w:val="20"/>
          <w:color w:val="auto"/>
        </w:rPr>
      </w:pPr>
    </w:p>
    <w:p>
      <w:pPr>
        <w:ind w:left="680" w:hanging="335"/>
        <w:spacing w:after="0"/>
        <w:tabs>
          <w:tab w:leader="none" w:pos="680" w:val="left"/>
        </w:tabs>
        <w:numPr>
          <w:ilvl w:val="0"/>
          <w:numId w:val="16"/>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contractor changes may delay the completion of development projects and increase overall costs;</w:t>
      </w:r>
    </w:p>
    <w:p>
      <w:pPr>
        <w:spacing w:after="0" w:line="9" w:lineRule="exact"/>
        <w:rPr>
          <w:rFonts w:ascii="Times New Roman" w:cs="Times New Roman" w:eastAsia="Times New Roman" w:hAnsi="Times New Roman"/>
          <w:sz w:val="19"/>
          <w:szCs w:val="19"/>
          <w:color w:val="231F20"/>
        </w:rPr>
      </w:pPr>
    </w:p>
    <w:p>
      <w:pPr>
        <w:ind w:left="680" w:right="360" w:hanging="335"/>
        <w:spacing w:after="0" w:line="250" w:lineRule="auto"/>
        <w:tabs>
          <w:tab w:leader="none" w:pos="680" w:val="left"/>
        </w:tabs>
        <w:numPr>
          <w:ilvl w:val="0"/>
          <w:numId w:val="16"/>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significant time lag between commencement and stabilization subjects us to greater risks due to fluctuations in the general economy;</w:t>
      </w:r>
    </w:p>
    <w:p>
      <w:pPr>
        <w:spacing w:after="0" w:line="1" w:lineRule="exact"/>
        <w:rPr>
          <w:rFonts w:ascii="Times New Roman" w:cs="Times New Roman" w:eastAsia="Times New Roman" w:hAnsi="Times New Roman"/>
          <w:sz w:val="19"/>
          <w:szCs w:val="19"/>
          <w:color w:val="231F20"/>
        </w:rPr>
      </w:pPr>
    </w:p>
    <w:p>
      <w:pPr>
        <w:ind w:left="680" w:right="80" w:hanging="335"/>
        <w:spacing w:after="0" w:line="250" w:lineRule="auto"/>
        <w:tabs>
          <w:tab w:leader="none" w:pos="680" w:val="left"/>
        </w:tabs>
        <w:numPr>
          <w:ilvl w:val="0"/>
          <w:numId w:val="16"/>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delivery of residential product into uncertain residential environments may result in lower rents or longer time periods to reach economic stabilization;</w:t>
      </w:r>
    </w:p>
    <w:p>
      <w:pPr>
        <w:spacing w:after="0" w:line="1" w:lineRule="exact"/>
        <w:rPr>
          <w:rFonts w:ascii="Times New Roman" w:cs="Times New Roman" w:eastAsia="Times New Roman" w:hAnsi="Times New Roman"/>
          <w:sz w:val="19"/>
          <w:szCs w:val="19"/>
          <w:color w:val="231F20"/>
        </w:rPr>
      </w:pPr>
    </w:p>
    <w:p>
      <w:pPr>
        <w:ind w:left="680" w:right="100" w:hanging="335"/>
        <w:spacing w:after="0" w:line="261" w:lineRule="auto"/>
        <w:tabs>
          <w:tab w:leader="none" w:pos="680" w:val="left"/>
        </w:tabs>
        <w:numPr>
          <w:ilvl w:val="0"/>
          <w:numId w:val="16"/>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substantial amount of our investment is related to infrastructure and the overall value of the project may be negatively impacted if we do not complete subsequent phases;</w:t>
      </w:r>
    </w:p>
    <w:p>
      <w:pPr>
        <w:sectPr>
          <w:pgSz w:w="11880" w:h="15480" w:orient="portrait"/>
          <w:cols w:equalWidth="0" w:num="1">
            <w:col w:w="9740"/>
          </w:cols>
          <w:pgMar w:left="1060" w:top="959" w:right="1080" w:bottom="0" w:gutter="0" w:footer="0" w:header="0"/>
        </w:sect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231F20"/>
        </w:rPr>
        <w:t>9</w:t>
      </w:r>
    </w:p>
    <w:p>
      <w:pPr>
        <w:sectPr>
          <w:pgSz w:w="11880" w:h="15480" w:orient="portrait"/>
          <w:cols w:equalWidth="0" w:num="1">
            <w:col w:w="9740"/>
          </w:cols>
          <w:pgMar w:left="1060" w:top="959" w:right="1080" w:bottom="0" w:gutter="0" w:footer="0" w:header="0"/>
          <w:type w:val="continuous"/>
        </w:sectPr>
      </w:pPr>
    </w:p>
    <w:bookmarkStart w:id="17" w:name="page18"/>
    <w:bookmarkEnd w:id="17"/>
    <w:p>
      <w:pPr>
        <w:ind w:left="680" w:hanging="335"/>
        <w:spacing w:after="0"/>
        <w:tabs>
          <w:tab w:leader="none" w:pos="680" w:val="left"/>
        </w:tabs>
        <w:numPr>
          <w:ilvl w:val="0"/>
          <w:numId w:val="17"/>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failure or inability to obtain construction or permanent financing on favorable terms;</w:t>
      </w:r>
    </w:p>
    <w:p>
      <w:pPr>
        <w:spacing w:after="0" w:line="30" w:lineRule="exact"/>
        <w:rPr>
          <w:rFonts w:ascii="Times New Roman" w:cs="Times New Roman" w:eastAsia="Times New Roman" w:hAnsi="Times New Roman"/>
          <w:sz w:val="19"/>
          <w:szCs w:val="19"/>
          <w:color w:val="231F20"/>
        </w:rPr>
      </w:pPr>
    </w:p>
    <w:p>
      <w:pPr>
        <w:ind w:left="680" w:hanging="335"/>
        <w:spacing w:after="0"/>
        <w:tabs>
          <w:tab w:leader="none" w:pos="680" w:val="left"/>
        </w:tabs>
        <w:numPr>
          <w:ilvl w:val="0"/>
          <w:numId w:val="17"/>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expenditure of money and time on projects that may never be completed;</w:t>
      </w:r>
    </w:p>
    <w:p>
      <w:pPr>
        <w:spacing w:after="0" w:line="9" w:lineRule="exact"/>
        <w:rPr>
          <w:rFonts w:ascii="Times New Roman" w:cs="Times New Roman" w:eastAsia="Times New Roman" w:hAnsi="Times New Roman"/>
          <w:sz w:val="19"/>
          <w:szCs w:val="19"/>
          <w:color w:val="231F20"/>
        </w:rPr>
      </w:pPr>
    </w:p>
    <w:p>
      <w:pPr>
        <w:ind w:left="680" w:hanging="335"/>
        <w:spacing w:after="0"/>
        <w:tabs>
          <w:tab w:leader="none" w:pos="680" w:val="left"/>
        </w:tabs>
        <w:numPr>
          <w:ilvl w:val="0"/>
          <w:numId w:val="17"/>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difficulty securing key anchor or other tenants may impact occupancy rates and projected revenue;</w:t>
      </w:r>
    </w:p>
    <w:p>
      <w:pPr>
        <w:spacing w:after="0" w:line="9" w:lineRule="exact"/>
        <w:rPr>
          <w:rFonts w:ascii="Times New Roman" w:cs="Times New Roman" w:eastAsia="Times New Roman" w:hAnsi="Times New Roman"/>
          <w:sz w:val="19"/>
          <w:szCs w:val="19"/>
          <w:color w:val="231F20"/>
        </w:rPr>
      </w:pPr>
    </w:p>
    <w:p>
      <w:pPr>
        <w:ind w:left="680" w:hanging="335"/>
        <w:spacing w:after="0"/>
        <w:tabs>
          <w:tab w:leader="none" w:pos="680" w:val="left"/>
        </w:tabs>
        <w:numPr>
          <w:ilvl w:val="0"/>
          <w:numId w:val="17"/>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inability to achieve projected rental rates or anticipated pace of lease-up;</w:t>
      </w:r>
    </w:p>
    <w:p>
      <w:pPr>
        <w:spacing w:after="0" w:line="9" w:lineRule="exact"/>
        <w:rPr>
          <w:rFonts w:ascii="Times New Roman" w:cs="Times New Roman" w:eastAsia="Times New Roman" w:hAnsi="Times New Roman"/>
          <w:sz w:val="19"/>
          <w:szCs w:val="19"/>
          <w:color w:val="231F20"/>
        </w:rPr>
      </w:pPr>
    </w:p>
    <w:p>
      <w:pPr>
        <w:ind w:left="680" w:hanging="335"/>
        <w:spacing w:after="0"/>
        <w:tabs>
          <w:tab w:leader="none" w:pos="680" w:val="left"/>
        </w:tabs>
        <w:numPr>
          <w:ilvl w:val="0"/>
          <w:numId w:val="17"/>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higher than estimated construction or operating costs, including labor and material costs; and</w:t>
      </w:r>
    </w:p>
    <w:p>
      <w:pPr>
        <w:spacing w:after="0" w:line="9" w:lineRule="exact"/>
        <w:rPr>
          <w:rFonts w:ascii="Times New Roman" w:cs="Times New Roman" w:eastAsia="Times New Roman" w:hAnsi="Times New Roman"/>
          <w:sz w:val="19"/>
          <w:szCs w:val="19"/>
          <w:color w:val="231F20"/>
        </w:rPr>
      </w:pPr>
    </w:p>
    <w:p>
      <w:pPr>
        <w:ind w:left="680" w:right="60" w:hanging="335"/>
        <w:spacing w:after="0" w:line="254" w:lineRule="auto"/>
        <w:tabs>
          <w:tab w:leader="none" w:pos="680" w:val="left"/>
        </w:tabs>
        <w:numPr>
          <w:ilvl w:val="0"/>
          <w:numId w:val="17"/>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possible delay in completion of a project because of a number of factors, including public health crises (such as worldwide pandemics), supply chain disruptions and shortages, inflation, climate change and weather, labor disruptions, construction delays or delays in receipt of zoning or other regulatory approvals, acts of terror or other acts of violence, or acts of God (such as fires, earthquakes or floods).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Redevelopments and acquisitions may fail to perform as expected.</w:t>
      </w:r>
    </w:p>
    <w:p>
      <w:pPr>
        <w:spacing w:after="0" w:line="110" w:lineRule="exact"/>
        <w:rPr>
          <w:sz w:val="20"/>
          <w:szCs w:val="20"/>
          <w:color w:val="auto"/>
        </w:rPr>
      </w:pPr>
    </w:p>
    <w:p>
      <w:pPr>
        <w:ind w:right="400"/>
        <w:spacing w:after="0" w:line="256" w:lineRule="auto"/>
        <w:rPr>
          <w:sz w:val="20"/>
          <w:szCs w:val="20"/>
          <w:color w:val="auto"/>
        </w:rPr>
      </w:pPr>
      <w:r>
        <w:rPr>
          <w:rFonts w:ascii="Times New Roman" w:cs="Times New Roman" w:eastAsia="Times New Roman" w:hAnsi="Times New Roman"/>
          <w:sz w:val="19"/>
          <w:szCs w:val="19"/>
          <w:color w:val="231F20"/>
        </w:rPr>
        <w:t>Our investment strategy includes the redevelopment and acquisition of high quality, retail focused properties in densely populated areas with high average household incomes and significant barriers to adding competitive retail supply. The redevelopment and acquisition of properties entail risks that include the following, any of which could adversely affect our results of operations and our ability to meet our obligations:</w:t>
      </w:r>
    </w:p>
    <w:p>
      <w:pPr>
        <w:spacing w:after="0" w:line="2" w:lineRule="exact"/>
        <w:rPr>
          <w:sz w:val="20"/>
          <w:szCs w:val="20"/>
          <w:color w:val="auto"/>
        </w:rPr>
      </w:pPr>
    </w:p>
    <w:p>
      <w:pPr>
        <w:ind w:left="680" w:right="40" w:hanging="335"/>
        <w:spacing w:after="0" w:line="250" w:lineRule="auto"/>
        <w:tabs>
          <w:tab w:leader="none" w:pos="680" w:val="left"/>
        </w:tabs>
        <w:numPr>
          <w:ilvl w:val="0"/>
          <w:numId w:val="18"/>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our estimate of the costs to improve, reposition or redevelop a property may prove to be too low, or the time we estimate to complete the improvement, repositioning or redevelopment may be too short. As a result, the property may fail to achieve the returns we have projected, either temporarily or for a longer period;</w:t>
      </w:r>
    </w:p>
    <w:p>
      <w:pPr>
        <w:spacing w:after="0" w:line="1" w:lineRule="exact"/>
        <w:rPr>
          <w:rFonts w:ascii="Times New Roman" w:cs="Times New Roman" w:eastAsia="Times New Roman" w:hAnsi="Times New Roman"/>
          <w:sz w:val="19"/>
          <w:szCs w:val="19"/>
          <w:color w:val="231F20"/>
        </w:rPr>
      </w:pPr>
    </w:p>
    <w:p>
      <w:pPr>
        <w:ind w:left="680" w:right="540" w:hanging="335"/>
        <w:spacing w:after="0" w:line="250" w:lineRule="auto"/>
        <w:tabs>
          <w:tab w:leader="none" w:pos="680" w:val="left"/>
        </w:tabs>
        <w:numPr>
          <w:ilvl w:val="0"/>
          <w:numId w:val="18"/>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we may not be able to identify suitable properties to acquire or may be unable to complete the acquisition of the properties we identify;</w:t>
      </w:r>
    </w:p>
    <w:p>
      <w:pPr>
        <w:spacing w:after="0" w:line="1" w:lineRule="exact"/>
        <w:rPr>
          <w:rFonts w:ascii="Times New Roman" w:cs="Times New Roman" w:eastAsia="Times New Roman" w:hAnsi="Times New Roman"/>
          <w:sz w:val="19"/>
          <w:szCs w:val="19"/>
          <w:color w:val="231F20"/>
        </w:rPr>
      </w:pPr>
    </w:p>
    <w:p>
      <w:pPr>
        <w:ind w:left="680" w:hanging="335"/>
        <w:spacing w:after="0"/>
        <w:tabs>
          <w:tab w:leader="none" w:pos="680" w:val="left"/>
        </w:tabs>
        <w:numPr>
          <w:ilvl w:val="0"/>
          <w:numId w:val="18"/>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we may not be able to integrate an acquisition into our existing operations successfully;</w:t>
      </w:r>
    </w:p>
    <w:p>
      <w:pPr>
        <w:spacing w:after="0" w:line="9" w:lineRule="exact"/>
        <w:rPr>
          <w:rFonts w:ascii="Times New Roman" w:cs="Times New Roman" w:eastAsia="Times New Roman" w:hAnsi="Times New Roman"/>
          <w:sz w:val="19"/>
          <w:szCs w:val="19"/>
          <w:color w:val="231F20"/>
        </w:rPr>
      </w:pPr>
    </w:p>
    <w:p>
      <w:pPr>
        <w:jc w:val="both"/>
        <w:ind w:left="680" w:hanging="335"/>
        <w:spacing w:after="0" w:line="250" w:lineRule="auto"/>
        <w:tabs>
          <w:tab w:leader="none" w:pos="680" w:val="left"/>
        </w:tabs>
        <w:numPr>
          <w:ilvl w:val="0"/>
          <w:numId w:val="18"/>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properties we redevelop or acquire may fail to achieve the occupancy or rental rates we project, within the time frames we project, at the time we make the decision to invest, which may result in the properties’ failure to achieve the returns we projected;</w:t>
      </w:r>
    </w:p>
    <w:p>
      <w:pPr>
        <w:spacing w:after="0" w:line="1" w:lineRule="exact"/>
        <w:rPr>
          <w:rFonts w:ascii="Times New Roman" w:cs="Times New Roman" w:eastAsia="Times New Roman" w:hAnsi="Times New Roman"/>
          <w:sz w:val="19"/>
          <w:szCs w:val="19"/>
          <w:color w:val="231F20"/>
        </w:rPr>
      </w:pPr>
    </w:p>
    <w:p>
      <w:pPr>
        <w:ind w:left="680" w:right="200" w:hanging="335"/>
        <w:spacing w:after="0" w:line="250" w:lineRule="auto"/>
        <w:tabs>
          <w:tab w:leader="none" w:pos="680" w:val="left"/>
        </w:tabs>
        <w:numPr>
          <w:ilvl w:val="0"/>
          <w:numId w:val="18"/>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our pre-acquisition evaluation of the physical condition of each new investment may not detect certain defects or identify necessary repairs until after the property is acquired, which could significantly increase our total acquisition costs or decrease cash flow from the property; and</w:t>
      </w:r>
    </w:p>
    <w:p>
      <w:pPr>
        <w:spacing w:after="0" w:line="1" w:lineRule="exact"/>
        <w:rPr>
          <w:rFonts w:ascii="Times New Roman" w:cs="Times New Roman" w:eastAsia="Times New Roman" w:hAnsi="Times New Roman"/>
          <w:sz w:val="19"/>
          <w:szCs w:val="19"/>
          <w:color w:val="231F20"/>
        </w:rPr>
      </w:pPr>
    </w:p>
    <w:p>
      <w:pPr>
        <w:ind w:left="680" w:right="240" w:hanging="335"/>
        <w:spacing w:after="0" w:line="255" w:lineRule="auto"/>
        <w:tabs>
          <w:tab w:leader="none" w:pos="680" w:val="left"/>
        </w:tabs>
        <w:numPr>
          <w:ilvl w:val="0"/>
          <w:numId w:val="18"/>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our investigation of a property or building prior to our acquisition, and any representations we may receive from the seller of such building or property, may fail to reveal various liabilities, which could reduce the cash flow from the property or increase our acquisition cost.</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Our performance and value are subject to general risks associated with the real estate industry.</w:t>
      </w:r>
    </w:p>
    <w:p>
      <w:pPr>
        <w:spacing w:after="0" w:line="11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9"/>
          <w:szCs w:val="19"/>
          <w:color w:val="231F20"/>
        </w:rPr>
        <w:t>Our economic performance and the value of our real estate assets, and consequently, the value of our investments, are subject to the risk that if our properties do not generate revenues sufficient to meet our operating expenses, including debt service and capital expenditures, our cash flow and ability to pay distributions to our shareholders will be adversely affected. As a real estate company, we are susceptible to the following real estate industry risks:</w:t>
      </w:r>
    </w:p>
    <w:p>
      <w:pPr>
        <w:spacing w:after="0" w:line="2" w:lineRule="exact"/>
        <w:rPr>
          <w:sz w:val="20"/>
          <w:szCs w:val="20"/>
          <w:color w:val="auto"/>
        </w:rPr>
      </w:pPr>
    </w:p>
    <w:p>
      <w:pPr>
        <w:ind w:left="680" w:hanging="335"/>
        <w:spacing w:after="0"/>
        <w:tabs>
          <w:tab w:leader="none" w:pos="680" w:val="left"/>
        </w:tabs>
        <w:numPr>
          <w:ilvl w:val="0"/>
          <w:numId w:val="19"/>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economic downturns in general, or in the areas where our properties are located;</w:t>
      </w:r>
    </w:p>
    <w:p>
      <w:pPr>
        <w:spacing w:after="0" w:line="9" w:lineRule="exact"/>
        <w:rPr>
          <w:rFonts w:ascii="Times New Roman" w:cs="Times New Roman" w:eastAsia="Times New Roman" w:hAnsi="Times New Roman"/>
          <w:sz w:val="19"/>
          <w:szCs w:val="19"/>
          <w:color w:val="231F20"/>
        </w:rPr>
      </w:pPr>
    </w:p>
    <w:p>
      <w:pPr>
        <w:ind w:left="680" w:hanging="335"/>
        <w:spacing w:after="0"/>
        <w:tabs>
          <w:tab w:leader="none" w:pos="680" w:val="left"/>
        </w:tabs>
        <w:numPr>
          <w:ilvl w:val="0"/>
          <w:numId w:val="19"/>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adverse changes in local real estate market conditions, such as an oversupply or reduction in demand;</w:t>
      </w:r>
    </w:p>
    <w:p>
      <w:pPr>
        <w:spacing w:after="0" w:line="9" w:lineRule="exact"/>
        <w:rPr>
          <w:rFonts w:ascii="Times New Roman" w:cs="Times New Roman" w:eastAsia="Times New Roman" w:hAnsi="Times New Roman"/>
          <w:sz w:val="19"/>
          <w:szCs w:val="19"/>
          <w:color w:val="231F20"/>
        </w:rPr>
      </w:pPr>
    </w:p>
    <w:p>
      <w:pPr>
        <w:ind w:left="680" w:hanging="335"/>
        <w:spacing w:after="0"/>
        <w:tabs>
          <w:tab w:leader="none" w:pos="680" w:val="left"/>
        </w:tabs>
        <w:numPr>
          <w:ilvl w:val="0"/>
          <w:numId w:val="19"/>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changes in tenant preferences that reduce the attractiveness of our properties to tenants;</w:t>
      </w:r>
    </w:p>
    <w:p>
      <w:pPr>
        <w:spacing w:after="0" w:line="9" w:lineRule="exact"/>
        <w:rPr>
          <w:rFonts w:ascii="Times New Roman" w:cs="Times New Roman" w:eastAsia="Times New Roman" w:hAnsi="Times New Roman"/>
          <w:sz w:val="19"/>
          <w:szCs w:val="19"/>
          <w:color w:val="231F20"/>
        </w:rPr>
      </w:pPr>
    </w:p>
    <w:p>
      <w:pPr>
        <w:ind w:left="680" w:hanging="335"/>
        <w:spacing w:after="0"/>
        <w:tabs>
          <w:tab w:leader="none" w:pos="680" w:val="left"/>
        </w:tabs>
        <w:numPr>
          <w:ilvl w:val="0"/>
          <w:numId w:val="19"/>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zoning or regulatory restrictions;</w:t>
      </w:r>
    </w:p>
    <w:p>
      <w:pPr>
        <w:spacing w:after="0" w:line="9" w:lineRule="exact"/>
        <w:rPr>
          <w:rFonts w:ascii="Times New Roman" w:cs="Times New Roman" w:eastAsia="Times New Roman" w:hAnsi="Times New Roman"/>
          <w:sz w:val="19"/>
          <w:szCs w:val="19"/>
          <w:color w:val="231F20"/>
        </w:rPr>
      </w:pPr>
    </w:p>
    <w:p>
      <w:pPr>
        <w:ind w:left="680" w:hanging="335"/>
        <w:spacing w:after="0"/>
        <w:tabs>
          <w:tab w:leader="none" w:pos="680" w:val="left"/>
        </w:tabs>
        <w:numPr>
          <w:ilvl w:val="0"/>
          <w:numId w:val="19"/>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decreases in market rental rates;</w:t>
      </w:r>
    </w:p>
    <w:p>
      <w:pPr>
        <w:spacing w:after="0" w:line="9" w:lineRule="exact"/>
        <w:rPr>
          <w:rFonts w:ascii="Times New Roman" w:cs="Times New Roman" w:eastAsia="Times New Roman" w:hAnsi="Times New Roman"/>
          <w:sz w:val="19"/>
          <w:szCs w:val="19"/>
          <w:color w:val="231F20"/>
        </w:rPr>
      </w:pPr>
    </w:p>
    <w:p>
      <w:pPr>
        <w:ind w:left="680" w:hanging="335"/>
        <w:spacing w:after="0"/>
        <w:tabs>
          <w:tab w:leader="none" w:pos="680" w:val="left"/>
        </w:tabs>
        <w:numPr>
          <w:ilvl w:val="0"/>
          <w:numId w:val="19"/>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weather conditions that may increase or decrease energy costs and other weather-related expenses;</w:t>
      </w:r>
    </w:p>
    <w:p>
      <w:pPr>
        <w:spacing w:after="0" w:line="9" w:lineRule="exact"/>
        <w:rPr>
          <w:rFonts w:ascii="Times New Roman" w:cs="Times New Roman" w:eastAsia="Times New Roman" w:hAnsi="Times New Roman"/>
          <w:sz w:val="19"/>
          <w:szCs w:val="19"/>
          <w:color w:val="231F20"/>
        </w:rPr>
      </w:pPr>
    </w:p>
    <w:p>
      <w:pPr>
        <w:ind w:left="680" w:hanging="335"/>
        <w:spacing w:after="0"/>
        <w:tabs>
          <w:tab w:leader="none" w:pos="680" w:val="left"/>
        </w:tabs>
        <w:numPr>
          <w:ilvl w:val="0"/>
          <w:numId w:val="19"/>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costs associated with the need to periodically repair, renovate and re-lease space; and</w:t>
      </w:r>
    </w:p>
    <w:p>
      <w:pPr>
        <w:spacing w:after="0" w:line="9" w:lineRule="exact"/>
        <w:rPr>
          <w:rFonts w:ascii="Times New Roman" w:cs="Times New Roman" w:eastAsia="Times New Roman" w:hAnsi="Times New Roman"/>
          <w:sz w:val="19"/>
          <w:szCs w:val="19"/>
          <w:color w:val="231F20"/>
        </w:rPr>
      </w:pPr>
    </w:p>
    <w:p>
      <w:pPr>
        <w:ind w:left="680" w:right="420" w:hanging="335"/>
        <w:spacing w:after="0" w:line="254" w:lineRule="auto"/>
        <w:tabs>
          <w:tab w:leader="none" w:pos="680" w:val="left"/>
        </w:tabs>
        <w:numPr>
          <w:ilvl w:val="0"/>
          <w:numId w:val="19"/>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increases in the cost of adequate maintenance, insurance and other operating costs, including real estate taxes, associated with one or more properties, which may occur even when circumstances such as market factors and competition cause a reduction in revenues from one or more properties, although real estate taxes typically do not increase upon a reduction in such revenues.</w:t>
      </w:r>
    </w:p>
    <w:p>
      <w:pPr>
        <w:spacing w:after="0" w:line="138" w:lineRule="exact"/>
        <w:rPr>
          <w:sz w:val="20"/>
          <w:szCs w:val="20"/>
          <w:color w:val="auto"/>
        </w:rPr>
      </w:pPr>
    </w:p>
    <w:p>
      <w:pPr>
        <w:ind w:right="120"/>
        <w:spacing w:after="0" w:line="284" w:lineRule="auto"/>
        <w:rPr>
          <w:sz w:val="20"/>
          <w:szCs w:val="20"/>
          <w:color w:val="auto"/>
        </w:rPr>
      </w:pPr>
      <w:r>
        <w:rPr>
          <w:rFonts w:ascii="Times New Roman" w:cs="Times New Roman" w:eastAsia="Times New Roman" w:hAnsi="Times New Roman"/>
          <w:sz w:val="19"/>
          <w:szCs w:val="19"/>
          <w:color w:val="231F20"/>
        </w:rPr>
        <w:t>Each of these risks could result in decreases in market rental rates and increases in vacancy rates, which could adversely affect our financial condition and results of operation.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Many real estate costs are fixed, even if income from our properties decreases.</w:t>
      </w:r>
    </w:p>
    <w:p>
      <w:pPr>
        <w:spacing w:after="0" w:line="110"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9"/>
          <w:szCs w:val="19"/>
          <w:color w:val="231F20"/>
        </w:rPr>
        <w:t>Our financial results depend primarily on leasing space in our properties to tenants on terms favorable to us. Costs associated with real estate investment, such as real estate taxes, insurance and maintenance costs, generally are not reduced even when a property is not fully occupied, rental rates decrease, or other circumstances cause a reduction in income from the property. As a result, cash flow from the operations of our properties may be reduced if a tenant does not pay its rent or we are unable to rent our properties on favorable terms. Under those circumstances, we might not be able to enforce our rights as landlord without</w:t>
      </w:r>
    </w:p>
    <w:p>
      <w:pPr>
        <w:sectPr>
          <w:pgSz w:w="11880" w:h="15480" w:orient="portrait"/>
          <w:cols w:equalWidth="0" w:num="1">
            <w:col w:w="9740"/>
          </w:cols>
          <w:pgMar w:left="1060" w:top="963" w:right="1080" w:bottom="0" w:gutter="0" w:footer="0" w:header="0"/>
        </w:sect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231F20"/>
        </w:rPr>
        <w:t>10</w:t>
      </w:r>
    </w:p>
    <w:p>
      <w:pPr>
        <w:sectPr>
          <w:pgSz w:w="11880" w:h="15480" w:orient="portrait"/>
          <w:cols w:equalWidth="0" w:num="1">
            <w:col w:w="9740"/>
          </w:cols>
          <w:pgMar w:left="1060" w:top="963" w:right="1080" w:bottom="0" w:gutter="0" w:footer="0" w:header="0"/>
          <w:type w:val="continuous"/>
        </w:sectPr>
      </w:pPr>
    </w:p>
    <w:bookmarkStart w:id="18" w:name="page19"/>
    <w:bookmarkEnd w:id="18"/>
    <w:p>
      <w:pPr>
        <w:ind w:right="240"/>
        <w:spacing w:after="0" w:line="267" w:lineRule="auto"/>
        <w:rPr>
          <w:sz w:val="20"/>
          <w:szCs w:val="20"/>
          <w:color w:val="auto"/>
        </w:rPr>
      </w:pPr>
      <w:r>
        <w:rPr>
          <w:rFonts w:ascii="Times New Roman" w:cs="Times New Roman" w:eastAsia="Times New Roman" w:hAnsi="Times New Roman"/>
          <w:sz w:val="19"/>
          <w:szCs w:val="19"/>
          <w:color w:val="231F20"/>
        </w:rPr>
        <w:t>delays and may incur substantial legal costs. Additionally, new properties that we may acquire or redevelop may not produce any significant revenue immediately, and the cash flow from existing operations may be insufficient to pay the operating expenses and debt service associated with such new properties until they are fully occupied.</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Competition may limit our ability to purchase new properties and generate sufficient income from tenants.</w:t>
      </w:r>
    </w:p>
    <w:p>
      <w:pPr>
        <w:spacing w:after="0" w:line="110"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9"/>
          <w:szCs w:val="19"/>
          <w:color w:val="231F20"/>
        </w:rPr>
        <w:t>Numerous commercial developers and real estate companies compete with us in seeking tenants for our existing properties and properties for acquisition. This competition may:</w:t>
      </w:r>
    </w:p>
    <w:p>
      <w:pPr>
        <w:spacing w:after="0" w:line="1" w:lineRule="exact"/>
        <w:rPr>
          <w:sz w:val="20"/>
          <w:szCs w:val="20"/>
          <w:color w:val="auto"/>
        </w:rPr>
      </w:pPr>
    </w:p>
    <w:p>
      <w:pPr>
        <w:ind w:left="680" w:hanging="335"/>
        <w:spacing w:after="0"/>
        <w:tabs>
          <w:tab w:leader="none" w:pos="680" w:val="left"/>
        </w:tabs>
        <w:numPr>
          <w:ilvl w:val="0"/>
          <w:numId w:val="20"/>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reduce properties available for acquisition;</w:t>
      </w:r>
    </w:p>
    <w:p>
      <w:pPr>
        <w:spacing w:after="0" w:line="9" w:lineRule="exact"/>
        <w:rPr>
          <w:rFonts w:ascii="Times New Roman" w:cs="Times New Roman" w:eastAsia="Times New Roman" w:hAnsi="Times New Roman"/>
          <w:sz w:val="19"/>
          <w:szCs w:val="19"/>
          <w:color w:val="231F20"/>
        </w:rPr>
      </w:pPr>
    </w:p>
    <w:p>
      <w:pPr>
        <w:ind w:left="680" w:hanging="335"/>
        <w:spacing w:after="0"/>
        <w:tabs>
          <w:tab w:leader="none" w:pos="680" w:val="left"/>
        </w:tabs>
        <w:numPr>
          <w:ilvl w:val="0"/>
          <w:numId w:val="20"/>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increase the cost of properties available for acquisition;</w:t>
      </w:r>
    </w:p>
    <w:p>
      <w:pPr>
        <w:spacing w:after="0" w:line="9" w:lineRule="exact"/>
        <w:rPr>
          <w:rFonts w:ascii="Times New Roman" w:cs="Times New Roman" w:eastAsia="Times New Roman" w:hAnsi="Times New Roman"/>
          <w:sz w:val="19"/>
          <w:szCs w:val="19"/>
          <w:color w:val="231F20"/>
        </w:rPr>
      </w:pPr>
    </w:p>
    <w:p>
      <w:pPr>
        <w:ind w:left="680" w:hanging="335"/>
        <w:spacing w:after="0"/>
        <w:tabs>
          <w:tab w:leader="none" w:pos="680" w:val="left"/>
        </w:tabs>
        <w:numPr>
          <w:ilvl w:val="0"/>
          <w:numId w:val="20"/>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reduce rents payable to us;</w:t>
      </w:r>
    </w:p>
    <w:p>
      <w:pPr>
        <w:spacing w:after="0" w:line="9" w:lineRule="exact"/>
        <w:rPr>
          <w:rFonts w:ascii="Times New Roman" w:cs="Times New Roman" w:eastAsia="Times New Roman" w:hAnsi="Times New Roman"/>
          <w:sz w:val="19"/>
          <w:szCs w:val="19"/>
          <w:color w:val="231F20"/>
        </w:rPr>
      </w:pPr>
    </w:p>
    <w:p>
      <w:pPr>
        <w:ind w:left="680" w:hanging="335"/>
        <w:spacing w:after="0"/>
        <w:tabs>
          <w:tab w:leader="none" w:pos="680" w:val="left"/>
        </w:tabs>
        <w:numPr>
          <w:ilvl w:val="0"/>
          <w:numId w:val="20"/>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interfere with our ability to attract and retain tenants;</w:t>
      </w:r>
    </w:p>
    <w:p>
      <w:pPr>
        <w:spacing w:after="0" w:line="9" w:lineRule="exact"/>
        <w:rPr>
          <w:rFonts w:ascii="Times New Roman" w:cs="Times New Roman" w:eastAsia="Times New Roman" w:hAnsi="Times New Roman"/>
          <w:sz w:val="19"/>
          <w:szCs w:val="19"/>
          <w:color w:val="231F20"/>
        </w:rPr>
      </w:pPr>
    </w:p>
    <w:p>
      <w:pPr>
        <w:ind w:left="680" w:hanging="335"/>
        <w:spacing w:after="0"/>
        <w:tabs>
          <w:tab w:leader="none" w:pos="680" w:val="left"/>
        </w:tabs>
        <w:numPr>
          <w:ilvl w:val="0"/>
          <w:numId w:val="20"/>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lead to increased vacancy rates at our properties; and</w:t>
      </w:r>
    </w:p>
    <w:p>
      <w:pPr>
        <w:spacing w:after="0" w:line="9" w:lineRule="exact"/>
        <w:rPr>
          <w:rFonts w:ascii="Times New Roman" w:cs="Times New Roman" w:eastAsia="Times New Roman" w:hAnsi="Times New Roman"/>
          <w:sz w:val="19"/>
          <w:szCs w:val="19"/>
          <w:color w:val="231F20"/>
        </w:rPr>
      </w:pPr>
    </w:p>
    <w:p>
      <w:pPr>
        <w:ind w:left="680" w:hanging="335"/>
        <w:spacing w:after="0"/>
        <w:tabs>
          <w:tab w:leader="none" w:pos="680" w:val="left"/>
        </w:tabs>
        <w:numPr>
          <w:ilvl w:val="0"/>
          <w:numId w:val="20"/>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adversely affect our ability to minimize expenses of operation.</w:t>
      </w:r>
    </w:p>
    <w:p>
      <w:pPr>
        <w:spacing w:after="0" w:line="160" w:lineRule="exact"/>
        <w:rPr>
          <w:sz w:val="20"/>
          <w:szCs w:val="20"/>
          <w:color w:val="auto"/>
        </w:rPr>
      </w:pPr>
    </w:p>
    <w:p>
      <w:pPr>
        <w:ind w:right="300"/>
        <w:spacing w:after="0" w:line="259" w:lineRule="auto"/>
        <w:rPr>
          <w:sz w:val="20"/>
          <w:szCs w:val="20"/>
          <w:color w:val="auto"/>
        </w:rPr>
      </w:pPr>
      <w:r>
        <w:rPr>
          <w:rFonts w:ascii="Times New Roman" w:cs="Times New Roman" w:eastAsia="Times New Roman" w:hAnsi="Times New Roman"/>
          <w:sz w:val="19"/>
          <w:szCs w:val="19"/>
          <w:color w:val="231F20"/>
        </w:rPr>
        <w:t>Retailers at our properties also face increasing competition from online retailers, outlet stores, discount shopping clubs and other forms of sales and marketing of goods, such as direct mail. This competition could contribute to lease defaults and insolvency of tenants. If we are unable to continue to attract appropriate retail tenants to our properties, or to purchase new properties in our geographic markets, it could materially affect our ability to generate net income, service our debt and make distributions to our shareholders.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We may be unable to sell properties when appropriate because real estate investments are illiquid.</w:t>
      </w:r>
    </w:p>
    <w:p>
      <w:pPr>
        <w:spacing w:after="0" w:line="110"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9"/>
          <w:szCs w:val="19"/>
          <w:color w:val="231F20"/>
        </w:rPr>
        <w:t>Real estate investments generally cannot be sold quickly. In addition, there are some limitations under federal income tax laws applicable to real estate and to REITs in particular that may limit our ability to sell our assets. We may not be able to alter our portfolio promptly in response to changes in economic or other conditions including being unable to sell a property at a return we believe is appropriate due to the economic environment. Our inability to respond quickly to adverse changes in the performance of our investments could have an adverse effect on our ability to meet our obligations and make distributions to our shareholders.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We may have limited flexibility in dealing with our jointly owned investments.</w:t>
      </w:r>
    </w:p>
    <w:p>
      <w:pPr>
        <w:spacing w:after="0" w:line="11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9"/>
          <w:szCs w:val="19"/>
          <w:color w:val="231F20"/>
        </w:rPr>
        <w:t>Our organizational documents do not limit the amount of funds that we may invest in properties and assets owned jointly with other persons or entities. As of December 31, 2025, we held 18 predominantly retail real estate projects jointly with other persons in addition to properties owned in a “downREIT” structure. Additionally, as of December 31, 2025, we owned an interest in the hotel component of Assembly Row. We may make additional joint investments in the future. Our existing and future joint investments may subject us to special risks, including the possibility that our partners or co-investors might become bankrupt, that those partners or co-investors might have economic or other business interests or goals which are unlike or incompatible with our business interests or goals, that those partners or co-investors might be in a position to take action contrary to our suggestions or instructions, or in opposition to our policies or objectives, and that disputes may develop with our joint venture partners over decisions affecting the property or the joint venture, which may result in litigation or arbitration or some other form of dispute resolution. Although as of December 31, 2025, we held the controlling interests in all of our existing co-investments (except the hotel investment discussed above and the investments in the La Alameda, Chandler Festival, and Chandler Gateway shopping centers), we generally must obtain the consent of the co-investor or meet defined criteria to sell or to finance these properties. Joint ownership gives a third party the opportunity to influence the return we can achieve on some of our investments and may adversely affect our ability to make distributions to our shareholders. We may also be liable for the actions of our co-investors.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Our insurance coverage on our properties may be inadequate.</w:t>
      </w:r>
    </w:p>
    <w:p>
      <w:pPr>
        <w:spacing w:after="0" w:line="110"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9"/>
          <w:szCs w:val="19"/>
          <w:color w:val="231F20"/>
        </w:rPr>
        <w:t>We currently carry comprehensive insurance on all of our properties, including insurance for liability, fire, flood, earthquake, environmental matters, rental loss and acts of terrorism. All of these policies contain coverage limitations. We believe these coverages are of the types and amounts customarily obtained for or by an owner of similar types of real property assets located in the areas where our properties are located. We intend to obtain similar insurance coverage on subsequently acquired properties.</w:t>
      </w:r>
    </w:p>
    <w:p>
      <w:pPr>
        <w:spacing w:after="0" w:line="133"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9"/>
          <w:szCs w:val="19"/>
          <w:color w:val="231F20"/>
        </w:rPr>
        <w:t>The availability of insurance coverage may decrease and the prices for insurance may increase as a consequence of significant losses incurred by the insurance industry and other factors outside our control. As a result, we may be unable to renew or duplicate our current insurance coverage in adequate amounts or at reasonable prices. In addition, insurance companies may no longer offer coverage against certain types of losses, such as losses due to terrorist acts, pandemics, and toxic mold, or, if offered, the expense of obtaining these types of insurance may not be justified. We therefore may cease to have insurance</w:t>
      </w:r>
    </w:p>
    <w:p>
      <w:pPr>
        <w:sectPr>
          <w:pgSz w:w="11880" w:h="15480" w:orient="portrait"/>
          <w:cols w:equalWidth="0" w:num="1">
            <w:col w:w="9760"/>
          </w:cols>
          <w:pgMar w:left="1060" w:top="964" w:right="1060" w:bottom="0" w:gutter="0" w:footer="0" w:header="0"/>
        </w:sect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11</w:t>
      </w:r>
    </w:p>
    <w:p>
      <w:pPr>
        <w:sectPr>
          <w:pgSz w:w="11880" w:h="15480" w:orient="portrait"/>
          <w:cols w:equalWidth="0" w:num="1">
            <w:col w:w="9760"/>
          </w:cols>
          <w:pgMar w:left="1060" w:top="964" w:right="1060" w:bottom="0" w:gutter="0" w:footer="0" w:header="0"/>
          <w:type w:val="continuous"/>
        </w:sectPr>
      </w:pPr>
    </w:p>
    <w:bookmarkStart w:id="19" w:name="page20"/>
    <w:bookmarkEnd w:id="19"/>
    <w:p>
      <w:pPr>
        <w:spacing w:after="0" w:line="254" w:lineRule="auto"/>
        <w:rPr>
          <w:sz w:val="20"/>
          <w:szCs w:val="20"/>
          <w:color w:val="auto"/>
        </w:rPr>
      </w:pPr>
      <w:r>
        <w:rPr>
          <w:rFonts w:ascii="Times New Roman" w:cs="Times New Roman" w:eastAsia="Times New Roman" w:hAnsi="Times New Roman"/>
          <w:sz w:val="19"/>
          <w:szCs w:val="19"/>
          <w:color w:val="231F20"/>
        </w:rPr>
        <w:t>coverage against certain types of losses and/or there may be decreases in the limits of insurance available. If an uninsured loss or a loss in excess of our insured limits occurs, we could lose all or a portion of the capital we have invested in a property, as well as the anticipated future revenue from the property, but still remain obligated for any mortgage debt or other financial obligations related to the property. We cannot guarantee that material losses in excess of insurance proceeds will not occur in the future. If any of our properties were to experience a catastrophic loss, it could seriously disrupt our operations, delay revenue and result in large expenses to repair or rebuild the property. Also, due to inflation, changes in codes and ordinances, environmental considerations and other factors, it may not be feasible to use insurance proceeds to replace a building after it has been damaged or destroyed. Further, we may be unable to collect insurance proceeds if our insurers are unable to pay or contest a claim. Events such as these could adversely affect our results of operations and our ability to meet our obligations, including distributions to our shareholders.</w:t>
      </w:r>
    </w:p>
    <w:p>
      <w:pPr>
        <w:spacing w:after="0" w:line="231"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9"/>
          <w:szCs w:val="19"/>
          <w:b w:val="1"/>
          <w:bCs w:val="1"/>
          <w:color w:val="231F20"/>
        </w:rPr>
        <w:t>Natural disasters, climate change and health crises, could have an adverse impact on our cash flow and operating results.</w:t>
      </w:r>
    </w:p>
    <w:p>
      <w:pPr>
        <w:spacing w:after="0" w:line="3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9"/>
          <w:szCs w:val="19"/>
          <w:color w:val="231F20"/>
        </w:rPr>
        <w:t>Climate change may add to the unpredictability and frequency of natural disasters and severe weather conditions, impact the availability of natural resources, and create additional uncertainty as to future trends and exposures. Certain of our operations are located in areas that are subject to natural disasters and severe weather conditions such as hurricanes, earthquakes, droughts, snow storms, floods and fires. The impact of climate change or the occurrence of natural disasters can delay new development projects, increase investment costs to repair or replace damaged properties, increase operating costs, create additional investment costs to make improvements to existing properties to comply with climate change regulations, increase future property insurance costs, impact the availability of water and other natural resources, and negatively impact the tenant demand for space. If insurance is unavailable to us or is unavailable on acceptable terms, or if our insurance is not adequate to cover business interruption or losses from these events, our earnings, liquidity or capital resources could be adversely affected.</w:t>
      </w:r>
    </w:p>
    <w:p>
      <w:pPr>
        <w:spacing w:after="0" w:line="144"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9"/>
          <w:szCs w:val="19"/>
          <w:color w:val="231F20"/>
        </w:rPr>
        <w:t>In addition, our business is subject to risks related to the effects of public health crises, epidemics, and pandemics. Such events could:</w:t>
      </w:r>
    </w:p>
    <w:p>
      <w:pPr>
        <w:spacing w:after="0" w:line="1" w:lineRule="exact"/>
        <w:rPr>
          <w:sz w:val="20"/>
          <w:szCs w:val="20"/>
          <w:color w:val="auto"/>
        </w:rPr>
      </w:pPr>
    </w:p>
    <w:p>
      <w:pPr>
        <w:ind w:left="680" w:hanging="335"/>
        <w:spacing w:after="0"/>
        <w:tabs>
          <w:tab w:leader="none" w:pos="680" w:val="left"/>
        </w:tabs>
        <w:numPr>
          <w:ilvl w:val="0"/>
          <w:numId w:val="21"/>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inhibit global, national and local economic activity;</w:t>
      </w:r>
    </w:p>
    <w:p>
      <w:pPr>
        <w:spacing w:after="0" w:line="9" w:lineRule="exact"/>
        <w:rPr>
          <w:rFonts w:ascii="Times New Roman" w:cs="Times New Roman" w:eastAsia="Times New Roman" w:hAnsi="Times New Roman"/>
          <w:sz w:val="19"/>
          <w:szCs w:val="19"/>
          <w:color w:val="231F20"/>
        </w:rPr>
      </w:pPr>
    </w:p>
    <w:p>
      <w:pPr>
        <w:ind w:left="680" w:right="60" w:hanging="335"/>
        <w:spacing w:after="0" w:line="250" w:lineRule="auto"/>
        <w:tabs>
          <w:tab w:leader="none" w:pos="680" w:val="left"/>
        </w:tabs>
        <w:numPr>
          <w:ilvl w:val="0"/>
          <w:numId w:val="21"/>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drive inflation, adversely affect trading activity in securities markets, which could negatively impact the trading prices of our common shares and debt securities and our ability to access the securities markets as a source of liquidity;</w:t>
      </w:r>
    </w:p>
    <w:p>
      <w:pPr>
        <w:spacing w:after="0" w:line="1" w:lineRule="exact"/>
        <w:rPr>
          <w:rFonts w:ascii="Times New Roman" w:cs="Times New Roman" w:eastAsia="Times New Roman" w:hAnsi="Times New Roman"/>
          <w:sz w:val="19"/>
          <w:szCs w:val="19"/>
          <w:color w:val="231F20"/>
        </w:rPr>
      </w:pPr>
    </w:p>
    <w:p>
      <w:pPr>
        <w:ind w:left="680" w:right="260" w:hanging="335"/>
        <w:spacing w:after="0" w:line="250" w:lineRule="auto"/>
        <w:tabs>
          <w:tab w:leader="none" w:pos="680" w:val="left"/>
        </w:tabs>
        <w:numPr>
          <w:ilvl w:val="0"/>
          <w:numId w:val="21"/>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adversely affect our tenants’ financial condition by limiting foot traffic and staffing at their businesses, which could affect their ability to pay rent and willingness to make new leasing commitments;</w:t>
      </w:r>
    </w:p>
    <w:p>
      <w:pPr>
        <w:spacing w:after="0" w:line="1" w:lineRule="exact"/>
        <w:rPr>
          <w:rFonts w:ascii="Times New Roman" w:cs="Times New Roman" w:eastAsia="Times New Roman" w:hAnsi="Times New Roman"/>
          <w:sz w:val="19"/>
          <w:szCs w:val="19"/>
          <w:color w:val="231F20"/>
        </w:rPr>
      </w:pPr>
    </w:p>
    <w:p>
      <w:pPr>
        <w:ind w:left="680" w:right="20" w:hanging="335"/>
        <w:spacing w:after="0" w:line="250" w:lineRule="auto"/>
        <w:tabs>
          <w:tab w:leader="none" w:pos="680" w:val="left"/>
        </w:tabs>
        <w:numPr>
          <w:ilvl w:val="0"/>
          <w:numId w:val="21"/>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reduce our cash flow, which could impact our ability to pay dividends at the current rate and in the current format or at all or to service our debt;</w:t>
      </w:r>
    </w:p>
    <w:p>
      <w:pPr>
        <w:spacing w:after="0" w:line="1" w:lineRule="exact"/>
        <w:rPr>
          <w:rFonts w:ascii="Times New Roman" w:cs="Times New Roman" w:eastAsia="Times New Roman" w:hAnsi="Times New Roman"/>
          <w:sz w:val="19"/>
          <w:szCs w:val="19"/>
          <w:color w:val="231F20"/>
        </w:rPr>
      </w:pPr>
    </w:p>
    <w:p>
      <w:pPr>
        <w:ind w:left="680" w:hanging="335"/>
        <w:spacing w:after="0"/>
        <w:tabs>
          <w:tab w:leader="none" w:pos="680" w:val="left"/>
        </w:tabs>
        <w:numPr>
          <w:ilvl w:val="0"/>
          <w:numId w:val="21"/>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temporarily or permanently reduce the demand for retail or office space;</w:t>
      </w:r>
    </w:p>
    <w:p>
      <w:pPr>
        <w:spacing w:after="0" w:line="9" w:lineRule="exact"/>
        <w:rPr>
          <w:rFonts w:ascii="Times New Roman" w:cs="Times New Roman" w:eastAsia="Times New Roman" w:hAnsi="Times New Roman"/>
          <w:sz w:val="19"/>
          <w:szCs w:val="19"/>
          <w:color w:val="231F20"/>
        </w:rPr>
      </w:pPr>
    </w:p>
    <w:p>
      <w:pPr>
        <w:ind w:left="680" w:hanging="335"/>
        <w:spacing w:after="0"/>
        <w:tabs>
          <w:tab w:leader="none" w:pos="680" w:val="left"/>
        </w:tabs>
        <w:numPr>
          <w:ilvl w:val="0"/>
          <w:numId w:val="21"/>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interfere with our business operations by requiring our personnel to work remotely;</w:t>
      </w:r>
    </w:p>
    <w:p>
      <w:pPr>
        <w:spacing w:after="0" w:line="9" w:lineRule="exact"/>
        <w:rPr>
          <w:rFonts w:ascii="Times New Roman" w:cs="Times New Roman" w:eastAsia="Times New Roman" w:hAnsi="Times New Roman"/>
          <w:sz w:val="19"/>
          <w:szCs w:val="19"/>
          <w:color w:val="231F20"/>
        </w:rPr>
      </w:pPr>
    </w:p>
    <w:p>
      <w:pPr>
        <w:ind w:left="680" w:hanging="335"/>
        <w:spacing w:after="0"/>
        <w:tabs>
          <w:tab w:leader="none" w:pos="680" w:val="left"/>
        </w:tabs>
        <w:numPr>
          <w:ilvl w:val="0"/>
          <w:numId w:val="21"/>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increase the frequency of cyber-attacks;</w:t>
      </w:r>
    </w:p>
    <w:p>
      <w:pPr>
        <w:spacing w:after="0" w:line="9" w:lineRule="exact"/>
        <w:rPr>
          <w:rFonts w:ascii="Times New Roman" w:cs="Times New Roman" w:eastAsia="Times New Roman" w:hAnsi="Times New Roman"/>
          <w:sz w:val="19"/>
          <w:szCs w:val="19"/>
          <w:color w:val="231F20"/>
        </w:rPr>
      </w:pPr>
    </w:p>
    <w:p>
      <w:pPr>
        <w:ind w:left="680" w:hanging="335"/>
        <w:spacing w:after="0"/>
        <w:tabs>
          <w:tab w:leader="none" w:pos="680" w:val="left"/>
        </w:tabs>
        <w:numPr>
          <w:ilvl w:val="0"/>
          <w:numId w:val="21"/>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disrupt supply chains that could be important in our development and redevelopment activities;</w:t>
      </w:r>
    </w:p>
    <w:p>
      <w:pPr>
        <w:spacing w:after="0" w:line="9" w:lineRule="exact"/>
        <w:rPr>
          <w:rFonts w:ascii="Times New Roman" w:cs="Times New Roman" w:eastAsia="Times New Roman" w:hAnsi="Times New Roman"/>
          <w:sz w:val="19"/>
          <w:szCs w:val="19"/>
          <w:color w:val="231F20"/>
        </w:rPr>
      </w:pPr>
    </w:p>
    <w:p>
      <w:pPr>
        <w:ind w:left="680" w:hanging="335"/>
        <w:spacing w:after="0"/>
        <w:tabs>
          <w:tab w:leader="none" w:pos="680" w:val="left"/>
        </w:tabs>
        <w:numPr>
          <w:ilvl w:val="0"/>
          <w:numId w:val="21"/>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result in labor shortages;</w:t>
      </w:r>
    </w:p>
    <w:p>
      <w:pPr>
        <w:spacing w:after="0" w:line="9" w:lineRule="exact"/>
        <w:rPr>
          <w:rFonts w:ascii="Times New Roman" w:cs="Times New Roman" w:eastAsia="Times New Roman" w:hAnsi="Times New Roman"/>
          <w:sz w:val="19"/>
          <w:szCs w:val="19"/>
          <w:color w:val="231F20"/>
        </w:rPr>
      </w:pPr>
    </w:p>
    <w:p>
      <w:pPr>
        <w:ind w:left="680" w:hanging="335"/>
        <w:spacing w:after="0"/>
        <w:tabs>
          <w:tab w:leader="none" w:pos="680" w:val="left"/>
        </w:tabs>
        <w:numPr>
          <w:ilvl w:val="0"/>
          <w:numId w:val="21"/>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interfere with potential purchases and sales of properties;</w:t>
      </w:r>
    </w:p>
    <w:p>
      <w:pPr>
        <w:spacing w:after="0" w:line="9" w:lineRule="exact"/>
        <w:rPr>
          <w:rFonts w:ascii="Times New Roman" w:cs="Times New Roman" w:eastAsia="Times New Roman" w:hAnsi="Times New Roman"/>
          <w:sz w:val="19"/>
          <w:szCs w:val="19"/>
          <w:color w:val="231F20"/>
        </w:rPr>
      </w:pPr>
    </w:p>
    <w:p>
      <w:pPr>
        <w:ind w:left="680" w:hanging="335"/>
        <w:spacing w:after="0"/>
        <w:tabs>
          <w:tab w:leader="none" w:pos="680" w:val="left"/>
        </w:tabs>
        <w:numPr>
          <w:ilvl w:val="0"/>
          <w:numId w:val="21"/>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impact our ability to pay dividends at the current rate and in the current format or at all; and</w:t>
      </w:r>
    </w:p>
    <w:p>
      <w:pPr>
        <w:spacing w:after="0" w:line="9" w:lineRule="exact"/>
        <w:rPr>
          <w:rFonts w:ascii="Times New Roman" w:cs="Times New Roman" w:eastAsia="Times New Roman" w:hAnsi="Times New Roman"/>
          <w:sz w:val="19"/>
          <w:szCs w:val="19"/>
          <w:color w:val="231F20"/>
        </w:rPr>
      </w:pPr>
    </w:p>
    <w:p>
      <w:pPr>
        <w:ind w:left="680" w:hanging="335"/>
        <w:spacing w:after="0"/>
        <w:tabs>
          <w:tab w:leader="none" w:pos="680" w:val="left"/>
        </w:tabs>
        <w:numPr>
          <w:ilvl w:val="0"/>
          <w:numId w:val="21"/>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have other direct and indirect effects that are difficult to predict.</w:t>
      </w:r>
    </w:p>
    <w:p>
      <w:pPr>
        <w:spacing w:after="0" w:line="84"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9"/>
          <w:szCs w:val="19"/>
          <w:color w:val="231F20"/>
        </w:rPr>
        <w:t>Such risks depend upon the nature and severity of the public health concern, as well as the extent and duration of government-mandated orders and personal decisions to limit travel, economic activity and personal interaction, none of which can be predicted with confidence. In particular, we cannot predict the impact of stay-at-home and other government orders instituted in response to a public health concern, which may vary by jurisdiction, or a public health concerns' short and long term economic effects, each of which could have a material adverse effect on our business</w:t>
      </w: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231F20"/>
        </w:rPr>
        <w:t>Risk Factors Related to our Funding Strategies and Capital Structure</w:t>
      </w:r>
    </w:p>
    <w:p>
      <w:pPr>
        <w:spacing w:after="0" w:line="276"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9"/>
          <w:szCs w:val="19"/>
          <w:b w:val="1"/>
          <w:bCs w:val="1"/>
          <w:color w:val="231F20"/>
        </w:rPr>
        <w:t>The amount of debt we have and the restrictions imposed by that debt could adversely affect our business and financial condition.</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As of December 31, 2025, we had approximately $5.0 billion of debt outstanding. Of that outstanding debt, approximately</w:t>
      </w:r>
    </w:p>
    <w:p>
      <w:pPr>
        <w:spacing w:after="0" w:line="3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9"/>
          <w:szCs w:val="19"/>
          <w:color w:val="231F20"/>
        </w:rPr>
        <w:t>$523.2 million was secured by all or a portion of 8 of our real estate projects. As of December 31, 2025, approximately 82.6% of our debt is fixed rate or is fixed via interest rate swap agreements. Our organizational documents do not limit the level or amount of debt that we may incur. The amount of our debt outstanding from time to time could have important consequences to our shareholders. For example, it could:</w:t>
      </w:r>
    </w:p>
    <w:p>
      <w:pPr>
        <w:sectPr>
          <w:pgSz w:w="11880" w:h="15480" w:orient="portrait"/>
          <w:cols w:equalWidth="0" w:num="1">
            <w:col w:w="9740"/>
          </w:cols>
          <w:pgMar w:left="1060" w:top="963"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231F20"/>
        </w:rPr>
        <w:t>12</w:t>
      </w:r>
    </w:p>
    <w:p>
      <w:pPr>
        <w:sectPr>
          <w:pgSz w:w="11880" w:h="15480" w:orient="portrait"/>
          <w:cols w:equalWidth="0" w:num="1">
            <w:col w:w="9740"/>
          </w:cols>
          <w:pgMar w:left="1060" w:top="963" w:right="1080" w:bottom="0" w:gutter="0" w:footer="0" w:header="0"/>
          <w:type w:val="continuous"/>
        </w:sectPr>
      </w:pPr>
    </w:p>
    <w:bookmarkStart w:id="20" w:name="page21"/>
    <w:bookmarkEnd w:id="20"/>
    <w:p>
      <w:pPr>
        <w:jc w:val="both"/>
        <w:ind w:left="680" w:right="20" w:hanging="335"/>
        <w:spacing w:after="0" w:line="258" w:lineRule="auto"/>
        <w:tabs>
          <w:tab w:leader="none" w:pos="680" w:val="left"/>
        </w:tabs>
        <w:numPr>
          <w:ilvl w:val="0"/>
          <w:numId w:val="22"/>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require us to dedicate a substantial portion of our cash flow from operations to payments on our debt, thereby reducing funds available for operations, property acquisitions, redevelopments and other appropriate business opportunities that may arise in the future;</w:t>
      </w:r>
    </w:p>
    <w:p>
      <w:pPr>
        <w:spacing w:after="0" w:line="1" w:lineRule="exact"/>
        <w:rPr>
          <w:rFonts w:ascii="Times New Roman" w:cs="Times New Roman" w:eastAsia="Times New Roman" w:hAnsi="Times New Roman"/>
          <w:sz w:val="19"/>
          <w:szCs w:val="19"/>
          <w:color w:val="231F20"/>
        </w:rPr>
      </w:pPr>
    </w:p>
    <w:p>
      <w:pPr>
        <w:ind w:left="680" w:hanging="335"/>
        <w:spacing w:after="0"/>
        <w:tabs>
          <w:tab w:leader="none" w:pos="680" w:val="left"/>
        </w:tabs>
        <w:numPr>
          <w:ilvl w:val="0"/>
          <w:numId w:val="22"/>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limit our ability to make distributions on our outstanding common shares and preferred shares;</w:t>
      </w:r>
    </w:p>
    <w:p>
      <w:pPr>
        <w:spacing w:after="0" w:line="9" w:lineRule="exact"/>
        <w:rPr>
          <w:rFonts w:ascii="Times New Roman" w:cs="Times New Roman" w:eastAsia="Times New Roman" w:hAnsi="Times New Roman"/>
          <w:sz w:val="19"/>
          <w:szCs w:val="19"/>
          <w:color w:val="231F20"/>
        </w:rPr>
      </w:pPr>
    </w:p>
    <w:p>
      <w:pPr>
        <w:ind w:left="680" w:hanging="335"/>
        <w:spacing w:after="0"/>
        <w:tabs>
          <w:tab w:leader="none" w:pos="680" w:val="left"/>
        </w:tabs>
        <w:numPr>
          <w:ilvl w:val="0"/>
          <w:numId w:val="22"/>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make it difficult to satisfy our debt service requirements;</w:t>
      </w:r>
    </w:p>
    <w:p>
      <w:pPr>
        <w:spacing w:after="0" w:line="9" w:lineRule="exact"/>
        <w:rPr>
          <w:rFonts w:ascii="Times New Roman" w:cs="Times New Roman" w:eastAsia="Times New Roman" w:hAnsi="Times New Roman"/>
          <w:sz w:val="19"/>
          <w:szCs w:val="19"/>
          <w:color w:val="231F20"/>
        </w:rPr>
      </w:pPr>
    </w:p>
    <w:p>
      <w:pPr>
        <w:ind w:left="680" w:right="60" w:hanging="335"/>
        <w:spacing w:after="0" w:line="250" w:lineRule="auto"/>
        <w:tabs>
          <w:tab w:leader="none" w:pos="680" w:val="left"/>
        </w:tabs>
        <w:numPr>
          <w:ilvl w:val="0"/>
          <w:numId w:val="22"/>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require us to dedicate increased amounts of our cash flow from operations to payments on debt upon refinancing or on our variable rate, unhedged debt, if interest rates rise;</w:t>
      </w:r>
    </w:p>
    <w:p>
      <w:pPr>
        <w:spacing w:after="0" w:line="1" w:lineRule="exact"/>
        <w:rPr>
          <w:rFonts w:ascii="Times New Roman" w:cs="Times New Roman" w:eastAsia="Times New Roman" w:hAnsi="Times New Roman"/>
          <w:sz w:val="19"/>
          <w:szCs w:val="19"/>
          <w:color w:val="231F20"/>
        </w:rPr>
      </w:pPr>
    </w:p>
    <w:p>
      <w:pPr>
        <w:ind w:left="680" w:hanging="335"/>
        <w:spacing w:after="0" w:line="250" w:lineRule="auto"/>
        <w:tabs>
          <w:tab w:leader="none" w:pos="680" w:val="left"/>
        </w:tabs>
        <w:numPr>
          <w:ilvl w:val="0"/>
          <w:numId w:val="22"/>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limit our flexibility in planning for, or reacting to, changes in our business and the factors that affect the profitability of our business;</w:t>
      </w:r>
    </w:p>
    <w:p>
      <w:pPr>
        <w:spacing w:after="0" w:line="1" w:lineRule="exact"/>
        <w:rPr>
          <w:rFonts w:ascii="Times New Roman" w:cs="Times New Roman" w:eastAsia="Times New Roman" w:hAnsi="Times New Roman"/>
          <w:sz w:val="19"/>
          <w:szCs w:val="19"/>
          <w:color w:val="231F20"/>
        </w:rPr>
      </w:pPr>
    </w:p>
    <w:p>
      <w:pPr>
        <w:jc w:val="both"/>
        <w:ind w:left="680" w:right="200" w:hanging="335"/>
        <w:spacing w:after="0" w:line="250" w:lineRule="auto"/>
        <w:tabs>
          <w:tab w:leader="none" w:pos="680" w:val="left"/>
        </w:tabs>
        <w:numPr>
          <w:ilvl w:val="0"/>
          <w:numId w:val="22"/>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limit our ability to obtain any additional debt or equity financing we may need in the future for working capital, debt refinancing, capital expenditures, acquisitions, redevelopments or other general corporate purposes or to obtain such financing on favorable terms; and/or</w:t>
      </w:r>
    </w:p>
    <w:p>
      <w:pPr>
        <w:spacing w:after="0" w:line="1" w:lineRule="exact"/>
        <w:rPr>
          <w:rFonts w:ascii="Times New Roman" w:cs="Times New Roman" w:eastAsia="Times New Roman" w:hAnsi="Times New Roman"/>
          <w:sz w:val="19"/>
          <w:szCs w:val="19"/>
          <w:color w:val="231F20"/>
        </w:rPr>
      </w:pPr>
    </w:p>
    <w:p>
      <w:pPr>
        <w:ind w:left="680" w:right="240" w:hanging="335"/>
        <w:spacing w:after="0" w:line="261" w:lineRule="auto"/>
        <w:tabs>
          <w:tab w:leader="none" w:pos="680" w:val="left"/>
        </w:tabs>
        <w:numPr>
          <w:ilvl w:val="0"/>
          <w:numId w:val="22"/>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limit our flexibility in conducting our business, which may place us at a disadvantage compared to competitors with less debt or debt with less restrictive terms.</w:t>
      </w:r>
    </w:p>
    <w:p>
      <w:pPr>
        <w:spacing w:after="0" w:line="13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9"/>
          <w:szCs w:val="19"/>
          <w:color w:val="231F20"/>
        </w:rPr>
        <w:t>Our ability to make scheduled principal payments of, to pay interest on, or to refinance our indebtedness will depend primarily on our future performance, which to a certain extent is subject to economic, financial, competitive and other factors beyond our control. There can be no assurance that our business will continue to generate sufficient cash flow from operations in the future to service our debt or meet our other cash needs. If we are unable to generate this cash flow from our business, we may be required to refinance all or a portion of our existing debt, sell assets or obtain additional financing to meet our debt obligations and other cash needs, including the payment of dividends required to maintain our status as a real estate investment trust. We cannot assure you that any such refinancing, sale of assets or additional financing would be possible on terms that we would find acceptable.</w:t>
      </w:r>
    </w:p>
    <w:p>
      <w:pPr>
        <w:spacing w:after="0" w:line="230"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9"/>
          <w:szCs w:val="19"/>
          <w:b w:val="1"/>
          <w:bCs w:val="1"/>
          <w:color w:val="231F20"/>
        </w:rPr>
        <w:t>We are obligated to comply with financial and other covenants pursuant to our debt obligations that could restrict our operating activities, and the failure to comply with such covenants could result in defaults that accelerate payment under our debt agreements.</w:t>
      </w:r>
    </w:p>
    <w:p>
      <w:pPr>
        <w:spacing w:after="0" w:line="53" w:lineRule="exact"/>
        <w:rPr>
          <w:sz w:val="20"/>
          <w:szCs w:val="20"/>
          <w:color w:val="auto"/>
        </w:rPr>
      </w:pPr>
    </w:p>
    <w:p>
      <w:pPr>
        <w:jc w:val="both"/>
        <w:ind w:right="280"/>
        <w:spacing w:after="0" w:line="258" w:lineRule="auto"/>
        <w:rPr>
          <w:sz w:val="20"/>
          <w:szCs w:val="20"/>
          <w:color w:val="auto"/>
        </w:rPr>
      </w:pPr>
      <w:r>
        <w:rPr>
          <w:rFonts w:ascii="Times New Roman" w:cs="Times New Roman" w:eastAsia="Times New Roman" w:hAnsi="Times New Roman"/>
          <w:sz w:val="19"/>
          <w:szCs w:val="19"/>
          <w:color w:val="231F20"/>
        </w:rPr>
        <w:t>Our revolving credit facility, unsecured term loans, and certain series of notes include financial covenants that may limit our operating activities in the future. We are also required to comply with additional covenants that include, among other things, provisions:</w:t>
      </w:r>
    </w:p>
    <w:p>
      <w:pPr>
        <w:spacing w:after="0" w:line="1" w:lineRule="exact"/>
        <w:rPr>
          <w:sz w:val="20"/>
          <w:szCs w:val="20"/>
          <w:color w:val="auto"/>
        </w:rPr>
      </w:pPr>
    </w:p>
    <w:p>
      <w:pPr>
        <w:ind w:left="680" w:hanging="335"/>
        <w:spacing w:after="0"/>
        <w:tabs>
          <w:tab w:leader="none" w:pos="680" w:val="left"/>
        </w:tabs>
        <w:numPr>
          <w:ilvl w:val="0"/>
          <w:numId w:val="23"/>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relating to the maintenance of property securing a mortgage;</w:t>
      </w:r>
    </w:p>
    <w:p>
      <w:pPr>
        <w:spacing w:after="0" w:line="9" w:lineRule="exact"/>
        <w:rPr>
          <w:rFonts w:ascii="Times New Roman" w:cs="Times New Roman" w:eastAsia="Times New Roman" w:hAnsi="Times New Roman"/>
          <w:sz w:val="19"/>
          <w:szCs w:val="19"/>
          <w:color w:val="231F20"/>
        </w:rPr>
      </w:pPr>
    </w:p>
    <w:p>
      <w:pPr>
        <w:ind w:left="680" w:hanging="335"/>
        <w:spacing w:after="0"/>
        <w:tabs>
          <w:tab w:leader="none" w:pos="680" w:val="left"/>
        </w:tabs>
        <w:numPr>
          <w:ilvl w:val="0"/>
          <w:numId w:val="23"/>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restricting our ability to pledge assets or create liens;</w:t>
      </w:r>
    </w:p>
    <w:p>
      <w:pPr>
        <w:spacing w:after="0" w:line="9" w:lineRule="exact"/>
        <w:rPr>
          <w:rFonts w:ascii="Times New Roman" w:cs="Times New Roman" w:eastAsia="Times New Roman" w:hAnsi="Times New Roman"/>
          <w:sz w:val="19"/>
          <w:szCs w:val="19"/>
          <w:color w:val="231F20"/>
        </w:rPr>
      </w:pPr>
    </w:p>
    <w:p>
      <w:pPr>
        <w:ind w:left="680" w:hanging="335"/>
        <w:spacing w:after="0"/>
        <w:tabs>
          <w:tab w:leader="none" w:pos="680" w:val="left"/>
        </w:tabs>
        <w:numPr>
          <w:ilvl w:val="0"/>
          <w:numId w:val="23"/>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restricting our ability to incur additional debt;</w:t>
      </w:r>
    </w:p>
    <w:p>
      <w:pPr>
        <w:spacing w:after="0" w:line="9" w:lineRule="exact"/>
        <w:rPr>
          <w:rFonts w:ascii="Times New Roman" w:cs="Times New Roman" w:eastAsia="Times New Roman" w:hAnsi="Times New Roman"/>
          <w:sz w:val="19"/>
          <w:szCs w:val="19"/>
          <w:color w:val="231F20"/>
        </w:rPr>
      </w:pPr>
    </w:p>
    <w:p>
      <w:pPr>
        <w:ind w:left="680" w:hanging="335"/>
        <w:spacing w:after="0"/>
        <w:tabs>
          <w:tab w:leader="none" w:pos="680" w:val="left"/>
        </w:tabs>
        <w:numPr>
          <w:ilvl w:val="0"/>
          <w:numId w:val="23"/>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restricting our ability to amend or modify existing leases at properties securing a mortgage;</w:t>
      </w:r>
    </w:p>
    <w:p>
      <w:pPr>
        <w:spacing w:after="0" w:line="9" w:lineRule="exact"/>
        <w:rPr>
          <w:rFonts w:ascii="Times New Roman" w:cs="Times New Roman" w:eastAsia="Times New Roman" w:hAnsi="Times New Roman"/>
          <w:sz w:val="19"/>
          <w:szCs w:val="19"/>
          <w:color w:val="231F20"/>
        </w:rPr>
      </w:pPr>
    </w:p>
    <w:p>
      <w:pPr>
        <w:ind w:left="680" w:hanging="335"/>
        <w:spacing w:after="0"/>
        <w:tabs>
          <w:tab w:leader="none" w:pos="680" w:val="left"/>
        </w:tabs>
        <w:numPr>
          <w:ilvl w:val="0"/>
          <w:numId w:val="23"/>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restricting our ability to enter into transactions with affiliates; and</w:t>
      </w:r>
    </w:p>
    <w:p>
      <w:pPr>
        <w:spacing w:after="0" w:line="9" w:lineRule="exact"/>
        <w:rPr>
          <w:rFonts w:ascii="Times New Roman" w:cs="Times New Roman" w:eastAsia="Times New Roman" w:hAnsi="Times New Roman"/>
          <w:sz w:val="19"/>
          <w:szCs w:val="19"/>
          <w:color w:val="231F20"/>
        </w:rPr>
      </w:pPr>
    </w:p>
    <w:p>
      <w:pPr>
        <w:ind w:left="680" w:hanging="335"/>
        <w:spacing w:after="0"/>
        <w:tabs>
          <w:tab w:leader="none" w:pos="680" w:val="left"/>
        </w:tabs>
        <w:numPr>
          <w:ilvl w:val="0"/>
          <w:numId w:val="23"/>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restricting our ability to consolidate, merge or sell all or substantially all of our assets.</w:t>
      </w:r>
    </w:p>
    <w:p>
      <w:pPr>
        <w:spacing w:after="0" w:line="160"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9"/>
          <w:szCs w:val="19"/>
          <w:color w:val="231F20"/>
        </w:rPr>
        <w:t>As of December 31, 2025, we were in compliance with all of our default related financial covenants. If we were to breach any of our default related debt covenants, including the covenants listed above, and did not cure the breach within any applicable cure period, our lenders could require us to repay the debt immediately, and, if the debt is secured, could immediately begin proceedings to take possession of the property securing the loan. Many of our debt arrangements, including our public notes and our revolving credit facility, are cross-defaulted, which means that the lenders under those debt arrangements can put us in default and require immediate repayment of their debt if we breach and fail to cure a default under certain of our other debt obligations. As a result, any default under our debt covenants could have an adverse effect on our financial condition, our results of operations, our ability to meet our obligations and the market value of our shares.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Adverse changes in our credit rating could affect our borrowing capacity and borrowing terms.</w:t>
      </w:r>
    </w:p>
    <w:p>
      <w:pPr>
        <w:spacing w:after="0" w:line="110"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9"/>
          <w:szCs w:val="19"/>
          <w:color w:val="231F20"/>
        </w:rPr>
        <w:t>Our credit worthiness is rated by nationally recognized credit rating agencies. The credit ratings assigned are based on our operating performance, liquidity and leverage ratios, financial condition and prospects, and other factors viewed by the credit rating agencies as relevant to our industry and the economic outlook in general. Our credit rating can affect the amount of capital we access, as well as the terms of certain existing and future financing we obtain. Since we depend on debt financing to fund the growth of our business, an adverse change in our credit rating, including actual changes in outlook, or even the initiation of review of our credit rating that could result in an adverse change, could have a material adverse effect on us.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Our ability to grow will be limited if we cannot obtain additional capital.</w:t>
      </w:r>
    </w:p>
    <w:p>
      <w:pPr>
        <w:spacing w:after="0" w:line="110" w:lineRule="exact"/>
        <w:rPr>
          <w:sz w:val="20"/>
          <w:szCs w:val="20"/>
          <w:color w:val="auto"/>
        </w:rPr>
      </w:pPr>
    </w:p>
    <w:p>
      <w:pPr>
        <w:ind w:right="400"/>
        <w:spacing w:after="0" w:line="284" w:lineRule="auto"/>
        <w:rPr>
          <w:sz w:val="20"/>
          <w:szCs w:val="20"/>
          <w:color w:val="auto"/>
        </w:rPr>
      </w:pPr>
      <w:r>
        <w:rPr>
          <w:rFonts w:ascii="Times New Roman" w:cs="Times New Roman" w:eastAsia="Times New Roman" w:hAnsi="Times New Roman"/>
          <w:sz w:val="19"/>
          <w:szCs w:val="19"/>
          <w:color w:val="231F20"/>
        </w:rPr>
        <w:t>Our growth strategy is focused on the development and redevelopment of properties we already own and the acquisition of additional properties. We believe that it will be difficult to fund our expected growth with cash from operating activities</w:t>
      </w:r>
    </w:p>
    <w:p>
      <w:pPr>
        <w:sectPr>
          <w:pgSz w:w="11880" w:h="15480" w:orient="portrait"/>
          <w:cols w:equalWidth="0" w:num="1">
            <w:col w:w="9740"/>
          </w:cols>
          <w:pgMar w:left="1060" w:top="963" w:right="1080" w:bottom="0" w:gutter="0" w:footer="0" w:header="0"/>
        </w:sect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231F20"/>
        </w:rPr>
        <w:t>13</w:t>
      </w:r>
    </w:p>
    <w:p>
      <w:pPr>
        <w:sectPr>
          <w:pgSz w:w="11880" w:h="15480" w:orient="portrait"/>
          <w:cols w:equalWidth="0" w:num="1">
            <w:col w:w="9740"/>
          </w:cols>
          <w:pgMar w:left="1060" w:top="963" w:right="1080" w:bottom="0" w:gutter="0" w:footer="0" w:header="0"/>
          <w:type w:val="continuous"/>
        </w:sectPr>
      </w:pPr>
    </w:p>
    <w:bookmarkStart w:id="21" w:name="page22"/>
    <w:bookmarkEnd w:id="21"/>
    <w:p>
      <w:pPr>
        <w:ind w:right="140"/>
        <w:spacing w:after="0" w:line="254" w:lineRule="auto"/>
        <w:rPr>
          <w:sz w:val="20"/>
          <w:szCs w:val="20"/>
          <w:color w:val="auto"/>
        </w:rPr>
      </w:pPr>
      <w:r>
        <w:rPr>
          <w:rFonts w:ascii="Times New Roman" w:cs="Times New Roman" w:eastAsia="Times New Roman" w:hAnsi="Times New Roman"/>
          <w:sz w:val="19"/>
          <w:szCs w:val="19"/>
          <w:color w:val="231F20"/>
        </w:rPr>
        <w:t>because, in addition to other requirements, we are generally required to distribute to our shareholders at least 90% of our taxable income each year to continue to qualify as a REIT for federal income tax purposes. As a result, we must rely primarily upon the availability of debt or equity capital, which may or may not be available on favorable terms or at all. Debt could include the sale of debt securities and mortgage loans from third parties. If economic conditions and conditions in the capital markets are not favorable at the time we need to raise capital, we may need to obtain capital on less favorable terms. Additionally, we cannot guarantee that additional financing, refinancing, or other capital will be available in the amounts we desire or on favorable terms. Our access to debt or equity capital depends on a number of factors, including the market’s perception of our growth potential and risk profile, our ability to pay dividends, and our current and potential future earnings. Depending on the outcome of these factors as well as the impact of the economic environment, we could experience delay or difficulty in implementing our growth strategy on satisfactory terms, or be unable to implement this strategy.</w:t>
      </w:r>
    </w:p>
    <w:p>
      <w:pPr>
        <w:spacing w:after="0" w:line="231"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9"/>
          <w:szCs w:val="19"/>
          <w:b w:val="1"/>
          <w:bCs w:val="1"/>
          <w:color w:val="231F20"/>
        </w:rPr>
        <w:t>Rising interest rates could adversely affect our cash flow and the market price of our outstanding debt and preferred shares.</w:t>
      </w:r>
    </w:p>
    <w:p>
      <w:pPr>
        <w:spacing w:after="0" w:line="3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9"/>
          <w:szCs w:val="19"/>
          <w:color w:val="231F20"/>
        </w:rPr>
        <w:t>Of our $5.0 billion of debt outstanding as of December 31, 2025, approximately $1.4 billion bears interest at a variable rate. We have entered into interest rate swaps on $500.6 million of this variable rate debt to effectively fix the rate and limit our exposure to variable rates. We have a $1.25 billion revolving credit facility, which bears interest at SOFR plus 77.5 basis points, of which $310.0 million was outstanding at December 31, 2025, and we have a $250.0 million term loan that bears interest at SOFR plus 85 basis points, of which no amount was outstanding at December 31, 2025. We may borrow additional funds at variable interest rates in the future. Increases in interest rates would increase the interest expense on our variable rate debt and reduce our cash flow, which could adversely affect our ability to service our debt and meet our other obligations and also could reduce the amount we are able to distribute to our shareholders. We may enter into additional hedging arrangements or other transactions for all or a portion of our variable rate debt to limit our exposure to rising interest rates. However, the amounts we are required to pay under variable rate debt to which hedging or similar arrangements relate may increase in the event of non-performance by the counterparties to any such hedging arrangements. In addition, an increase in market interest rates may lead purchasers of our debt securities and preferred shares to demand a higher annual yield, which could adversely affect the market price of our outstanding debt securities and preferred shares and the cost and/or timing of refinancing or issuing additional debt securities or preferred shares.</w:t>
      </w:r>
    </w:p>
    <w:p>
      <w:pPr>
        <w:spacing w:after="0" w:line="231"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9"/>
          <w:szCs w:val="19"/>
          <w:b w:val="1"/>
          <w:bCs w:val="1"/>
          <w:color w:val="231F20"/>
        </w:rPr>
        <w:t>Hedging activity may expose us to risks, including the risks that a counterparty will not perform and that the hedge will not yield the economic benefits we anticipate, which may adversely affect us.</w:t>
      </w:r>
    </w:p>
    <w:p>
      <w:pPr>
        <w:spacing w:after="0" w:line="3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9"/>
          <w:szCs w:val="19"/>
          <w:color w:val="231F20"/>
        </w:rPr>
        <w:t>We may use derivative instruments to manage exposure to variable interest rate risk. We generally enter into interest rate swaps to manage our exposure to variable interest rate risk and treasury locks to manage the risk of interest rates rising prior to the issuance of debt. These and similar hedging arrangements involve risks, including the risks that counterparties may fail to honor their obligations under these arrangements, that these arrangements may not be effective in reducing our exposure to interest rate changes, that the amount of income we earn from hedging transactions may be limited by federal tax provisions governing REITs, and that these arrangements may reduce the benefits to us if interest rates decline. Developing and implementing an interest rate risk strategy is complex, and there can be no assurance that our hedging activities will be completely effective at insulating us from risks associated with interest rate fluctuations.</w:t>
      </w:r>
    </w:p>
    <w:p>
      <w:pPr>
        <w:spacing w:after="0" w:line="6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9"/>
          <w:szCs w:val="19"/>
          <w:color w:val="231F20"/>
        </w:rPr>
        <w:t>Additionally, in connection with our offering in January 2024 of 3.25% Exchangeable Senior Notes due 2029, we have entered into capped call transactions with certain option counterparties. The capped call transactions cover, subject to customary adjustments, the number of common shares initially underlying the notes. The capped call transactions are expected generally to reduce the potential dilution to our common shares upon any exchange of notes and/or offset any cash payments we are required to make in excess of the principal amount of exchanged notes, as the case may be, with such reduction and/or offset subject to a cap. The option counterparties are financial institutions, and we are subject to the risk that any or all of them might default under the capped call transactions. Our exposure to the credit risk of the option counterparties is not secured by any collateral. Global economic conditions have resulted in the actual or perceived failure or financial difficulties of certain financial institutions and could adversely impact the option counterparties’ performance under the capped call transactions. If an option counterparty becomes subject to insolvency proceedings, we will become an unsecured creditor in those proceedings with a claim equal to the termination amount at that time as determined pursuant to the capped call documentation with such option counterparty. Our exposure will depend on many factors but, generally, an increase in our exposure will be correlated to an increase in the market price and in the volatility of the common shares. In addition, upon a default by an option counterparty, we may suffer adverse tax consequences and more dilution than we currently anticipate with respect to the common shares. We can provide no assurances as to the financial stability or viability of the option counterparties.</w:t>
      </w:r>
    </w:p>
    <w:p>
      <w:pPr>
        <w:sectPr>
          <w:pgSz w:w="11880" w:h="15480" w:orient="portrait"/>
          <w:cols w:equalWidth="0" w:num="1">
            <w:col w:w="9740"/>
          </w:cols>
          <w:pgMar w:left="1060" w:top="963"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231F20"/>
        </w:rPr>
        <w:t>14</w:t>
      </w:r>
    </w:p>
    <w:p>
      <w:pPr>
        <w:sectPr>
          <w:pgSz w:w="11880" w:h="15480" w:orient="portrait"/>
          <w:cols w:equalWidth="0" w:num="1">
            <w:col w:w="9740"/>
          </w:cols>
          <w:pgMar w:left="1060" w:top="963" w:right="1080" w:bottom="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9"/>
          <w:szCs w:val="19"/>
          <w:b w:val="1"/>
          <w:bCs w:val="1"/>
          <w:u w:val="single" w:color="auto"/>
          <w:color w:val="231F20"/>
        </w:rPr>
        <w:t>Risk Factors Related to our REIT Status and Other Laws and Regulations</w:t>
      </w:r>
    </w:p>
    <w:p>
      <w:pPr>
        <w:spacing w:after="0" w:line="276" w:lineRule="exact"/>
        <w:rPr>
          <w:sz w:val="20"/>
          <w:szCs w:val="20"/>
          <w:color w:val="auto"/>
        </w:rPr>
      </w:pPr>
    </w:p>
    <w:p>
      <w:pPr>
        <w:ind w:right="780"/>
        <w:spacing w:after="0" w:line="286" w:lineRule="auto"/>
        <w:rPr>
          <w:sz w:val="20"/>
          <w:szCs w:val="20"/>
          <w:color w:val="auto"/>
        </w:rPr>
      </w:pPr>
      <w:r>
        <w:rPr>
          <w:rFonts w:ascii="Times New Roman" w:cs="Times New Roman" w:eastAsia="Times New Roman" w:hAnsi="Times New Roman"/>
          <w:sz w:val="19"/>
          <w:szCs w:val="19"/>
          <w:b w:val="1"/>
          <w:bCs w:val="1"/>
          <w:color w:val="231F20"/>
        </w:rPr>
        <w:t>Failure to qualify as a REIT for federal income tax purposes would cause the Parent Company to be taxed as a corporation, which would substantially reduce funds available for payment of distributions.</w:t>
      </w:r>
    </w:p>
    <w:p>
      <w:pPr>
        <w:spacing w:after="0" w:line="36"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9"/>
          <w:szCs w:val="19"/>
          <w:color w:val="231F20"/>
        </w:rPr>
        <w:t>We believe that we are organized and qualified as a REIT for federal income tax purposes and currently intend to operate in a manner that will allow us to continue to qualify as a REIT under the Code. However, we cannot assure you that we will remain qualified as such in the future.</w:t>
      </w:r>
    </w:p>
    <w:p>
      <w:pPr>
        <w:spacing w:after="0" w:line="12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9"/>
          <w:szCs w:val="19"/>
          <w:color w:val="231F20"/>
        </w:rPr>
        <w:t>Qualification as a REIT involves the application of highly technical and complex Code provisions and applicable income tax regulations that have been issued under the Code. Certain facts and circumstances not entirely within our control may affect our ability to qualify as a REIT. For example, in order to qualify as a REIT, at least 95% of our gross income in any year must be derived from qualifying rents and certain other income. Satisfying this requirement could be difficult, for example, if defaults by tenants were to reduce the amount of income from qualifying rents. As a REIT, we must generally make annual distributions to shareholders of at least 90% of our taxable income. In addition, new legislation, new regulations, new administrative interpretations or new court decisions may significantly change the tax laws with respect to qualification as a REIT or the federal income tax consequences of such qualification. Any modification in the tax treatment of REITs could have a significant adverse impact to our net income.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If we fail to qualify as a REIT:</w:t>
      </w:r>
    </w:p>
    <w:p>
      <w:pPr>
        <w:spacing w:after="0" w:line="31" w:lineRule="exact"/>
        <w:rPr>
          <w:sz w:val="20"/>
          <w:szCs w:val="20"/>
          <w:color w:val="auto"/>
        </w:rPr>
      </w:pPr>
    </w:p>
    <w:p>
      <w:pPr>
        <w:ind w:left="680" w:hanging="335"/>
        <w:spacing w:after="0"/>
        <w:tabs>
          <w:tab w:leader="none" w:pos="680" w:val="left"/>
        </w:tabs>
        <w:numPr>
          <w:ilvl w:val="0"/>
          <w:numId w:val="24"/>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we would not be allowed a deduction for distributions to shareholders in computing taxable income;</w:t>
      </w:r>
    </w:p>
    <w:p>
      <w:pPr>
        <w:spacing w:after="0" w:line="9" w:lineRule="exact"/>
        <w:rPr>
          <w:rFonts w:ascii="Times New Roman" w:cs="Times New Roman" w:eastAsia="Times New Roman" w:hAnsi="Times New Roman"/>
          <w:sz w:val="19"/>
          <w:szCs w:val="19"/>
          <w:color w:val="231F20"/>
        </w:rPr>
      </w:pPr>
    </w:p>
    <w:p>
      <w:pPr>
        <w:ind w:left="680" w:hanging="335"/>
        <w:spacing w:after="0"/>
        <w:tabs>
          <w:tab w:leader="none" w:pos="680" w:val="left"/>
        </w:tabs>
        <w:numPr>
          <w:ilvl w:val="0"/>
          <w:numId w:val="24"/>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we would be subject to federal income tax at regular corporate rates;</w:t>
      </w:r>
    </w:p>
    <w:p>
      <w:pPr>
        <w:spacing w:after="0" w:line="9" w:lineRule="exact"/>
        <w:rPr>
          <w:rFonts w:ascii="Times New Roman" w:cs="Times New Roman" w:eastAsia="Times New Roman" w:hAnsi="Times New Roman"/>
          <w:sz w:val="19"/>
          <w:szCs w:val="19"/>
          <w:color w:val="231F20"/>
        </w:rPr>
      </w:pPr>
    </w:p>
    <w:p>
      <w:pPr>
        <w:ind w:left="680" w:right="300" w:hanging="335"/>
        <w:spacing w:after="0" w:line="250" w:lineRule="auto"/>
        <w:tabs>
          <w:tab w:leader="none" w:pos="680" w:val="left"/>
        </w:tabs>
        <w:numPr>
          <w:ilvl w:val="0"/>
          <w:numId w:val="24"/>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unless we are entitled to relief under specific statutory provisions, we could not elect to be taxed as a REIT for four taxable years following the year during which we were disqualified;</w:t>
      </w:r>
    </w:p>
    <w:p>
      <w:pPr>
        <w:spacing w:after="0" w:line="1" w:lineRule="exact"/>
        <w:rPr>
          <w:rFonts w:ascii="Times New Roman" w:cs="Times New Roman" w:eastAsia="Times New Roman" w:hAnsi="Times New Roman"/>
          <w:sz w:val="19"/>
          <w:szCs w:val="19"/>
          <w:color w:val="231F20"/>
        </w:rPr>
      </w:pPr>
    </w:p>
    <w:p>
      <w:pPr>
        <w:ind w:left="680" w:right="300" w:hanging="335"/>
        <w:spacing w:after="0" w:line="250" w:lineRule="auto"/>
        <w:tabs>
          <w:tab w:leader="none" w:pos="680" w:val="left"/>
        </w:tabs>
        <w:numPr>
          <w:ilvl w:val="0"/>
          <w:numId w:val="24"/>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we could be required to pay significant income taxes, which would substantially reduce the funds available for investment or for distribution to our shareholders for each year in which we failed or were not permitted to qualify; and</w:t>
      </w:r>
    </w:p>
    <w:p>
      <w:pPr>
        <w:spacing w:after="0" w:line="1" w:lineRule="exact"/>
        <w:rPr>
          <w:rFonts w:ascii="Times New Roman" w:cs="Times New Roman" w:eastAsia="Times New Roman" w:hAnsi="Times New Roman"/>
          <w:sz w:val="19"/>
          <w:szCs w:val="19"/>
          <w:color w:val="231F20"/>
        </w:rPr>
      </w:pPr>
    </w:p>
    <w:p>
      <w:pPr>
        <w:ind w:left="680" w:hanging="335"/>
        <w:spacing w:after="0"/>
        <w:tabs>
          <w:tab w:leader="none" w:pos="680" w:val="left"/>
        </w:tabs>
        <w:numPr>
          <w:ilvl w:val="0"/>
          <w:numId w:val="24"/>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we would no longer be required by law to make any distributions to our shareholders.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To maintain our status as a REIT, we limit the amount of shares any one shareholder of the Parent Company can own.</w:t>
      </w:r>
    </w:p>
    <w:p>
      <w:pPr>
        <w:spacing w:after="0" w:line="110"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8"/>
          <w:szCs w:val="18"/>
          <w:color w:val="231F20"/>
        </w:rPr>
        <w:t>The Code imposes certain limitations on the ownership of the stock of a REIT. For example, not more than 50% in value of our outstanding shares of capital stock may be owned, directly or indirectly, by five or fewer individuals (as defined in the Code) during the last half of any taxable year. To protect our REIT status, the Parent Company's declaration of trust prohibits any one shareholder from owning (actually or constructively) more than 9.8% in value of the outstanding common shares or of any class or series of outstanding preferred shares. The constructive ownership rules are complex. Shares of the Parent Company's capital stock owned, actually or constructively, by a group of related individuals and/or entities may be treated as constructively owned by one of those individuals or entities. As a result, the acquisition of less than 9.8% in value of the outstanding common shares and/or a class or series of preferred shares (or the acquisition of an interest in an entity that owns common shares or preferred shares) by an individual or entity could cause that individual or entity (or another) to own constructively more than 9.8% in value of the outstanding capital stock. If that happens, either the transfer of ownership would be void or the shares would be transferred to a charitable trust and then sold to someone who can own those shares without violating the 9.8% ownership limit.</w:t>
      </w:r>
    </w:p>
    <w:p>
      <w:pPr>
        <w:spacing w:after="0" w:line="129"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9"/>
          <w:szCs w:val="19"/>
          <w:color w:val="231F20"/>
        </w:rPr>
        <w:t>The Board of Trustees may waive these restrictions on a case-by-case basis. In addition, the Board of Trustees and two-thirds of our shareholders eligible to vote at a shareholder meeting may remove these restrictions if they determine it is no longer in our best interests for the Parent Company to attempt to qualify, or to continue to qualify, as a REIT. The 9.8% ownership restrictions may delay, defer or prevent a transaction or a change of our control that might involve a premium price for the common shares or otherwise be in the shareholders’ best interest.</w:t>
      </w:r>
    </w:p>
    <w:p>
      <w:pPr>
        <w:spacing w:after="0" w:line="223"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9"/>
          <w:szCs w:val="19"/>
          <w:b w:val="1"/>
          <w:bCs w:val="1"/>
          <w:color w:val="231F20"/>
        </w:rPr>
        <w:t>Legislative, administrative, regulatory or other actions affecting REITs, including positions taken by the IRS, could have a material adverse effect on us and our investors.</w:t>
      </w:r>
    </w:p>
    <w:p>
      <w:pPr>
        <w:spacing w:after="0" w:line="36"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9"/>
          <w:szCs w:val="19"/>
          <w:color w:val="231F20"/>
        </w:rPr>
        <w:t>The rules dealing with U.S. federal income taxation are constantly under review by persons involved in the legislative process, and by the Internal Revenue Service (“IRS”) and the U.S. Department of the Treasury (“Treasury”). Changes to the tax laws or interpretations thereof by the IRS and the Treasury, with or without retroactive application, could materially and adversely affect us and our investors. No prediction can be made as to the likelihood of passage of new tax legislation or other provisions, or the direct or indirect effect on us and our shareholders. Accordingly, such new legislation, Treasury regulations, administrative interpretations or court decisions could significantly and negatively affect our ability to qualify to be taxed as a REIT and/or the U.S. federal income tax consequences to us and our investors of such qualification.</w:t>
      </w:r>
    </w:p>
    <w:p>
      <w:pPr>
        <w:sectPr>
          <w:pgSz w:w="11880" w:h="15480" w:orient="portrait"/>
          <w:cols w:equalWidth="0" w:num="1">
            <w:col w:w="9740"/>
          </w:cols>
          <w:pgMar w:left="1060" w:top="958"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231F20"/>
        </w:rPr>
        <w:t>15</w:t>
      </w:r>
    </w:p>
    <w:p>
      <w:pPr>
        <w:sectPr>
          <w:pgSz w:w="11880" w:h="15480" w:orient="portrait"/>
          <w:cols w:equalWidth="0" w:num="1">
            <w:col w:w="9740"/>
          </w:cols>
          <w:pgMar w:left="1060" w:top="958" w:right="1080" w:bottom="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9"/>
          <w:szCs w:val="19"/>
          <w:b w:val="1"/>
          <w:bCs w:val="1"/>
          <w:color w:val="231F20"/>
        </w:rPr>
        <w:t>We may be required to incur additional debt to qualify as a REIT.</w:t>
      </w:r>
    </w:p>
    <w:p>
      <w:pPr>
        <w:spacing w:after="0" w:line="100"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9"/>
          <w:szCs w:val="19"/>
          <w:color w:val="231F20"/>
        </w:rPr>
        <w:t>As a REIT, we must generally make annual distributions to shareholders of at least 90% of our taxable income. We are subject to income tax on amounts of undistributed taxable income and net capital gain. In addition, we would be subject to a 4% excise tax if we fail to distribute sufficient income to meet a minimum distribution test based on our ordinary income, capital gain and aggregate undistributed income from prior years. We intend to make distributions to shareholders to comply with the Code’s distribution provisions and to avoid federal income and excise tax. We may need to borrow funds to meet our distribution requirements because:</w:t>
      </w:r>
    </w:p>
    <w:p>
      <w:pPr>
        <w:spacing w:after="0" w:line="3" w:lineRule="exact"/>
        <w:rPr>
          <w:sz w:val="20"/>
          <w:szCs w:val="20"/>
          <w:color w:val="auto"/>
        </w:rPr>
      </w:pPr>
    </w:p>
    <w:p>
      <w:pPr>
        <w:ind w:left="680" w:right="120" w:hanging="335"/>
        <w:spacing w:after="0" w:line="250" w:lineRule="auto"/>
        <w:tabs>
          <w:tab w:leader="none" w:pos="680" w:val="left"/>
        </w:tabs>
        <w:numPr>
          <w:ilvl w:val="0"/>
          <w:numId w:val="25"/>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our income may not be matched by our related expenses at the time the income is considered received for purposes of determining taxable income; and</w:t>
      </w:r>
    </w:p>
    <w:p>
      <w:pPr>
        <w:ind w:left="680" w:right="180" w:hanging="335"/>
        <w:spacing w:after="0" w:line="261" w:lineRule="auto"/>
        <w:tabs>
          <w:tab w:leader="none" w:pos="680" w:val="left"/>
        </w:tabs>
        <w:numPr>
          <w:ilvl w:val="0"/>
          <w:numId w:val="25"/>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non-deductible capital expenditures, creation of reserves, or debt service requirements may reduce available cash but not taxable income.</w:t>
      </w:r>
    </w:p>
    <w:p>
      <w:pPr>
        <w:spacing w:after="0" w:line="131" w:lineRule="exact"/>
        <w:rPr>
          <w:sz w:val="20"/>
          <w:szCs w:val="20"/>
          <w:color w:val="auto"/>
        </w:rPr>
      </w:pPr>
    </w:p>
    <w:p>
      <w:pPr>
        <w:ind w:right="100"/>
        <w:spacing w:after="0" w:line="267" w:lineRule="auto"/>
        <w:rPr>
          <w:sz w:val="20"/>
          <w:szCs w:val="20"/>
          <w:color w:val="auto"/>
        </w:rPr>
      </w:pPr>
      <w:r>
        <w:rPr>
          <w:rFonts w:ascii="Times New Roman" w:cs="Times New Roman" w:eastAsia="Times New Roman" w:hAnsi="Times New Roman"/>
          <w:sz w:val="19"/>
          <w:szCs w:val="19"/>
          <w:color w:val="231F20"/>
        </w:rPr>
        <w:t>In these circumstances, we might have to borrow funds on terms we might otherwise find unfavorable and we may have to borrow funds even if our management believes the market conditions make borrowing financially unattractive. Current tax law also allows us to pay a portion of our distributions in shares instead of cash.</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Environmental laws and regulations could reduce the value or profitability of our properties.</w:t>
      </w:r>
    </w:p>
    <w:p>
      <w:pPr>
        <w:spacing w:after="0" w:line="11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9"/>
          <w:szCs w:val="19"/>
          <w:color w:val="231F20"/>
        </w:rPr>
        <w:t>All real property and the operations conducted on real property are subject to federal, state and local laws, ordinances and regulations relating to hazardous materials, environmental protection and human health and safety. Under various federal, state and local laws, ordinances and regulations, we and our tenants may be responsible for the disposal or treatment of hazardous or toxic substances released on or in properties we own or operate, as well as certain other potential costs relating to hazardous or toxic substances (including governmental fines and injuries to persons and property). This liability may be imposed whether or not we knew about, or were responsible for, the presence of hazardous or toxic substances. Further, the presence of contamination on our properties or the failure to properly remediate contamination at any of our properties may adversely affect our ability to sell or lease those properties or to borrow funds by using those properties as collateral. The costs or liabilities could exceed the value of the affected real estate. We are not aware of any environmental condition with respect to any of our properties that management believes would have a material adverse effect on our business, assets or results of operations taken as a whole.</w:t>
      </w:r>
    </w:p>
    <w:p>
      <w:pPr>
        <w:spacing w:after="0" w:line="195"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9"/>
          <w:szCs w:val="19"/>
          <w:color w:val="231F20"/>
        </w:rPr>
        <w:t>In addition, changes in government legislation and regulation on climate change could result in increased capital expenditures to improve the energy efficiency of our existing properties and could also require us to spend more on our development or redevelopment projects without a corresponding increase in revenues, which may adversely affect our financial condition, results of operations and cash flows.</w:t>
      </w:r>
    </w:p>
    <w:p>
      <w:pPr>
        <w:spacing w:after="0" w:line="185"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9"/>
          <w:szCs w:val="19"/>
          <w:b w:val="1"/>
          <w:bCs w:val="1"/>
          <w:color w:val="231F20"/>
        </w:rPr>
        <w:t>The Americans with Disabilities Act of 1990 could require us to take remedial steps with respect to existing or newly acquired properties.</w:t>
      </w:r>
    </w:p>
    <w:p>
      <w:pPr>
        <w:spacing w:after="0" w:line="36"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9"/>
          <w:szCs w:val="19"/>
          <w:color w:val="231F20"/>
        </w:rPr>
        <w:t>Our existing properties, as well as properties we may acquire, as commercial facilities, are required to comply with Title III of the Americans with Disabilities Act of 1990. Investigation of a property may reveal non-compliance with this Act. The requirements of this Act, or of other federal, state or local laws or regulations, also may change in the future and restrict further renovations of our properties with respect to access for disabled persons. Future compliance with this Act may require expensive changes to the properties.</w:t>
      </w:r>
    </w:p>
    <w:p>
      <w:pPr>
        <w:spacing w:after="0" w:line="22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9"/>
          <w:szCs w:val="19"/>
          <w:b w:val="1"/>
          <w:bCs w:val="1"/>
          <w:color w:val="231F20"/>
        </w:rPr>
        <w:t>The revenues generated by our tenants could be negatively affected by various federal, state and local laws to which they are subject.</w:t>
      </w:r>
    </w:p>
    <w:p>
      <w:pPr>
        <w:spacing w:after="0" w:line="36"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9"/>
          <w:szCs w:val="19"/>
          <w:color w:val="231F20"/>
        </w:rPr>
        <w:t>We and our tenants are subject to a wide range of federal, state and local laws and regulations, such as local licensing requirements, consumer protection laws and state and local fire, life-safety and similar requirements that affect the use of the properties. The leases typically require that each tenant comply with all laws and regulations. Failure to comply could result in fines by governmental authorities, awards of damages to private litigants, or restrictions on the ability to conduct business on such properties. Non-compliance of this sort could reduce our revenues from a tenant, could require us to pay penalties or fines relating to any non-compliance, and could adversely affect our ability to sell or lease a property.</w:t>
      </w:r>
    </w:p>
    <w:p>
      <w:pPr>
        <w:spacing w:after="0" w:line="227" w:lineRule="exact"/>
        <w:rPr>
          <w:sz w:val="20"/>
          <w:szCs w:val="20"/>
          <w:color w:val="auto"/>
        </w:rPr>
      </w:pPr>
    </w:p>
    <w:p>
      <w:pPr>
        <w:ind w:right="800"/>
        <w:spacing w:after="0" w:line="286" w:lineRule="auto"/>
        <w:rPr>
          <w:sz w:val="20"/>
          <w:szCs w:val="20"/>
          <w:color w:val="auto"/>
        </w:rPr>
      </w:pPr>
      <w:r>
        <w:rPr>
          <w:rFonts w:ascii="Times New Roman" w:cs="Times New Roman" w:eastAsia="Times New Roman" w:hAnsi="Times New Roman"/>
          <w:sz w:val="19"/>
          <w:szCs w:val="19"/>
          <w:b w:val="1"/>
          <w:bCs w:val="1"/>
          <w:color w:val="231F20"/>
        </w:rPr>
        <w:t>Certain tax and anti-takeover provisions of the Parent Company's declaration of trust and bylaws, and certain restrictions in the Partnership's limited partnership agreement, may inhibit a change of our control.</w:t>
      </w:r>
    </w:p>
    <w:p>
      <w:pPr>
        <w:spacing w:after="0" w:line="36"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9"/>
          <w:szCs w:val="19"/>
          <w:color w:val="231F20"/>
        </w:rPr>
        <w:t>Certain provisions contained in the Parent Company's declaration of trust and bylaws and the Maryland General Corporation Law, as applicable to Maryland REITs, may discourage a third party from making a tender offer or acquisition proposal to us. If this were to happen, it could delay, deter or prevent a change in control or the removal of existing management. These</w:t>
      </w:r>
    </w:p>
    <w:p>
      <w:pPr>
        <w:sectPr>
          <w:pgSz w:w="11880" w:h="15480" w:orient="portrait"/>
          <w:cols w:equalWidth="0" w:num="1">
            <w:col w:w="9760"/>
          </w:cols>
          <w:pgMar w:left="1060" w:top="959" w:right="1060" w:bottom="0" w:gutter="0" w:footer="0" w:header="0"/>
        </w:sect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16</w:t>
      </w:r>
    </w:p>
    <w:p>
      <w:pPr>
        <w:sectPr>
          <w:pgSz w:w="11880" w:h="15480" w:orient="portrait"/>
          <w:cols w:equalWidth="0" w:num="1">
            <w:col w:w="9760"/>
          </w:cols>
          <w:pgMar w:left="1060" w:top="959" w:right="1060" w:bottom="0" w:gutter="0" w:footer="0" w:header="0"/>
          <w:type w:val="continuous"/>
        </w:sectPr>
      </w:pPr>
    </w:p>
    <w:bookmarkStart w:id="24" w:name="page25"/>
    <w:bookmarkEnd w:id="24"/>
    <w:p>
      <w:pPr>
        <w:ind w:right="140"/>
        <w:spacing w:after="0" w:line="262" w:lineRule="auto"/>
        <w:rPr>
          <w:sz w:val="20"/>
          <w:szCs w:val="20"/>
          <w:color w:val="auto"/>
        </w:rPr>
      </w:pPr>
      <w:r>
        <w:rPr>
          <w:rFonts w:ascii="Times New Roman" w:cs="Times New Roman" w:eastAsia="Times New Roman" w:hAnsi="Times New Roman"/>
          <w:sz w:val="19"/>
          <w:szCs w:val="19"/>
          <w:color w:val="231F20"/>
        </w:rPr>
        <w:t>provisions also may delay or prevent the shareholders from receiving a premium for their common shares over then-prevailing market prices. These provisions include:</w:t>
      </w:r>
    </w:p>
    <w:p>
      <w:pPr>
        <w:spacing w:after="0" w:line="1" w:lineRule="exact"/>
        <w:rPr>
          <w:sz w:val="20"/>
          <w:szCs w:val="20"/>
          <w:color w:val="auto"/>
        </w:rPr>
      </w:pPr>
    </w:p>
    <w:p>
      <w:pPr>
        <w:ind w:left="680" w:hanging="335"/>
        <w:spacing w:after="0"/>
        <w:tabs>
          <w:tab w:leader="none" w:pos="680" w:val="left"/>
        </w:tabs>
        <w:numPr>
          <w:ilvl w:val="0"/>
          <w:numId w:val="26"/>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the REIT ownership limit described above;</w:t>
      </w:r>
    </w:p>
    <w:p>
      <w:pPr>
        <w:spacing w:after="0" w:line="9" w:lineRule="exact"/>
        <w:rPr>
          <w:rFonts w:ascii="Times New Roman" w:cs="Times New Roman" w:eastAsia="Times New Roman" w:hAnsi="Times New Roman"/>
          <w:sz w:val="19"/>
          <w:szCs w:val="19"/>
          <w:color w:val="231F20"/>
        </w:rPr>
      </w:pPr>
    </w:p>
    <w:p>
      <w:pPr>
        <w:ind w:left="680" w:right="120" w:hanging="335"/>
        <w:spacing w:after="0" w:line="250" w:lineRule="auto"/>
        <w:tabs>
          <w:tab w:leader="none" w:pos="680" w:val="left"/>
        </w:tabs>
        <w:numPr>
          <w:ilvl w:val="0"/>
          <w:numId w:val="26"/>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authorization of the issuance of our preferred shares with powers, preferences or rights to be determined by the Board of Trustees;</w:t>
      </w:r>
    </w:p>
    <w:p>
      <w:pPr>
        <w:spacing w:after="0" w:line="1" w:lineRule="exact"/>
        <w:rPr>
          <w:rFonts w:ascii="Times New Roman" w:cs="Times New Roman" w:eastAsia="Times New Roman" w:hAnsi="Times New Roman"/>
          <w:sz w:val="19"/>
          <w:szCs w:val="19"/>
          <w:color w:val="231F20"/>
        </w:rPr>
      </w:pPr>
    </w:p>
    <w:p>
      <w:pPr>
        <w:ind w:left="680" w:right="20" w:hanging="335"/>
        <w:spacing w:after="0" w:line="250" w:lineRule="auto"/>
        <w:tabs>
          <w:tab w:leader="none" w:pos="680" w:val="left"/>
        </w:tabs>
        <w:numPr>
          <w:ilvl w:val="0"/>
          <w:numId w:val="26"/>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special meetings of our shareholders may be called only by the chairman of the board, the chief executive officer, the president, by one-third of the trustees or by shareholders possessing no less than 25% of all the votes entitled to be cast at the meeting;</w:t>
      </w:r>
    </w:p>
    <w:p>
      <w:pPr>
        <w:spacing w:after="0" w:line="1" w:lineRule="exact"/>
        <w:rPr>
          <w:rFonts w:ascii="Times New Roman" w:cs="Times New Roman" w:eastAsia="Times New Roman" w:hAnsi="Times New Roman"/>
          <w:sz w:val="19"/>
          <w:szCs w:val="19"/>
          <w:color w:val="231F20"/>
        </w:rPr>
      </w:pPr>
    </w:p>
    <w:p>
      <w:pPr>
        <w:ind w:left="680" w:right="460" w:hanging="335"/>
        <w:spacing w:after="0" w:line="250" w:lineRule="auto"/>
        <w:tabs>
          <w:tab w:leader="none" w:pos="680" w:val="left"/>
        </w:tabs>
        <w:numPr>
          <w:ilvl w:val="0"/>
          <w:numId w:val="26"/>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the Board of Trustees, without a shareholder vote, can classify or reclassify unissued shares of beneficial interest, including the reclassification of common shares into preferred shares and vice-versa;</w:t>
      </w:r>
    </w:p>
    <w:p>
      <w:pPr>
        <w:spacing w:after="0" w:line="1" w:lineRule="exact"/>
        <w:rPr>
          <w:rFonts w:ascii="Times New Roman" w:cs="Times New Roman" w:eastAsia="Times New Roman" w:hAnsi="Times New Roman"/>
          <w:sz w:val="19"/>
          <w:szCs w:val="19"/>
          <w:color w:val="231F20"/>
        </w:rPr>
      </w:pPr>
    </w:p>
    <w:p>
      <w:pPr>
        <w:ind w:left="680" w:hanging="335"/>
        <w:spacing w:after="0"/>
        <w:tabs>
          <w:tab w:leader="none" w:pos="680" w:val="left"/>
        </w:tabs>
        <w:numPr>
          <w:ilvl w:val="0"/>
          <w:numId w:val="26"/>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a two-thirds shareholder vote is required to approve some amendments to the declaration of trust; and</w:t>
      </w:r>
    </w:p>
    <w:p>
      <w:pPr>
        <w:spacing w:after="0" w:line="9" w:lineRule="exact"/>
        <w:rPr>
          <w:rFonts w:ascii="Times New Roman" w:cs="Times New Roman" w:eastAsia="Times New Roman" w:hAnsi="Times New Roman"/>
          <w:sz w:val="19"/>
          <w:szCs w:val="19"/>
          <w:color w:val="231F20"/>
        </w:rPr>
      </w:pPr>
    </w:p>
    <w:p>
      <w:pPr>
        <w:ind w:left="680" w:hanging="335"/>
        <w:spacing w:after="0"/>
        <w:tabs>
          <w:tab w:leader="none" w:pos="680" w:val="left"/>
        </w:tabs>
        <w:numPr>
          <w:ilvl w:val="0"/>
          <w:numId w:val="26"/>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advance-notice requirements for proposals to be presented at shareholder meetings.</w:t>
      </w:r>
    </w:p>
    <w:p>
      <w:pPr>
        <w:spacing w:after="0" w:line="160" w:lineRule="exact"/>
        <w:rPr>
          <w:sz w:val="20"/>
          <w:szCs w:val="20"/>
          <w:color w:val="auto"/>
        </w:rPr>
      </w:pPr>
    </w:p>
    <w:p>
      <w:pPr>
        <w:ind w:right="80"/>
        <w:spacing w:after="0" w:line="274" w:lineRule="auto"/>
        <w:rPr>
          <w:sz w:val="20"/>
          <w:szCs w:val="20"/>
          <w:color w:val="auto"/>
        </w:rPr>
      </w:pPr>
      <w:r>
        <w:rPr>
          <w:rFonts w:ascii="Times New Roman" w:cs="Times New Roman" w:eastAsia="Times New Roman" w:hAnsi="Times New Roman"/>
          <w:sz w:val="18"/>
          <w:szCs w:val="18"/>
          <w:color w:val="231F20"/>
        </w:rPr>
        <w:t>In addition, if we elect to be governed by it in the future, the Maryland Control Share Acquisition Law could delay or prevent a change in control. Under Maryland law, unless a REIT elects not to be subject to this law, “control shares” acquired in a “control share acquisition” have no voting rights except to the extent approved by shareholders by a vote of two-thirds of the votes entitled to be cast on the matter, excluding shares owned by the acquirer and by officers or trustees who are employees of the REIT. “Control shares” are voting shares that would entitle the acquirer to exercise voting power in electing trustees within specified ranges of voting power. A “control share acquisition” means the acquisition of control shares, with some exceptions.</w:t>
      </w:r>
    </w:p>
    <w:p>
      <w:pPr>
        <w:spacing w:after="0" w:line="122"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9"/>
          <w:szCs w:val="19"/>
          <w:color w:val="231F20"/>
        </w:rPr>
        <w:t>The Parent Company's bylaws state that the Maryland control share acquisition law will not apply to any acquisition by any person of our common shares. This bylaw provision may be repealed, in whole or in part, at any time, whether before or after an acquisition of control shares, by a vote of a majority of the shareholders entitled to vote, and, upon such repeal, may, to the extent provided by any successor bylaw, apply to any prior or subsequent control share acquisition.</w:t>
      </w:r>
    </w:p>
    <w:p>
      <w:pPr>
        <w:spacing w:after="0" w:line="133" w:lineRule="exact"/>
        <w:rPr>
          <w:sz w:val="20"/>
          <w:szCs w:val="20"/>
          <w:color w:val="auto"/>
        </w:rPr>
      </w:pPr>
    </w:p>
    <w:p>
      <w:pPr>
        <w:ind w:right="200"/>
        <w:spacing w:after="0" w:line="237" w:lineRule="auto"/>
        <w:rPr>
          <w:sz w:val="20"/>
          <w:szCs w:val="20"/>
          <w:color w:val="auto"/>
        </w:rPr>
      </w:pPr>
      <w:r>
        <w:rPr>
          <w:rFonts w:ascii="Times New Roman" w:cs="Times New Roman" w:eastAsia="Times New Roman" w:hAnsi="Times New Roman"/>
          <w:sz w:val="19"/>
          <w:szCs w:val="19"/>
          <w:color w:val="231F20"/>
        </w:rPr>
        <w:t>In addition, certain provisions in the Partnership’s limited partnership agreement (the “Partnership Agreement”) may delay or make more difficult unsolicited acquisitions of us or changes in our control. These provisions could discourage third parties from making proposals involving an unsolicited acquisition of us or change of our control, although some shareholders might consider such proposals, if made, desirable. These provisions also make it more difficult for third parties to alter the management structure of the Partnership without the concurrence of our Board of Trustees. These provisions include, among others:</w:t>
      </w:r>
    </w:p>
    <w:p>
      <w:pPr>
        <w:spacing w:after="0" w:line="5" w:lineRule="exact"/>
        <w:rPr>
          <w:sz w:val="20"/>
          <w:szCs w:val="20"/>
          <w:color w:val="auto"/>
        </w:rPr>
      </w:pPr>
    </w:p>
    <w:p>
      <w:pPr>
        <w:ind w:left="680" w:hanging="335"/>
        <w:spacing w:after="0"/>
        <w:tabs>
          <w:tab w:leader="none" w:pos="680" w:val="left"/>
        </w:tabs>
        <w:numPr>
          <w:ilvl w:val="0"/>
          <w:numId w:val="27"/>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redemption rights of limited partners and certain assignees of units of limited partnership interest ("OP Units");</w:t>
      </w:r>
    </w:p>
    <w:p>
      <w:pPr>
        <w:spacing w:after="0" w:line="8" w:lineRule="exact"/>
        <w:rPr>
          <w:rFonts w:ascii="Times New Roman" w:cs="Times New Roman" w:eastAsia="Times New Roman" w:hAnsi="Times New Roman"/>
          <w:sz w:val="19"/>
          <w:szCs w:val="19"/>
          <w:color w:val="231F20"/>
        </w:rPr>
      </w:pPr>
    </w:p>
    <w:p>
      <w:pPr>
        <w:ind w:left="680" w:hanging="335"/>
        <w:spacing w:after="0"/>
        <w:tabs>
          <w:tab w:leader="none" w:pos="680" w:val="left"/>
        </w:tabs>
        <w:numPr>
          <w:ilvl w:val="0"/>
          <w:numId w:val="27"/>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transfer restrictions on OP Units and restrictions on admissions of partners;</w:t>
      </w:r>
    </w:p>
    <w:p>
      <w:pPr>
        <w:spacing w:after="0" w:line="9" w:lineRule="exact"/>
        <w:rPr>
          <w:rFonts w:ascii="Times New Roman" w:cs="Times New Roman" w:eastAsia="Times New Roman" w:hAnsi="Times New Roman"/>
          <w:sz w:val="19"/>
          <w:szCs w:val="19"/>
          <w:color w:val="231F20"/>
        </w:rPr>
      </w:pPr>
    </w:p>
    <w:p>
      <w:pPr>
        <w:ind w:left="680" w:right="620" w:hanging="335"/>
        <w:spacing w:after="0" w:line="250" w:lineRule="auto"/>
        <w:tabs>
          <w:tab w:leader="none" w:pos="680" w:val="left"/>
        </w:tabs>
        <w:numPr>
          <w:ilvl w:val="0"/>
          <w:numId w:val="27"/>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a requirement that the General Partner may not be removed as the general partner of the Partnership without its consent;</w:t>
      </w:r>
    </w:p>
    <w:p>
      <w:pPr>
        <w:spacing w:after="0" w:line="1" w:lineRule="exact"/>
        <w:rPr>
          <w:rFonts w:ascii="Times New Roman" w:cs="Times New Roman" w:eastAsia="Times New Roman" w:hAnsi="Times New Roman"/>
          <w:sz w:val="19"/>
          <w:szCs w:val="19"/>
          <w:color w:val="231F20"/>
        </w:rPr>
      </w:pPr>
    </w:p>
    <w:p>
      <w:pPr>
        <w:ind w:left="680" w:right="520" w:hanging="335"/>
        <w:spacing w:after="0" w:line="250" w:lineRule="auto"/>
        <w:tabs>
          <w:tab w:leader="none" w:pos="680" w:val="left"/>
        </w:tabs>
        <w:numPr>
          <w:ilvl w:val="0"/>
          <w:numId w:val="27"/>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the ability of the General Partner to issue preferred partnership interests in the Partnership with terms that it may determine, without the approval or consent of any Limited Partner; and</w:t>
      </w:r>
    </w:p>
    <w:p>
      <w:pPr>
        <w:spacing w:after="0" w:line="1" w:lineRule="exact"/>
        <w:rPr>
          <w:rFonts w:ascii="Times New Roman" w:cs="Times New Roman" w:eastAsia="Times New Roman" w:hAnsi="Times New Roman"/>
          <w:sz w:val="19"/>
          <w:szCs w:val="19"/>
          <w:color w:val="231F20"/>
        </w:rPr>
      </w:pPr>
    </w:p>
    <w:p>
      <w:pPr>
        <w:ind w:left="680" w:right="200" w:hanging="335"/>
        <w:spacing w:after="0" w:line="255" w:lineRule="auto"/>
        <w:tabs>
          <w:tab w:leader="none" w:pos="680" w:val="left"/>
        </w:tabs>
        <w:numPr>
          <w:ilvl w:val="0"/>
          <w:numId w:val="27"/>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restrictions on the ability of the General Partner, the Partnership or the Parent Company to transfer its interests in the Partnership or otherwise engage in certain extraordinary transactions, including, among others, certain mergers, business combinations, sales of all or substantially all of their assets and recapitalizations.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231F20"/>
        </w:rPr>
        <w:t>General Risk Factors</w:t>
      </w:r>
    </w:p>
    <w:p>
      <w:pPr>
        <w:spacing w:after="0" w:line="276"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9"/>
          <w:szCs w:val="19"/>
          <w:b w:val="1"/>
          <w:bCs w:val="1"/>
          <w:color w:val="231F20"/>
        </w:rPr>
        <w:t>The market value of our debt and equity securities is subject to various factors that may cause significant fluctuations or volatility.</w:t>
      </w:r>
    </w:p>
    <w:p>
      <w:pPr>
        <w:spacing w:after="0" w:line="3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9"/>
          <w:szCs w:val="19"/>
          <w:color w:val="231F20"/>
        </w:rPr>
        <w:t>As with other publicly traded securities, the market price of our debt and equity securities depends on various factors, which may change from time to time and/or may be unrelated to our financial condition, operating performance or prospects that may cause significant fluctuations or volatility in such prices. These factors include, among others:</w:t>
      </w:r>
    </w:p>
    <w:p>
      <w:pPr>
        <w:spacing w:after="0" w:line="1" w:lineRule="exact"/>
        <w:rPr>
          <w:sz w:val="20"/>
          <w:szCs w:val="20"/>
          <w:color w:val="auto"/>
        </w:rPr>
      </w:pPr>
    </w:p>
    <w:p>
      <w:pPr>
        <w:ind w:left="680" w:hanging="335"/>
        <w:spacing w:after="0"/>
        <w:tabs>
          <w:tab w:leader="none" w:pos="680" w:val="left"/>
        </w:tabs>
        <w:numPr>
          <w:ilvl w:val="0"/>
          <w:numId w:val="28"/>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general economic and financial market conditions;</w:t>
      </w:r>
    </w:p>
    <w:p>
      <w:pPr>
        <w:spacing w:after="0" w:line="9" w:lineRule="exact"/>
        <w:rPr>
          <w:rFonts w:ascii="Times New Roman" w:cs="Times New Roman" w:eastAsia="Times New Roman" w:hAnsi="Times New Roman"/>
          <w:sz w:val="19"/>
          <w:szCs w:val="19"/>
          <w:color w:val="231F20"/>
        </w:rPr>
      </w:pPr>
    </w:p>
    <w:p>
      <w:pPr>
        <w:ind w:left="680" w:hanging="335"/>
        <w:spacing w:after="0"/>
        <w:tabs>
          <w:tab w:leader="none" w:pos="680" w:val="left"/>
        </w:tabs>
        <w:numPr>
          <w:ilvl w:val="0"/>
          <w:numId w:val="28"/>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level and trend of interest rates;</w:t>
      </w:r>
    </w:p>
    <w:p>
      <w:pPr>
        <w:spacing w:after="0" w:line="9" w:lineRule="exact"/>
        <w:rPr>
          <w:rFonts w:ascii="Times New Roman" w:cs="Times New Roman" w:eastAsia="Times New Roman" w:hAnsi="Times New Roman"/>
          <w:sz w:val="19"/>
          <w:szCs w:val="19"/>
          <w:color w:val="231F20"/>
        </w:rPr>
      </w:pPr>
    </w:p>
    <w:p>
      <w:pPr>
        <w:ind w:left="680" w:hanging="335"/>
        <w:spacing w:after="0"/>
        <w:tabs>
          <w:tab w:leader="none" w:pos="680" w:val="left"/>
        </w:tabs>
        <w:numPr>
          <w:ilvl w:val="0"/>
          <w:numId w:val="28"/>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our ability to access the capital markets to raise additional capital;</w:t>
      </w:r>
    </w:p>
    <w:p>
      <w:pPr>
        <w:spacing w:after="0" w:line="9" w:lineRule="exact"/>
        <w:rPr>
          <w:rFonts w:ascii="Times New Roman" w:cs="Times New Roman" w:eastAsia="Times New Roman" w:hAnsi="Times New Roman"/>
          <w:sz w:val="19"/>
          <w:szCs w:val="19"/>
          <w:color w:val="231F20"/>
        </w:rPr>
      </w:pPr>
    </w:p>
    <w:p>
      <w:pPr>
        <w:ind w:left="680" w:hanging="335"/>
        <w:spacing w:after="0"/>
        <w:tabs>
          <w:tab w:leader="none" w:pos="680" w:val="left"/>
        </w:tabs>
        <w:numPr>
          <w:ilvl w:val="0"/>
          <w:numId w:val="28"/>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the issuance of additional equity or debt securities;</w:t>
      </w:r>
    </w:p>
    <w:p>
      <w:pPr>
        <w:spacing w:after="0" w:line="9" w:lineRule="exact"/>
        <w:rPr>
          <w:rFonts w:ascii="Times New Roman" w:cs="Times New Roman" w:eastAsia="Times New Roman" w:hAnsi="Times New Roman"/>
          <w:sz w:val="19"/>
          <w:szCs w:val="19"/>
          <w:color w:val="231F20"/>
        </w:rPr>
      </w:pPr>
    </w:p>
    <w:p>
      <w:pPr>
        <w:ind w:left="680" w:hanging="335"/>
        <w:spacing w:after="0"/>
        <w:tabs>
          <w:tab w:leader="none" w:pos="680" w:val="left"/>
        </w:tabs>
        <w:numPr>
          <w:ilvl w:val="0"/>
          <w:numId w:val="28"/>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changes in our funds from operations (“FFO”) or earnings estimates;</w:t>
      </w:r>
    </w:p>
    <w:p>
      <w:pPr>
        <w:spacing w:after="0" w:line="9" w:lineRule="exact"/>
        <w:rPr>
          <w:rFonts w:ascii="Times New Roman" w:cs="Times New Roman" w:eastAsia="Times New Roman" w:hAnsi="Times New Roman"/>
          <w:sz w:val="19"/>
          <w:szCs w:val="19"/>
          <w:color w:val="231F20"/>
        </w:rPr>
      </w:pPr>
    </w:p>
    <w:p>
      <w:pPr>
        <w:ind w:left="680" w:hanging="335"/>
        <w:spacing w:after="0"/>
        <w:tabs>
          <w:tab w:leader="none" w:pos="680" w:val="left"/>
        </w:tabs>
        <w:numPr>
          <w:ilvl w:val="0"/>
          <w:numId w:val="28"/>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changes in our credit or analyst ratings;</w:t>
      </w:r>
    </w:p>
    <w:p>
      <w:pPr>
        <w:spacing w:after="0" w:line="9" w:lineRule="exact"/>
        <w:rPr>
          <w:rFonts w:ascii="Times New Roman" w:cs="Times New Roman" w:eastAsia="Times New Roman" w:hAnsi="Times New Roman"/>
          <w:sz w:val="19"/>
          <w:szCs w:val="19"/>
          <w:color w:val="231F20"/>
        </w:rPr>
      </w:pPr>
    </w:p>
    <w:p>
      <w:pPr>
        <w:ind w:left="680" w:hanging="335"/>
        <w:spacing w:after="0"/>
        <w:tabs>
          <w:tab w:leader="none" w:pos="680" w:val="left"/>
        </w:tabs>
        <w:numPr>
          <w:ilvl w:val="0"/>
          <w:numId w:val="28"/>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our financial condition and performance;</w:t>
      </w:r>
    </w:p>
    <w:p>
      <w:pPr>
        <w:spacing w:after="0" w:line="9" w:lineRule="exact"/>
        <w:rPr>
          <w:rFonts w:ascii="Times New Roman" w:cs="Times New Roman" w:eastAsia="Times New Roman" w:hAnsi="Times New Roman"/>
          <w:sz w:val="19"/>
          <w:szCs w:val="19"/>
          <w:color w:val="231F20"/>
        </w:rPr>
      </w:pPr>
    </w:p>
    <w:p>
      <w:pPr>
        <w:ind w:left="680" w:hanging="335"/>
        <w:spacing w:after="0"/>
        <w:tabs>
          <w:tab w:leader="none" w:pos="680" w:val="left"/>
        </w:tabs>
        <w:numPr>
          <w:ilvl w:val="0"/>
          <w:numId w:val="28"/>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market perception of our business compared to other REITs; and</w:t>
      </w:r>
    </w:p>
    <w:p>
      <w:pPr>
        <w:spacing w:after="0" w:line="9" w:lineRule="exact"/>
        <w:rPr>
          <w:rFonts w:ascii="Times New Roman" w:cs="Times New Roman" w:eastAsia="Times New Roman" w:hAnsi="Times New Roman"/>
          <w:sz w:val="19"/>
          <w:szCs w:val="19"/>
          <w:color w:val="231F20"/>
        </w:rPr>
      </w:pPr>
    </w:p>
    <w:p>
      <w:pPr>
        <w:ind w:left="680" w:hanging="335"/>
        <w:spacing w:after="0"/>
        <w:tabs>
          <w:tab w:leader="none" w:pos="680" w:val="left"/>
        </w:tabs>
        <w:numPr>
          <w:ilvl w:val="0"/>
          <w:numId w:val="28"/>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market perception of REITs, in general, compared to other investment alternatives.</w:t>
      </w:r>
    </w:p>
    <w:p>
      <w:pPr>
        <w:sectPr>
          <w:pgSz w:w="11880" w:h="15480" w:orient="portrait"/>
          <w:cols w:equalWidth="0" w:num="1">
            <w:col w:w="9760"/>
          </w:cols>
          <w:pgMar w:left="1060" w:top="963"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17</w:t>
      </w:r>
    </w:p>
    <w:p>
      <w:pPr>
        <w:sectPr>
          <w:pgSz w:w="11880" w:h="15480" w:orient="portrait"/>
          <w:cols w:equalWidth="0" w:num="1">
            <w:col w:w="9760"/>
          </w:cols>
          <w:pgMar w:left="1060" w:top="963" w:right="1060" w:bottom="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9"/>
          <w:szCs w:val="19"/>
          <w:b w:val="1"/>
          <w:bCs w:val="1"/>
          <w:color w:val="231F20"/>
        </w:rPr>
        <w:t>We cannot assure you we will continue to pay dividends in the current composition or at historical rates.</w:t>
      </w:r>
    </w:p>
    <w:p>
      <w:pPr>
        <w:spacing w:after="0" w:line="110"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19"/>
          <w:szCs w:val="19"/>
          <w:color w:val="231F20"/>
        </w:rPr>
        <w:t>Our ability to continue to pay dividends on our common shares at historical rates or to increase our common share dividend rate, and our ability to pay preferred share dividends and service our debt securities, will depend on a number of factors, including, among others, the following:</w:t>
      </w:r>
    </w:p>
    <w:p>
      <w:pPr>
        <w:spacing w:after="0" w:line="1" w:lineRule="exact"/>
        <w:rPr>
          <w:sz w:val="20"/>
          <w:szCs w:val="20"/>
          <w:color w:val="auto"/>
        </w:rPr>
      </w:pPr>
    </w:p>
    <w:p>
      <w:pPr>
        <w:ind w:left="680" w:hanging="335"/>
        <w:spacing w:after="0"/>
        <w:tabs>
          <w:tab w:leader="none" w:pos="680" w:val="left"/>
        </w:tabs>
        <w:numPr>
          <w:ilvl w:val="0"/>
          <w:numId w:val="29"/>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our financial condition and results of future operations;</w:t>
      </w:r>
    </w:p>
    <w:p>
      <w:pPr>
        <w:spacing w:after="0" w:line="9" w:lineRule="exact"/>
        <w:rPr>
          <w:rFonts w:ascii="Times New Roman" w:cs="Times New Roman" w:eastAsia="Times New Roman" w:hAnsi="Times New Roman"/>
          <w:sz w:val="19"/>
          <w:szCs w:val="19"/>
          <w:color w:val="231F20"/>
        </w:rPr>
      </w:pPr>
    </w:p>
    <w:p>
      <w:pPr>
        <w:ind w:left="680" w:hanging="335"/>
        <w:spacing w:after="0"/>
        <w:tabs>
          <w:tab w:leader="none" w:pos="680" w:val="left"/>
        </w:tabs>
        <w:numPr>
          <w:ilvl w:val="0"/>
          <w:numId w:val="29"/>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the performance by our tenants under their contractual lease agreements;</w:t>
      </w:r>
    </w:p>
    <w:p>
      <w:pPr>
        <w:spacing w:after="0" w:line="9" w:lineRule="exact"/>
        <w:rPr>
          <w:rFonts w:ascii="Times New Roman" w:cs="Times New Roman" w:eastAsia="Times New Roman" w:hAnsi="Times New Roman"/>
          <w:sz w:val="19"/>
          <w:szCs w:val="19"/>
          <w:color w:val="231F20"/>
        </w:rPr>
      </w:pPr>
    </w:p>
    <w:p>
      <w:pPr>
        <w:ind w:left="680" w:hanging="335"/>
        <w:spacing w:after="0"/>
        <w:tabs>
          <w:tab w:leader="none" w:pos="680" w:val="left"/>
        </w:tabs>
        <w:numPr>
          <w:ilvl w:val="0"/>
          <w:numId w:val="29"/>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the terms of our loan covenants; and</w:t>
      </w:r>
    </w:p>
    <w:p>
      <w:pPr>
        <w:spacing w:after="0" w:line="9" w:lineRule="exact"/>
        <w:rPr>
          <w:rFonts w:ascii="Times New Roman" w:cs="Times New Roman" w:eastAsia="Times New Roman" w:hAnsi="Times New Roman"/>
          <w:sz w:val="19"/>
          <w:szCs w:val="19"/>
          <w:color w:val="231F20"/>
        </w:rPr>
      </w:pPr>
    </w:p>
    <w:p>
      <w:pPr>
        <w:ind w:left="680" w:hanging="335"/>
        <w:spacing w:after="0"/>
        <w:tabs>
          <w:tab w:leader="none" w:pos="680" w:val="left"/>
        </w:tabs>
        <w:numPr>
          <w:ilvl w:val="0"/>
          <w:numId w:val="29"/>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our ability to acquire, finance, develop or redevelop and lease additional properties at attractive rates.</w:t>
      </w:r>
    </w:p>
    <w:p>
      <w:pPr>
        <w:spacing w:after="0" w:line="160"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9"/>
          <w:szCs w:val="19"/>
          <w:color w:val="231F20"/>
        </w:rPr>
        <w:t>If we do not maintain or increase, or if we change the composition of the dividend on our common shares, it could have an adverse effect on the market price of our common shares and other securities. Any preferred shares we may offer in the future may have a fixed dividend rate that would not increase with any increases in the dividend rate of our common shares. Conversely, payment of dividends on our common shares may be subject to payment in full of the dividends on any preferred shares and payment of interest on any debt securities we may offer.</w:t>
      </w:r>
    </w:p>
    <w:p>
      <w:pPr>
        <w:spacing w:after="0" w:line="223"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9"/>
          <w:szCs w:val="19"/>
          <w:b w:val="1"/>
          <w:bCs w:val="1"/>
          <w:color w:val="231F20"/>
        </w:rPr>
        <w:t>The Parent Company is a holding company with no direct operations, and it will rely on funds received from the Partnership to pay its obligations and make distributions to its shareholders.</w:t>
      </w:r>
    </w:p>
    <w:p>
      <w:pPr>
        <w:spacing w:after="0" w:line="11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9"/>
          <w:szCs w:val="19"/>
          <w:color w:val="231F20"/>
        </w:rPr>
        <w:t>The Parent Company is a holding company and expects to conduct substantially all of its operations through the Partnership. The Parent Company will not have, apart from an interest in the Partnership, any independent operations. As a result, the Parent Company will rely on distributions from the Partnership to make any distributions we declare on our common shares. The Parent Company will also rely on distributions from the Partnership to meet its obligations, including any tax liability on taxable income allocated to the Parent Company from the Partnership. Through its ownership and control of the General Partner, the Parent Company exercises exclusive control over the Partnership, including the authority to cause the Partnership to make distributions, subject to certain limited approval and voting rights of the Partnership’s Limited Partners as described in the Partnership Agreement. In addition, because the Parent Company is a holding company, your claims as shareholders are structurally subordinated to all existing and future liabilities and obligations to preferred equity holders of the Partnership and its subsidiaries. Therefore, in the event of a bankruptcy, insolvency, liquidation or reorganization of the Partnership or its subsidiaries, assets of the Partnership or the applicable subsidiary will be available to satisfy any claims of our shareholders only after such liabilities and obligations have been satisfied in full.</w:t>
      </w:r>
    </w:p>
    <w:p>
      <w:pPr>
        <w:spacing w:after="0" w:line="146" w:lineRule="exact"/>
        <w:rPr>
          <w:sz w:val="20"/>
          <w:szCs w:val="20"/>
          <w:color w:val="auto"/>
        </w:rPr>
      </w:pPr>
    </w:p>
    <w:p>
      <w:pPr>
        <w:ind w:right="360"/>
        <w:spacing w:after="0" w:line="267" w:lineRule="auto"/>
        <w:rPr>
          <w:sz w:val="20"/>
          <w:szCs w:val="20"/>
          <w:color w:val="auto"/>
        </w:rPr>
      </w:pPr>
      <w:r>
        <w:rPr>
          <w:rFonts w:ascii="Times New Roman" w:cs="Times New Roman" w:eastAsia="Times New Roman" w:hAnsi="Times New Roman"/>
          <w:sz w:val="19"/>
          <w:szCs w:val="19"/>
          <w:color w:val="231F20"/>
        </w:rPr>
        <w:t>We currently own 100% of the OP Units issued by the Partnership and are its sole Limited Partner. However, in connection with our future acquisition activities or otherwise, we may issue additional OP Units to third parties and admit additional Limited Partners. Such issuances would reduce the Parent Company’s percentage ownership in the Partnership.</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Loss of our key management could adversely affect performance and the value of our common shares.</w:t>
      </w:r>
    </w:p>
    <w:p>
      <w:pPr>
        <w:spacing w:after="0" w:line="95" w:lineRule="exact"/>
        <w:rPr>
          <w:sz w:val="20"/>
          <w:szCs w:val="20"/>
          <w:color w:val="auto"/>
        </w:rPr>
      </w:pPr>
    </w:p>
    <w:p>
      <w:pPr>
        <w:jc w:val="both"/>
        <w:ind w:right="240"/>
        <w:spacing w:after="0" w:line="267" w:lineRule="auto"/>
        <w:rPr>
          <w:sz w:val="20"/>
          <w:szCs w:val="20"/>
          <w:color w:val="auto"/>
        </w:rPr>
      </w:pPr>
      <w:r>
        <w:rPr>
          <w:rFonts w:ascii="Times New Roman" w:cs="Times New Roman" w:eastAsia="Times New Roman" w:hAnsi="Times New Roman"/>
          <w:sz w:val="19"/>
          <w:szCs w:val="19"/>
          <w:color w:val="231F20"/>
        </w:rPr>
        <w:t>We are dependent on the efforts of our key management. Although we believe qualified replacements could be found for any departures of key executives, the loss of their services could adversely affect our performance and the value of our common shares.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We may adjust our business policies without shareholder approval.</w:t>
      </w:r>
    </w:p>
    <w:p>
      <w:pPr>
        <w:spacing w:after="0" w:line="110" w:lineRule="exact"/>
        <w:rPr>
          <w:sz w:val="20"/>
          <w:szCs w:val="20"/>
          <w:color w:val="auto"/>
        </w:rPr>
      </w:pPr>
    </w:p>
    <w:p>
      <w:pPr>
        <w:jc w:val="both"/>
        <w:ind w:right="40"/>
        <w:spacing w:after="0" w:line="267" w:lineRule="auto"/>
        <w:rPr>
          <w:sz w:val="20"/>
          <w:szCs w:val="20"/>
          <w:color w:val="auto"/>
        </w:rPr>
      </w:pPr>
      <w:r>
        <w:rPr>
          <w:rFonts w:ascii="Times New Roman" w:cs="Times New Roman" w:eastAsia="Times New Roman" w:hAnsi="Times New Roman"/>
          <w:sz w:val="19"/>
          <w:szCs w:val="19"/>
          <w:color w:val="231F20"/>
        </w:rPr>
        <w:t>We may modify our approach to investment, financing, borrowing, and other operating strategies without shareholder approval. A change in the approach to any of these items could adversely affect our financial condition and results of operations, and the market price of our securities.</w:t>
      </w:r>
    </w:p>
    <w:p>
      <w:pPr>
        <w:spacing w:after="0" w:line="126"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9"/>
          <w:szCs w:val="19"/>
          <w:color w:val="231F20"/>
        </w:rPr>
        <w:t>Our current business plan focuses on our investment in high quality retail based properties that are typically neighborhood and community shopping centers or mixed-use properties, principally through redevelopments and acquisitions. If this business plan is not successful, it could have a material adverse effect on our financial condition and results of operations.</w:t>
      </w:r>
    </w:p>
    <w:p>
      <w:pPr>
        <w:spacing w:after="0" w:line="127"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9"/>
          <w:szCs w:val="19"/>
          <w:color w:val="231F20"/>
        </w:rPr>
        <w:t>Given these uncertainties, readers are cautioned not to place undue reliance on any forward-looking statements that we make, including those in this Annual Report on Form 10-K. Except as may be required by law, we make no promise to update any of the forward-looking statements as a result of new information, future events or otherwise. You should carefully review the above risks and the risk factors.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We face risks relating to cyber threats that could cause loss of confidential information and other business disruptions.</w:t>
      </w:r>
    </w:p>
    <w:p>
      <w:pPr>
        <w:spacing w:after="0" w:line="110"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9"/>
          <w:szCs w:val="19"/>
          <w:color w:val="231F20"/>
        </w:rPr>
        <w:t>We rely extensively on information technology systems to process transactions and manage our business, and our business is at risk from and may be impacted by cybersecurity incidents. These could include attempts to gain unauthorized access to our data and computer systems as well as attacks on third party's information technology systems that we rely on to provide important</w:t>
      </w:r>
    </w:p>
    <w:p>
      <w:pPr>
        <w:sectPr>
          <w:pgSz w:w="11880" w:h="15480" w:orient="portrait"/>
          <w:cols w:equalWidth="0" w:num="1">
            <w:col w:w="9760"/>
          </w:cols>
          <w:pgMar w:left="1060" w:top="959" w:right="1060" w:bottom="0" w:gutter="0" w:footer="0" w:header="0"/>
        </w:sect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18</w:t>
      </w:r>
    </w:p>
    <w:p>
      <w:pPr>
        <w:sectPr>
          <w:pgSz w:w="11880" w:h="15480" w:orient="portrait"/>
          <w:cols w:equalWidth="0" w:num="1">
            <w:col w:w="9760"/>
          </w:cols>
          <w:pgMar w:left="1060" w:top="959" w:right="1060" w:bottom="0" w:gutter="0" w:footer="0" w:header="0"/>
          <w:type w:val="continuous"/>
        </w:sectPr>
      </w:pPr>
    </w:p>
    <w:bookmarkStart w:id="26" w:name="page27"/>
    <w:bookmarkEnd w:id="26"/>
    <w:p>
      <w:pPr>
        <w:ind w:right="60"/>
        <w:spacing w:after="0" w:line="254" w:lineRule="auto"/>
        <w:rPr>
          <w:sz w:val="20"/>
          <w:szCs w:val="20"/>
          <w:color w:val="auto"/>
        </w:rPr>
      </w:pPr>
      <w:r>
        <w:rPr>
          <w:rFonts w:ascii="Times New Roman" w:cs="Times New Roman" w:eastAsia="Times New Roman" w:hAnsi="Times New Roman"/>
          <w:sz w:val="19"/>
          <w:szCs w:val="19"/>
          <w:color w:val="231F20"/>
        </w:rPr>
        <w:t>information technology services relating to key business functions, such as payroll. Cyber attacks can be both individual and/or highly organized attempts by very sophisticated hacking organizations. A cyber attack could compromise the confidential information of our employees, tenants, and vendors. A successful attack could adversely affect our business operations, results of operations, or financial condition by, among other things, disrupting our collection of revenue, interfering with our ability to satisfy our financial obligations by restricting access to our assets, or causing inaccuracies in our financial reporting. We employ a number of measures to prevent, detect, and mitigate these threats, which include password encryption, multi-factor authentication, frequent password change events, firewall detection systems, anti-virus software in-place, frequent backups, a redundant data system for core applications, and penetration testing; however, there is no guarantee such efforts will be successful in preventing a material cybersecurity incident.</w:t>
      </w:r>
    </w:p>
    <w:p>
      <w:pPr>
        <w:spacing w:after="0" w:line="291"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9"/>
          <w:szCs w:val="19"/>
          <w:b w:val="1"/>
          <w:bCs w:val="1"/>
          <w:color w:val="231F20"/>
        </w:rPr>
        <w:t>ITEM 1B.</w:t>
        <w:tab/>
        <w:t>UNRESOLVED STAFF COMMENTS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None.</w:t>
      </w:r>
    </w:p>
    <w:p>
      <w:pPr>
        <w:spacing w:after="0" w:line="328"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9"/>
          <w:szCs w:val="19"/>
          <w:b w:val="1"/>
          <w:bCs w:val="1"/>
          <w:color w:val="231F20"/>
        </w:rPr>
        <w:t>ITEM 1C.</w:t>
        <w:tab/>
        <w:t>CYBER SECURITY</w:t>
      </w:r>
    </w:p>
    <w:p>
      <w:pPr>
        <w:spacing w:after="0" w:line="11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9"/>
          <w:szCs w:val="19"/>
          <w:color w:val="231F20"/>
        </w:rPr>
        <w:t>Our chief information officer, who has over 30 years of experience in managing information systems for real estate companies, heads our internal team of technology professionals who are responsible for managing our cybersecurity risks, which includes identifying our primary areas of risk, establishing processes, procedures, and systems to mitigate those risks and identifying and remediating any breaches that may occur. Cybersecurity risk management falls under our chief legal officer as part of our overall risk management program, which is ultimately overseen by the Audit Committee of the Board of Trustees. Our team is supported by a third party company that we have retained to act as our chief information security officer based on the third party company's experience in preventing cybersecurity incidents, advising clients about appropriate cybersecurity procedures and processes, and assessing the integrity of those procedures and processes. The assessment and management of our cybersecurity risks covers all of our internal systems, the systems of third parties who maintain our data, and our use of artificial intelligence.</w:t>
      </w:r>
    </w:p>
    <w:p>
      <w:pPr>
        <w:spacing w:after="0" w:line="14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9"/>
          <w:szCs w:val="19"/>
          <w:color w:val="231F20"/>
        </w:rPr>
        <w:t>We rely on our management team's experience in risk management, in consultation with our third party advisor, to appropriately address cybersecurity threats. As part of our processes to manage risks from cybersecurity threats and our use of artificial intelligence, we have developed and enforce company-wide policies related to password encryption, strength and expiration, we require multi-factor authentication where appropriate, conduct regular employee training about our policies and cybersecurity threats, and we have adopted a policy on use of artificial intelligence. We make use of firewalls, end-point protection, backups, redundancies, regular penetration testing, and our systems monitor and flag irregularities in how our information systems are accessed or used. Any known cybersecurity incidents would be reported by our chief information officer to our chief legal officer and disclosure committee for evaluation and remediation, and for a determination of how we might develop further security systems and procedures to address evolving cybersecurity threats. Management provides written and verbal updates to the Audit Committee at least quarterly identifying our primary areas of risk, actions taken or planned to be taken to mitigate those risks, and specific activities undertaken during the quarter, including employee training and the results of that training. Management would also provide updates to seek oversight from the Audit Committee on an ad hoc basis in connection with any material cybersecurity incident, should one occur.</w:t>
      </w:r>
    </w:p>
    <w:p>
      <w:pPr>
        <w:spacing w:after="0" w:line="143" w:lineRule="exact"/>
        <w:rPr>
          <w:sz w:val="20"/>
          <w:szCs w:val="20"/>
          <w:color w:val="auto"/>
        </w:rPr>
      </w:pPr>
    </w:p>
    <w:p>
      <w:pPr>
        <w:ind w:right="300"/>
        <w:spacing w:after="0" w:line="267" w:lineRule="auto"/>
        <w:rPr>
          <w:sz w:val="20"/>
          <w:szCs w:val="20"/>
          <w:color w:val="auto"/>
        </w:rPr>
      </w:pPr>
      <w:r>
        <w:rPr>
          <w:rFonts w:ascii="Times New Roman" w:cs="Times New Roman" w:eastAsia="Times New Roman" w:hAnsi="Times New Roman"/>
          <w:sz w:val="19"/>
          <w:szCs w:val="19"/>
          <w:color w:val="231F20"/>
        </w:rPr>
        <w:t>We have not experienced any cybersecurity incident that has had a material impact on our business strategy, results of operations, or financial condition. For more information, see Item 1A. Risk Factors ("We face risks relating to cybersecurity threats that could cause loss of confidential information and other business disruptions".</w:t>
      </w:r>
    </w:p>
    <w:p>
      <w:pPr>
        <w:spacing w:after="0" w:line="121"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9"/>
          <w:szCs w:val="19"/>
          <w:b w:val="1"/>
          <w:bCs w:val="1"/>
          <w:color w:val="231F20"/>
        </w:rPr>
        <w:t>ITEM 2.</w:t>
        <w:tab/>
        <w:t>PROPERTIES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General</w:t>
      </w:r>
    </w:p>
    <w:p>
      <w:pPr>
        <w:spacing w:after="0" w:line="11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9"/>
          <w:szCs w:val="19"/>
          <w:color w:val="231F20"/>
        </w:rPr>
        <w:t>As of December 31, 2025, we owned or had a majority ownership interest in community and neighborhood shopping centers and mixed-used properties which are operated as 104 predominantly retail real estate projects comprising approximately 28.8 million commercial square feet. These properties are located primarily in major coastal markets and select underserved markets that we believe have strong economic and demographic fundamentals. No single commercial or residential property accounted for over 10% of our 2025 total revenue. We believe that our properties are adequately covered by commercial general liability, fire, flood, earthquake, terrorism and business interruption insurance provided by reputable companies, with commercially reasonable exclusions, deductibles and limits.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Tenant Diversification</w:t>
      </w:r>
    </w:p>
    <w:p>
      <w:pPr>
        <w:spacing w:after="0" w:line="110"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8"/>
          <w:szCs w:val="18"/>
          <w:color w:val="231F20"/>
        </w:rPr>
        <w:t>As of December 31, 2025, we had approximately 3,700 commercial leases and 2,700 residential leases, with commercial tenants ranging from sole proprietors to major national and international retailers. No one tenant or affiliated group of tenants accounted for more than 2.4% of our annualized base rent as of December 31, 2025. As a result of our tenant diversification, we</w:t>
      </w:r>
    </w:p>
    <w:p>
      <w:pPr>
        <w:sectPr>
          <w:pgSz w:w="11880" w:h="15480" w:orient="portrait"/>
          <w:cols w:equalWidth="0" w:num="1">
            <w:col w:w="9740"/>
          </w:cols>
          <w:pgMar w:left="1060" w:top="963" w:right="1080" w:bottom="0" w:gutter="0" w:footer="0" w:header="0"/>
        </w:sect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231F20"/>
        </w:rPr>
        <w:t>19</w:t>
      </w:r>
    </w:p>
    <w:p>
      <w:pPr>
        <w:sectPr>
          <w:pgSz w:w="11880" w:h="15480" w:orient="portrait"/>
          <w:cols w:equalWidth="0" w:num="1">
            <w:col w:w="9740"/>
          </w:cols>
          <w:pgMar w:left="1060" w:top="963" w:right="1080" w:bottom="0" w:gutter="0" w:footer="0" w:header="0"/>
          <w:type w:val="continuous"/>
        </w:sectPr>
      </w:pPr>
    </w:p>
    <w:bookmarkStart w:id="27" w:name="page28"/>
    <w:bookmarkEnd w:id="27"/>
    <w:p>
      <w:pPr>
        <w:ind w:right="560"/>
        <w:spacing w:after="0" w:line="284" w:lineRule="auto"/>
        <w:rPr>
          <w:sz w:val="20"/>
          <w:szCs w:val="20"/>
          <w:color w:val="auto"/>
        </w:rPr>
      </w:pPr>
      <w:r>
        <w:rPr>
          <w:rFonts w:ascii="Times New Roman" w:cs="Times New Roman" w:eastAsia="Times New Roman" w:hAnsi="Times New Roman"/>
          <w:sz w:val="19"/>
          <w:szCs w:val="19"/>
          <w:color w:val="231F20"/>
        </w:rPr>
        <w:t>believe our exposure to any one bankruptcy filing has not been and will not be significant, however, multiple filings by a number of tenants could have a significant impact.</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Geographic Diversification</w:t>
      </w:r>
    </w:p>
    <w:p>
      <w:pPr>
        <w:spacing w:after="0" w:line="110" w:lineRule="exact"/>
        <w:rPr>
          <w:sz w:val="20"/>
          <w:szCs w:val="20"/>
          <w:color w:val="auto"/>
        </w:rPr>
      </w:pPr>
    </w:p>
    <w:p>
      <w:pPr>
        <w:ind w:right="440"/>
        <w:spacing w:after="0" w:line="267" w:lineRule="auto"/>
        <w:rPr>
          <w:sz w:val="20"/>
          <w:szCs w:val="20"/>
          <w:color w:val="auto"/>
        </w:rPr>
      </w:pPr>
      <w:r>
        <w:rPr>
          <w:rFonts w:ascii="Times New Roman" w:cs="Times New Roman" w:eastAsia="Times New Roman" w:hAnsi="Times New Roman"/>
          <w:sz w:val="19"/>
          <w:szCs w:val="19"/>
          <w:color w:val="231F20"/>
        </w:rPr>
        <w:t>Our 104 real estate projects are located in 14 states and the District of Columbia. The following table shows the number of projects, the gross leasable area (“GLA” of commercial space and the percentage of total portfolio gross leasable area of commercial space in each state as of December 31, 2025.</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20" w:type="dxa"/>
            <w:vAlign w:val="bottom"/>
          </w:tcPr>
          <w:p>
            <w:pPr>
              <w:jc w:val="center"/>
              <w:ind w:left="160"/>
              <w:spacing w:after="0"/>
              <w:rPr>
                <w:sz w:val="20"/>
                <w:szCs w:val="20"/>
                <w:color w:val="auto"/>
              </w:rPr>
            </w:pPr>
            <w:r>
              <w:rPr>
                <w:rFonts w:ascii="Times New Roman" w:cs="Times New Roman" w:eastAsia="Times New Roman" w:hAnsi="Times New Roman"/>
                <w:sz w:val="15"/>
                <w:szCs w:val="15"/>
                <w:b w:val="1"/>
                <w:bCs w:val="1"/>
                <w:color w:val="231F20"/>
              </w:rPr>
              <w:t>Percentage</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5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vMerge w:val="restart"/>
          </w:tcPr>
          <w:p>
            <w:pPr>
              <w:jc w:val="right"/>
              <w:ind w:right="238"/>
              <w:spacing w:after="0"/>
              <w:rPr>
                <w:sz w:val="20"/>
                <w:szCs w:val="20"/>
                <w:color w:val="auto"/>
              </w:rPr>
            </w:pPr>
            <w:r>
              <w:rPr>
                <w:rFonts w:ascii="Times New Roman" w:cs="Times New Roman" w:eastAsia="Times New Roman" w:hAnsi="Times New Roman"/>
                <w:sz w:val="15"/>
                <w:szCs w:val="15"/>
                <w:b w:val="1"/>
                <w:bCs w:val="1"/>
                <w:color w:val="231F20"/>
              </w:rPr>
              <w:t>Number of</w:t>
            </w:r>
          </w:p>
        </w:tc>
        <w:tc>
          <w:tcPr>
            <w:tcW w:w="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231F20"/>
              </w:rPr>
              <w:t>Gross Leasable</w:t>
            </w:r>
          </w:p>
        </w:tc>
        <w:tc>
          <w:tcPr>
            <w:tcW w:w="60" w:type="dxa"/>
            <w:vAlign w:val="bottom"/>
          </w:tcPr>
          <w:p>
            <w:pPr>
              <w:spacing w:after="0"/>
              <w:rPr>
                <w:sz w:val="13"/>
                <w:szCs w:val="13"/>
                <w:color w:val="auto"/>
              </w:rPr>
            </w:pPr>
          </w:p>
        </w:tc>
        <w:tc>
          <w:tcPr>
            <w:tcW w:w="1120" w:type="dxa"/>
            <w:vAlign w:val="bottom"/>
          </w:tcPr>
          <w:p>
            <w:pPr>
              <w:jc w:val="center"/>
              <w:ind w:left="140"/>
              <w:spacing w:after="0" w:line="152" w:lineRule="exact"/>
              <w:rPr>
                <w:sz w:val="20"/>
                <w:szCs w:val="20"/>
                <w:color w:val="auto"/>
              </w:rPr>
            </w:pPr>
            <w:r>
              <w:rPr>
                <w:rFonts w:ascii="Times New Roman" w:cs="Times New Roman" w:eastAsia="Times New Roman" w:hAnsi="Times New Roman"/>
                <w:sz w:val="15"/>
                <w:szCs w:val="15"/>
                <w:b w:val="1"/>
                <w:bCs w:val="1"/>
                <w:color w:val="231F20"/>
              </w:rPr>
              <w:t>of Gross</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5520" w:type="dxa"/>
            <w:vAlign w:val="bottom"/>
            <w:vMerge w:val="restart"/>
          </w:tcPr>
          <w:p>
            <w:pPr>
              <w:ind w:left="60"/>
              <w:spacing w:after="0"/>
              <w:rPr>
                <w:sz w:val="20"/>
                <w:szCs w:val="20"/>
                <w:color w:val="auto"/>
              </w:rPr>
            </w:pPr>
            <w:r>
              <w:rPr>
                <w:rFonts w:ascii="Times New Roman" w:cs="Times New Roman" w:eastAsia="Times New Roman" w:hAnsi="Times New Roman"/>
                <w:sz w:val="15"/>
                <w:szCs w:val="15"/>
                <w:b w:val="1"/>
                <w:bCs w:val="1"/>
                <w:color w:val="231F20"/>
              </w:rPr>
              <w:t>State</w:t>
            </w:r>
          </w:p>
        </w:tc>
        <w:tc>
          <w:tcPr>
            <w:tcW w:w="80" w:type="dxa"/>
            <w:vAlign w:val="bottom"/>
          </w:tcPr>
          <w:p>
            <w:pPr>
              <w:spacing w:after="0"/>
              <w:rPr>
                <w:sz w:val="13"/>
                <w:szCs w:val="13"/>
                <w:color w:val="auto"/>
              </w:rPr>
            </w:pPr>
          </w:p>
        </w:tc>
        <w:tc>
          <w:tcPr>
            <w:tcW w:w="13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120" w:type="dxa"/>
            <w:vAlign w:val="bottom"/>
          </w:tcPr>
          <w:p>
            <w:pPr>
              <w:jc w:val="center"/>
              <w:ind w:left="140"/>
              <w:spacing w:after="0" w:line="152" w:lineRule="exact"/>
              <w:rPr>
                <w:sz w:val="20"/>
                <w:szCs w:val="20"/>
                <w:color w:val="auto"/>
              </w:rPr>
            </w:pPr>
            <w:r>
              <w:rPr>
                <w:rFonts w:ascii="Times New Roman" w:cs="Times New Roman" w:eastAsia="Times New Roman" w:hAnsi="Times New Roman"/>
                <w:sz w:val="15"/>
                <w:szCs w:val="15"/>
                <w:b w:val="1"/>
                <w:bCs w:val="1"/>
                <w:color w:val="231F20"/>
              </w:rPr>
              <w:t>Leasable</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5520" w:type="dxa"/>
            <w:vAlign w:val="bottom"/>
            <w:tcBorders>
              <w:bottom w:val="single" w:sz="8" w:color="231F20"/>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tcBorders>
              <w:bottom w:val="single" w:sz="8" w:color="231F20"/>
            </w:tcBorders>
          </w:tcPr>
          <w:p>
            <w:pPr>
              <w:jc w:val="right"/>
              <w:ind w:right="318"/>
              <w:spacing w:after="0"/>
              <w:rPr>
                <w:sz w:val="20"/>
                <w:szCs w:val="20"/>
                <w:color w:val="auto"/>
              </w:rPr>
            </w:pPr>
            <w:r>
              <w:rPr>
                <w:rFonts w:ascii="Times New Roman" w:cs="Times New Roman" w:eastAsia="Times New Roman" w:hAnsi="Times New Roman"/>
                <w:sz w:val="15"/>
                <w:szCs w:val="15"/>
                <w:b w:val="1"/>
                <w:bCs w:val="1"/>
                <w:color w:val="231F20"/>
              </w:rPr>
              <w:t>Projects</w:t>
            </w:r>
          </w:p>
        </w:tc>
        <w:tc>
          <w:tcPr>
            <w:tcW w:w="80" w:type="dxa"/>
            <w:vAlign w:val="bottom"/>
          </w:tcPr>
          <w:p>
            <w:pPr>
              <w:spacing w:after="0"/>
              <w:rPr>
                <w:sz w:val="17"/>
                <w:szCs w:val="17"/>
                <w:color w:val="auto"/>
              </w:rPr>
            </w:pPr>
          </w:p>
        </w:tc>
        <w:tc>
          <w:tcPr>
            <w:tcW w:w="132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5"/>
                <w:szCs w:val="15"/>
                <w:b w:val="1"/>
                <w:bCs w:val="1"/>
                <w:color w:val="231F20"/>
              </w:rPr>
              <w:t>Area</w:t>
            </w:r>
          </w:p>
        </w:tc>
        <w:tc>
          <w:tcPr>
            <w:tcW w:w="60" w:type="dxa"/>
            <w:vAlign w:val="bottom"/>
          </w:tcPr>
          <w:p>
            <w:pPr>
              <w:spacing w:after="0"/>
              <w:rPr>
                <w:sz w:val="17"/>
                <w:szCs w:val="17"/>
                <w:color w:val="auto"/>
              </w:rPr>
            </w:pPr>
          </w:p>
        </w:tc>
        <w:tc>
          <w:tcPr>
            <w:tcW w:w="1120" w:type="dxa"/>
            <w:vAlign w:val="bottom"/>
            <w:tcBorders>
              <w:bottom w:val="single" w:sz="8" w:color="231F20"/>
            </w:tcBorders>
          </w:tcPr>
          <w:p>
            <w:pPr>
              <w:jc w:val="center"/>
              <w:ind w:left="160"/>
              <w:spacing w:after="0"/>
              <w:rPr>
                <w:sz w:val="20"/>
                <w:szCs w:val="20"/>
                <w:color w:val="auto"/>
              </w:rPr>
            </w:pPr>
            <w:r>
              <w:rPr>
                <w:rFonts w:ascii="Times New Roman" w:cs="Times New Roman" w:eastAsia="Times New Roman" w:hAnsi="Times New Roman"/>
                <w:sz w:val="15"/>
                <w:szCs w:val="15"/>
                <w:b w:val="1"/>
                <w:bCs w:val="1"/>
                <w:color w:val="231F20"/>
              </w:rPr>
              <w:t>Area</w:t>
            </w:r>
          </w:p>
        </w:tc>
        <w:tc>
          <w:tcPr>
            <w:tcW w:w="220" w:type="dxa"/>
            <w:vAlign w:val="bottom"/>
            <w:tcBorders>
              <w:bottom w:val="single" w:sz="8" w:color="231F20"/>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231F20"/>
              </w:rPr>
              <w:t>(In square feet)</w:t>
            </w:r>
          </w:p>
        </w:tc>
        <w:tc>
          <w:tcPr>
            <w:tcW w:w="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5"/>
        </w:trPr>
        <w:tc>
          <w:tcPr>
            <w:tcW w:w="5520" w:type="dxa"/>
            <w:vAlign w:val="bottom"/>
          </w:tcPr>
          <w:p>
            <w:pPr>
              <w:ind w:left="60"/>
              <w:spacing w:after="0"/>
              <w:rPr>
                <w:sz w:val="20"/>
                <w:szCs w:val="20"/>
                <w:color w:val="auto"/>
              </w:rPr>
            </w:pPr>
            <w:r>
              <w:rPr>
                <w:rFonts w:ascii="Times New Roman" w:cs="Times New Roman" w:eastAsia="Times New Roman" w:hAnsi="Times New Roman"/>
                <w:sz w:val="19"/>
                <w:szCs w:val="19"/>
                <w:color w:val="231F20"/>
              </w:rPr>
              <w:t>California</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20</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7,169,000</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24.9</w:t>
            </w: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0" w:type="dxa"/>
            <w:vAlign w:val="bottom"/>
          </w:tcPr>
          <w:p>
            <w:pPr>
              <w:spacing w:after="0"/>
              <w:rPr>
                <w:sz w:val="1"/>
                <w:szCs w:val="1"/>
                <w:color w:val="auto"/>
              </w:rPr>
            </w:pPr>
          </w:p>
        </w:tc>
      </w:tr>
      <w:tr>
        <w:trPr>
          <w:trHeight w:val="271"/>
        </w:trPr>
        <w:tc>
          <w:tcPr>
            <w:tcW w:w="5520" w:type="dxa"/>
            <w:vAlign w:val="bottom"/>
          </w:tcPr>
          <w:p>
            <w:pPr>
              <w:ind w:left="60"/>
              <w:spacing w:after="0"/>
              <w:rPr>
                <w:sz w:val="20"/>
                <w:szCs w:val="20"/>
                <w:color w:val="auto"/>
              </w:rPr>
            </w:pPr>
            <w:r>
              <w:rPr>
                <w:rFonts w:ascii="Times New Roman" w:cs="Times New Roman" w:eastAsia="Times New Roman" w:hAnsi="Times New Roman"/>
                <w:sz w:val="19"/>
                <w:szCs w:val="19"/>
                <w:color w:val="231F20"/>
              </w:rPr>
              <w:t>Maryland</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18</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5,085,000</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17.7</w:t>
            </w: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0" w:type="dxa"/>
            <w:vAlign w:val="bottom"/>
          </w:tcPr>
          <w:p>
            <w:pPr>
              <w:spacing w:after="0"/>
              <w:rPr>
                <w:sz w:val="1"/>
                <w:szCs w:val="1"/>
                <w:color w:val="auto"/>
              </w:rPr>
            </w:pPr>
          </w:p>
        </w:tc>
      </w:tr>
      <w:tr>
        <w:trPr>
          <w:trHeight w:val="271"/>
        </w:trPr>
        <w:tc>
          <w:tcPr>
            <w:tcW w:w="5520" w:type="dxa"/>
            <w:vAlign w:val="bottom"/>
          </w:tcPr>
          <w:p>
            <w:pPr>
              <w:ind w:left="60"/>
              <w:spacing w:after="0"/>
              <w:rPr>
                <w:sz w:val="20"/>
                <w:szCs w:val="20"/>
                <w:color w:val="auto"/>
              </w:rPr>
            </w:pPr>
            <w:r>
              <w:rPr>
                <w:rFonts w:ascii="Times New Roman" w:cs="Times New Roman" w:eastAsia="Times New Roman" w:hAnsi="Times New Roman"/>
                <w:sz w:val="19"/>
                <w:szCs w:val="19"/>
                <w:color w:val="231F20"/>
              </w:rPr>
              <w:t>Virginia</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20</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4,766,000</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16.5</w:t>
            </w: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0" w:type="dxa"/>
            <w:vAlign w:val="bottom"/>
          </w:tcPr>
          <w:p>
            <w:pPr>
              <w:spacing w:after="0"/>
              <w:rPr>
                <w:sz w:val="1"/>
                <w:szCs w:val="1"/>
                <w:color w:val="auto"/>
              </w:rPr>
            </w:pPr>
          </w:p>
        </w:tc>
      </w:tr>
      <w:tr>
        <w:trPr>
          <w:trHeight w:val="271"/>
        </w:trPr>
        <w:tc>
          <w:tcPr>
            <w:tcW w:w="5520" w:type="dxa"/>
            <w:vAlign w:val="bottom"/>
          </w:tcPr>
          <w:p>
            <w:pPr>
              <w:ind w:left="60"/>
              <w:spacing w:after="0"/>
              <w:rPr>
                <w:sz w:val="20"/>
                <w:szCs w:val="20"/>
                <w:color w:val="auto"/>
              </w:rPr>
            </w:pPr>
            <w:r>
              <w:rPr>
                <w:rFonts w:ascii="Times New Roman" w:cs="Times New Roman" w:eastAsia="Times New Roman" w:hAnsi="Times New Roman"/>
                <w:sz w:val="19"/>
                <w:szCs w:val="19"/>
                <w:color w:val="231F20"/>
              </w:rPr>
              <w:t>Massachusetts</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7</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2,249,000</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7.8</w:t>
            </w: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0" w:type="dxa"/>
            <w:vAlign w:val="bottom"/>
          </w:tcPr>
          <w:p>
            <w:pPr>
              <w:spacing w:after="0"/>
              <w:rPr>
                <w:sz w:val="1"/>
                <w:szCs w:val="1"/>
                <w:color w:val="auto"/>
              </w:rPr>
            </w:pPr>
          </w:p>
        </w:tc>
      </w:tr>
      <w:tr>
        <w:trPr>
          <w:trHeight w:val="271"/>
        </w:trPr>
        <w:tc>
          <w:tcPr>
            <w:tcW w:w="5520" w:type="dxa"/>
            <w:vAlign w:val="bottom"/>
          </w:tcPr>
          <w:p>
            <w:pPr>
              <w:ind w:left="60"/>
              <w:spacing w:after="0"/>
              <w:rPr>
                <w:sz w:val="20"/>
                <w:szCs w:val="20"/>
                <w:color w:val="auto"/>
              </w:rPr>
            </w:pPr>
            <w:r>
              <w:rPr>
                <w:rFonts w:ascii="Times New Roman" w:cs="Times New Roman" w:eastAsia="Times New Roman" w:hAnsi="Times New Roman"/>
                <w:sz w:val="19"/>
                <w:szCs w:val="19"/>
                <w:color w:val="231F20"/>
              </w:rPr>
              <w:t>New Jersey</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7</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1,886,000</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6.5</w:t>
            </w: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0" w:type="dxa"/>
            <w:vAlign w:val="bottom"/>
          </w:tcPr>
          <w:p>
            <w:pPr>
              <w:spacing w:after="0"/>
              <w:rPr>
                <w:sz w:val="1"/>
                <w:szCs w:val="1"/>
                <w:color w:val="auto"/>
              </w:rPr>
            </w:pPr>
          </w:p>
        </w:tc>
      </w:tr>
      <w:tr>
        <w:trPr>
          <w:trHeight w:val="271"/>
        </w:trPr>
        <w:tc>
          <w:tcPr>
            <w:tcW w:w="5520" w:type="dxa"/>
            <w:vAlign w:val="bottom"/>
          </w:tcPr>
          <w:p>
            <w:pPr>
              <w:ind w:left="60"/>
              <w:spacing w:after="0"/>
              <w:rPr>
                <w:sz w:val="20"/>
                <w:szCs w:val="20"/>
                <w:color w:val="auto"/>
              </w:rPr>
            </w:pPr>
            <w:r>
              <w:rPr>
                <w:rFonts w:ascii="Times New Roman" w:cs="Times New Roman" w:eastAsia="Times New Roman" w:hAnsi="Times New Roman"/>
                <w:sz w:val="19"/>
                <w:szCs w:val="19"/>
                <w:color w:val="231F20"/>
              </w:rPr>
              <w:t>Pennsylvania</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9</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1,786,000</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6.2</w:t>
            </w: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0" w:type="dxa"/>
            <w:vAlign w:val="bottom"/>
          </w:tcPr>
          <w:p>
            <w:pPr>
              <w:spacing w:after="0"/>
              <w:rPr>
                <w:sz w:val="1"/>
                <w:szCs w:val="1"/>
                <w:color w:val="auto"/>
              </w:rPr>
            </w:pPr>
          </w:p>
        </w:tc>
      </w:tr>
      <w:tr>
        <w:trPr>
          <w:trHeight w:val="271"/>
        </w:trPr>
        <w:tc>
          <w:tcPr>
            <w:tcW w:w="5520" w:type="dxa"/>
            <w:vAlign w:val="bottom"/>
          </w:tcPr>
          <w:p>
            <w:pPr>
              <w:ind w:left="60"/>
              <w:spacing w:after="0"/>
              <w:rPr>
                <w:sz w:val="20"/>
                <w:szCs w:val="20"/>
                <w:color w:val="auto"/>
              </w:rPr>
            </w:pPr>
            <w:r>
              <w:rPr>
                <w:rFonts w:ascii="Times New Roman" w:cs="Times New Roman" w:eastAsia="Times New Roman" w:hAnsi="Times New Roman"/>
                <w:sz w:val="19"/>
                <w:szCs w:val="19"/>
                <w:color w:val="231F20"/>
              </w:rPr>
              <w:t>New York</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7</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1,494,000</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5.2</w:t>
            </w: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0" w:type="dxa"/>
            <w:vAlign w:val="bottom"/>
          </w:tcPr>
          <w:p>
            <w:pPr>
              <w:spacing w:after="0"/>
              <w:rPr>
                <w:sz w:val="1"/>
                <w:szCs w:val="1"/>
                <w:color w:val="auto"/>
              </w:rPr>
            </w:pPr>
          </w:p>
        </w:tc>
      </w:tr>
      <w:tr>
        <w:trPr>
          <w:trHeight w:val="271"/>
        </w:trPr>
        <w:tc>
          <w:tcPr>
            <w:tcW w:w="5520" w:type="dxa"/>
            <w:vAlign w:val="bottom"/>
          </w:tcPr>
          <w:p>
            <w:pPr>
              <w:ind w:left="60"/>
              <w:spacing w:after="0"/>
              <w:rPr>
                <w:sz w:val="20"/>
                <w:szCs w:val="20"/>
                <w:color w:val="auto"/>
              </w:rPr>
            </w:pPr>
            <w:r>
              <w:rPr>
                <w:rFonts w:ascii="Times New Roman" w:cs="Times New Roman" w:eastAsia="Times New Roman" w:hAnsi="Times New Roman"/>
                <w:sz w:val="19"/>
                <w:szCs w:val="19"/>
                <w:color w:val="231F20"/>
              </w:rPr>
              <w:t>Florida</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4</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1,287,000</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4.5</w:t>
            </w: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0" w:type="dxa"/>
            <w:vAlign w:val="bottom"/>
          </w:tcPr>
          <w:p>
            <w:pPr>
              <w:spacing w:after="0"/>
              <w:rPr>
                <w:sz w:val="1"/>
                <w:szCs w:val="1"/>
                <w:color w:val="auto"/>
              </w:rPr>
            </w:pPr>
          </w:p>
        </w:tc>
      </w:tr>
      <w:tr>
        <w:trPr>
          <w:trHeight w:val="271"/>
        </w:trPr>
        <w:tc>
          <w:tcPr>
            <w:tcW w:w="5520" w:type="dxa"/>
            <w:vAlign w:val="bottom"/>
          </w:tcPr>
          <w:p>
            <w:pPr>
              <w:ind w:left="60"/>
              <w:spacing w:after="0"/>
              <w:rPr>
                <w:sz w:val="20"/>
                <w:szCs w:val="20"/>
                <w:color w:val="auto"/>
              </w:rPr>
            </w:pPr>
            <w:r>
              <w:rPr>
                <w:rFonts w:ascii="Times New Roman" w:cs="Times New Roman" w:eastAsia="Times New Roman" w:hAnsi="Times New Roman"/>
                <w:sz w:val="19"/>
                <w:szCs w:val="19"/>
                <w:color w:val="231F20"/>
              </w:rPr>
              <w:t>Arizona</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2</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908,000</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3.2</w:t>
            </w: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0" w:type="dxa"/>
            <w:vAlign w:val="bottom"/>
          </w:tcPr>
          <w:p>
            <w:pPr>
              <w:spacing w:after="0"/>
              <w:rPr>
                <w:sz w:val="1"/>
                <w:szCs w:val="1"/>
                <w:color w:val="auto"/>
              </w:rPr>
            </w:pPr>
          </w:p>
        </w:tc>
      </w:tr>
      <w:tr>
        <w:trPr>
          <w:trHeight w:val="271"/>
        </w:trPr>
        <w:tc>
          <w:tcPr>
            <w:tcW w:w="5520" w:type="dxa"/>
            <w:vAlign w:val="bottom"/>
          </w:tcPr>
          <w:p>
            <w:pPr>
              <w:ind w:left="60"/>
              <w:spacing w:after="0"/>
              <w:rPr>
                <w:sz w:val="20"/>
                <w:szCs w:val="20"/>
                <w:color w:val="auto"/>
              </w:rPr>
            </w:pPr>
            <w:r>
              <w:rPr>
                <w:rFonts w:ascii="Times New Roman" w:cs="Times New Roman" w:eastAsia="Times New Roman" w:hAnsi="Times New Roman"/>
                <w:sz w:val="19"/>
                <w:szCs w:val="19"/>
                <w:color w:val="231F20"/>
              </w:rPr>
              <w:t>Illinois</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4</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778,000</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2.7</w:t>
            </w: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0" w:type="dxa"/>
            <w:vAlign w:val="bottom"/>
          </w:tcPr>
          <w:p>
            <w:pPr>
              <w:spacing w:after="0"/>
              <w:rPr>
                <w:sz w:val="1"/>
                <w:szCs w:val="1"/>
                <w:color w:val="auto"/>
              </w:rPr>
            </w:pPr>
          </w:p>
        </w:tc>
      </w:tr>
      <w:tr>
        <w:trPr>
          <w:trHeight w:val="271"/>
        </w:trPr>
        <w:tc>
          <w:tcPr>
            <w:tcW w:w="5520" w:type="dxa"/>
            <w:vAlign w:val="bottom"/>
          </w:tcPr>
          <w:p>
            <w:pPr>
              <w:ind w:left="60"/>
              <w:spacing w:after="0"/>
              <w:rPr>
                <w:sz w:val="20"/>
                <w:szCs w:val="20"/>
                <w:color w:val="auto"/>
              </w:rPr>
            </w:pPr>
            <w:r>
              <w:rPr>
                <w:rFonts w:ascii="Times New Roman" w:cs="Times New Roman" w:eastAsia="Times New Roman" w:hAnsi="Times New Roman"/>
                <w:sz w:val="19"/>
                <w:szCs w:val="19"/>
                <w:color w:val="231F20"/>
              </w:rPr>
              <w:t>Kansas</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1</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552,000</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1.9</w:t>
            </w: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0" w:type="dxa"/>
            <w:vAlign w:val="bottom"/>
          </w:tcPr>
          <w:p>
            <w:pPr>
              <w:spacing w:after="0"/>
              <w:rPr>
                <w:sz w:val="1"/>
                <w:szCs w:val="1"/>
                <w:color w:val="auto"/>
              </w:rPr>
            </w:pPr>
          </w:p>
        </w:tc>
      </w:tr>
      <w:tr>
        <w:trPr>
          <w:trHeight w:val="271"/>
        </w:trPr>
        <w:tc>
          <w:tcPr>
            <w:tcW w:w="5520" w:type="dxa"/>
            <w:vAlign w:val="bottom"/>
          </w:tcPr>
          <w:p>
            <w:pPr>
              <w:ind w:left="60"/>
              <w:spacing w:after="0"/>
              <w:rPr>
                <w:sz w:val="20"/>
                <w:szCs w:val="20"/>
                <w:color w:val="auto"/>
              </w:rPr>
            </w:pPr>
            <w:r>
              <w:rPr>
                <w:rFonts w:ascii="Times New Roman" w:cs="Times New Roman" w:eastAsia="Times New Roman" w:hAnsi="Times New Roman"/>
                <w:sz w:val="19"/>
                <w:szCs w:val="19"/>
                <w:color w:val="231F20"/>
              </w:rPr>
              <w:t>Nebraska</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1</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452,000</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1.6</w:t>
            </w: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0" w:type="dxa"/>
            <w:vAlign w:val="bottom"/>
          </w:tcPr>
          <w:p>
            <w:pPr>
              <w:spacing w:after="0"/>
              <w:rPr>
                <w:sz w:val="1"/>
                <w:szCs w:val="1"/>
                <w:color w:val="auto"/>
              </w:rPr>
            </w:pPr>
          </w:p>
        </w:tc>
      </w:tr>
      <w:tr>
        <w:trPr>
          <w:trHeight w:val="271"/>
        </w:trPr>
        <w:tc>
          <w:tcPr>
            <w:tcW w:w="5520" w:type="dxa"/>
            <w:vAlign w:val="bottom"/>
          </w:tcPr>
          <w:p>
            <w:pPr>
              <w:ind w:left="60"/>
              <w:spacing w:after="0"/>
              <w:rPr>
                <w:sz w:val="20"/>
                <w:szCs w:val="20"/>
                <w:color w:val="auto"/>
              </w:rPr>
            </w:pPr>
            <w:r>
              <w:rPr>
                <w:rFonts w:ascii="Times New Roman" w:cs="Times New Roman" w:eastAsia="Times New Roman" w:hAnsi="Times New Roman"/>
                <w:sz w:val="19"/>
                <w:szCs w:val="19"/>
                <w:color w:val="231F20"/>
              </w:rPr>
              <w:t>Michigan</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1</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205,000</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0.7</w:t>
            </w: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0" w:type="dxa"/>
            <w:vAlign w:val="bottom"/>
          </w:tcPr>
          <w:p>
            <w:pPr>
              <w:spacing w:after="0"/>
              <w:rPr>
                <w:sz w:val="1"/>
                <w:szCs w:val="1"/>
                <w:color w:val="auto"/>
              </w:rPr>
            </w:pPr>
          </w:p>
        </w:tc>
      </w:tr>
      <w:tr>
        <w:trPr>
          <w:trHeight w:val="271"/>
        </w:trPr>
        <w:tc>
          <w:tcPr>
            <w:tcW w:w="5520" w:type="dxa"/>
            <w:vAlign w:val="bottom"/>
          </w:tcPr>
          <w:p>
            <w:pPr>
              <w:ind w:left="60"/>
              <w:spacing w:after="0"/>
              <w:rPr>
                <w:sz w:val="20"/>
                <w:szCs w:val="20"/>
                <w:color w:val="auto"/>
              </w:rPr>
            </w:pPr>
            <w:r>
              <w:rPr>
                <w:rFonts w:ascii="Times New Roman" w:cs="Times New Roman" w:eastAsia="Times New Roman" w:hAnsi="Times New Roman"/>
                <w:sz w:val="19"/>
                <w:szCs w:val="19"/>
                <w:color w:val="231F20"/>
              </w:rPr>
              <w:t>Connecticut</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2</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156,000</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0.5</w:t>
            </w: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0" w:type="dxa"/>
            <w:vAlign w:val="bottom"/>
          </w:tcPr>
          <w:p>
            <w:pPr>
              <w:spacing w:after="0"/>
              <w:rPr>
                <w:sz w:val="1"/>
                <w:szCs w:val="1"/>
                <w:color w:val="auto"/>
              </w:rPr>
            </w:pPr>
          </w:p>
        </w:tc>
      </w:tr>
      <w:tr>
        <w:trPr>
          <w:trHeight w:val="272"/>
        </w:trPr>
        <w:tc>
          <w:tcPr>
            <w:tcW w:w="5520" w:type="dxa"/>
            <w:vAlign w:val="bottom"/>
          </w:tcPr>
          <w:p>
            <w:pPr>
              <w:ind w:left="60"/>
              <w:spacing w:after="0"/>
              <w:rPr>
                <w:sz w:val="20"/>
                <w:szCs w:val="20"/>
                <w:color w:val="auto"/>
              </w:rPr>
            </w:pPr>
            <w:r>
              <w:rPr>
                <w:rFonts w:ascii="Times New Roman" w:cs="Times New Roman" w:eastAsia="Times New Roman" w:hAnsi="Times New Roman"/>
                <w:sz w:val="19"/>
                <w:szCs w:val="19"/>
                <w:color w:val="231F20"/>
              </w:rPr>
              <w:t>District of Columbia</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1</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25,000</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0.1</w:t>
            </w: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0" w:type="dxa"/>
            <w:vAlign w:val="bottom"/>
          </w:tcPr>
          <w:p>
            <w:pPr>
              <w:spacing w:after="0"/>
              <w:rPr>
                <w:sz w:val="1"/>
                <w:szCs w:val="1"/>
                <w:color w:val="auto"/>
              </w:rPr>
            </w:pPr>
          </w:p>
        </w:tc>
      </w:tr>
      <w:tr>
        <w:trPr>
          <w:trHeight w:val="204"/>
        </w:trPr>
        <w:tc>
          <w:tcPr>
            <w:tcW w:w="5520" w:type="dxa"/>
            <w:vAlign w:val="bottom"/>
          </w:tcPr>
          <w:p>
            <w:pPr>
              <w:ind w:left="60"/>
              <w:spacing w:after="0" w:line="204" w:lineRule="exact"/>
              <w:rPr>
                <w:sz w:val="20"/>
                <w:szCs w:val="20"/>
                <w:color w:val="auto"/>
              </w:rPr>
            </w:pPr>
            <w:r>
              <w:rPr>
                <w:rFonts w:ascii="Times New Roman" w:cs="Times New Roman" w:eastAsia="Times New Roman" w:hAnsi="Times New Roman"/>
                <w:sz w:val="19"/>
                <w:szCs w:val="19"/>
                <w:b w:val="1"/>
                <w:bCs w:val="1"/>
                <w:color w:val="231F20"/>
              </w:rPr>
              <w:t>Total</w:t>
            </w:r>
          </w:p>
        </w:tc>
        <w:tc>
          <w:tcPr>
            <w:tcW w:w="80" w:type="dxa"/>
            <w:vAlign w:val="bottom"/>
          </w:tcPr>
          <w:p>
            <w:pPr>
              <w:spacing w:after="0"/>
              <w:rPr>
                <w:sz w:val="17"/>
                <w:szCs w:val="17"/>
                <w:color w:val="auto"/>
              </w:rPr>
            </w:pPr>
          </w:p>
        </w:tc>
        <w:tc>
          <w:tcPr>
            <w:tcW w:w="1320" w:type="dxa"/>
            <w:vAlign w:val="bottom"/>
            <w:tcBorders>
              <w:top w:val="single" w:sz="8" w:color="231F20"/>
              <w:bottom w:val="single" w:sz="8" w:color="231F20"/>
            </w:tcBorders>
          </w:tcPr>
          <w:p>
            <w:pPr>
              <w:jc w:val="right"/>
              <w:spacing w:after="0" w:line="204" w:lineRule="exact"/>
              <w:rPr>
                <w:sz w:val="20"/>
                <w:szCs w:val="20"/>
                <w:color w:val="auto"/>
              </w:rPr>
            </w:pPr>
            <w:r>
              <w:rPr>
                <w:rFonts w:ascii="Times New Roman" w:cs="Times New Roman" w:eastAsia="Times New Roman" w:hAnsi="Times New Roman"/>
                <w:sz w:val="19"/>
                <w:szCs w:val="19"/>
                <w:b w:val="1"/>
                <w:bCs w:val="1"/>
                <w:color w:val="231F20"/>
              </w:rPr>
              <w:t>104</w:t>
            </w:r>
          </w:p>
        </w:tc>
        <w:tc>
          <w:tcPr>
            <w:tcW w:w="80" w:type="dxa"/>
            <w:vAlign w:val="bottom"/>
          </w:tcPr>
          <w:p>
            <w:pPr>
              <w:spacing w:after="0"/>
              <w:rPr>
                <w:sz w:val="17"/>
                <w:szCs w:val="17"/>
                <w:color w:val="auto"/>
              </w:rPr>
            </w:pPr>
          </w:p>
        </w:tc>
        <w:tc>
          <w:tcPr>
            <w:tcW w:w="1320" w:type="dxa"/>
            <w:vAlign w:val="bottom"/>
            <w:tcBorders>
              <w:top w:val="single" w:sz="8" w:color="231F20"/>
              <w:bottom w:val="single" w:sz="8" w:color="231F20"/>
            </w:tcBorders>
          </w:tcPr>
          <w:p>
            <w:pPr>
              <w:jc w:val="right"/>
              <w:spacing w:after="0" w:line="204" w:lineRule="exact"/>
              <w:rPr>
                <w:sz w:val="20"/>
                <w:szCs w:val="20"/>
                <w:color w:val="auto"/>
              </w:rPr>
            </w:pPr>
            <w:r>
              <w:rPr>
                <w:rFonts w:ascii="Times New Roman" w:cs="Times New Roman" w:eastAsia="Times New Roman" w:hAnsi="Times New Roman"/>
                <w:sz w:val="19"/>
                <w:szCs w:val="19"/>
                <w:b w:val="1"/>
                <w:bCs w:val="1"/>
                <w:color w:val="231F20"/>
              </w:rPr>
              <w:t>28,798,000</w:t>
            </w:r>
          </w:p>
        </w:tc>
        <w:tc>
          <w:tcPr>
            <w:tcW w:w="60" w:type="dxa"/>
            <w:vAlign w:val="bottom"/>
          </w:tcPr>
          <w:p>
            <w:pPr>
              <w:spacing w:after="0"/>
              <w:rPr>
                <w:sz w:val="17"/>
                <w:szCs w:val="17"/>
                <w:color w:val="auto"/>
              </w:rPr>
            </w:pPr>
          </w:p>
        </w:tc>
        <w:tc>
          <w:tcPr>
            <w:tcW w:w="1340" w:type="dxa"/>
            <w:vAlign w:val="bottom"/>
            <w:tcBorders>
              <w:top w:val="single" w:sz="8" w:color="231F20"/>
              <w:bottom w:val="single" w:sz="8" w:color="231F20"/>
            </w:tcBorders>
            <w:gridSpan w:val="2"/>
          </w:tcPr>
          <w:p>
            <w:pPr>
              <w:jc w:val="right"/>
              <w:spacing w:after="0" w:line="204" w:lineRule="exact"/>
              <w:rPr>
                <w:sz w:val="20"/>
                <w:szCs w:val="20"/>
                <w:color w:val="auto"/>
              </w:rPr>
            </w:pPr>
            <w:r>
              <w:rPr>
                <w:rFonts w:ascii="Times New Roman" w:cs="Times New Roman" w:eastAsia="Times New Roman" w:hAnsi="Times New Roman"/>
                <w:sz w:val="19"/>
                <w:szCs w:val="19"/>
                <w:b w:val="1"/>
                <w:bCs w:val="1"/>
                <w:color w:val="231F20"/>
              </w:rPr>
              <w:t>100.0 %</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Borders>
              <w:bottom w:val="single" w:sz="8" w:color="231F20"/>
            </w:tcBorders>
          </w:tcPr>
          <w:p>
            <w:pPr>
              <w:spacing w:after="0" w:line="20" w:lineRule="exact"/>
              <w:rPr>
                <w:sz w:val="1"/>
                <w:szCs w:val="1"/>
                <w:color w:val="auto"/>
              </w:rPr>
            </w:pPr>
          </w:p>
        </w:tc>
        <w:tc>
          <w:tcPr>
            <w:tcW w:w="22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Leases, Lease Terms and Lease Expirations</w:t>
      </w:r>
    </w:p>
    <w:p>
      <w:pPr>
        <w:spacing w:after="0" w:line="110"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9"/>
          <w:szCs w:val="19"/>
          <w:color w:val="231F20"/>
        </w:rPr>
        <w:t>Our leases are classified as operating leases and typically are structured to require the monthly payment of minimum rents in advance, subject to periodic increases during the term of the lease, percentage rents based on the level of sales achieved by tenants, and reimbursement of a majority of on-site operating expenses and real estate taxes. These features in our leases generally reduce our exposure to higher costs and allow us to participate in improved tenant sales.</w:t>
      </w:r>
    </w:p>
    <w:p>
      <w:pPr>
        <w:spacing w:after="0" w:line="57"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9"/>
          <w:szCs w:val="19"/>
          <w:color w:val="231F20"/>
        </w:rPr>
        <w:t>Commercial property leases generally range from three to ten years; however, certain leases, primarily with anchor tenants, may be longer. Many of our leases contain tenant options that enable the tenant to extend the term of the lease at expiration at pre-established rental rates that often include fixed rent increases, consumer price index adjustments or other market rate adjustments from the prior base rent. Leases on residential units are generally for a period of one year or less and, in 2025, represented approximately 8.7% of total rental income.</w:t>
      </w:r>
    </w:p>
    <w:p>
      <w:pPr>
        <w:sectPr>
          <w:pgSz w:w="11880" w:h="15480" w:orient="portrait"/>
          <w:cols w:equalWidth="0" w:num="1">
            <w:col w:w="9760"/>
          </w:cols>
          <w:pgMar w:left="1060" w:top="963"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20</w:t>
      </w:r>
    </w:p>
    <w:p>
      <w:pPr>
        <w:sectPr>
          <w:pgSz w:w="11880" w:h="15480" w:orient="portrait"/>
          <w:cols w:equalWidth="0" w:num="1">
            <w:col w:w="9760"/>
          </w:cols>
          <w:pgMar w:left="1060" w:top="963" w:right="1060" w:bottom="0" w:gutter="0" w:footer="0" w:header="0"/>
          <w:type w:val="continuous"/>
        </w:sectPr>
      </w:pPr>
    </w:p>
    <w:bookmarkStart w:id="28" w:name="page29"/>
    <w:bookmarkEnd w:id="28"/>
    <w:p>
      <w:pPr>
        <w:ind w:right="180"/>
        <w:spacing w:after="0" w:line="267" w:lineRule="auto"/>
        <w:rPr>
          <w:sz w:val="20"/>
          <w:szCs w:val="20"/>
          <w:color w:val="auto"/>
        </w:rPr>
      </w:pPr>
      <w:r>
        <w:rPr>
          <w:rFonts w:ascii="Times New Roman" w:cs="Times New Roman" w:eastAsia="Times New Roman" w:hAnsi="Times New Roman"/>
          <w:sz w:val="19"/>
          <w:szCs w:val="19"/>
          <w:color w:val="231F20"/>
        </w:rPr>
        <w:t>The following table sets forth the schedule of lease expirations for our commercial leases in place as of December 31, 2025 for each of the 10 years beginning with 2026 and after 2035 in the aggregate assuming that none of the tenants exercise future renewal options. Annualized base rents reflect in-place contractual rents as of December 31, 2025.</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231F20"/>
              </w:rPr>
              <w:t>Leased</w:t>
            </w:r>
          </w:p>
        </w:tc>
        <w:tc>
          <w:tcPr>
            <w:tcW w:w="80" w:type="dxa"/>
            <w:vAlign w:val="bottom"/>
          </w:tcPr>
          <w:p>
            <w:pPr>
              <w:spacing w:after="0"/>
              <w:rPr>
                <w:sz w:val="15"/>
                <w:szCs w:val="15"/>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231F20"/>
              </w:rPr>
              <w:t>Percentage of</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vMerge w:val="restart"/>
          </w:tcPr>
          <w:p>
            <w:pPr>
              <w:jc w:val="center"/>
              <w:ind w:right="49"/>
              <w:spacing w:after="0"/>
              <w:rPr>
                <w:sz w:val="20"/>
                <w:szCs w:val="20"/>
                <w:color w:val="auto"/>
              </w:rPr>
            </w:pPr>
            <w:r>
              <w:rPr>
                <w:rFonts w:ascii="Times New Roman" w:cs="Times New Roman" w:eastAsia="Times New Roman" w:hAnsi="Times New Roman"/>
                <w:sz w:val="15"/>
                <w:szCs w:val="15"/>
                <w:b w:val="1"/>
                <w:bCs w:val="1"/>
                <w:color w:val="231F20"/>
              </w:rPr>
              <w:t>Annualized</w:t>
            </w:r>
          </w:p>
        </w:tc>
        <w:tc>
          <w:tcPr>
            <w:tcW w:w="8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231F20"/>
              </w:rPr>
              <w:t>Percentage of</w:t>
            </w:r>
          </w:p>
        </w:tc>
        <w:tc>
          <w:tcPr>
            <w:tcW w:w="0" w:type="dxa"/>
            <w:vAlign w:val="bottom"/>
          </w:tcPr>
          <w:p>
            <w:pPr>
              <w:spacing w:after="0"/>
              <w:rPr>
                <w:sz w:val="1"/>
                <w:szCs w:val="1"/>
                <w:color w:val="auto"/>
              </w:rPr>
            </w:pPr>
          </w:p>
        </w:tc>
      </w:tr>
      <w:tr>
        <w:trPr>
          <w:trHeight w:val="152"/>
        </w:trPr>
        <w:tc>
          <w:tcPr>
            <w:tcW w:w="4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jc w:val="center"/>
              <w:spacing w:after="0" w:line="152" w:lineRule="exact"/>
              <w:rPr>
                <w:sz w:val="20"/>
                <w:szCs w:val="20"/>
                <w:color w:val="auto"/>
              </w:rPr>
            </w:pPr>
            <w:r>
              <w:rPr>
                <w:rFonts w:ascii="Times New Roman" w:cs="Times New Roman" w:eastAsia="Times New Roman" w:hAnsi="Times New Roman"/>
                <w:sz w:val="15"/>
                <w:szCs w:val="15"/>
                <w:b w:val="1"/>
                <w:bCs w:val="1"/>
                <w:color w:val="231F20"/>
              </w:rPr>
              <w:t>Annualized</w:t>
            </w:r>
          </w:p>
        </w:tc>
        <w:tc>
          <w:tcPr>
            <w:tcW w:w="0" w:type="dxa"/>
            <w:vAlign w:val="bottom"/>
          </w:tcPr>
          <w:p>
            <w:pPr>
              <w:spacing w:after="0"/>
              <w:rPr>
                <w:sz w:val="1"/>
                <w:szCs w:val="1"/>
                <w:color w:val="auto"/>
              </w:rPr>
            </w:pPr>
          </w:p>
        </w:tc>
      </w:tr>
      <w:tr>
        <w:trPr>
          <w:trHeight w:val="152"/>
        </w:trPr>
        <w:tc>
          <w:tcPr>
            <w:tcW w:w="4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jc w:val="center"/>
              <w:spacing w:after="0" w:line="152" w:lineRule="exact"/>
              <w:rPr>
                <w:sz w:val="20"/>
                <w:szCs w:val="20"/>
                <w:color w:val="auto"/>
              </w:rPr>
            </w:pPr>
            <w:r>
              <w:rPr>
                <w:rFonts w:ascii="Times New Roman" w:cs="Times New Roman" w:eastAsia="Times New Roman" w:hAnsi="Times New Roman"/>
                <w:sz w:val="15"/>
                <w:szCs w:val="15"/>
                <w:b w:val="1"/>
                <w:bCs w:val="1"/>
                <w:color w:val="231F20"/>
              </w:rPr>
              <w:t>Square</w:t>
            </w:r>
          </w:p>
        </w:tc>
        <w:tc>
          <w:tcPr>
            <w:tcW w:w="80" w:type="dxa"/>
            <w:vAlign w:val="bottom"/>
          </w:tcPr>
          <w:p>
            <w:pPr>
              <w:spacing w:after="0"/>
              <w:rPr>
                <w:sz w:val="13"/>
                <w:szCs w:val="13"/>
                <w:color w:val="auto"/>
              </w:rPr>
            </w:pPr>
          </w:p>
        </w:tc>
        <w:tc>
          <w:tcPr>
            <w:tcW w:w="1320" w:type="dxa"/>
            <w:vAlign w:val="bottom"/>
          </w:tcPr>
          <w:p>
            <w:pPr>
              <w:jc w:val="center"/>
              <w:spacing w:after="0" w:line="152" w:lineRule="exact"/>
              <w:rPr>
                <w:sz w:val="20"/>
                <w:szCs w:val="20"/>
                <w:color w:val="auto"/>
              </w:rPr>
            </w:pPr>
            <w:r>
              <w:rPr>
                <w:rFonts w:ascii="Times New Roman" w:cs="Times New Roman" w:eastAsia="Times New Roman" w:hAnsi="Times New Roman"/>
                <w:sz w:val="15"/>
                <w:szCs w:val="15"/>
                <w:b w:val="1"/>
                <w:bCs w:val="1"/>
                <w:color w:val="231F20"/>
              </w:rPr>
              <w:t>Leased Square</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jc w:val="center"/>
              <w:ind w:right="49"/>
              <w:spacing w:after="0" w:line="152" w:lineRule="exact"/>
              <w:rPr>
                <w:sz w:val="20"/>
                <w:szCs w:val="20"/>
                <w:color w:val="auto"/>
              </w:rPr>
            </w:pPr>
            <w:r>
              <w:rPr>
                <w:rFonts w:ascii="Times New Roman" w:cs="Times New Roman" w:eastAsia="Times New Roman" w:hAnsi="Times New Roman"/>
                <w:sz w:val="15"/>
                <w:szCs w:val="15"/>
                <w:b w:val="1"/>
                <w:bCs w:val="1"/>
                <w:color w:val="231F20"/>
                <w:w w:val="99"/>
              </w:rPr>
              <w:t>Base Rent</w:t>
            </w:r>
          </w:p>
        </w:tc>
        <w:tc>
          <w:tcPr>
            <w:tcW w:w="80" w:type="dxa"/>
            <w:vAlign w:val="bottom"/>
          </w:tcPr>
          <w:p>
            <w:pPr>
              <w:spacing w:after="0"/>
              <w:rPr>
                <w:sz w:val="13"/>
                <w:szCs w:val="13"/>
                <w:color w:val="auto"/>
              </w:rPr>
            </w:pPr>
          </w:p>
        </w:tc>
        <w:tc>
          <w:tcPr>
            <w:tcW w:w="1320" w:type="dxa"/>
            <w:vAlign w:val="bottom"/>
          </w:tcPr>
          <w:p>
            <w:pPr>
              <w:jc w:val="center"/>
              <w:spacing w:after="0" w:line="152" w:lineRule="exact"/>
              <w:rPr>
                <w:sz w:val="20"/>
                <w:szCs w:val="20"/>
                <w:color w:val="auto"/>
              </w:rPr>
            </w:pPr>
            <w:r>
              <w:rPr>
                <w:rFonts w:ascii="Times New Roman" w:cs="Times New Roman" w:eastAsia="Times New Roman" w:hAnsi="Times New Roman"/>
                <w:sz w:val="15"/>
                <w:szCs w:val="15"/>
                <w:b w:val="1"/>
                <w:bCs w:val="1"/>
                <w:color w:val="231F20"/>
                <w:w w:val="99"/>
              </w:rPr>
              <w:t>Base Rent</w:t>
            </w:r>
          </w:p>
        </w:tc>
        <w:tc>
          <w:tcPr>
            <w:tcW w:w="0" w:type="dxa"/>
            <w:vAlign w:val="bottom"/>
          </w:tcPr>
          <w:p>
            <w:pPr>
              <w:spacing w:after="0"/>
              <w:rPr>
                <w:sz w:val="1"/>
                <w:szCs w:val="1"/>
                <w:color w:val="auto"/>
              </w:rPr>
            </w:pPr>
          </w:p>
        </w:tc>
      </w:tr>
      <w:tr>
        <w:trPr>
          <w:trHeight w:val="152"/>
        </w:trPr>
        <w:tc>
          <w:tcPr>
            <w:tcW w:w="4100" w:type="dxa"/>
            <w:vAlign w:val="bottom"/>
            <w:vMerge w:val="restart"/>
          </w:tcPr>
          <w:p>
            <w:pPr>
              <w:ind w:left="60"/>
              <w:spacing w:after="0"/>
              <w:rPr>
                <w:sz w:val="20"/>
                <w:szCs w:val="20"/>
                <w:color w:val="auto"/>
              </w:rPr>
            </w:pPr>
            <w:r>
              <w:rPr>
                <w:rFonts w:ascii="Times New Roman" w:cs="Times New Roman" w:eastAsia="Times New Roman" w:hAnsi="Times New Roman"/>
                <w:sz w:val="15"/>
                <w:szCs w:val="15"/>
                <w:b w:val="1"/>
                <w:bCs w:val="1"/>
                <w:color w:val="231F20"/>
              </w:rPr>
              <w:t>Year of Lease Expiration</w:t>
            </w:r>
          </w:p>
        </w:tc>
        <w:tc>
          <w:tcPr>
            <w:tcW w:w="80" w:type="dxa"/>
            <w:vAlign w:val="bottom"/>
          </w:tcPr>
          <w:p>
            <w:pPr>
              <w:spacing w:after="0"/>
              <w:rPr>
                <w:sz w:val="13"/>
                <w:szCs w:val="13"/>
                <w:color w:val="auto"/>
              </w:rPr>
            </w:pPr>
          </w:p>
        </w:tc>
        <w:tc>
          <w:tcPr>
            <w:tcW w:w="1320" w:type="dxa"/>
            <w:vAlign w:val="bottom"/>
          </w:tcPr>
          <w:p>
            <w:pPr>
              <w:jc w:val="center"/>
              <w:spacing w:after="0" w:line="152" w:lineRule="exact"/>
              <w:rPr>
                <w:sz w:val="20"/>
                <w:szCs w:val="20"/>
                <w:color w:val="auto"/>
              </w:rPr>
            </w:pPr>
            <w:r>
              <w:rPr>
                <w:rFonts w:ascii="Times New Roman" w:cs="Times New Roman" w:eastAsia="Times New Roman" w:hAnsi="Times New Roman"/>
                <w:sz w:val="15"/>
                <w:szCs w:val="15"/>
                <w:b w:val="1"/>
                <w:bCs w:val="1"/>
                <w:color w:val="231F20"/>
              </w:rPr>
              <w:t>Footage</w:t>
            </w:r>
          </w:p>
        </w:tc>
        <w:tc>
          <w:tcPr>
            <w:tcW w:w="80" w:type="dxa"/>
            <w:vAlign w:val="bottom"/>
          </w:tcPr>
          <w:p>
            <w:pPr>
              <w:spacing w:after="0"/>
              <w:rPr>
                <w:sz w:val="13"/>
                <w:szCs w:val="13"/>
                <w:color w:val="auto"/>
              </w:rPr>
            </w:pPr>
          </w:p>
        </w:tc>
        <w:tc>
          <w:tcPr>
            <w:tcW w:w="1320" w:type="dxa"/>
            <w:vAlign w:val="bottom"/>
          </w:tcPr>
          <w:p>
            <w:pPr>
              <w:jc w:val="center"/>
              <w:spacing w:after="0" w:line="152" w:lineRule="exact"/>
              <w:rPr>
                <w:sz w:val="20"/>
                <w:szCs w:val="20"/>
                <w:color w:val="auto"/>
              </w:rPr>
            </w:pPr>
            <w:r>
              <w:rPr>
                <w:rFonts w:ascii="Times New Roman" w:cs="Times New Roman" w:eastAsia="Times New Roman" w:hAnsi="Times New Roman"/>
                <w:sz w:val="15"/>
                <w:szCs w:val="15"/>
                <w:b w:val="1"/>
                <w:bCs w:val="1"/>
                <w:color w:val="231F20"/>
              </w:rPr>
              <w:t>Footage</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jc w:val="center"/>
              <w:ind w:right="49"/>
              <w:spacing w:after="0" w:line="152" w:lineRule="exact"/>
              <w:rPr>
                <w:sz w:val="20"/>
                <w:szCs w:val="20"/>
                <w:color w:val="auto"/>
              </w:rPr>
            </w:pPr>
            <w:r>
              <w:rPr>
                <w:rFonts w:ascii="Times New Roman" w:cs="Times New Roman" w:eastAsia="Times New Roman" w:hAnsi="Times New Roman"/>
                <w:sz w:val="15"/>
                <w:szCs w:val="15"/>
                <w:b w:val="1"/>
                <w:bCs w:val="1"/>
                <w:color w:val="231F20"/>
              </w:rPr>
              <w:t>Represented by</w:t>
            </w:r>
          </w:p>
        </w:tc>
        <w:tc>
          <w:tcPr>
            <w:tcW w:w="80" w:type="dxa"/>
            <w:vAlign w:val="bottom"/>
          </w:tcPr>
          <w:p>
            <w:pPr>
              <w:spacing w:after="0"/>
              <w:rPr>
                <w:sz w:val="13"/>
                <w:szCs w:val="13"/>
                <w:color w:val="auto"/>
              </w:rPr>
            </w:pPr>
          </w:p>
        </w:tc>
        <w:tc>
          <w:tcPr>
            <w:tcW w:w="1320" w:type="dxa"/>
            <w:vAlign w:val="bottom"/>
          </w:tcPr>
          <w:p>
            <w:pPr>
              <w:jc w:val="center"/>
              <w:spacing w:after="0" w:line="152" w:lineRule="exact"/>
              <w:rPr>
                <w:sz w:val="20"/>
                <w:szCs w:val="20"/>
                <w:color w:val="auto"/>
              </w:rPr>
            </w:pPr>
            <w:r>
              <w:rPr>
                <w:rFonts w:ascii="Times New Roman" w:cs="Times New Roman" w:eastAsia="Times New Roman" w:hAnsi="Times New Roman"/>
                <w:sz w:val="15"/>
                <w:szCs w:val="15"/>
                <w:b w:val="1"/>
                <w:bCs w:val="1"/>
                <w:color w:val="231F20"/>
              </w:rPr>
              <w:t>Represented by</w:t>
            </w:r>
          </w:p>
        </w:tc>
        <w:tc>
          <w:tcPr>
            <w:tcW w:w="0" w:type="dxa"/>
            <w:vAlign w:val="bottom"/>
          </w:tcPr>
          <w:p>
            <w:pPr>
              <w:spacing w:after="0"/>
              <w:rPr>
                <w:sz w:val="1"/>
                <w:szCs w:val="1"/>
                <w:color w:val="auto"/>
              </w:rPr>
            </w:pPr>
          </w:p>
        </w:tc>
      </w:tr>
      <w:tr>
        <w:trPr>
          <w:trHeight w:val="203"/>
        </w:trPr>
        <w:tc>
          <w:tcPr>
            <w:tcW w:w="4100" w:type="dxa"/>
            <w:vAlign w:val="bottom"/>
            <w:tcBorders>
              <w:bottom w:val="single" w:sz="8" w:color="231F20"/>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5"/>
                <w:szCs w:val="15"/>
                <w:b w:val="1"/>
                <w:bCs w:val="1"/>
                <w:color w:val="231F20"/>
              </w:rPr>
              <w:t>Expiring</w:t>
            </w:r>
          </w:p>
        </w:tc>
        <w:tc>
          <w:tcPr>
            <w:tcW w:w="80" w:type="dxa"/>
            <w:vAlign w:val="bottom"/>
          </w:tcPr>
          <w:p>
            <w:pPr>
              <w:spacing w:after="0"/>
              <w:rPr>
                <w:sz w:val="17"/>
                <w:szCs w:val="17"/>
                <w:color w:val="auto"/>
              </w:rPr>
            </w:pPr>
          </w:p>
        </w:tc>
        <w:tc>
          <w:tcPr>
            <w:tcW w:w="132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5"/>
                <w:szCs w:val="15"/>
                <w:b w:val="1"/>
                <w:bCs w:val="1"/>
                <w:color w:val="231F20"/>
                <w:w w:val="98"/>
              </w:rPr>
              <w:t>Expiring</w:t>
            </w:r>
          </w:p>
        </w:tc>
        <w:tc>
          <w:tcPr>
            <w:tcW w:w="80" w:type="dxa"/>
            <w:vAlign w:val="bottom"/>
          </w:tcPr>
          <w:p>
            <w:pPr>
              <w:spacing w:after="0"/>
              <w:rPr>
                <w:sz w:val="17"/>
                <w:szCs w:val="17"/>
                <w:color w:val="auto"/>
              </w:rPr>
            </w:pPr>
          </w:p>
        </w:tc>
        <w:tc>
          <w:tcPr>
            <w:tcW w:w="1320" w:type="dxa"/>
            <w:vAlign w:val="bottom"/>
            <w:tcBorders>
              <w:bottom w:val="single" w:sz="8" w:color="231F20"/>
            </w:tcBorders>
            <w:gridSpan w:val="2"/>
          </w:tcPr>
          <w:p>
            <w:pPr>
              <w:jc w:val="center"/>
              <w:spacing w:after="0"/>
              <w:rPr>
                <w:sz w:val="20"/>
                <w:szCs w:val="20"/>
                <w:color w:val="auto"/>
              </w:rPr>
            </w:pPr>
            <w:r>
              <w:rPr>
                <w:rFonts w:ascii="Times New Roman" w:cs="Times New Roman" w:eastAsia="Times New Roman" w:hAnsi="Times New Roman"/>
                <w:sz w:val="15"/>
                <w:szCs w:val="15"/>
                <w:b w:val="1"/>
                <w:bCs w:val="1"/>
                <w:color w:val="231F20"/>
              </w:rPr>
              <w:t>Expiring Leases</w:t>
            </w:r>
          </w:p>
        </w:tc>
        <w:tc>
          <w:tcPr>
            <w:tcW w:w="80" w:type="dxa"/>
            <w:vAlign w:val="bottom"/>
          </w:tcPr>
          <w:p>
            <w:pPr>
              <w:spacing w:after="0"/>
              <w:rPr>
                <w:sz w:val="17"/>
                <w:szCs w:val="17"/>
                <w:color w:val="auto"/>
              </w:rPr>
            </w:pPr>
          </w:p>
        </w:tc>
        <w:tc>
          <w:tcPr>
            <w:tcW w:w="132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5"/>
                <w:szCs w:val="15"/>
                <w:b w:val="1"/>
                <w:bCs w:val="1"/>
                <w:color w:val="231F20"/>
              </w:rPr>
              <w:t>Expiring Leases</w:t>
            </w:r>
          </w:p>
        </w:tc>
        <w:tc>
          <w:tcPr>
            <w:tcW w:w="0" w:type="dxa"/>
            <w:vAlign w:val="bottom"/>
          </w:tcPr>
          <w:p>
            <w:pPr>
              <w:spacing w:after="0"/>
              <w:rPr>
                <w:sz w:val="1"/>
                <w:szCs w:val="1"/>
                <w:color w:val="auto"/>
              </w:rPr>
            </w:pPr>
          </w:p>
        </w:tc>
      </w:tr>
      <w:tr>
        <w:trPr>
          <w:trHeight w:val="250"/>
        </w:trPr>
        <w:tc>
          <w:tcPr>
            <w:tcW w:w="4100" w:type="dxa"/>
            <w:vAlign w:val="bottom"/>
          </w:tcPr>
          <w:p>
            <w:pPr>
              <w:ind w:left="60"/>
              <w:spacing w:after="0"/>
              <w:rPr>
                <w:sz w:val="20"/>
                <w:szCs w:val="20"/>
                <w:color w:val="auto"/>
              </w:rPr>
            </w:pPr>
            <w:r>
              <w:rPr>
                <w:rFonts w:ascii="Times New Roman" w:cs="Times New Roman" w:eastAsia="Times New Roman" w:hAnsi="Times New Roman"/>
                <w:sz w:val="19"/>
                <w:szCs w:val="19"/>
                <w:color w:val="231F20"/>
              </w:rPr>
              <w:t>2026</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1,859,000</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7 %</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51,872,000</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6 %</w:t>
            </w:r>
          </w:p>
        </w:tc>
        <w:tc>
          <w:tcPr>
            <w:tcW w:w="0" w:type="dxa"/>
            <w:vAlign w:val="bottom"/>
          </w:tcPr>
          <w:p>
            <w:pPr>
              <w:spacing w:after="0"/>
              <w:rPr>
                <w:sz w:val="1"/>
                <w:szCs w:val="1"/>
                <w:color w:val="auto"/>
              </w:rPr>
            </w:pPr>
          </w:p>
        </w:tc>
      </w:tr>
      <w:tr>
        <w:trPr>
          <w:trHeight w:val="271"/>
        </w:trPr>
        <w:tc>
          <w:tcPr>
            <w:tcW w:w="4100" w:type="dxa"/>
            <w:vAlign w:val="bottom"/>
          </w:tcPr>
          <w:p>
            <w:pPr>
              <w:ind w:left="60"/>
              <w:spacing w:after="0"/>
              <w:rPr>
                <w:sz w:val="20"/>
                <w:szCs w:val="20"/>
                <w:color w:val="auto"/>
              </w:rPr>
            </w:pPr>
            <w:r>
              <w:rPr>
                <w:rFonts w:ascii="Times New Roman" w:cs="Times New Roman" w:eastAsia="Times New Roman" w:hAnsi="Times New Roman"/>
                <w:sz w:val="19"/>
                <w:szCs w:val="19"/>
                <w:color w:val="231F20"/>
              </w:rPr>
              <w:t>2027</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3,016,000</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11 %</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101,069,000</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11 %</w:t>
            </w:r>
          </w:p>
        </w:tc>
        <w:tc>
          <w:tcPr>
            <w:tcW w:w="0" w:type="dxa"/>
            <w:vAlign w:val="bottom"/>
          </w:tcPr>
          <w:p>
            <w:pPr>
              <w:spacing w:after="0"/>
              <w:rPr>
                <w:sz w:val="1"/>
                <w:szCs w:val="1"/>
                <w:color w:val="auto"/>
              </w:rPr>
            </w:pPr>
          </w:p>
        </w:tc>
      </w:tr>
      <w:tr>
        <w:trPr>
          <w:trHeight w:val="271"/>
        </w:trPr>
        <w:tc>
          <w:tcPr>
            <w:tcW w:w="4100" w:type="dxa"/>
            <w:vAlign w:val="bottom"/>
          </w:tcPr>
          <w:p>
            <w:pPr>
              <w:ind w:left="60"/>
              <w:spacing w:after="0"/>
              <w:rPr>
                <w:sz w:val="20"/>
                <w:szCs w:val="20"/>
                <w:color w:val="auto"/>
              </w:rPr>
            </w:pPr>
            <w:r>
              <w:rPr>
                <w:rFonts w:ascii="Times New Roman" w:cs="Times New Roman" w:eastAsia="Times New Roman" w:hAnsi="Times New Roman"/>
                <w:sz w:val="19"/>
                <w:szCs w:val="19"/>
                <w:color w:val="231F20"/>
              </w:rPr>
              <w:t>2028</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3,300,000</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12 %</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99,794,000</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11 %</w:t>
            </w:r>
          </w:p>
        </w:tc>
        <w:tc>
          <w:tcPr>
            <w:tcW w:w="0" w:type="dxa"/>
            <w:vAlign w:val="bottom"/>
          </w:tcPr>
          <w:p>
            <w:pPr>
              <w:spacing w:after="0"/>
              <w:rPr>
                <w:sz w:val="1"/>
                <w:szCs w:val="1"/>
                <w:color w:val="auto"/>
              </w:rPr>
            </w:pPr>
          </w:p>
        </w:tc>
      </w:tr>
      <w:tr>
        <w:trPr>
          <w:trHeight w:val="271"/>
        </w:trPr>
        <w:tc>
          <w:tcPr>
            <w:tcW w:w="4100" w:type="dxa"/>
            <w:vAlign w:val="bottom"/>
          </w:tcPr>
          <w:p>
            <w:pPr>
              <w:ind w:left="60"/>
              <w:spacing w:after="0"/>
              <w:rPr>
                <w:sz w:val="20"/>
                <w:szCs w:val="20"/>
                <w:color w:val="auto"/>
              </w:rPr>
            </w:pPr>
            <w:r>
              <w:rPr>
                <w:rFonts w:ascii="Times New Roman" w:cs="Times New Roman" w:eastAsia="Times New Roman" w:hAnsi="Times New Roman"/>
                <w:sz w:val="19"/>
                <w:szCs w:val="19"/>
                <w:color w:val="231F20"/>
              </w:rPr>
              <w:t>2029</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3,726,000</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14 %</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127,878,000</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14 %</w:t>
            </w:r>
          </w:p>
        </w:tc>
        <w:tc>
          <w:tcPr>
            <w:tcW w:w="0" w:type="dxa"/>
            <w:vAlign w:val="bottom"/>
          </w:tcPr>
          <w:p>
            <w:pPr>
              <w:spacing w:after="0"/>
              <w:rPr>
                <w:sz w:val="1"/>
                <w:szCs w:val="1"/>
                <w:color w:val="auto"/>
              </w:rPr>
            </w:pPr>
          </w:p>
        </w:tc>
      </w:tr>
      <w:tr>
        <w:trPr>
          <w:trHeight w:val="271"/>
        </w:trPr>
        <w:tc>
          <w:tcPr>
            <w:tcW w:w="4100" w:type="dxa"/>
            <w:vAlign w:val="bottom"/>
          </w:tcPr>
          <w:p>
            <w:pPr>
              <w:ind w:left="60"/>
              <w:spacing w:after="0"/>
              <w:rPr>
                <w:sz w:val="20"/>
                <w:szCs w:val="20"/>
                <w:color w:val="auto"/>
              </w:rPr>
            </w:pPr>
            <w:r>
              <w:rPr>
                <w:rFonts w:ascii="Times New Roman" w:cs="Times New Roman" w:eastAsia="Times New Roman" w:hAnsi="Times New Roman"/>
                <w:sz w:val="19"/>
                <w:szCs w:val="19"/>
                <w:color w:val="231F20"/>
              </w:rPr>
              <w:t>2030</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2,879,000</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11 %</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94,113,000</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11 %</w:t>
            </w:r>
          </w:p>
        </w:tc>
        <w:tc>
          <w:tcPr>
            <w:tcW w:w="0" w:type="dxa"/>
            <w:vAlign w:val="bottom"/>
          </w:tcPr>
          <w:p>
            <w:pPr>
              <w:spacing w:after="0"/>
              <w:rPr>
                <w:sz w:val="1"/>
                <w:szCs w:val="1"/>
                <w:color w:val="auto"/>
              </w:rPr>
            </w:pPr>
          </w:p>
        </w:tc>
      </w:tr>
      <w:tr>
        <w:trPr>
          <w:trHeight w:val="271"/>
        </w:trPr>
        <w:tc>
          <w:tcPr>
            <w:tcW w:w="4100" w:type="dxa"/>
            <w:vAlign w:val="bottom"/>
          </w:tcPr>
          <w:p>
            <w:pPr>
              <w:ind w:left="60"/>
              <w:spacing w:after="0"/>
              <w:rPr>
                <w:sz w:val="20"/>
                <w:szCs w:val="20"/>
                <w:color w:val="auto"/>
              </w:rPr>
            </w:pPr>
            <w:r>
              <w:rPr>
                <w:rFonts w:ascii="Times New Roman" w:cs="Times New Roman" w:eastAsia="Times New Roman" w:hAnsi="Times New Roman"/>
                <w:sz w:val="19"/>
                <w:szCs w:val="19"/>
                <w:color w:val="231F20"/>
              </w:rPr>
              <w:t>2031</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2,197,000</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8 %</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76,161,000</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9 %</w:t>
            </w:r>
          </w:p>
        </w:tc>
        <w:tc>
          <w:tcPr>
            <w:tcW w:w="0" w:type="dxa"/>
            <w:vAlign w:val="bottom"/>
          </w:tcPr>
          <w:p>
            <w:pPr>
              <w:spacing w:after="0"/>
              <w:rPr>
                <w:sz w:val="1"/>
                <w:szCs w:val="1"/>
                <w:color w:val="auto"/>
              </w:rPr>
            </w:pPr>
          </w:p>
        </w:tc>
      </w:tr>
      <w:tr>
        <w:trPr>
          <w:trHeight w:val="271"/>
        </w:trPr>
        <w:tc>
          <w:tcPr>
            <w:tcW w:w="4100" w:type="dxa"/>
            <w:vAlign w:val="bottom"/>
          </w:tcPr>
          <w:p>
            <w:pPr>
              <w:ind w:left="60"/>
              <w:spacing w:after="0"/>
              <w:rPr>
                <w:sz w:val="20"/>
                <w:szCs w:val="20"/>
                <w:color w:val="auto"/>
              </w:rPr>
            </w:pPr>
            <w:r>
              <w:rPr>
                <w:rFonts w:ascii="Times New Roman" w:cs="Times New Roman" w:eastAsia="Times New Roman" w:hAnsi="Times New Roman"/>
                <w:sz w:val="19"/>
                <w:szCs w:val="19"/>
                <w:color w:val="231F20"/>
              </w:rPr>
              <w:t>2032</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2,572,000</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9 %</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90,735,000</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10 %</w:t>
            </w:r>
          </w:p>
        </w:tc>
        <w:tc>
          <w:tcPr>
            <w:tcW w:w="0" w:type="dxa"/>
            <w:vAlign w:val="bottom"/>
          </w:tcPr>
          <w:p>
            <w:pPr>
              <w:spacing w:after="0"/>
              <w:rPr>
                <w:sz w:val="1"/>
                <w:szCs w:val="1"/>
                <w:color w:val="auto"/>
              </w:rPr>
            </w:pPr>
          </w:p>
        </w:tc>
      </w:tr>
      <w:tr>
        <w:trPr>
          <w:trHeight w:val="271"/>
        </w:trPr>
        <w:tc>
          <w:tcPr>
            <w:tcW w:w="4100" w:type="dxa"/>
            <w:vAlign w:val="bottom"/>
          </w:tcPr>
          <w:p>
            <w:pPr>
              <w:ind w:left="60"/>
              <w:spacing w:after="0"/>
              <w:rPr>
                <w:sz w:val="20"/>
                <w:szCs w:val="20"/>
                <w:color w:val="auto"/>
              </w:rPr>
            </w:pPr>
            <w:r>
              <w:rPr>
                <w:rFonts w:ascii="Times New Roman" w:cs="Times New Roman" w:eastAsia="Times New Roman" w:hAnsi="Times New Roman"/>
                <w:sz w:val="19"/>
                <w:szCs w:val="19"/>
                <w:color w:val="231F20"/>
              </w:rPr>
              <w:t>2033</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1,607,000</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6 %</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54,261,000</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6 %</w:t>
            </w:r>
          </w:p>
        </w:tc>
        <w:tc>
          <w:tcPr>
            <w:tcW w:w="0" w:type="dxa"/>
            <w:vAlign w:val="bottom"/>
          </w:tcPr>
          <w:p>
            <w:pPr>
              <w:spacing w:after="0"/>
              <w:rPr>
                <w:sz w:val="1"/>
                <w:szCs w:val="1"/>
                <w:color w:val="auto"/>
              </w:rPr>
            </w:pPr>
          </w:p>
        </w:tc>
      </w:tr>
      <w:tr>
        <w:trPr>
          <w:trHeight w:val="271"/>
        </w:trPr>
        <w:tc>
          <w:tcPr>
            <w:tcW w:w="4100" w:type="dxa"/>
            <w:vAlign w:val="bottom"/>
          </w:tcPr>
          <w:p>
            <w:pPr>
              <w:ind w:left="60"/>
              <w:spacing w:after="0"/>
              <w:rPr>
                <w:sz w:val="20"/>
                <w:szCs w:val="20"/>
                <w:color w:val="auto"/>
              </w:rPr>
            </w:pPr>
            <w:r>
              <w:rPr>
                <w:rFonts w:ascii="Times New Roman" w:cs="Times New Roman" w:eastAsia="Times New Roman" w:hAnsi="Times New Roman"/>
                <w:sz w:val="19"/>
                <w:szCs w:val="19"/>
                <w:color w:val="231F20"/>
              </w:rPr>
              <w:t>2034</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1,403,000</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5 %</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44,586,000</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5 %</w:t>
            </w:r>
          </w:p>
        </w:tc>
        <w:tc>
          <w:tcPr>
            <w:tcW w:w="0" w:type="dxa"/>
            <w:vAlign w:val="bottom"/>
          </w:tcPr>
          <w:p>
            <w:pPr>
              <w:spacing w:after="0"/>
              <w:rPr>
                <w:sz w:val="1"/>
                <w:szCs w:val="1"/>
                <w:color w:val="auto"/>
              </w:rPr>
            </w:pPr>
          </w:p>
        </w:tc>
      </w:tr>
      <w:tr>
        <w:trPr>
          <w:trHeight w:val="271"/>
        </w:trPr>
        <w:tc>
          <w:tcPr>
            <w:tcW w:w="4100" w:type="dxa"/>
            <w:vAlign w:val="bottom"/>
          </w:tcPr>
          <w:p>
            <w:pPr>
              <w:ind w:left="60"/>
              <w:spacing w:after="0"/>
              <w:rPr>
                <w:sz w:val="20"/>
                <w:szCs w:val="20"/>
                <w:color w:val="auto"/>
              </w:rPr>
            </w:pPr>
            <w:r>
              <w:rPr>
                <w:rFonts w:ascii="Times New Roman" w:cs="Times New Roman" w:eastAsia="Times New Roman" w:hAnsi="Times New Roman"/>
                <w:sz w:val="19"/>
                <w:szCs w:val="19"/>
                <w:color w:val="231F20"/>
              </w:rPr>
              <w:t>2035</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1,886,000</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7 %</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67,991,000</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8 %</w:t>
            </w:r>
          </w:p>
        </w:tc>
        <w:tc>
          <w:tcPr>
            <w:tcW w:w="0" w:type="dxa"/>
            <w:vAlign w:val="bottom"/>
          </w:tcPr>
          <w:p>
            <w:pPr>
              <w:spacing w:after="0"/>
              <w:rPr>
                <w:sz w:val="1"/>
                <w:szCs w:val="1"/>
                <w:color w:val="auto"/>
              </w:rPr>
            </w:pPr>
          </w:p>
        </w:tc>
      </w:tr>
      <w:tr>
        <w:trPr>
          <w:trHeight w:val="272"/>
        </w:trPr>
        <w:tc>
          <w:tcPr>
            <w:tcW w:w="4100" w:type="dxa"/>
            <w:vAlign w:val="bottom"/>
          </w:tcPr>
          <w:p>
            <w:pPr>
              <w:ind w:left="60"/>
              <w:spacing w:after="0"/>
              <w:rPr>
                <w:sz w:val="20"/>
                <w:szCs w:val="20"/>
                <w:color w:val="auto"/>
              </w:rPr>
            </w:pPr>
            <w:r>
              <w:rPr>
                <w:rFonts w:ascii="Times New Roman" w:cs="Times New Roman" w:eastAsia="Times New Roman" w:hAnsi="Times New Roman"/>
                <w:sz w:val="19"/>
                <w:szCs w:val="19"/>
                <w:color w:val="231F20"/>
              </w:rPr>
              <w:t>Thereafter</w:t>
            </w:r>
          </w:p>
        </w:tc>
        <w:tc>
          <w:tcPr>
            <w:tcW w:w="80" w:type="dxa"/>
            <w:vAlign w:val="bottom"/>
          </w:tcPr>
          <w:p>
            <w:pPr>
              <w:spacing w:after="0"/>
              <w:rPr>
                <w:sz w:val="23"/>
                <w:szCs w:val="23"/>
                <w:color w:val="auto"/>
              </w:rPr>
            </w:pPr>
          </w:p>
        </w:tc>
        <w:tc>
          <w:tcPr>
            <w:tcW w:w="13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2,650,000</w:t>
            </w:r>
          </w:p>
        </w:tc>
        <w:tc>
          <w:tcPr>
            <w:tcW w:w="80" w:type="dxa"/>
            <w:vAlign w:val="bottom"/>
          </w:tcPr>
          <w:p>
            <w:pPr>
              <w:spacing w:after="0"/>
              <w:rPr>
                <w:sz w:val="23"/>
                <w:szCs w:val="23"/>
                <w:color w:val="auto"/>
              </w:rPr>
            </w:pPr>
          </w:p>
        </w:tc>
        <w:tc>
          <w:tcPr>
            <w:tcW w:w="13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10 %</w:t>
            </w:r>
          </w:p>
        </w:tc>
        <w:tc>
          <w:tcPr>
            <w:tcW w:w="80" w:type="dxa"/>
            <w:vAlign w:val="bottom"/>
          </w:tcPr>
          <w:p>
            <w:pPr>
              <w:spacing w:after="0"/>
              <w:rPr>
                <w:sz w:val="23"/>
                <w:szCs w:val="23"/>
                <w:color w:val="auto"/>
              </w:rPr>
            </w:pPr>
          </w:p>
        </w:tc>
        <w:tc>
          <w:tcPr>
            <w:tcW w:w="140" w:type="dxa"/>
            <w:vAlign w:val="bottom"/>
            <w:tcBorders>
              <w:bottom w:val="single" w:sz="8" w:color="231F20"/>
            </w:tcBorders>
          </w:tcPr>
          <w:p>
            <w:pPr>
              <w:spacing w:after="0"/>
              <w:rPr>
                <w:sz w:val="23"/>
                <w:szCs w:val="23"/>
                <w:color w:val="auto"/>
              </w:rPr>
            </w:pPr>
          </w:p>
        </w:tc>
        <w:tc>
          <w:tcPr>
            <w:tcW w:w="11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79,917,000</w:t>
            </w:r>
          </w:p>
        </w:tc>
        <w:tc>
          <w:tcPr>
            <w:tcW w:w="80" w:type="dxa"/>
            <w:vAlign w:val="bottom"/>
          </w:tcPr>
          <w:p>
            <w:pPr>
              <w:spacing w:after="0"/>
              <w:rPr>
                <w:sz w:val="23"/>
                <w:szCs w:val="23"/>
                <w:color w:val="auto"/>
              </w:rPr>
            </w:pPr>
          </w:p>
        </w:tc>
        <w:tc>
          <w:tcPr>
            <w:tcW w:w="13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9 %</w:t>
            </w:r>
          </w:p>
        </w:tc>
        <w:tc>
          <w:tcPr>
            <w:tcW w:w="0" w:type="dxa"/>
            <w:vAlign w:val="bottom"/>
          </w:tcPr>
          <w:p>
            <w:pPr>
              <w:spacing w:after="0"/>
              <w:rPr>
                <w:sz w:val="1"/>
                <w:szCs w:val="1"/>
                <w:color w:val="auto"/>
              </w:rPr>
            </w:pPr>
          </w:p>
        </w:tc>
      </w:tr>
      <w:tr>
        <w:trPr>
          <w:trHeight w:val="233"/>
        </w:trPr>
        <w:tc>
          <w:tcPr>
            <w:tcW w:w="4100" w:type="dxa"/>
            <w:vAlign w:val="bottom"/>
          </w:tcPr>
          <w:p>
            <w:pPr>
              <w:ind w:left="400"/>
              <w:spacing w:after="0"/>
              <w:rPr>
                <w:sz w:val="20"/>
                <w:szCs w:val="20"/>
                <w:color w:val="auto"/>
              </w:rPr>
            </w:pPr>
            <w:r>
              <w:rPr>
                <w:rFonts w:ascii="Times New Roman" w:cs="Times New Roman" w:eastAsia="Times New Roman" w:hAnsi="Times New Roman"/>
                <w:sz w:val="19"/>
                <w:szCs w:val="19"/>
                <w:color w:val="231F20"/>
              </w:rPr>
              <w:t>Total</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27,095,000</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100 %</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888,377,000</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100 %</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231F20"/>
              <w:bottom w:val="single" w:sz="8" w:color="231F20"/>
            </w:tcBorders>
          </w:tcPr>
          <w:p>
            <w:pPr>
              <w:spacing w:after="0" w:line="20" w:lineRule="exact"/>
              <w:rPr>
                <w:sz w:val="1"/>
                <w:szCs w:val="1"/>
                <w:color w:val="auto"/>
              </w:rPr>
            </w:pPr>
          </w:p>
        </w:tc>
        <w:tc>
          <w:tcPr>
            <w:tcW w:w="118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Borders>
              <w:top w:val="single" w:sz="8" w:color="231F20"/>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3"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9"/>
          <w:szCs w:val="19"/>
          <w:color w:val="231F20"/>
        </w:rPr>
        <w:t>During 2025, we signed leases for a total of 2,471,000 square feet of retail space including 2,340,000 square feet of comparable space leases (leases for which there was a prior tenant) at an average rental increase of 15% on a cash basis. New leases for comparable spaces were signed for 841,000 square feet at an average rental increase of 19% on a cash basis. Renewals for comparable spaces were signed for 1,499,000 square feet at an average rental increase of 12% on a cash basis. Tenant improvements and incentives for comparable spaces were $23.18 per square foot, of which, $53.34 per square foot was for new leases and $6.26 per square foot was for renewals in 2025.</w:t>
      </w:r>
    </w:p>
    <w:p>
      <w:pPr>
        <w:spacing w:after="0" w:line="60"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9"/>
          <w:szCs w:val="19"/>
          <w:color w:val="231F20"/>
        </w:rPr>
        <w:t>During 2024, we signed leases for a total of 2,434,000 square feet of retail space including 2,392,000 square feet of comparable space leases (leases for which there was a prior tenant) at an average rental increase of 11% on a cash basis. New leases for comparable spaces were signed for 979,000 square feet at an average rental increase of 15% on a cash basis. Renewals for comparable spaces were signed for 1,413,000 square feet at an average rental increase of 8% on a cash basis. Tenant improvements and incentives for comparable spaces were $26.03 per square foot, of which, $58.91 per square foot was for new leases and $3.25 per square foot was for renewals in 2024.</w:t>
      </w:r>
    </w:p>
    <w:p>
      <w:pPr>
        <w:spacing w:after="0" w:line="136"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9"/>
          <w:szCs w:val="19"/>
          <w:color w:val="231F20"/>
        </w:rPr>
        <w:t>The rental increases associated with comparable spaces generally include all leases signed for retail space in arms-length transactions reflecting market leverage between landlords and tenants during the period, excluding leases at properties sold or under contract to be sold. The comparison between the rent for expiring leases and new leases is determined by including contractual rent on the expiring lease, including percentage rent considered to part of base rent, and the comparable annual rent and in some instances, projections of percentage rent, to be paid on the new lease. In atypical circumstances, management may exercise judgment as to how to most effectively reflect the comparability of spaces reported in this calculation. The change in rental income on comparable space leases is impacted by numerous factors including current market rates, location, individual tenant creditworthiness, use of space, market conditions when the expiring lease was signed, capital investment made in the space and the specific lease structure. Tenant improvements and incentives include the total dollars committed for the improvement (fit out) of a space as it relates to a specific lease. Incentives include amounts paid to tenants as an inducement to sign a lease that do not represent building improvements. Costs related to tenant improvements require judgment by management in determining what are costs specific to the tenant and not deferred maintenance on the space.</w:t>
      </w:r>
    </w:p>
    <w:p>
      <w:pPr>
        <w:spacing w:after="0" w:line="14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9"/>
          <w:szCs w:val="19"/>
          <w:color w:val="231F20"/>
        </w:rPr>
        <w:t>In the past five years, we have executed comparable space leases for 2.0 to 2.4 million square feet of retail space each year and expect the volume for 2026 will be in line with these historical averages. Although we expect overall positive increases in annual rent for comparable spaces, changes in annual rent for any individual lease or combinations of individual leases reported in any particular period may be positive or negative and we can provide no assurance that the annual rents on comparable space leases will continue to increase at historical levels, if at all. A decline in current economic conditions could adversely impact our volume of leasing activity and the amount of rent we are able to charge to new or renewing tenants.</w:t>
      </w:r>
    </w:p>
    <w:p>
      <w:pPr>
        <w:spacing w:after="0" w:line="136"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9"/>
          <w:szCs w:val="19"/>
          <w:color w:val="231F20"/>
        </w:rPr>
        <w:t>The leases signed in 2025 generally become effective over the following two years though some may not become effective until 2028 and beyond. Further, there is risk that some new tenants will not ultimately take possession of their space and that tenants for both new and renewal leases may not pay all of their contractual rent due to operating, financing or other matters. However,</w:t>
      </w:r>
    </w:p>
    <w:p>
      <w:pPr>
        <w:sectPr>
          <w:pgSz w:w="11880" w:h="15480" w:orient="portrait"/>
          <w:cols w:equalWidth="0" w:num="1">
            <w:col w:w="9760"/>
          </w:cols>
          <w:pgMar w:left="1060" w:top="964" w:right="1060" w:bottom="0" w:gutter="0" w:footer="0" w:header="0"/>
        </w:sect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21</w:t>
      </w:r>
    </w:p>
    <w:p>
      <w:pPr>
        <w:sectPr>
          <w:pgSz w:w="11880" w:h="15480" w:orient="portrait"/>
          <w:cols w:equalWidth="0" w:num="1">
            <w:col w:w="9760"/>
          </w:cols>
          <w:pgMar w:left="1060" w:top="964" w:right="1060" w:bottom="0" w:gutter="0" w:footer="0" w:header="0"/>
          <w:type w:val="continuous"/>
        </w:sectPr>
      </w:pPr>
    </w:p>
    <w:bookmarkStart w:id="29" w:name="page30"/>
    <w:bookmarkEnd w:id="29"/>
    <w:p>
      <w:pPr>
        <w:ind w:right="200"/>
        <w:spacing w:after="0" w:line="284" w:lineRule="auto"/>
        <w:rPr>
          <w:sz w:val="20"/>
          <w:szCs w:val="20"/>
          <w:color w:val="auto"/>
        </w:rPr>
      </w:pPr>
      <w:r>
        <w:rPr>
          <w:rFonts w:ascii="Times New Roman" w:cs="Times New Roman" w:eastAsia="Times New Roman" w:hAnsi="Times New Roman"/>
          <w:sz w:val="19"/>
          <w:szCs w:val="19"/>
          <w:color w:val="231F20"/>
        </w:rPr>
        <w:t>our historical increases in rental rates do provide information about the tenant/landlord relationship and the potential increase we may achieve in rental income over time.</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Retail and Residential Properties</w:t>
      </w:r>
    </w:p>
    <w:p>
      <w:pPr>
        <w:spacing w:after="0" w:line="11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9"/>
          <w:szCs w:val="19"/>
          <w:color w:val="231F20"/>
        </w:rPr>
        <w:t>The following table sets forth information concerning all real estate projects in which we owned an equity interest, had a leasehold interest, or otherwise controlled and are consolidated as of December 31, 2025. Except as otherwise noted, we are the sole owner of our real estate projects. Principal tenants are the largest tenants in the project based on square feet leased or are tenants important to a project’s success due to their ability to attract retail customers.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231F20"/>
              </w:rPr>
              <w:t>Square</w:t>
            </w:r>
          </w:p>
        </w:tc>
        <w:tc>
          <w:tcPr>
            <w:tcW w:w="8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231F20"/>
              </w:rPr>
              <w:t>Average Base</w:t>
            </w: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231F20"/>
              </w:rPr>
              <w:t>Year</w:t>
            </w:r>
          </w:p>
        </w:tc>
        <w:tc>
          <w:tcPr>
            <w:tcW w:w="80" w:type="dxa"/>
            <w:vAlign w:val="bottom"/>
          </w:tcPr>
          <w:p>
            <w:pPr>
              <w:spacing w:after="0"/>
              <w:rPr>
                <w:sz w:val="13"/>
                <w:szCs w:val="13"/>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231F20"/>
              </w:rPr>
              <w:t>Year</w:t>
            </w:r>
          </w:p>
        </w:tc>
        <w:tc>
          <w:tcPr>
            <w:tcW w:w="80" w:type="dxa"/>
            <w:vAlign w:val="bottom"/>
          </w:tcPr>
          <w:p>
            <w:pPr>
              <w:spacing w:after="0"/>
              <w:rPr>
                <w:sz w:val="13"/>
                <w:szCs w:val="13"/>
                <w:color w:val="auto"/>
              </w:rPr>
            </w:pPr>
          </w:p>
        </w:tc>
        <w:tc>
          <w:tcPr>
            <w:tcW w:w="1020" w:type="dxa"/>
            <w:vAlign w:val="bottom"/>
          </w:tcPr>
          <w:p>
            <w:pPr>
              <w:jc w:val="center"/>
              <w:spacing w:after="0" w:line="152" w:lineRule="exact"/>
              <w:rPr>
                <w:sz w:val="20"/>
                <w:szCs w:val="20"/>
                <w:color w:val="auto"/>
              </w:rPr>
            </w:pPr>
            <w:r>
              <w:rPr>
                <w:rFonts w:ascii="Times New Roman" w:cs="Times New Roman" w:eastAsia="Times New Roman" w:hAnsi="Times New Roman"/>
                <w:sz w:val="15"/>
                <w:szCs w:val="15"/>
                <w:b w:val="1"/>
                <w:bCs w:val="1"/>
                <w:color w:val="231F20"/>
              </w:rPr>
              <w:t>Feet(1) /</w:t>
            </w:r>
          </w:p>
        </w:tc>
        <w:tc>
          <w:tcPr>
            <w:tcW w:w="80" w:type="dxa"/>
            <w:vAlign w:val="bottom"/>
          </w:tcPr>
          <w:p>
            <w:pPr>
              <w:spacing w:after="0"/>
              <w:rPr>
                <w:sz w:val="13"/>
                <w:szCs w:val="13"/>
                <w:color w:val="auto"/>
              </w:rPr>
            </w:pPr>
          </w:p>
        </w:tc>
        <w:tc>
          <w:tcPr>
            <w:tcW w:w="1020" w:type="dxa"/>
            <w:vAlign w:val="bottom"/>
          </w:tcPr>
          <w:p>
            <w:pPr>
              <w:jc w:val="center"/>
              <w:spacing w:after="0" w:line="152" w:lineRule="exact"/>
              <w:rPr>
                <w:sz w:val="20"/>
                <w:szCs w:val="20"/>
                <w:color w:val="auto"/>
              </w:rPr>
            </w:pPr>
            <w:r>
              <w:rPr>
                <w:rFonts w:ascii="Times New Roman" w:cs="Times New Roman" w:eastAsia="Times New Roman" w:hAnsi="Times New Roman"/>
                <w:sz w:val="15"/>
                <w:szCs w:val="15"/>
                <w:b w:val="1"/>
                <w:bCs w:val="1"/>
                <w:color w:val="231F20"/>
              </w:rPr>
              <w:t>Rent Per</w:t>
            </w:r>
          </w:p>
        </w:tc>
        <w:tc>
          <w:tcPr>
            <w:tcW w:w="60" w:type="dxa"/>
            <w:vAlign w:val="bottom"/>
          </w:tcPr>
          <w:p>
            <w:pPr>
              <w:spacing w:after="0"/>
              <w:rPr>
                <w:sz w:val="13"/>
                <w:szCs w:val="13"/>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231F20"/>
              </w:rPr>
              <w:t>Percentage</w:t>
            </w:r>
          </w:p>
        </w:tc>
        <w:tc>
          <w:tcPr>
            <w:tcW w:w="8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2640" w:type="dxa"/>
            <w:vAlign w:val="bottom"/>
            <w:gridSpan w:val="3"/>
            <w:vMerge w:val="restart"/>
          </w:tcPr>
          <w:p>
            <w:pPr>
              <w:spacing w:after="0"/>
              <w:rPr>
                <w:sz w:val="20"/>
                <w:szCs w:val="20"/>
                <w:color w:val="auto"/>
              </w:rPr>
            </w:pPr>
            <w:r>
              <w:rPr>
                <w:rFonts w:ascii="Times New Roman" w:cs="Times New Roman" w:eastAsia="Times New Roman" w:hAnsi="Times New Roman"/>
                <w:sz w:val="15"/>
                <w:szCs w:val="15"/>
                <w:b w:val="1"/>
                <w:bCs w:val="1"/>
                <w:color w:val="231F20"/>
              </w:rPr>
              <w:t>Property, City, State, Zip Code</w:t>
            </w:r>
          </w:p>
        </w:tc>
        <w:tc>
          <w:tcPr>
            <w:tcW w:w="6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jc w:val="center"/>
              <w:spacing w:after="0" w:line="152" w:lineRule="exact"/>
              <w:rPr>
                <w:sz w:val="20"/>
                <w:szCs w:val="20"/>
                <w:color w:val="auto"/>
              </w:rPr>
            </w:pPr>
            <w:r>
              <w:rPr>
                <w:rFonts w:ascii="Times New Roman" w:cs="Times New Roman" w:eastAsia="Times New Roman" w:hAnsi="Times New Roman"/>
                <w:sz w:val="15"/>
                <w:szCs w:val="15"/>
                <w:b w:val="1"/>
                <w:bCs w:val="1"/>
                <w:color w:val="231F20"/>
              </w:rPr>
              <w:t>Apartment</w:t>
            </w:r>
          </w:p>
        </w:tc>
        <w:tc>
          <w:tcPr>
            <w:tcW w:w="80" w:type="dxa"/>
            <w:vAlign w:val="bottom"/>
          </w:tcPr>
          <w:p>
            <w:pPr>
              <w:spacing w:after="0"/>
              <w:rPr>
                <w:sz w:val="13"/>
                <w:szCs w:val="13"/>
                <w:color w:val="auto"/>
              </w:rPr>
            </w:pPr>
          </w:p>
        </w:tc>
        <w:tc>
          <w:tcPr>
            <w:tcW w:w="1020" w:type="dxa"/>
            <w:vAlign w:val="bottom"/>
          </w:tcPr>
          <w:p>
            <w:pPr>
              <w:jc w:val="center"/>
              <w:spacing w:after="0" w:line="152" w:lineRule="exact"/>
              <w:rPr>
                <w:sz w:val="20"/>
                <w:szCs w:val="20"/>
                <w:color w:val="auto"/>
              </w:rPr>
            </w:pPr>
            <w:r>
              <w:rPr>
                <w:rFonts w:ascii="Times New Roman" w:cs="Times New Roman" w:eastAsia="Times New Roman" w:hAnsi="Times New Roman"/>
                <w:sz w:val="15"/>
                <w:szCs w:val="15"/>
                <w:b w:val="1"/>
                <w:bCs w:val="1"/>
                <w:color w:val="231F20"/>
              </w:rPr>
              <w:t>Square</w:t>
            </w:r>
          </w:p>
        </w:tc>
        <w:tc>
          <w:tcPr>
            <w:tcW w:w="6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vMerge w:val="restart"/>
          </w:tcPr>
          <w:p>
            <w:pPr>
              <w:ind w:left="380"/>
              <w:spacing w:after="0"/>
              <w:rPr>
                <w:sz w:val="20"/>
                <w:szCs w:val="20"/>
                <w:color w:val="auto"/>
              </w:rPr>
            </w:pPr>
            <w:r>
              <w:rPr>
                <w:rFonts w:ascii="Times New Roman" w:cs="Times New Roman" w:eastAsia="Times New Roman" w:hAnsi="Times New Roman"/>
                <w:sz w:val="15"/>
                <w:szCs w:val="15"/>
                <w:b w:val="1"/>
                <w:bCs w:val="1"/>
                <w:color w:val="231F20"/>
              </w:rPr>
              <w:t>Principal Tenant(s)</w:t>
            </w:r>
          </w:p>
        </w:tc>
        <w:tc>
          <w:tcPr>
            <w:tcW w:w="0" w:type="dxa"/>
            <w:vAlign w:val="bottom"/>
          </w:tcPr>
          <w:p>
            <w:pPr>
              <w:spacing w:after="0"/>
              <w:rPr>
                <w:sz w:val="1"/>
                <w:szCs w:val="1"/>
                <w:color w:val="auto"/>
              </w:rPr>
            </w:pPr>
          </w:p>
        </w:tc>
      </w:tr>
      <w:tr>
        <w:trPr>
          <w:trHeight w:val="203"/>
        </w:trPr>
        <w:tc>
          <w:tcPr>
            <w:tcW w:w="60" w:type="dxa"/>
            <w:vAlign w:val="bottom"/>
            <w:tcBorders>
              <w:bottom w:val="single" w:sz="8" w:color="231F20"/>
            </w:tcBorders>
          </w:tcPr>
          <w:p>
            <w:pPr>
              <w:spacing w:after="0"/>
              <w:rPr>
                <w:sz w:val="17"/>
                <w:szCs w:val="17"/>
                <w:color w:val="auto"/>
              </w:rPr>
            </w:pPr>
          </w:p>
        </w:tc>
        <w:tc>
          <w:tcPr>
            <w:tcW w:w="2640" w:type="dxa"/>
            <w:vAlign w:val="bottom"/>
            <w:tcBorders>
              <w:bottom w:val="single" w:sz="8" w:color="231F20"/>
            </w:tcBorders>
            <w:gridSpan w:val="3"/>
            <w:vMerge w:val="continue"/>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5"/>
                <w:szCs w:val="15"/>
                <w:b w:val="1"/>
                <w:bCs w:val="1"/>
                <w:color w:val="231F20"/>
              </w:rPr>
              <w:t>Completed</w:t>
            </w:r>
          </w:p>
        </w:tc>
        <w:tc>
          <w:tcPr>
            <w:tcW w:w="80" w:type="dxa"/>
            <w:vAlign w:val="bottom"/>
          </w:tcPr>
          <w:p>
            <w:pPr>
              <w:spacing w:after="0"/>
              <w:rPr>
                <w:sz w:val="17"/>
                <w:szCs w:val="17"/>
                <w:color w:val="auto"/>
              </w:rPr>
            </w:pPr>
          </w:p>
        </w:tc>
        <w:tc>
          <w:tcPr>
            <w:tcW w:w="80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5"/>
                <w:szCs w:val="15"/>
                <w:b w:val="1"/>
                <w:bCs w:val="1"/>
                <w:color w:val="231F20"/>
                <w:w w:val="99"/>
              </w:rPr>
              <w:t>Acquired</w:t>
            </w:r>
          </w:p>
        </w:tc>
        <w:tc>
          <w:tcPr>
            <w:tcW w:w="80" w:type="dxa"/>
            <w:vAlign w:val="bottom"/>
          </w:tcPr>
          <w:p>
            <w:pPr>
              <w:spacing w:after="0"/>
              <w:rPr>
                <w:sz w:val="17"/>
                <w:szCs w:val="17"/>
                <w:color w:val="auto"/>
              </w:rPr>
            </w:pPr>
          </w:p>
        </w:tc>
        <w:tc>
          <w:tcPr>
            <w:tcW w:w="102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5"/>
                <w:szCs w:val="15"/>
                <w:b w:val="1"/>
                <w:bCs w:val="1"/>
                <w:color w:val="231F20"/>
                <w:w w:val="99"/>
              </w:rPr>
              <w:t>Units</w:t>
            </w:r>
          </w:p>
        </w:tc>
        <w:tc>
          <w:tcPr>
            <w:tcW w:w="80" w:type="dxa"/>
            <w:vAlign w:val="bottom"/>
          </w:tcPr>
          <w:p>
            <w:pPr>
              <w:spacing w:after="0"/>
              <w:rPr>
                <w:sz w:val="17"/>
                <w:szCs w:val="17"/>
                <w:color w:val="auto"/>
              </w:rPr>
            </w:pPr>
          </w:p>
        </w:tc>
        <w:tc>
          <w:tcPr>
            <w:tcW w:w="102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5"/>
                <w:szCs w:val="15"/>
                <w:b w:val="1"/>
                <w:bCs w:val="1"/>
                <w:color w:val="231F20"/>
              </w:rPr>
              <w:t>Foot(2)</w:t>
            </w:r>
          </w:p>
        </w:tc>
        <w:tc>
          <w:tcPr>
            <w:tcW w:w="60" w:type="dxa"/>
            <w:vAlign w:val="bottom"/>
          </w:tcPr>
          <w:p>
            <w:pPr>
              <w:spacing w:after="0"/>
              <w:rPr>
                <w:sz w:val="17"/>
                <w:szCs w:val="17"/>
                <w:color w:val="auto"/>
              </w:rPr>
            </w:pPr>
          </w:p>
        </w:tc>
        <w:tc>
          <w:tcPr>
            <w:tcW w:w="84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5"/>
                <w:szCs w:val="15"/>
                <w:b w:val="1"/>
                <w:bCs w:val="1"/>
                <w:color w:val="231F20"/>
              </w:rPr>
              <w:t>Leased(3)</w:t>
            </w:r>
          </w:p>
        </w:tc>
        <w:tc>
          <w:tcPr>
            <w:tcW w:w="80" w:type="dxa"/>
            <w:vAlign w:val="bottom"/>
          </w:tcPr>
          <w:p>
            <w:pPr>
              <w:spacing w:after="0"/>
              <w:rPr>
                <w:sz w:val="17"/>
                <w:szCs w:val="17"/>
                <w:color w:val="auto"/>
              </w:rPr>
            </w:pPr>
          </w:p>
        </w:tc>
        <w:tc>
          <w:tcPr>
            <w:tcW w:w="2040" w:type="dxa"/>
            <w:vAlign w:val="bottom"/>
            <w:tcBorders>
              <w:bottom w:val="single" w:sz="8" w:color="231F20"/>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60" w:type="dxa"/>
            <w:vAlign w:val="bottom"/>
          </w:tcPr>
          <w:p>
            <w:pPr>
              <w:spacing w:after="0"/>
              <w:rPr>
                <w:sz w:val="14"/>
                <w:szCs w:val="14"/>
                <w:color w:val="auto"/>
              </w:rPr>
            </w:pPr>
          </w:p>
        </w:tc>
        <w:tc>
          <w:tcPr>
            <w:tcW w:w="520" w:type="dxa"/>
            <w:vAlign w:val="bottom"/>
            <w:tcBorders>
              <w:bottom w:val="single" w:sz="8" w:color="231F20"/>
            </w:tcBorders>
          </w:tcPr>
          <w:p>
            <w:pPr>
              <w:spacing w:after="0" w:line="170" w:lineRule="exact"/>
              <w:rPr>
                <w:sz w:val="20"/>
                <w:szCs w:val="20"/>
                <w:color w:val="auto"/>
              </w:rPr>
            </w:pPr>
            <w:r>
              <w:rPr>
                <w:rFonts w:ascii="Times New Roman" w:cs="Times New Roman" w:eastAsia="Times New Roman" w:hAnsi="Times New Roman"/>
                <w:sz w:val="15"/>
                <w:szCs w:val="15"/>
                <w:b w:val="1"/>
                <w:bCs w:val="1"/>
                <w:color w:val="231F20"/>
                <w:w w:val="96"/>
              </w:rPr>
              <w:t>Arizona</w:t>
            </w:r>
          </w:p>
        </w:tc>
        <w:tc>
          <w:tcPr>
            <w:tcW w:w="212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60" w:type="dxa"/>
            <w:vAlign w:val="bottom"/>
          </w:tcPr>
          <w:p>
            <w:pPr>
              <w:spacing w:after="0"/>
              <w:rPr>
                <w:sz w:val="16"/>
                <w:szCs w:val="16"/>
                <w:color w:val="auto"/>
              </w:rPr>
            </w:pPr>
          </w:p>
        </w:tc>
        <w:tc>
          <w:tcPr>
            <w:tcW w:w="2640" w:type="dxa"/>
            <w:vAlign w:val="bottom"/>
            <w:gridSpan w:val="3"/>
          </w:tcPr>
          <w:p>
            <w:pPr>
              <w:spacing w:after="0"/>
              <w:rPr>
                <w:sz w:val="20"/>
                <w:szCs w:val="20"/>
                <w:color w:val="auto"/>
              </w:rPr>
            </w:pPr>
            <w:r>
              <w:rPr>
                <w:rFonts w:ascii="Times New Roman" w:cs="Times New Roman" w:eastAsia="Times New Roman" w:hAnsi="Times New Roman"/>
                <w:sz w:val="15"/>
                <w:szCs w:val="15"/>
                <w:color w:val="231F20"/>
              </w:rPr>
              <w:t>Camelback Colonnade</w:t>
            </w:r>
          </w:p>
        </w:tc>
        <w:tc>
          <w:tcPr>
            <w:tcW w:w="920" w:type="dxa"/>
            <w:vAlign w:val="bottom"/>
            <w:gridSpan w:val="2"/>
          </w:tcPr>
          <w:p>
            <w:pPr>
              <w:jc w:val="center"/>
              <w:ind w:left="4"/>
              <w:spacing w:after="0"/>
              <w:rPr>
                <w:sz w:val="20"/>
                <w:szCs w:val="20"/>
                <w:color w:val="auto"/>
              </w:rPr>
            </w:pPr>
            <w:r>
              <w:rPr>
                <w:rFonts w:ascii="Times New Roman" w:cs="Times New Roman" w:eastAsia="Times New Roman" w:hAnsi="Times New Roman"/>
                <w:sz w:val="15"/>
                <w:szCs w:val="15"/>
                <w:color w:val="231F20"/>
              </w:rPr>
              <w:t>1977, 2019</w:t>
            </w:r>
          </w:p>
        </w:tc>
        <w:tc>
          <w:tcPr>
            <w:tcW w:w="880" w:type="dxa"/>
            <w:vAlign w:val="bottom"/>
            <w:gridSpan w:val="2"/>
          </w:tcPr>
          <w:p>
            <w:pPr>
              <w:jc w:val="center"/>
              <w:ind w:left="24"/>
              <w:spacing w:after="0"/>
              <w:rPr>
                <w:sz w:val="20"/>
                <w:szCs w:val="20"/>
                <w:color w:val="auto"/>
              </w:rPr>
            </w:pPr>
            <w:r>
              <w:rPr>
                <w:rFonts w:ascii="Times New Roman" w:cs="Times New Roman" w:eastAsia="Times New Roman" w:hAnsi="Times New Roman"/>
                <w:sz w:val="15"/>
                <w:szCs w:val="15"/>
                <w:color w:val="231F20"/>
                <w:w w:val="99"/>
              </w:rPr>
              <w:t>2021</w:t>
            </w:r>
          </w:p>
        </w:tc>
        <w:tc>
          <w:tcPr>
            <w:tcW w:w="1100" w:type="dxa"/>
            <w:vAlign w:val="bottom"/>
            <w:gridSpan w:val="2"/>
          </w:tcPr>
          <w:p>
            <w:pPr>
              <w:jc w:val="center"/>
              <w:ind w:left="44"/>
              <w:spacing w:after="0"/>
              <w:rPr>
                <w:sz w:val="20"/>
                <w:szCs w:val="20"/>
                <w:color w:val="auto"/>
              </w:rPr>
            </w:pPr>
            <w:r>
              <w:rPr>
                <w:rFonts w:ascii="Times New Roman" w:cs="Times New Roman" w:eastAsia="Times New Roman" w:hAnsi="Times New Roman"/>
                <w:sz w:val="15"/>
                <w:szCs w:val="15"/>
                <w:color w:val="231F20"/>
              </w:rPr>
              <w:t>603,000</w:t>
            </w:r>
          </w:p>
        </w:tc>
        <w:tc>
          <w:tcPr>
            <w:tcW w:w="1100" w:type="dxa"/>
            <w:vAlign w:val="bottom"/>
            <w:gridSpan w:val="2"/>
          </w:tcPr>
          <w:p>
            <w:pPr>
              <w:jc w:val="center"/>
              <w:ind w:left="44"/>
              <w:spacing w:after="0"/>
              <w:rPr>
                <w:sz w:val="20"/>
                <w:szCs w:val="20"/>
                <w:color w:val="auto"/>
              </w:rPr>
            </w:pPr>
            <w:r>
              <w:rPr>
                <w:rFonts w:ascii="Times New Roman" w:cs="Times New Roman" w:eastAsia="Times New Roman" w:hAnsi="Times New Roman"/>
                <w:sz w:val="15"/>
                <w:szCs w:val="15"/>
                <w:color w:val="231F20"/>
              </w:rPr>
              <w:t>$18.82</w:t>
            </w:r>
          </w:p>
        </w:tc>
        <w:tc>
          <w:tcPr>
            <w:tcW w:w="900" w:type="dxa"/>
            <w:vAlign w:val="bottom"/>
            <w:gridSpan w:val="2"/>
          </w:tcPr>
          <w:p>
            <w:pPr>
              <w:jc w:val="center"/>
              <w:ind w:left="24"/>
              <w:spacing w:after="0"/>
              <w:rPr>
                <w:sz w:val="20"/>
                <w:szCs w:val="20"/>
                <w:color w:val="auto"/>
              </w:rPr>
            </w:pPr>
            <w:r>
              <w:rPr>
                <w:rFonts w:ascii="Times New Roman" w:cs="Times New Roman" w:eastAsia="Times New Roman" w:hAnsi="Times New Roman"/>
                <w:sz w:val="15"/>
                <w:szCs w:val="15"/>
                <w:color w:val="231F20"/>
              </w:rPr>
              <w:t>99%</w:t>
            </w:r>
          </w:p>
        </w:tc>
        <w:tc>
          <w:tcPr>
            <w:tcW w:w="80" w:type="dxa"/>
            <w:vAlign w:val="bottom"/>
          </w:tcPr>
          <w:p>
            <w:pPr>
              <w:spacing w:after="0"/>
              <w:rPr>
                <w:sz w:val="16"/>
                <w:szCs w:val="16"/>
                <w:color w:val="auto"/>
              </w:rPr>
            </w:pPr>
          </w:p>
        </w:tc>
        <w:tc>
          <w:tcPr>
            <w:tcW w:w="2040" w:type="dxa"/>
            <w:vAlign w:val="bottom"/>
          </w:tcPr>
          <w:p>
            <w:pPr>
              <w:ind w:left="40"/>
              <w:spacing w:after="0"/>
              <w:rPr>
                <w:sz w:val="20"/>
                <w:szCs w:val="20"/>
                <w:color w:val="auto"/>
              </w:rPr>
            </w:pPr>
            <w:r>
              <w:rPr>
                <w:rFonts w:ascii="Times New Roman" w:cs="Times New Roman" w:eastAsia="Times New Roman" w:hAnsi="Times New Roman"/>
                <w:sz w:val="15"/>
                <w:szCs w:val="15"/>
                <w:color w:val="231F20"/>
              </w:rPr>
              <w:t>Fry's Food &amp; Drug</w:t>
            </w: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2640" w:type="dxa"/>
            <w:vAlign w:val="bottom"/>
            <w:gridSpan w:val="3"/>
          </w:tcPr>
          <w:p>
            <w:pPr>
              <w:ind w:left="100"/>
              <w:spacing w:after="0" w:line="152" w:lineRule="exact"/>
              <w:rPr>
                <w:sz w:val="20"/>
                <w:szCs w:val="20"/>
                <w:color w:val="auto"/>
              </w:rPr>
            </w:pPr>
            <w:r>
              <w:rPr>
                <w:rFonts w:ascii="Times New Roman" w:cs="Times New Roman" w:eastAsia="Times New Roman" w:hAnsi="Times New Roman"/>
                <w:sz w:val="15"/>
                <w:szCs w:val="15"/>
                <w:color w:val="231F20"/>
              </w:rPr>
              <w:t>Phoenix, AZ 85016(4)</w:t>
            </w: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ind w:left="40"/>
              <w:spacing w:after="0" w:line="152" w:lineRule="exact"/>
              <w:rPr>
                <w:sz w:val="20"/>
                <w:szCs w:val="20"/>
                <w:color w:val="auto"/>
              </w:rPr>
            </w:pPr>
            <w:r>
              <w:rPr>
                <w:rFonts w:ascii="Times New Roman" w:cs="Times New Roman" w:eastAsia="Times New Roman" w:hAnsi="Times New Roman"/>
                <w:sz w:val="15"/>
                <w:szCs w:val="15"/>
                <w:color w:val="231F20"/>
              </w:rPr>
              <w:t>Marshalls</w:t>
            </w: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ind w:left="40"/>
              <w:spacing w:after="0" w:line="152" w:lineRule="exact"/>
              <w:rPr>
                <w:sz w:val="20"/>
                <w:szCs w:val="20"/>
                <w:color w:val="auto"/>
              </w:rPr>
            </w:pPr>
            <w:r>
              <w:rPr>
                <w:rFonts w:ascii="Times New Roman" w:cs="Times New Roman" w:eastAsia="Times New Roman" w:hAnsi="Times New Roman"/>
                <w:sz w:val="15"/>
                <w:szCs w:val="15"/>
                <w:color w:val="231F20"/>
              </w:rPr>
              <w:t>Nordstrom Last Chance</w:t>
            </w: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ind w:left="40"/>
              <w:spacing w:after="0" w:line="152" w:lineRule="exact"/>
              <w:rPr>
                <w:sz w:val="20"/>
                <w:szCs w:val="20"/>
                <w:color w:val="auto"/>
              </w:rPr>
            </w:pPr>
            <w:r>
              <w:rPr>
                <w:rFonts w:ascii="Times New Roman" w:cs="Times New Roman" w:eastAsia="Times New Roman" w:hAnsi="Times New Roman"/>
                <w:sz w:val="15"/>
                <w:szCs w:val="15"/>
                <w:color w:val="231F20"/>
              </w:rPr>
              <w:t>Best Buy</w:t>
            </w: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40" w:type="dxa"/>
            <w:vAlign w:val="bottom"/>
          </w:tcPr>
          <w:p>
            <w:pPr>
              <w:ind w:left="40"/>
              <w:spacing w:after="0"/>
              <w:rPr>
                <w:sz w:val="20"/>
                <w:szCs w:val="20"/>
                <w:color w:val="auto"/>
              </w:rPr>
            </w:pPr>
            <w:r>
              <w:rPr>
                <w:rFonts w:ascii="Times New Roman" w:cs="Times New Roman" w:eastAsia="Times New Roman" w:hAnsi="Times New Roman"/>
                <w:sz w:val="15"/>
                <w:szCs w:val="15"/>
                <w:color w:val="231F20"/>
              </w:rPr>
              <w:t>HomeGoods</w:t>
            </w:r>
          </w:p>
        </w:tc>
        <w:tc>
          <w:tcPr>
            <w:tcW w:w="0" w:type="dxa"/>
            <w:vAlign w:val="bottom"/>
          </w:tcPr>
          <w:p>
            <w:pPr>
              <w:spacing w:after="0"/>
              <w:rPr>
                <w:sz w:val="1"/>
                <w:szCs w:val="1"/>
                <w:color w:val="auto"/>
              </w:rPr>
            </w:pPr>
          </w:p>
        </w:tc>
      </w:tr>
      <w:tr>
        <w:trPr>
          <w:trHeight w:val="203"/>
        </w:trPr>
        <w:tc>
          <w:tcPr>
            <w:tcW w:w="60" w:type="dxa"/>
            <w:vAlign w:val="bottom"/>
          </w:tcPr>
          <w:p>
            <w:pPr>
              <w:spacing w:after="0"/>
              <w:rPr>
                <w:sz w:val="17"/>
                <w:szCs w:val="17"/>
                <w:color w:val="auto"/>
              </w:rPr>
            </w:pPr>
          </w:p>
        </w:tc>
        <w:tc>
          <w:tcPr>
            <w:tcW w:w="2640" w:type="dxa"/>
            <w:vAlign w:val="bottom"/>
            <w:gridSpan w:val="3"/>
          </w:tcPr>
          <w:p>
            <w:pPr>
              <w:spacing w:after="0"/>
              <w:rPr>
                <w:sz w:val="20"/>
                <w:szCs w:val="20"/>
                <w:color w:val="auto"/>
              </w:rPr>
            </w:pPr>
            <w:r>
              <w:rPr>
                <w:rFonts w:ascii="Times New Roman" w:cs="Times New Roman" w:eastAsia="Times New Roman" w:hAnsi="Times New Roman"/>
                <w:sz w:val="15"/>
                <w:szCs w:val="15"/>
                <w:color w:val="231F20"/>
              </w:rPr>
              <w:t>Chandler Festival</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231F20"/>
                <w:w w:val="99"/>
              </w:rPr>
              <w:t>2000</w:t>
            </w:r>
          </w:p>
        </w:tc>
        <w:tc>
          <w:tcPr>
            <w:tcW w:w="880" w:type="dxa"/>
            <w:vAlign w:val="bottom"/>
            <w:gridSpan w:val="2"/>
          </w:tcPr>
          <w:p>
            <w:pPr>
              <w:jc w:val="center"/>
              <w:ind w:left="24"/>
              <w:spacing w:after="0"/>
              <w:rPr>
                <w:sz w:val="20"/>
                <w:szCs w:val="20"/>
                <w:color w:val="auto"/>
              </w:rPr>
            </w:pPr>
            <w:r>
              <w:rPr>
                <w:rFonts w:ascii="Times New Roman" w:cs="Times New Roman" w:eastAsia="Times New Roman" w:hAnsi="Times New Roman"/>
                <w:sz w:val="15"/>
                <w:szCs w:val="15"/>
                <w:color w:val="231F20"/>
                <w:w w:val="99"/>
              </w:rPr>
              <w:t>2022</w:t>
            </w:r>
          </w:p>
        </w:tc>
        <w:tc>
          <w:tcPr>
            <w:tcW w:w="1100" w:type="dxa"/>
            <w:vAlign w:val="bottom"/>
            <w:gridSpan w:val="2"/>
          </w:tcPr>
          <w:p>
            <w:pPr>
              <w:jc w:val="center"/>
              <w:ind w:left="44"/>
              <w:spacing w:after="0"/>
              <w:rPr>
                <w:sz w:val="20"/>
                <w:szCs w:val="20"/>
                <w:color w:val="auto"/>
              </w:rPr>
            </w:pPr>
            <w:r>
              <w:rPr>
                <w:rFonts w:ascii="Times New Roman" w:cs="Times New Roman" w:eastAsia="Times New Roman" w:hAnsi="Times New Roman"/>
                <w:sz w:val="15"/>
                <w:szCs w:val="15"/>
                <w:color w:val="231F20"/>
              </w:rPr>
              <w:t>355,000</w:t>
            </w:r>
          </w:p>
        </w:tc>
        <w:tc>
          <w:tcPr>
            <w:tcW w:w="1100" w:type="dxa"/>
            <w:vAlign w:val="bottom"/>
            <w:gridSpan w:val="2"/>
          </w:tcPr>
          <w:p>
            <w:pPr>
              <w:jc w:val="center"/>
              <w:ind w:left="44"/>
              <w:spacing w:after="0"/>
              <w:rPr>
                <w:sz w:val="20"/>
                <w:szCs w:val="20"/>
                <w:color w:val="auto"/>
              </w:rPr>
            </w:pPr>
            <w:r>
              <w:rPr>
                <w:rFonts w:ascii="Times New Roman" w:cs="Times New Roman" w:eastAsia="Times New Roman" w:hAnsi="Times New Roman"/>
                <w:sz w:val="15"/>
                <w:szCs w:val="15"/>
                <w:color w:val="231F20"/>
              </w:rPr>
              <w:t>$19.22</w:t>
            </w:r>
          </w:p>
        </w:tc>
        <w:tc>
          <w:tcPr>
            <w:tcW w:w="900" w:type="dxa"/>
            <w:vAlign w:val="bottom"/>
            <w:gridSpan w:val="2"/>
          </w:tcPr>
          <w:p>
            <w:pPr>
              <w:jc w:val="center"/>
              <w:ind w:left="24"/>
              <w:spacing w:after="0"/>
              <w:rPr>
                <w:sz w:val="20"/>
                <w:szCs w:val="20"/>
                <w:color w:val="auto"/>
              </w:rPr>
            </w:pPr>
            <w:r>
              <w:rPr>
                <w:rFonts w:ascii="Times New Roman" w:cs="Times New Roman" w:eastAsia="Times New Roman" w:hAnsi="Times New Roman"/>
                <w:sz w:val="15"/>
                <w:szCs w:val="15"/>
                <w:color w:val="231F20"/>
              </w:rPr>
              <w:t>98%</w:t>
            </w:r>
          </w:p>
        </w:tc>
        <w:tc>
          <w:tcPr>
            <w:tcW w:w="80" w:type="dxa"/>
            <w:vAlign w:val="bottom"/>
          </w:tcPr>
          <w:p>
            <w:pPr>
              <w:spacing w:after="0"/>
              <w:rPr>
                <w:sz w:val="17"/>
                <w:szCs w:val="17"/>
                <w:color w:val="auto"/>
              </w:rPr>
            </w:pPr>
          </w:p>
        </w:tc>
        <w:tc>
          <w:tcPr>
            <w:tcW w:w="2040" w:type="dxa"/>
            <w:vAlign w:val="bottom"/>
          </w:tcPr>
          <w:p>
            <w:pPr>
              <w:ind w:left="40"/>
              <w:spacing w:after="0"/>
              <w:rPr>
                <w:sz w:val="20"/>
                <w:szCs w:val="20"/>
                <w:color w:val="auto"/>
              </w:rPr>
            </w:pPr>
            <w:r>
              <w:rPr>
                <w:rFonts w:ascii="Times New Roman" w:cs="Times New Roman" w:eastAsia="Times New Roman" w:hAnsi="Times New Roman"/>
                <w:sz w:val="15"/>
                <w:szCs w:val="15"/>
                <w:color w:val="231F20"/>
              </w:rPr>
              <w:t>Ross Dress for Less</w:t>
            </w:r>
          </w:p>
        </w:tc>
        <w:tc>
          <w:tcPr>
            <w:tcW w:w="0" w:type="dxa"/>
            <w:vAlign w:val="bottom"/>
          </w:tcPr>
          <w:p>
            <w:pPr>
              <w:spacing w:after="0"/>
              <w:rPr>
                <w:sz w:val="1"/>
                <w:szCs w:val="1"/>
                <w:color w:val="auto"/>
              </w:rPr>
            </w:pPr>
          </w:p>
        </w:tc>
      </w:tr>
      <w:tr>
        <w:trPr>
          <w:trHeight w:val="153"/>
        </w:trPr>
        <w:tc>
          <w:tcPr>
            <w:tcW w:w="60" w:type="dxa"/>
            <w:vAlign w:val="bottom"/>
          </w:tcPr>
          <w:p>
            <w:pPr>
              <w:spacing w:after="0"/>
              <w:rPr>
                <w:sz w:val="13"/>
                <w:szCs w:val="13"/>
                <w:color w:val="auto"/>
              </w:rPr>
            </w:pPr>
          </w:p>
        </w:tc>
        <w:tc>
          <w:tcPr>
            <w:tcW w:w="2640" w:type="dxa"/>
            <w:vAlign w:val="bottom"/>
            <w:gridSpan w:val="3"/>
          </w:tcPr>
          <w:p>
            <w:pPr>
              <w:ind w:left="100"/>
              <w:spacing w:after="0" w:line="153" w:lineRule="exact"/>
              <w:rPr>
                <w:sz w:val="20"/>
                <w:szCs w:val="20"/>
                <w:color w:val="auto"/>
              </w:rPr>
            </w:pPr>
            <w:r>
              <w:rPr>
                <w:rFonts w:ascii="Times New Roman" w:cs="Times New Roman" w:eastAsia="Times New Roman" w:hAnsi="Times New Roman"/>
                <w:sz w:val="15"/>
                <w:szCs w:val="15"/>
                <w:color w:val="231F20"/>
              </w:rPr>
              <w:t>Chandler, AZ 85224(5)(6)</w:t>
            </w: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ind w:left="40"/>
              <w:spacing w:after="0" w:line="153" w:lineRule="exact"/>
              <w:rPr>
                <w:sz w:val="20"/>
                <w:szCs w:val="20"/>
                <w:color w:val="auto"/>
              </w:rPr>
            </w:pPr>
            <w:r>
              <w:rPr>
                <w:rFonts w:ascii="Times New Roman" w:cs="Times New Roman" w:eastAsia="Times New Roman" w:hAnsi="Times New Roman"/>
                <w:sz w:val="15"/>
                <w:szCs w:val="15"/>
                <w:color w:val="231F20"/>
              </w:rPr>
              <w:t>Nordstrom Rack</w:t>
            </w: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ind w:left="40"/>
              <w:spacing w:after="0" w:line="152" w:lineRule="exact"/>
              <w:rPr>
                <w:sz w:val="20"/>
                <w:szCs w:val="20"/>
                <w:color w:val="auto"/>
              </w:rPr>
            </w:pPr>
            <w:r>
              <w:rPr>
                <w:rFonts w:ascii="Times New Roman" w:cs="Times New Roman" w:eastAsia="Times New Roman" w:hAnsi="Times New Roman"/>
                <w:sz w:val="15"/>
                <w:szCs w:val="15"/>
                <w:color w:val="231F20"/>
              </w:rPr>
              <w:t>TJ Maxx</w:t>
            </w: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ind w:left="40"/>
              <w:spacing w:after="0" w:line="152" w:lineRule="exact"/>
              <w:rPr>
                <w:sz w:val="20"/>
                <w:szCs w:val="20"/>
                <w:color w:val="auto"/>
              </w:rPr>
            </w:pPr>
            <w:r>
              <w:rPr>
                <w:rFonts w:ascii="Times New Roman" w:cs="Times New Roman" w:eastAsia="Times New Roman" w:hAnsi="Times New Roman"/>
                <w:sz w:val="15"/>
                <w:szCs w:val="15"/>
                <w:color w:val="231F20"/>
              </w:rPr>
              <w:t>Ulta</w:t>
            </w: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40" w:type="dxa"/>
            <w:vAlign w:val="bottom"/>
          </w:tcPr>
          <w:p>
            <w:pPr>
              <w:ind w:left="40"/>
              <w:spacing w:after="0"/>
              <w:rPr>
                <w:sz w:val="20"/>
                <w:szCs w:val="20"/>
                <w:color w:val="auto"/>
              </w:rPr>
            </w:pPr>
            <w:r>
              <w:rPr>
                <w:rFonts w:ascii="Times New Roman" w:cs="Times New Roman" w:eastAsia="Times New Roman" w:hAnsi="Times New Roman"/>
                <w:sz w:val="15"/>
                <w:szCs w:val="15"/>
                <w:color w:val="231F20"/>
              </w:rPr>
              <w:t>Wayfair Outlet</w:t>
            </w:r>
          </w:p>
        </w:tc>
        <w:tc>
          <w:tcPr>
            <w:tcW w:w="0" w:type="dxa"/>
            <w:vAlign w:val="bottom"/>
          </w:tcPr>
          <w:p>
            <w:pPr>
              <w:spacing w:after="0"/>
              <w:rPr>
                <w:sz w:val="1"/>
                <w:szCs w:val="1"/>
                <w:color w:val="auto"/>
              </w:rPr>
            </w:pPr>
          </w:p>
        </w:tc>
      </w:tr>
      <w:tr>
        <w:trPr>
          <w:trHeight w:val="171"/>
        </w:trPr>
        <w:tc>
          <w:tcPr>
            <w:tcW w:w="60" w:type="dxa"/>
            <w:vAlign w:val="bottom"/>
          </w:tcPr>
          <w:p>
            <w:pPr>
              <w:spacing w:after="0"/>
              <w:rPr>
                <w:sz w:val="14"/>
                <w:szCs w:val="14"/>
                <w:color w:val="auto"/>
              </w:rPr>
            </w:pPr>
          </w:p>
        </w:tc>
        <w:tc>
          <w:tcPr>
            <w:tcW w:w="2640" w:type="dxa"/>
            <w:vAlign w:val="bottom"/>
            <w:gridSpan w:val="3"/>
          </w:tcPr>
          <w:p>
            <w:pPr>
              <w:spacing w:after="0" w:line="172" w:lineRule="exact"/>
              <w:rPr>
                <w:sz w:val="20"/>
                <w:szCs w:val="20"/>
                <w:color w:val="auto"/>
              </w:rPr>
            </w:pPr>
            <w:r>
              <w:rPr>
                <w:rFonts w:ascii="Times New Roman" w:cs="Times New Roman" w:eastAsia="Times New Roman" w:hAnsi="Times New Roman"/>
                <w:sz w:val="15"/>
                <w:szCs w:val="15"/>
                <w:color w:val="231F20"/>
              </w:rPr>
              <w:t>Chandler Gateway</w:t>
            </w:r>
          </w:p>
        </w:tc>
        <w:tc>
          <w:tcPr>
            <w:tcW w:w="920" w:type="dxa"/>
            <w:vAlign w:val="bottom"/>
            <w:gridSpan w:val="2"/>
          </w:tcPr>
          <w:p>
            <w:pPr>
              <w:jc w:val="center"/>
              <w:spacing w:after="0" w:line="172" w:lineRule="exact"/>
              <w:rPr>
                <w:sz w:val="20"/>
                <w:szCs w:val="20"/>
                <w:color w:val="auto"/>
              </w:rPr>
            </w:pPr>
            <w:r>
              <w:rPr>
                <w:rFonts w:ascii="Times New Roman" w:cs="Times New Roman" w:eastAsia="Times New Roman" w:hAnsi="Times New Roman"/>
                <w:sz w:val="15"/>
                <w:szCs w:val="15"/>
                <w:color w:val="231F20"/>
                <w:w w:val="99"/>
              </w:rPr>
              <w:t>2001</w:t>
            </w:r>
          </w:p>
        </w:tc>
        <w:tc>
          <w:tcPr>
            <w:tcW w:w="880" w:type="dxa"/>
            <w:vAlign w:val="bottom"/>
            <w:gridSpan w:val="2"/>
          </w:tcPr>
          <w:p>
            <w:pPr>
              <w:jc w:val="center"/>
              <w:ind w:left="24"/>
              <w:spacing w:after="0" w:line="172" w:lineRule="exact"/>
              <w:rPr>
                <w:sz w:val="20"/>
                <w:szCs w:val="20"/>
                <w:color w:val="auto"/>
              </w:rPr>
            </w:pPr>
            <w:r>
              <w:rPr>
                <w:rFonts w:ascii="Times New Roman" w:cs="Times New Roman" w:eastAsia="Times New Roman" w:hAnsi="Times New Roman"/>
                <w:sz w:val="15"/>
                <w:szCs w:val="15"/>
                <w:color w:val="231F20"/>
                <w:w w:val="99"/>
              </w:rPr>
              <w:t>2022</w:t>
            </w:r>
          </w:p>
        </w:tc>
        <w:tc>
          <w:tcPr>
            <w:tcW w:w="1100" w:type="dxa"/>
            <w:vAlign w:val="bottom"/>
            <w:gridSpan w:val="2"/>
          </w:tcPr>
          <w:p>
            <w:pPr>
              <w:jc w:val="center"/>
              <w:ind w:left="44"/>
              <w:spacing w:after="0" w:line="172" w:lineRule="exact"/>
              <w:rPr>
                <w:sz w:val="20"/>
                <w:szCs w:val="20"/>
                <w:color w:val="auto"/>
              </w:rPr>
            </w:pPr>
            <w:r>
              <w:rPr>
                <w:rFonts w:ascii="Times New Roman" w:cs="Times New Roman" w:eastAsia="Times New Roman" w:hAnsi="Times New Roman"/>
                <w:sz w:val="15"/>
                <w:szCs w:val="15"/>
                <w:color w:val="231F20"/>
              </w:rPr>
              <w:t>261,000</w:t>
            </w:r>
          </w:p>
        </w:tc>
        <w:tc>
          <w:tcPr>
            <w:tcW w:w="1100" w:type="dxa"/>
            <w:vAlign w:val="bottom"/>
            <w:gridSpan w:val="2"/>
          </w:tcPr>
          <w:p>
            <w:pPr>
              <w:jc w:val="center"/>
              <w:ind w:left="44"/>
              <w:spacing w:after="0" w:line="172" w:lineRule="exact"/>
              <w:rPr>
                <w:sz w:val="20"/>
                <w:szCs w:val="20"/>
                <w:color w:val="auto"/>
              </w:rPr>
            </w:pPr>
            <w:r>
              <w:rPr>
                <w:rFonts w:ascii="Times New Roman" w:cs="Times New Roman" w:eastAsia="Times New Roman" w:hAnsi="Times New Roman"/>
                <w:sz w:val="15"/>
                <w:szCs w:val="15"/>
                <w:color w:val="231F20"/>
              </w:rPr>
              <w:t>$11.54</w:t>
            </w:r>
          </w:p>
        </w:tc>
        <w:tc>
          <w:tcPr>
            <w:tcW w:w="900" w:type="dxa"/>
            <w:vAlign w:val="bottom"/>
            <w:gridSpan w:val="2"/>
          </w:tcPr>
          <w:p>
            <w:pPr>
              <w:jc w:val="center"/>
              <w:ind w:left="24"/>
              <w:spacing w:after="0" w:line="172" w:lineRule="exact"/>
              <w:rPr>
                <w:sz w:val="20"/>
                <w:szCs w:val="20"/>
                <w:color w:val="auto"/>
              </w:rPr>
            </w:pPr>
            <w:r>
              <w:rPr>
                <w:rFonts w:ascii="Times New Roman" w:cs="Times New Roman" w:eastAsia="Times New Roman" w:hAnsi="Times New Roman"/>
                <w:sz w:val="15"/>
                <w:szCs w:val="15"/>
                <w:color w:val="231F20"/>
              </w:rPr>
              <w:t>97%</w:t>
            </w:r>
          </w:p>
        </w:tc>
        <w:tc>
          <w:tcPr>
            <w:tcW w:w="80" w:type="dxa"/>
            <w:vAlign w:val="bottom"/>
          </w:tcPr>
          <w:p>
            <w:pPr>
              <w:spacing w:after="0"/>
              <w:rPr>
                <w:sz w:val="14"/>
                <w:szCs w:val="14"/>
                <w:color w:val="auto"/>
              </w:rPr>
            </w:pPr>
          </w:p>
        </w:tc>
        <w:tc>
          <w:tcPr>
            <w:tcW w:w="2040" w:type="dxa"/>
            <w:vAlign w:val="bottom"/>
          </w:tcPr>
          <w:p>
            <w:pPr>
              <w:ind w:left="40"/>
              <w:spacing w:after="0" w:line="172" w:lineRule="exact"/>
              <w:rPr>
                <w:sz w:val="20"/>
                <w:szCs w:val="20"/>
                <w:color w:val="auto"/>
              </w:rPr>
            </w:pPr>
            <w:r>
              <w:rPr>
                <w:rFonts w:ascii="Times New Roman" w:cs="Times New Roman" w:eastAsia="Times New Roman" w:hAnsi="Times New Roman"/>
                <w:sz w:val="15"/>
                <w:szCs w:val="15"/>
                <w:color w:val="231F20"/>
              </w:rPr>
              <w:t>Walmart</w:t>
            </w: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2640" w:type="dxa"/>
            <w:vAlign w:val="bottom"/>
            <w:gridSpan w:val="3"/>
          </w:tcPr>
          <w:p>
            <w:pPr>
              <w:ind w:left="100"/>
              <w:spacing w:after="0" w:line="152" w:lineRule="exact"/>
              <w:rPr>
                <w:sz w:val="20"/>
                <w:szCs w:val="20"/>
                <w:color w:val="auto"/>
              </w:rPr>
            </w:pPr>
            <w:r>
              <w:rPr>
                <w:rFonts w:ascii="Times New Roman" w:cs="Times New Roman" w:eastAsia="Times New Roman" w:hAnsi="Times New Roman"/>
                <w:sz w:val="15"/>
                <w:szCs w:val="15"/>
                <w:color w:val="231F20"/>
              </w:rPr>
              <w:t>Chandler, AZ 85226(5)(6)</w:t>
            </w: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ind w:left="40"/>
              <w:spacing w:after="0" w:line="152" w:lineRule="exact"/>
              <w:rPr>
                <w:sz w:val="20"/>
                <w:szCs w:val="20"/>
                <w:color w:val="auto"/>
              </w:rPr>
            </w:pPr>
            <w:r>
              <w:rPr>
                <w:rFonts w:ascii="Times New Roman" w:cs="Times New Roman" w:eastAsia="Times New Roman" w:hAnsi="Times New Roman"/>
                <w:sz w:val="15"/>
                <w:szCs w:val="15"/>
                <w:color w:val="231F20"/>
              </w:rPr>
              <w:t>Hobby Lobby</w:t>
            </w: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40" w:type="dxa"/>
            <w:vAlign w:val="bottom"/>
          </w:tcPr>
          <w:p>
            <w:pPr>
              <w:ind w:left="40"/>
              <w:spacing w:after="0"/>
              <w:rPr>
                <w:sz w:val="20"/>
                <w:szCs w:val="20"/>
                <w:color w:val="auto"/>
              </w:rPr>
            </w:pPr>
            <w:r>
              <w:rPr>
                <w:rFonts w:ascii="Times New Roman" w:cs="Times New Roman" w:eastAsia="Times New Roman" w:hAnsi="Times New Roman"/>
                <w:sz w:val="15"/>
                <w:szCs w:val="15"/>
                <w:color w:val="231F20"/>
              </w:rPr>
              <w:t>Petco</w:t>
            </w: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2640" w:type="dxa"/>
            <w:vAlign w:val="bottom"/>
            <w:gridSpan w:val="3"/>
          </w:tcPr>
          <w:p>
            <w:pPr>
              <w:spacing w:after="0"/>
              <w:rPr>
                <w:sz w:val="20"/>
                <w:szCs w:val="20"/>
                <w:color w:val="auto"/>
              </w:rPr>
            </w:pPr>
            <w:r>
              <w:rPr>
                <w:rFonts w:ascii="Times New Roman" w:cs="Times New Roman" w:eastAsia="Times New Roman" w:hAnsi="Times New Roman"/>
                <w:sz w:val="15"/>
                <w:szCs w:val="15"/>
                <w:color w:val="231F20"/>
              </w:rPr>
              <w:t>The Shops at Hilton Village</w:t>
            </w:r>
          </w:p>
        </w:tc>
        <w:tc>
          <w:tcPr>
            <w:tcW w:w="920" w:type="dxa"/>
            <w:vAlign w:val="bottom"/>
            <w:gridSpan w:val="2"/>
          </w:tcPr>
          <w:p>
            <w:pPr>
              <w:jc w:val="center"/>
              <w:ind w:left="4"/>
              <w:spacing w:after="0"/>
              <w:rPr>
                <w:sz w:val="20"/>
                <w:szCs w:val="20"/>
                <w:color w:val="auto"/>
              </w:rPr>
            </w:pPr>
            <w:r>
              <w:rPr>
                <w:rFonts w:ascii="Times New Roman" w:cs="Times New Roman" w:eastAsia="Times New Roman" w:hAnsi="Times New Roman"/>
                <w:sz w:val="15"/>
                <w:szCs w:val="15"/>
                <w:color w:val="231F20"/>
              </w:rPr>
              <w:t>1982, 1989</w:t>
            </w:r>
          </w:p>
        </w:tc>
        <w:tc>
          <w:tcPr>
            <w:tcW w:w="880" w:type="dxa"/>
            <w:vAlign w:val="bottom"/>
            <w:gridSpan w:val="2"/>
          </w:tcPr>
          <w:p>
            <w:pPr>
              <w:jc w:val="center"/>
              <w:ind w:left="4"/>
              <w:spacing w:after="0"/>
              <w:rPr>
                <w:sz w:val="20"/>
                <w:szCs w:val="20"/>
                <w:color w:val="auto"/>
              </w:rPr>
            </w:pPr>
            <w:r>
              <w:rPr>
                <w:rFonts w:ascii="Times New Roman" w:cs="Times New Roman" w:eastAsia="Times New Roman" w:hAnsi="Times New Roman"/>
                <w:sz w:val="15"/>
                <w:szCs w:val="15"/>
                <w:color w:val="231F20"/>
                <w:w w:val="99"/>
              </w:rPr>
              <w:t>2021/2022</w:t>
            </w:r>
          </w:p>
        </w:tc>
        <w:tc>
          <w:tcPr>
            <w:tcW w:w="1100" w:type="dxa"/>
            <w:vAlign w:val="bottom"/>
            <w:gridSpan w:val="2"/>
          </w:tcPr>
          <w:p>
            <w:pPr>
              <w:jc w:val="center"/>
              <w:ind w:left="44"/>
              <w:spacing w:after="0"/>
              <w:rPr>
                <w:sz w:val="20"/>
                <w:szCs w:val="20"/>
                <w:color w:val="auto"/>
              </w:rPr>
            </w:pPr>
            <w:r>
              <w:rPr>
                <w:rFonts w:ascii="Times New Roman" w:cs="Times New Roman" w:eastAsia="Times New Roman" w:hAnsi="Times New Roman"/>
                <w:sz w:val="15"/>
                <w:szCs w:val="15"/>
                <w:color w:val="231F20"/>
              </w:rPr>
              <w:t>305,000</w:t>
            </w:r>
          </w:p>
        </w:tc>
        <w:tc>
          <w:tcPr>
            <w:tcW w:w="1100" w:type="dxa"/>
            <w:vAlign w:val="bottom"/>
            <w:gridSpan w:val="2"/>
          </w:tcPr>
          <w:p>
            <w:pPr>
              <w:jc w:val="center"/>
              <w:ind w:left="44"/>
              <w:spacing w:after="0"/>
              <w:rPr>
                <w:sz w:val="20"/>
                <w:szCs w:val="20"/>
                <w:color w:val="auto"/>
              </w:rPr>
            </w:pPr>
            <w:r>
              <w:rPr>
                <w:rFonts w:ascii="Times New Roman" w:cs="Times New Roman" w:eastAsia="Times New Roman" w:hAnsi="Times New Roman"/>
                <w:sz w:val="15"/>
                <w:szCs w:val="15"/>
                <w:color w:val="231F20"/>
              </w:rPr>
              <w:t>$36.78</w:t>
            </w:r>
          </w:p>
        </w:tc>
        <w:tc>
          <w:tcPr>
            <w:tcW w:w="900" w:type="dxa"/>
            <w:vAlign w:val="bottom"/>
            <w:gridSpan w:val="2"/>
          </w:tcPr>
          <w:p>
            <w:pPr>
              <w:jc w:val="center"/>
              <w:ind w:left="24"/>
              <w:spacing w:after="0"/>
              <w:rPr>
                <w:sz w:val="20"/>
                <w:szCs w:val="20"/>
                <w:color w:val="auto"/>
              </w:rPr>
            </w:pPr>
            <w:r>
              <w:rPr>
                <w:rFonts w:ascii="Times New Roman" w:cs="Times New Roman" w:eastAsia="Times New Roman" w:hAnsi="Times New Roman"/>
                <w:sz w:val="15"/>
                <w:szCs w:val="15"/>
                <w:color w:val="231F20"/>
              </w:rPr>
              <w:t>88%</w:t>
            </w:r>
          </w:p>
        </w:tc>
        <w:tc>
          <w:tcPr>
            <w:tcW w:w="80" w:type="dxa"/>
            <w:vAlign w:val="bottom"/>
          </w:tcPr>
          <w:p>
            <w:pPr>
              <w:spacing w:after="0"/>
              <w:rPr>
                <w:sz w:val="15"/>
                <w:szCs w:val="15"/>
                <w:color w:val="auto"/>
              </w:rPr>
            </w:pPr>
          </w:p>
        </w:tc>
        <w:tc>
          <w:tcPr>
            <w:tcW w:w="2040" w:type="dxa"/>
            <w:vAlign w:val="bottom"/>
          </w:tcPr>
          <w:p>
            <w:pPr>
              <w:ind w:left="40"/>
              <w:spacing w:after="0"/>
              <w:rPr>
                <w:sz w:val="20"/>
                <w:szCs w:val="20"/>
                <w:color w:val="auto"/>
              </w:rPr>
            </w:pPr>
            <w:r>
              <w:rPr>
                <w:rFonts w:ascii="Times New Roman" w:cs="Times New Roman" w:eastAsia="Times New Roman" w:hAnsi="Times New Roman"/>
                <w:sz w:val="15"/>
                <w:szCs w:val="15"/>
                <w:color w:val="231F20"/>
              </w:rPr>
              <w:t>CVS</w:t>
            </w: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2640" w:type="dxa"/>
            <w:vAlign w:val="bottom"/>
            <w:gridSpan w:val="3"/>
          </w:tcPr>
          <w:p>
            <w:pPr>
              <w:ind w:left="100"/>
              <w:spacing w:after="0"/>
              <w:rPr>
                <w:sz w:val="20"/>
                <w:szCs w:val="20"/>
                <w:color w:val="auto"/>
              </w:rPr>
            </w:pPr>
            <w:r>
              <w:rPr>
                <w:rFonts w:ascii="Times New Roman" w:cs="Times New Roman" w:eastAsia="Times New Roman" w:hAnsi="Times New Roman"/>
                <w:sz w:val="15"/>
                <w:szCs w:val="15"/>
                <w:color w:val="231F20"/>
              </w:rPr>
              <w:t>Scottsdale, AZ 85250(4)(7)</w:t>
            </w: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40" w:type="dxa"/>
            <w:vAlign w:val="bottom"/>
          </w:tcPr>
          <w:p>
            <w:pPr>
              <w:ind w:left="40"/>
              <w:spacing w:after="0"/>
              <w:rPr>
                <w:sz w:val="20"/>
                <w:szCs w:val="20"/>
                <w:color w:val="auto"/>
              </w:rPr>
            </w:pPr>
            <w:r>
              <w:rPr>
                <w:rFonts w:ascii="Times New Roman" w:cs="Times New Roman" w:eastAsia="Times New Roman" w:hAnsi="Times New Roman"/>
                <w:sz w:val="15"/>
                <w:szCs w:val="15"/>
                <w:color w:val="231F20"/>
              </w:rPr>
              <w:t>Houston's</w:t>
            </w:r>
          </w:p>
        </w:tc>
        <w:tc>
          <w:tcPr>
            <w:tcW w:w="0" w:type="dxa"/>
            <w:vAlign w:val="bottom"/>
          </w:tcPr>
          <w:p>
            <w:pPr>
              <w:spacing w:after="0"/>
              <w:rPr>
                <w:sz w:val="1"/>
                <w:szCs w:val="1"/>
                <w:color w:val="auto"/>
              </w:rPr>
            </w:pPr>
          </w:p>
        </w:tc>
      </w:tr>
      <w:tr>
        <w:trPr>
          <w:trHeight w:val="195"/>
        </w:trPr>
        <w:tc>
          <w:tcPr>
            <w:tcW w:w="60" w:type="dxa"/>
            <w:vAlign w:val="bottom"/>
          </w:tcPr>
          <w:p>
            <w:pPr>
              <w:spacing w:after="0"/>
              <w:rPr>
                <w:sz w:val="16"/>
                <w:szCs w:val="16"/>
                <w:color w:val="auto"/>
              </w:rPr>
            </w:pPr>
          </w:p>
        </w:tc>
        <w:tc>
          <w:tcPr>
            <w:tcW w:w="264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231F20"/>
              </w:rPr>
              <w:t>California</w:t>
            </w:r>
          </w:p>
        </w:tc>
        <w:tc>
          <w:tcPr>
            <w:tcW w:w="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0" w:type="dxa"/>
            <w:vAlign w:val="bottom"/>
          </w:tcPr>
          <w:p>
            <w:pPr>
              <w:spacing w:after="0"/>
              <w:rPr>
                <w:sz w:val="16"/>
                <w:szCs w:val="16"/>
                <w:color w:val="auto"/>
              </w:rPr>
            </w:pPr>
          </w:p>
        </w:tc>
        <w:tc>
          <w:tcPr>
            <w:tcW w:w="660" w:type="dxa"/>
            <w:vAlign w:val="bottom"/>
            <w:tcBorders>
              <w:top w:val="single" w:sz="8" w:color="231F20"/>
            </w:tcBorders>
            <w:gridSpan w:val="2"/>
          </w:tcPr>
          <w:p>
            <w:pPr>
              <w:spacing w:after="0"/>
              <w:rPr>
                <w:sz w:val="20"/>
                <w:szCs w:val="20"/>
                <w:color w:val="auto"/>
              </w:rPr>
            </w:pPr>
            <w:r>
              <w:rPr>
                <w:rFonts w:ascii="Times New Roman" w:cs="Times New Roman" w:eastAsia="Times New Roman" w:hAnsi="Times New Roman"/>
                <w:sz w:val="15"/>
                <w:szCs w:val="15"/>
                <w:color w:val="231F20"/>
              </w:rPr>
              <w:t>Azalea</w:t>
            </w:r>
          </w:p>
        </w:tc>
        <w:tc>
          <w:tcPr>
            <w:tcW w:w="1980" w:type="dxa"/>
            <w:vAlign w:val="bottom"/>
          </w:tcPr>
          <w:p>
            <w:pPr>
              <w:spacing w:after="0"/>
              <w:rPr>
                <w:sz w:val="16"/>
                <w:szCs w:val="16"/>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231F20"/>
                <w:w w:val="99"/>
              </w:rPr>
              <w:t>2014</w:t>
            </w:r>
          </w:p>
        </w:tc>
        <w:tc>
          <w:tcPr>
            <w:tcW w:w="880" w:type="dxa"/>
            <w:vAlign w:val="bottom"/>
            <w:gridSpan w:val="2"/>
          </w:tcPr>
          <w:p>
            <w:pPr>
              <w:jc w:val="center"/>
              <w:ind w:left="24"/>
              <w:spacing w:after="0"/>
              <w:rPr>
                <w:sz w:val="20"/>
                <w:szCs w:val="20"/>
                <w:color w:val="auto"/>
              </w:rPr>
            </w:pPr>
            <w:r>
              <w:rPr>
                <w:rFonts w:ascii="Times New Roman" w:cs="Times New Roman" w:eastAsia="Times New Roman" w:hAnsi="Times New Roman"/>
                <w:sz w:val="15"/>
                <w:szCs w:val="15"/>
                <w:color w:val="231F20"/>
                <w:w w:val="99"/>
              </w:rPr>
              <w:t>2017</w:t>
            </w:r>
          </w:p>
        </w:tc>
        <w:tc>
          <w:tcPr>
            <w:tcW w:w="1100" w:type="dxa"/>
            <w:vAlign w:val="bottom"/>
            <w:gridSpan w:val="2"/>
          </w:tcPr>
          <w:p>
            <w:pPr>
              <w:jc w:val="center"/>
              <w:ind w:left="44"/>
              <w:spacing w:after="0"/>
              <w:rPr>
                <w:sz w:val="20"/>
                <w:szCs w:val="20"/>
                <w:color w:val="auto"/>
              </w:rPr>
            </w:pPr>
            <w:r>
              <w:rPr>
                <w:rFonts w:ascii="Times New Roman" w:cs="Times New Roman" w:eastAsia="Times New Roman" w:hAnsi="Times New Roman"/>
                <w:sz w:val="15"/>
                <w:szCs w:val="15"/>
                <w:color w:val="231F20"/>
              </w:rPr>
              <w:t>226,000</w:t>
            </w:r>
          </w:p>
        </w:tc>
        <w:tc>
          <w:tcPr>
            <w:tcW w:w="1100" w:type="dxa"/>
            <w:vAlign w:val="bottom"/>
            <w:gridSpan w:val="2"/>
          </w:tcPr>
          <w:p>
            <w:pPr>
              <w:jc w:val="center"/>
              <w:ind w:left="44"/>
              <w:spacing w:after="0"/>
              <w:rPr>
                <w:sz w:val="20"/>
                <w:szCs w:val="20"/>
                <w:color w:val="auto"/>
              </w:rPr>
            </w:pPr>
            <w:r>
              <w:rPr>
                <w:rFonts w:ascii="Times New Roman" w:cs="Times New Roman" w:eastAsia="Times New Roman" w:hAnsi="Times New Roman"/>
                <w:sz w:val="15"/>
                <w:szCs w:val="15"/>
                <w:color w:val="231F20"/>
              </w:rPr>
              <w:t>$33.07</w:t>
            </w:r>
          </w:p>
        </w:tc>
        <w:tc>
          <w:tcPr>
            <w:tcW w:w="900" w:type="dxa"/>
            <w:vAlign w:val="bottom"/>
            <w:gridSpan w:val="2"/>
          </w:tcPr>
          <w:p>
            <w:pPr>
              <w:jc w:val="center"/>
              <w:ind w:left="24"/>
              <w:spacing w:after="0"/>
              <w:rPr>
                <w:sz w:val="20"/>
                <w:szCs w:val="20"/>
                <w:color w:val="auto"/>
              </w:rPr>
            </w:pPr>
            <w:r>
              <w:rPr>
                <w:rFonts w:ascii="Times New Roman" w:cs="Times New Roman" w:eastAsia="Times New Roman" w:hAnsi="Times New Roman"/>
                <w:sz w:val="15"/>
                <w:szCs w:val="15"/>
                <w:color w:val="231F20"/>
              </w:rPr>
              <w:t>100%</w:t>
            </w:r>
          </w:p>
        </w:tc>
        <w:tc>
          <w:tcPr>
            <w:tcW w:w="80" w:type="dxa"/>
            <w:vAlign w:val="bottom"/>
          </w:tcPr>
          <w:p>
            <w:pPr>
              <w:spacing w:after="0"/>
              <w:rPr>
                <w:sz w:val="16"/>
                <w:szCs w:val="16"/>
                <w:color w:val="auto"/>
              </w:rPr>
            </w:pPr>
          </w:p>
        </w:tc>
        <w:tc>
          <w:tcPr>
            <w:tcW w:w="2040" w:type="dxa"/>
            <w:vAlign w:val="bottom"/>
          </w:tcPr>
          <w:p>
            <w:pPr>
              <w:ind w:left="40"/>
              <w:spacing w:after="0"/>
              <w:rPr>
                <w:sz w:val="20"/>
                <w:szCs w:val="20"/>
                <w:color w:val="auto"/>
              </w:rPr>
            </w:pPr>
            <w:r>
              <w:rPr>
                <w:rFonts w:ascii="Times New Roman" w:cs="Times New Roman" w:eastAsia="Times New Roman" w:hAnsi="Times New Roman"/>
                <w:sz w:val="15"/>
                <w:szCs w:val="15"/>
                <w:color w:val="231F20"/>
              </w:rPr>
              <w:t>Marshalls</w:t>
            </w: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2640" w:type="dxa"/>
            <w:vAlign w:val="bottom"/>
            <w:gridSpan w:val="3"/>
          </w:tcPr>
          <w:p>
            <w:pPr>
              <w:ind w:left="100"/>
              <w:spacing w:after="0" w:line="152" w:lineRule="exact"/>
              <w:rPr>
                <w:sz w:val="20"/>
                <w:szCs w:val="20"/>
                <w:color w:val="auto"/>
              </w:rPr>
            </w:pPr>
            <w:r>
              <w:rPr>
                <w:rFonts w:ascii="Times New Roman" w:cs="Times New Roman" w:eastAsia="Times New Roman" w:hAnsi="Times New Roman"/>
                <w:sz w:val="15"/>
                <w:szCs w:val="15"/>
                <w:color w:val="231F20"/>
              </w:rPr>
              <w:t>South Gate, CA 90280(4)(6)</w:t>
            </w: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ind w:left="40"/>
              <w:spacing w:after="0" w:line="152" w:lineRule="exact"/>
              <w:rPr>
                <w:sz w:val="20"/>
                <w:szCs w:val="20"/>
                <w:color w:val="auto"/>
              </w:rPr>
            </w:pPr>
            <w:r>
              <w:rPr>
                <w:rFonts w:ascii="Times New Roman" w:cs="Times New Roman" w:eastAsia="Times New Roman" w:hAnsi="Times New Roman"/>
                <w:sz w:val="15"/>
                <w:szCs w:val="15"/>
                <w:color w:val="231F20"/>
              </w:rPr>
              <w:t>Ross Dress for Less</w:t>
            </w: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ind w:left="40"/>
              <w:spacing w:after="0" w:line="152" w:lineRule="exact"/>
              <w:rPr>
                <w:sz w:val="20"/>
                <w:szCs w:val="20"/>
                <w:color w:val="auto"/>
              </w:rPr>
            </w:pPr>
            <w:r>
              <w:rPr>
                <w:rFonts w:ascii="Times New Roman" w:cs="Times New Roman" w:eastAsia="Times New Roman" w:hAnsi="Times New Roman"/>
                <w:sz w:val="15"/>
                <w:szCs w:val="15"/>
                <w:color w:val="231F20"/>
              </w:rPr>
              <w:t>Ulta</w:t>
            </w: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40" w:type="dxa"/>
            <w:vAlign w:val="bottom"/>
          </w:tcPr>
          <w:p>
            <w:pPr>
              <w:ind w:left="40"/>
              <w:spacing w:after="0"/>
              <w:rPr>
                <w:sz w:val="20"/>
                <w:szCs w:val="20"/>
                <w:color w:val="auto"/>
              </w:rPr>
            </w:pPr>
            <w:r>
              <w:rPr>
                <w:rFonts w:ascii="Times New Roman" w:cs="Times New Roman" w:eastAsia="Times New Roman" w:hAnsi="Times New Roman"/>
                <w:sz w:val="15"/>
                <w:szCs w:val="15"/>
                <w:color w:val="231F20"/>
              </w:rPr>
              <w:t>Michaels</w:t>
            </w:r>
          </w:p>
        </w:tc>
        <w:tc>
          <w:tcPr>
            <w:tcW w:w="0" w:type="dxa"/>
            <w:vAlign w:val="bottom"/>
          </w:tcPr>
          <w:p>
            <w:pPr>
              <w:spacing w:after="0"/>
              <w:rPr>
                <w:sz w:val="1"/>
                <w:szCs w:val="1"/>
                <w:color w:val="auto"/>
              </w:rPr>
            </w:pPr>
          </w:p>
        </w:tc>
      </w:tr>
      <w:tr>
        <w:trPr>
          <w:trHeight w:val="168"/>
        </w:trPr>
        <w:tc>
          <w:tcPr>
            <w:tcW w:w="60" w:type="dxa"/>
            <w:vAlign w:val="bottom"/>
          </w:tcPr>
          <w:p>
            <w:pPr>
              <w:spacing w:after="0"/>
              <w:rPr>
                <w:sz w:val="14"/>
                <w:szCs w:val="14"/>
                <w:color w:val="auto"/>
              </w:rPr>
            </w:pPr>
          </w:p>
        </w:tc>
        <w:tc>
          <w:tcPr>
            <w:tcW w:w="2640" w:type="dxa"/>
            <w:vAlign w:val="bottom"/>
            <w:gridSpan w:val="3"/>
          </w:tcPr>
          <w:p>
            <w:pPr>
              <w:spacing w:after="0" w:line="169" w:lineRule="exact"/>
              <w:rPr>
                <w:sz w:val="20"/>
                <w:szCs w:val="20"/>
                <w:color w:val="auto"/>
              </w:rPr>
            </w:pPr>
            <w:r>
              <w:rPr>
                <w:rFonts w:ascii="Times New Roman" w:cs="Times New Roman" w:eastAsia="Times New Roman" w:hAnsi="Times New Roman"/>
                <w:sz w:val="15"/>
                <w:szCs w:val="15"/>
                <w:color w:val="231F20"/>
              </w:rPr>
              <w:t>Bell Gardens</w:t>
            </w:r>
          </w:p>
        </w:tc>
        <w:tc>
          <w:tcPr>
            <w:tcW w:w="920" w:type="dxa"/>
            <w:vAlign w:val="bottom"/>
            <w:gridSpan w:val="2"/>
          </w:tcPr>
          <w:p>
            <w:pPr>
              <w:jc w:val="center"/>
              <w:ind w:left="4"/>
              <w:spacing w:after="0" w:line="169" w:lineRule="exact"/>
              <w:rPr>
                <w:sz w:val="20"/>
                <w:szCs w:val="20"/>
                <w:color w:val="auto"/>
              </w:rPr>
            </w:pPr>
            <w:r>
              <w:rPr>
                <w:rFonts w:ascii="Times New Roman" w:cs="Times New Roman" w:eastAsia="Times New Roman" w:hAnsi="Times New Roman"/>
                <w:sz w:val="15"/>
                <w:szCs w:val="15"/>
                <w:color w:val="231F20"/>
              </w:rPr>
              <w:t>1990, 2003,</w:t>
            </w:r>
          </w:p>
        </w:tc>
        <w:tc>
          <w:tcPr>
            <w:tcW w:w="880" w:type="dxa"/>
            <w:vAlign w:val="bottom"/>
            <w:gridSpan w:val="2"/>
          </w:tcPr>
          <w:p>
            <w:pPr>
              <w:jc w:val="center"/>
              <w:ind w:left="4"/>
              <w:spacing w:after="0" w:line="169" w:lineRule="exact"/>
              <w:rPr>
                <w:sz w:val="20"/>
                <w:szCs w:val="20"/>
                <w:color w:val="auto"/>
              </w:rPr>
            </w:pPr>
            <w:r>
              <w:rPr>
                <w:rFonts w:ascii="Times New Roman" w:cs="Times New Roman" w:eastAsia="Times New Roman" w:hAnsi="Times New Roman"/>
                <w:sz w:val="15"/>
                <w:szCs w:val="15"/>
                <w:color w:val="231F20"/>
                <w:w w:val="99"/>
              </w:rPr>
              <w:t>2017/2018</w:t>
            </w:r>
          </w:p>
        </w:tc>
        <w:tc>
          <w:tcPr>
            <w:tcW w:w="1100" w:type="dxa"/>
            <w:vAlign w:val="bottom"/>
            <w:gridSpan w:val="2"/>
          </w:tcPr>
          <w:p>
            <w:pPr>
              <w:jc w:val="center"/>
              <w:ind w:left="44"/>
              <w:spacing w:after="0" w:line="169" w:lineRule="exact"/>
              <w:rPr>
                <w:sz w:val="20"/>
                <w:szCs w:val="20"/>
                <w:color w:val="auto"/>
              </w:rPr>
            </w:pPr>
            <w:r>
              <w:rPr>
                <w:rFonts w:ascii="Times New Roman" w:cs="Times New Roman" w:eastAsia="Times New Roman" w:hAnsi="Times New Roman"/>
                <w:sz w:val="15"/>
                <w:szCs w:val="15"/>
                <w:color w:val="231F20"/>
              </w:rPr>
              <w:t>371,000</w:t>
            </w:r>
          </w:p>
        </w:tc>
        <w:tc>
          <w:tcPr>
            <w:tcW w:w="1100" w:type="dxa"/>
            <w:vAlign w:val="bottom"/>
            <w:gridSpan w:val="2"/>
          </w:tcPr>
          <w:p>
            <w:pPr>
              <w:jc w:val="center"/>
              <w:ind w:left="44"/>
              <w:spacing w:after="0" w:line="169" w:lineRule="exact"/>
              <w:rPr>
                <w:sz w:val="20"/>
                <w:szCs w:val="20"/>
                <w:color w:val="auto"/>
              </w:rPr>
            </w:pPr>
            <w:r>
              <w:rPr>
                <w:rFonts w:ascii="Times New Roman" w:cs="Times New Roman" w:eastAsia="Times New Roman" w:hAnsi="Times New Roman"/>
                <w:sz w:val="15"/>
                <w:szCs w:val="15"/>
                <w:color w:val="231F20"/>
              </w:rPr>
              <w:t>$25.79</w:t>
            </w:r>
          </w:p>
        </w:tc>
        <w:tc>
          <w:tcPr>
            <w:tcW w:w="900" w:type="dxa"/>
            <w:vAlign w:val="bottom"/>
            <w:gridSpan w:val="2"/>
          </w:tcPr>
          <w:p>
            <w:pPr>
              <w:jc w:val="center"/>
              <w:ind w:left="24"/>
              <w:spacing w:after="0" w:line="169" w:lineRule="exact"/>
              <w:rPr>
                <w:sz w:val="20"/>
                <w:szCs w:val="20"/>
                <w:color w:val="auto"/>
              </w:rPr>
            </w:pPr>
            <w:r>
              <w:rPr>
                <w:rFonts w:ascii="Times New Roman" w:cs="Times New Roman" w:eastAsia="Times New Roman" w:hAnsi="Times New Roman"/>
                <w:sz w:val="15"/>
                <w:szCs w:val="15"/>
                <w:color w:val="231F20"/>
              </w:rPr>
              <w:t>93%</w:t>
            </w:r>
          </w:p>
        </w:tc>
        <w:tc>
          <w:tcPr>
            <w:tcW w:w="80" w:type="dxa"/>
            <w:vAlign w:val="bottom"/>
          </w:tcPr>
          <w:p>
            <w:pPr>
              <w:spacing w:after="0"/>
              <w:rPr>
                <w:sz w:val="14"/>
                <w:szCs w:val="14"/>
                <w:color w:val="auto"/>
              </w:rPr>
            </w:pPr>
          </w:p>
        </w:tc>
        <w:tc>
          <w:tcPr>
            <w:tcW w:w="2040" w:type="dxa"/>
            <w:vAlign w:val="bottom"/>
          </w:tcPr>
          <w:p>
            <w:pPr>
              <w:ind w:left="40"/>
              <w:spacing w:after="0" w:line="169" w:lineRule="exact"/>
              <w:rPr>
                <w:sz w:val="20"/>
                <w:szCs w:val="20"/>
                <w:color w:val="auto"/>
              </w:rPr>
            </w:pPr>
            <w:r>
              <w:rPr>
                <w:rFonts w:ascii="Times New Roman" w:cs="Times New Roman" w:eastAsia="Times New Roman" w:hAnsi="Times New Roman"/>
                <w:sz w:val="15"/>
                <w:szCs w:val="15"/>
                <w:color w:val="231F20"/>
              </w:rPr>
              <w:t>Food 4 Less</w:t>
            </w: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2640" w:type="dxa"/>
            <w:vAlign w:val="bottom"/>
            <w:gridSpan w:val="3"/>
          </w:tcPr>
          <w:p>
            <w:pPr>
              <w:ind w:left="100"/>
              <w:spacing w:after="0" w:line="152" w:lineRule="exact"/>
              <w:rPr>
                <w:sz w:val="20"/>
                <w:szCs w:val="20"/>
                <w:color w:val="auto"/>
              </w:rPr>
            </w:pPr>
            <w:r>
              <w:rPr>
                <w:rFonts w:ascii="Times New Roman" w:cs="Times New Roman" w:eastAsia="Times New Roman" w:hAnsi="Times New Roman"/>
                <w:sz w:val="15"/>
                <w:szCs w:val="15"/>
                <w:color w:val="231F20"/>
              </w:rPr>
              <w:t>Bell Gardens, CA 90201(4)(6)(7)</w:t>
            </w:r>
          </w:p>
        </w:tc>
        <w:tc>
          <w:tcPr>
            <w:tcW w:w="920" w:type="dxa"/>
            <w:vAlign w:val="bottom"/>
            <w:gridSpan w:val="2"/>
          </w:tcPr>
          <w:p>
            <w:pPr>
              <w:jc w:val="center"/>
              <w:spacing w:after="0" w:line="152" w:lineRule="exact"/>
              <w:rPr>
                <w:sz w:val="20"/>
                <w:szCs w:val="20"/>
                <w:color w:val="auto"/>
              </w:rPr>
            </w:pPr>
            <w:r>
              <w:rPr>
                <w:rFonts w:ascii="Times New Roman" w:cs="Times New Roman" w:eastAsia="Times New Roman" w:hAnsi="Times New Roman"/>
                <w:sz w:val="15"/>
                <w:szCs w:val="15"/>
                <w:color w:val="231F20"/>
                <w:w w:val="99"/>
              </w:rPr>
              <w:t>2006</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ind w:left="40"/>
              <w:spacing w:after="0" w:line="152" w:lineRule="exact"/>
              <w:rPr>
                <w:sz w:val="20"/>
                <w:szCs w:val="20"/>
                <w:color w:val="auto"/>
              </w:rPr>
            </w:pPr>
            <w:r>
              <w:rPr>
                <w:rFonts w:ascii="Times New Roman" w:cs="Times New Roman" w:eastAsia="Times New Roman" w:hAnsi="Times New Roman"/>
                <w:sz w:val="15"/>
                <w:szCs w:val="15"/>
                <w:color w:val="231F20"/>
              </w:rPr>
              <w:t>El Super</w:t>
            </w: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ind w:left="40"/>
              <w:spacing w:after="0" w:line="152" w:lineRule="exact"/>
              <w:rPr>
                <w:sz w:val="20"/>
                <w:szCs w:val="20"/>
                <w:color w:val="auto"/>
              </w:rPr>
            </w:pPr>
            <w:r>
              <w:rPr>
                <w:rFonts w:ascii="Times New Roman" w:cs="Times New Roman" w:eastAsia="Times New Roman" w:hAnsi="Times New Roman"/>
                <w:sz w:val="15"/>
                <w:szCs w:val="15"/>
                <w:color w:val="231F20"/>
              </w:rPr>
              <w:t>Marshalls</w:t>
            </w: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ind w:left="40"/>
              <w:spacing w:after="0" w:line="152" w:lineRule="exact"/>
              <w:rPr>
                <w:sz w:val="20"/>
                <w:szCs w:val="20"/>
                <w:color w:val="auto"/>
              </w:rPr>
            </w:pPr>
            <w:r>
              <w:rPr>
                <w:rFonts w:ascii="Times New Roman" w:cs="Times New Roman" w:eastAsia="Times New Roman" w:hAnsi="Times New Roman"/>
                <w:sz w:val="15"/>
                <w:szCs w:val="15"/>
                <w:color w:val="231F20"/>
              </w:rPr>
              <w:t>Ross Dress for Less</w:t>
            </w: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40" w:type="dxa"/>
            <w:vAlign w:val="bottom"/>
          </w:tcPr>
          <w:p>
            <w:pPr>
              <w:ind w:left="40"/>
              <w:spacing w:after="0"/>
              <w:rPr>
                <w:sz w:val="20"/>
                <w:szCs w:val="20"/>
                <w:color w:val="auto"/>
              </w:rPr>
            </w:pPr>
            <w:r>
              <w:rPr>
                <w:rFonts w:ascii="Times New Roman" w:cs="Times New Roman" w:eastAsia="Times New Roman" w:hAnsi="Times New Roman"/>
                <w:sz w:val="15"/>
                <w:szCs w:val="15"/>
                <w:color w:val="231F20"/>
              </w:rPr>
              <w:t>Bob's Discount Furniture</w:t>
            </w:r>
          </w:p>
        </w:tc>
        <w:tc>
          <w:tcPr>
            <w:tcW w:w="0" w:type="dxa"/>
            <w:vAlign w:val="bottom"/>
          </w:tcPr>
          <w:p>
            <w:pPr>
              <w:spacing w:after="0"/>
              <w:rPr>
                <w:sz w:val="1"/>
                <w:szCs w:val="1"/>
                <w:color w:val="auto"/>
              </w:rPr>
            </w:pPr>
          </w:p>
        </w:tc>
      </w:tr>
      <w:tr>
        <w:trPr>
          <w:trHeight w:val="159"/>
        </w:trPr>
        <w:tc>
          <w:tcPr>
            <w:tcW w:w="60" w:type="dxa"/>
            <w:vAlign w:val="bottom"/>
          </w:tcPr>
          <w:p>
            <w:pPr>
              <w:spacing w:after="0"/>
              <w:rPr>
                <w:sz w:val="13"/>
                <w:szCs w:val="13"/>
                <w:color w:val="auto"/>
              </w:rPr>
            </w:pPr>
          </w:p>
        </w:tc>
        <w:tc>
          <w:tcPr>
            <w:tcW w:w="2640" w:type="dxa"/>
            <w:vAlign w:val="bottom"/>
            <w:gridSpan w:val="3"/>
          </w:tcPr>
          <w:p>
            <w:pPr>
              <w:spacing w:after="0" w:line="159" w:lineRule="exact"/>
              <w:rPr>
                <w:sz w:val="20"/>
                <w:szCs w:val="20"/>
                <w:color w:val="auto"/>
              </w:rPr>
            </w:pPr>
            <w:r>
              <w:rPr>
                <w:rFonts w:ascii="Times New Roman" w:cs="Times New Roman" w:eastAsia="Times New Roman" w:hAnsi="Times New Roman"/>
                <w:sz w:val="15"/>
                <w:szCs w:val="15"/>
                <w:color w:val="231F20"/>
              </w:rPr>
              <w:t>Colorado Blvd</w:t>
            </w:r>
          </w:p>
        </w:tc>
        <w:tc>
          <w:tcPr>
            <w:tcW w:w="920" w:type="dxa"/>
            <w:vAlign w:val="bottom"/>
            <w:gridSpan w:val="2"/>
          </w:tcPr>
          <w:p>
            <w:pPr>
              <w:jc w:val="center"/>
              <w:spacing w:after="0" w:line="159" w:lineRule="exact"/>
              <w:rPr>
                <w:sz w:val="20"/>
                <w:szCs w:val="20"/>
                <w:color w:val="auto"/>
              </w:rPr>
            </w:pPr>
            <w:r>
              <w:rPr>
                <w:rFonts w:ascii="Times New Roman" w:cs="Times New Roman" w:eastAsia="Times New Roman" w:hAnsi="Times New Roman"/>
                <w:sz w:val="15"/>
                <w:szCs w:val="15"/>
                <w:color w:val="231F20"/>
              </w:rPr>
              <w:t>1905-1988</w:t>
            </w:r>
          </w:p>
        </w:tc>
        <w:tc>
          <w:tcPr>
            <w:tcW w:w="880" w:type="dxa"/>
            <w:vAlign w:val="bottom"/>
            <w:gridSpan w:val="2"/>
          </w:tcPr>
          <w:p>
            <w:pPr>
              <w:jc w:val="center"/>
              <w:ind w:left="24"/>
              <w:spacing w:after="0" w:line="159" w:lineRule="exact"/>
              <w:rPr>
                <w:sz w:val="20"/>
                <w:szCs w:val="20"/>
                <w:color w:val="auto"/>
              </w:rPr>
            </w:pPr>
            <w:r>
              <w:rPr>
                <w:rFonts w:ascii="Times New Roman" w:cs="Times New Roman" w:eastAsia="Times New Roman" w:hAnsi="Times New Roman"/>
                <w:sz w:val="15"/>
                <w:szCs w:val="15"/>
                <w:color w:val="231F20"/>
                <w:w w:val="99"/>
              </w:rPr>
              <w:t>1998</w:t>
            </w:r>
          </w:p>
        </w:tc>
        <w:tc>
          <w:tcPr>
            <w:tcW w:w="1100" w:type="dxa"/>
            <w:vAlign w:val="bottom"/>
            <w:gridSpan w:val="2"/>
          </w:tcPr>
          <w:p>
            <w:pPr>
              <w:jc w:val="center"/>
              <w:ind w:left="44"/>
              <w:spacing w:after="0" w:line="159" w:lineRule="exact"/>
              <w:rPr>
                <w:sz w:val="20"/>
                <w:szCs w:val="20"/>
                <w:color w:val="auto"/>
              </w:rPr>
            </w:pPr>
            <w:r>
              <w:rPr>
                <w:rFonts w:ascii="Times New Roman" w:cs="Times New Roman" w:eastAsia="Times New Roman" w:hAnsi="Times New Roman"/>
                <w:sz w:val="15"/>
                <w:szCs w:val="15"/>
                <w:color w:val="231F20"/>
              </w:rPr>
              <w:t>42,000</w:t>
            </w:r>
          </w:p>
        </w:tc>
        <w:tc>
          <w:tcPr>
            <w:tcW w:w="1100" w:type="dxa"/>
            <w:vAlign w:val="bottom"/>
            <w:gridSpan w:val="2"/>
          </w:tcPr>
          <w:p>
            <w:pPr>
              <w:jc w:val="center"/>
              <w:ind w:left="44"/>
              <w:spacing w:after="0" w:line="159" w:lineRule="exact"/>
              <w:rPr>
                <w:sz w:val="20"/>
                <w:szCs w:val="20"/>
                <w:color w:val="auto"/>
              </w:rPr>
            </w:pPr>
            <w:r>
              <w:rPr>
                <w:rFonts w:ascii="Times New Roman" w:cs="Times New Roman" w:eastAsia="Times New Roman" w:hAnsi="Times New Roman"/>
                <w:sz w:val="15"/>
                <w:szCs w:val="15"/>
                <w:color w:val="231F20"/>
              </w:rPr>
              <w:t>$50.42</w:t>
            </w:r>
          </w:p>
        </w:tc>
        <w:tc>
          <w:tcPr>
            <w:tcW w:w="900" w:type="dxa"/>
            <w:vAlign w:val="bottom"/>
            <w:gridSpan w:val="2"/>
          </w:tcPr>
          <w:p>
            <w:pPr>
              <w:jc w:val="center"/>
              <w:ind w:left="24"/>
              <w:spacing w:after="0" w:line="159" w:lineRule="exact"/>
              <w:rPr>
                <w:sz w:val="20"/>
                <w:szCs w:val="20"/>
                <w:color w:val="auto"/>
              </w:rPr>
            </w:pPr>
            <w:r>
              <w:rPr>
                <w:rFonts w:ascii="Times New Roman" w:cs="Times New Roman" w:eastAsia="Times New Roman" w:hAnsi="Times New Roman"/>
                <w:sz w:val="15"/>
                <w:szCs w:val="15"/>
                <w:color w:val="231F20"/>
              </w:rPr>
              <w:t>73%</w:t>
            </w:r>
          </w:p>
        </w:tc>
        <w:tc>
          <w:tcPr>
            <w:tcW w:w="80" w:type="dxa"/>
            <w:vAlign w:val="bottom"/>
          </w:tcPr>
          <w:p>
            <w:pPr>
              <w:spacing w:after="0"/>
              <w:rPr>
                <w:sz w:val="13"/>
                <w:szCs w:val="13"/>
                <w:color w:val="auto"/>
              </w:rPr>
            </w:pPr>
          </w:p>
        </w:tc>
        <w:tc>
          <w:tcPr>
            <w:tcW w:w="2040" w:type="dxa"/>
            <w:vAlign w:val="bottom"/>
          </w:tcPr>
          <w:p>
            <w:pPr>
              <w:ind w:left="40"/>
              <w:spacing w:after="0" w:line="159" w:lineRule="exact"/>
              <w:rPr>
                <w:sz w:val="20"/>
                <w:szCs w:val="20"/>
                <w:color w:val="auto"/>
              </w:rPr>
            </w:pPr>
            <w:r>
              <w:rPr>
                <w:rFonts w:ascii="Times New Roman" w:cs="Times New Roman" w:eastAsia="Times New Roman" w:hAnsi="Times New Roman"/>
                <w:sz w:val="15"/>
                <w:szCs w:val="15"/>
                <w:color w:val="231F20"/>
              </w:rPr>
              <w:t>Banana Republic</w:t>
            </w: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2640" w:type="dxa"/>
            <w:vAlign w:val="bottom"/>
            <w:gridSpan w:val="3"/>
          </w:tcPr>
          <w:p>
            <w:pPr>
              <w:ind w:left="100"/>
              <w:spacing w:after="0"/>
              <w:rPr>
                <w:sz w:val="20"/>
                <w:szCs w:val="20"/>
                <w:color w:val="auto"/>
              </w:rPr>
            </w:pPr>
            <w:r>
              <w:rPr>
                <w:rFonts w:ascii="Times New Roman" w:cs="Times New Roman" w:eastAsia="Times New Roman" w:hAnsi="Times New Roman"/>
                <w:sz w:val="15"/>
                <w:szCs w:val="15"/>
                <w:color w:val="231F20"/>
              </w:rPr>
              <w:t>Pasadena, CA 91103(7)</w:t>
            </w: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40" w:type="dxa"/>
            <w:vAlign w:val="bottom"/>
          </w:tcPr>
          <w:p>
            <w:pPr>
              <w:ind w:left="40"/>
              <w:spacing w:after="0"/>
              <w:rPr>
                <w:sz w:val="20"/>
                <w:szCs w:val="20"/>
                <w:color w:val="auto"/>
              </w:rPr>
            </w:pPr>
            <w:r>
              <w:rPr>
                <w:rFonts w:ascii="Times New Roman" w:cs="Times New Roman" w:eastAsia="Times New Roman" w:hAnsi="Times New Roman"/>
                <w:sz w:val="15"/>
                <w:szCs w:val="15"/>
                <w:color w:val="231F20"/>
              </w:rPr>
              <w:t>True Food Kitchen</w:t>
            </w:r>
          </w:p>
        </w:tc>
        <w:tc>
          <w:tcPr>
            <w:tcW w:w="0" w:type="dxa"/>
            <w:vAlign w:val="bottom"/>
          </w:tcPr>
          <w:p>
            <w:pPr>
              <w:spacing w:after="0"/>
              <w:rPr>
                <w:sz w:val="1"/>
                <w:szCs w:val="1"/>
                <w:color w:val="auto"/>
              </w:rPr>
            </w:pPr>
          </w:p>
        </w:tc>
      </w:tr>
      <w:tr>
        <w:trPr>
          <w:trHeight w:val="187"/>
        </w:trPr>
        <w:tc>
          <w:tcPr>
            <w:tcW w:w="60" w:type="dxa"/>
            <w:vAlign w:val="bottom"/>
          </w:tcPr>
          <w:p>
            <w:pPr>
              <w:spacing w:after="0"/>
              <w:rPr>
                <w:sz w:val="16"/>
                <w:szCs w:val="16"/>
                <w:color w:val="auto"/>
              </w:rPr>
            </w:pPr>
          </w:p>
        </w:tc>
        <w:tc>
          <w:tcPr>
            <w:tcW w:w="2640" w:type="dxa"/>
            <w:vAlign w:val="bottom"/>
            <w:gridSpan w:val="3"/>
          </w:tcPr>
          <w:p>
            <w:pPr>
              <w:spacing w:after="0"/>
              <w:rPr>
                <w:sz w:val="20"/>
                <w:szCs w:val="20"/>
                <w:color w:val="auto"/>
              </w:rPr>
            </w:pPr>
            <w:r>
              <w:rPr>
                <w:rFonts w:ascii="Times New Roman" w:cs="Times New Roman" w:eastAsia="Times New Roman" w:hAnsi="Times New Roman"/>
                <w:sz w:val="15"/>
                <w:szCs w:val="15"/>
                <w:color w:val="231F20"/>
              </w:rPr>
              <w:t>Crow Canyon Commons</w:t>
            </w:r>
          </w:p>
        </w:tc>
        <w:tc>
          <w:tcPr>
            <w:tcW w:w="920" w:type="dxa"/>
            <w:vAlign w:val="bottom"/>
            <w:gridSpan w:val="2"/>
          </w:tcPr>
          <w:p>
            <w:pPr>
              <w:jc w:val="center"/>
              <w:ind w:left="4"/>
              <w:spacing w:after="0"/>
              <w:rPr>
                <w:sz w:val="20"/>
                <w:szCs w:val="20"/>
                <w:color w:val="auto"/>
              </w:rPr>
            </w:pPr>
            <w:r>
              <w:rPr>
                <w:rFonts w:ascii="Times New Roman" w:cs="Times New Roman" w:eastAsia="Times New Roman" w:hAnsi="Times New Roman"/>
                <w:sz w:val="15"/>
                <w:szCs w:val="15"/>
                <w:color w:val="231F20"/>
              </w:rPr>
              <w:t>1980, 1998,</w:t>
            </w:r>
          </w:p>
        </w:tc>
        <w:tc>
          <w:tcPr>
            <w:tcW w:w="880" w:type="dxa"/>
            <w:vAlign w:val="bottom"/>
            <w:gridSpan w:val="2"/>
          </w:tcPr>
          <w:p>
            <w:pPr>
              <w:jc w:val="center"/>
              <w:ind w:left="4"/>
              <w:spacing w:after="0"/>
              <w:rPr>
                <w:sz w:val="20"/>
                <w:szCs w:val="20"/>
                <w:color w:val="auto"/>
              </w:rPr>
            </w:pPr>
            <w:r>
              <w:rPr>
                <w:rFonts w:ascii="Times New Roman" w:cs="Times New Roman" w:eastAsia="Times New Roman" w:hAnsi="Times New Roman"/>
                <w:sz w:val="15"/>
                <w:szCs w:val="15"/>
                <w:color w:val="231F20"/>
                <w:w w:val="99"/>
              </w:rPr>
              <w:t>2005/2007</w:t>
            </w:r>
          </w:p>
        </w:tc>
        <w:tc>
          <w:tcPr>
            <w:tcW w:w="1100" w:type="dxa"/>
            <w:vAlign w:val="bottom"/>
            <w:gridSpan w:val="2"/>
          </w:tcPr>
          <w:p>
            <w:pPr>
              <w:jc w:val="center"/>
              <w:ind w:left="44"/>
              <w:spacing w:after="0"/>
              <w:rPr>
                <w:sz w:val="20"/>
                <w:szCs w:val="20"/>
                <w:color w:val="auto"/>
              </w:rPr>
            </w:pPr>
            <w:r>
              <w:rPr>
                <w:rFonts w:ascii="Times New Roman" w:cs="Times New Roman" w:eastAsia="Times New Roman" w:hAnsi="Times New Roman"/>
                <w:sz w:val="15"/>
                <w:szCs w:val="15"/>
                <w:color w:val="231F20"/>
              </w:rPr>
              <w:t>239,000</w:t>
            </w:r>
          </w:p>
        </w:tc>
        <w:tc>
          <w:tcPr>
            <w:tcW w:w="1100" w:type="dxa"/>
            <w:vAlign w:val="bottom"/>
            <w:gridSpan w:val="2"/>
          </w:tcPr>
          <w:p>
            <w:pPr>
              <w:jc w:val="center"/>
              <w:ind w:left="44"/>
              <w:spacing w:after="0"/>
              <w:rPr>
                <w:sz w:val="20"/>
                <w:szCs w:val="20"/>
                <w:color w:val="auto"/>
              </w:rPr>
            </w:pPr>
            <w:r>
              <w:rPr>
                <w:rFonts w:ascii="Times New Roman" w:cs="Times New Roman" w:eastAsia="Times New Roman" w:hAnsi="Times New Roman"/>
                <w:sz w:val="15"/>
                <w:szCs w:val="15"/>
                <w:color w:val="231F20"/>
              </w:rPr>
              <w:t>$36.98</w:t>
            </w:r>
          </w:p>
        </w:tc>
        <w:tc>
          <w:tcPr>
            <w:tcW w:w="900" w:type="dxa"/>
            <w:vAlign w:val="bottom"/>
            <w:gridSpan w:val="2"/>
          </w:tcPr>
          <w:p>
            <w:pPr>
              <w:jc w:val="center"/>
              <w:ind w:left="24"/>
              <w:spacing w:after="0"/>
              <w:rPr>
                <w:sz w:val="20"/>
                <w:szCs w:val="20"/>
                <w:color w:val="auto"/>
              </w:rPr>
            </w:pPr>
            <w:r>
              <w:rPr>
                <w:rFonts w:ascii="Times New Roman" w:cs="Times New Roman" w:eastAsia="Times New Roman" w:hAnsi="Times New Roman"/>
                <w:sz w:val="15"/>
                <w:szCs w:val="15"/>
                <w:color w:val="231F20"/>
              </w:rPr>
              <w:t>85%</w:t>
            </w:r>
          </w:p>
        </w:tc>
        <w:tc>
          <w:tcPr>
            <w:tcW w:w="80" w:type="dxa"/>
            <w:vAlign w:val="bottom"/>
          </w:tcPr>
          <w:p>
            <w:pPr>
              <w:spacing w:after="0"/>
              <w:rPr>
                <w:sz w:val="16"/>
                <w:szCs w:val="16"/>
                <w:color w:val="auto"/>
              </w:rPr>
            </w:pPr>
          </w:p>
        </w:tc>
        <w:tc>
          <w:tcPr>
            <w:tcW w:w="2040" w:type="dxa"/>
            <w:vAlign w:val="bottom"/>
          </w:tcPr>
          <w:p>
            <w:pPr>
              <w:ind w:left="40"/>
              <w:spacing w:after="0"/>
              <w:rPr>
                <w:sz w:val="20"/>
                <w:szCs w:val="20"/>
                <w:color w:val="auto"/>
              </w:rPr>
            </w:pPr>
            <w:r>
              <w:rPr>
                <w:rFonts w:ascii="Times New Roman" w:cs="Times New Roman" w:eastAsia="Times New Roman" w:hAnsi="Times New Roman"/>
                <w:sz w:val="15"/>
                <w:szCs w:val="15"/>
                <w:color w:val="231F20"/>
              </w:rPr>
              <w:t>Sprouts</w:t>
            </w: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2640" w:type="dxa"/>
            <w:vAlign w:val="bottom"/>
            <w:gridSpan w:val="3"/>
          </w:tcPr>
          <w:p>
            <w:pPr>
              <w:ind w:left="100"/>
              <w:spacing w:after="0" w:line="152" w:lineRule="exact"/>
              <w:rPr>
                <w:sz w:val="20"/>
                <w:szCs w:val="20"/>
                <w:color w:val="auto"/>
              </w:rPr>
            </w:pPr>
            <w:r>
              <w:rPr>
                <w:rFonts w:ascii="Times New Roman" w:cs="Times New Roman" w:eastAsia="Times New Roman" w:hAnsi="Times New Roman"/>
                <w:sz w:val="15"/>
                <w:szCs w:val="15"/>
                <w:color w:val="231F20"/>
              </w:rPr>
              <w:t>San Ramon, CA 94583</w:t>
            </w:r>
          </w:p>
        </w:tc>
        <w:tc>
          <w:tcPr>
            <w:tcW w:w="920" w:type="dxa"/>
            <w:vAlign w:val="bottom"/>
            <w:gridSpan w:val="2"/>
          </w:tcPr>
          <w:p>
            <w:pPr>
              <w:jc w:val="center"/>
              <w:spacing w:after="0" w:line="152" w:lineRule="exact"/>
              <w:rPr>
                <w:sz w:val="20"/>
                <w:szCs w:val="20"/>
                <w:color w:val="auto"/>
              </w:rPr>
            </w:pPr>
            <w:r>
              <w:rPr>
                <w:rFonts w:ascii="Times New Roman" w:cs="Times New Roman" w:eastAsia="Times New Roman" w:hAnsi="Times New Roman"/>
                <w:sz w:val="15"/>
                <w:szCs w:val="15"/>
                <w:color w:val="231F20"/>
                <w:w w:val="99"/>
              </w:rPr>
              <w:t>2006</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ind w:left="40"/>
              <w:spacing w:after="0" w:line="152" w:lineRule="exact"/>
              <w:rPr>
                <w:sz w:val="20"/>
                <w:szCs w:val="20"/>
                <w:color w:val="auto"/>
              </w:rPr>
            </w:pPr>
            <w:r>
              <w:rPr>
                <w:rFonts w:ascii="Times New Roman" w:cs="Times New Roman" w:eastAsia="Times New Roman" w:hAnsi="Times New Roman"/>
                <w:sz w:val="15"/>
                <w:szCs w:val="15"/>
                <w:color w:val="231F20"/>
              </w:rPr>
              <w:t>Total Wine &amp; More</w:t>
            </w: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40" w:type="dxa"/>
            <w:vAlign w:val="bottom"/>
          </w:tcPr>
          <w:p>
            <w:pPr>
              <w:ind w:left="40"/>
              <w:spacing w:after="0"/>
              <w:rPr>
                <w:sz w:val="20"/>
                <w:szCs w:val="20"/>
                <w:color w:val="auto"/>
              </w:rPr>
            </w:pPr>
            <w:r>
              <w:rPr>
                <w:rFonts w:ascii="Times New Roman" w:cs="Times New Roman" w:eastAsia="Times New Roman" w:hAnsi="Times New Roman"/>
                <w:sz w:val="15"/>
                <w:szCs w:val="15"/>
                <w:color w:val="231F20"/>
              </w:rPr>
              <w:t>Alamo Ace Hardware</w:t>
            </w:r>
          </w:p>
        </w:tc>
        <w:tc>
          <w:tcPr>
            <w:tcW w:w="0" w:type="dxa"/>
            <w:vAlign w:val="bottom"/>
          </w:tcPr>
          <w:p>
            <w:pPr>
              <w:spacing w:after="0"/>
              <w:rPr>
                <w:sz w:val="1"/>
                <w:szCs w:val="1"/>
                <w:color w:val="auto"/>
              </w:rPr>
            </w:pPr>
          </w:p>
        </w:tc>
      </w:tr>
      <w:tr>
        <w:trPr>
          <w:trHeight w:val="178"/>
        </w:trPr>
        <w:tc>
          <w:tcPr>
            <w:tcW w:w="60" w:type="dxa"/>
            <w:vAlign w:val="bottom"/>
          </w:tcPr>
          <w:p>
            <w:pPr>
              <w:spacing w:after="0"/>
              <w:rPr>
                <w:sz w:val="15"/>
                <w:szCs w:val="15"/>
                <w:color w:val="auto"/>
              </w:rPr>
            </w:pPr>
          </w:p>
        </w:tc>
        <w:tc>
          <w:tcPr>
            <w:tcW w:w="2640" w:type="dxa"/>
            <w:vAlign w:val="bottom"/>
            <w:gridSpan w:val="3"/>
          </w:tcPr>
          <w:p>
            <w:pPr>
              <w:spacing w:after="0"/>
              <w:rPr>
                <w:sz w:val="20"/>
                <w:szCs w:val="20"/>
                <w:color w:val="auto"/>
              </w:rPr>
            </w:pPr>
            <w:r>
              <w:rPr>
                <w:rFonts w:ascii="Times New Roman" w:cs="Times New Roman" w:eastAsia="Times New Roman" w:hAnsi="Times New Roman"/>
                <w:sz w:val="15"/>
                <w:szCs w:val="15"/>
                <w:color w:val="231F20"/>
              </w:rPr>
              <w:t>Del Monte Shopping Center</w:t>
            </w:r>
          </w:p>
        </w:tc>
        <w:tc>
          <w:tcPr>
            <w:tcW w:w="920" w:type="dxa"/>
            <w:vAlign w:val="bottom"/>
            <w:gridSpan w:val="2"/>
          </w:tcPr>
          <w:p>
            <w:pPr>
              <w:jc w:val="center"/>
              <w:ind w:left="4"/>
              <w:spacing w:after="0"/>
              <w:rPr>
                <w:sz w:val="20"/>
                <w:szCs w:val="20"/>
                <w:color w:val="auto"/>
              </w:rPr>
            </w:pPr>
            <w:r>
              <w:rPr>
                <w:rFonts w:ascii="Times New Roman" w:cs="Times New Roman" w:eastAsia="Times New Roman" w:hAnsi="Times New Roman"/>
                <w:sz w:val="15"/>
                <w:szCs w:val="15"/>
                <w:color w:val="231F20"/>
              </w:rPr>
              <w:t>1968, 1976,</w:t>
            </w:r>
          </w:p>
        </w:tc>
        <w:tc>
          <w:tcPr>
            <w:tcW w:w="880" w:type="dxa"/>
            <w:vAlign w:val="bottom"/>
            <w:gridSpan w:val="2"/>
          </w:tcPr>
          <w:p>
            <w:pPr>
              <w:jc w:val="center"/>
              <w:ind w:left="24"/>
              <w:spacing w:after="0"/>
              <w:rPr>
                <w:sz w:val="20"/>
                <w:szCs w:val="20"/>
                <w:color w:val="auto"/>
              </w:rPr>
            </w:pPr>
            <w:r>
              <w:rPr>
                <w:rFonts w:ascii="Times New Roman" w:cs="Times New Roman" w:eastAsia="Times New Roman" w:hAnsi="Times New Roman"/>
                <w:sz w:val="15"/>
                <w:szCs w:val="15"/>
                <w:color w:val="231F20"/>
                <w:w w:val="99"/>
              </w:rPr>
              <w:t>2025</w:t>
            </w:r>
          </w:p>
        </w:tc>
        <w:tc>
          <w:tcPr>
            <w:tcW w:w="1100" w:type="dxa"/>
            <w:vAlign w:val="bottom"/>
            <w:gridSpan w:val="2"/>
          </w:tcPr>
          <w:p>
            <w:pPr>
              <w:jc w:val="center"/>
              <w:ind w:left="44"/>
              <w:spacing w:after="0"/>
              <w:rPr>
                <w:sz w:val="20"/>
                <w:szCs w:val="20"/>
                <w:color w:val="auto"/>
              </w:rPr>
            </w:pPr>
            <w:r>
              <w:rPr>
                <w:rFonts w:ascii="Times New Roman" w:cs="Times New Roman" w:eastAsia="Times New Roman" w:hAnsi="Times New Roman"/>
                <w:sz w:val="15"/>
                <w:szCs w:val="15"/>
                <w:color w:val="231F20"/>
              </w:rPr>
              <w:t>675,000</w:t>
            </w:r>
          </w:p>
        </w:tc>
        <w:tc>
          <w:tcPr>
            <w:tcW w:w="1100" w:type="dxa"/>
            <w:vAlign w:val="bottom"/>
            <w:gridSpan w:val="2"/>
          </w:tcPr>
          <w:p>
            <w:pPr>
              <w:jc w:val="right"/>
              <w:ind w:right="224"/>
              <w:spacing w:after="0"/>
              <w:rPr>
                <w:sz w:val="20"/>
                <w:szCs w:val="20"/>
                <w:color w:val="auto"/>
              </w:rPr>
            </w:pPr>
            <w:r>
              <w:rPr>
                <w:rFonts w:ascii="Times New Roman" w:cs="Times New Roman" w:eastAsia="Times New Roman" w:hAnsi="Times New Roman"/>
                <w:sz w:val="15"/>
                <w:szCs w:val="15"/>
                <w:color w:val="231F20"/>
              </w:rPr>
              <w:t>$18.82</w:t>
            </w:r>
          </w:p>
        </w:tc>
        <w:tc>
          <w:tcPr>
            <w:tcW w:w="900" w:type="dxa"/>
            <w:vAlign w:val="bottom"/>
            <w:gridSpan w:val="2"/>
          </w:tcPr>
          <w:p>
            <w:pPr>
              <w:jc w:val="center"/>
              <w:ind w:left="24"/>
              <w:spacing w:after="0"/>
              <w:rPr>
                <w:sz w:val="20"/>
                <w:szCs w:val="20"/>
                <w:color w:val="auto"/>
              </w:rPr>
            </w:pPr>
            <w:r>
              <w:rPr>
                <w:rFonts w:ascii="Times New Roman" w:cs="Times New Roman" w:eastAsia="Times New Roman" w:hAnsi="Times New Roman"/>
                <w:sz w:val="15"/>
                <w:szCs w:val="15"/>
                <w:color w:val="231F20"/>
              </w:rPr>
              <w:t>80%</w:t>
            </w:r>
          </w:p>
        </w:tc>
        <w:tc>
          <w:tcPr>
            <w:tcW w:w="80" w:type="dxa"/>
            <w:vAlign w:val="bottom"/>
          </w:tcPr>
          <w:p>
            <w:pPr>
              <w:spacing w:after="0"/>
              <w:rPr>
                <w:sz w:val="15"/>
                <w:szCs w:val="15"/>
                <w:color w:val="auto"/>
              </w:rPr>
            </w:pPr>
          </w:p>
        </w:tc>
        <w:tc>
          <w:tcPr>
            <w:tcW w:w="2040" w:type="dxa"/>
            <w:vAlign w:val="bottom"/>
          </w:tcPr>
          <w:p>
            <w:pPr>
              <w:ind w:left="40"/>
              <w:spacing w:after="0"/>
              <w:rPr>
                <w:sz w:val="20"/>
                <w:szCs w:val="20"/>
                <w:color w:val="auto"/>
              </w:rPr>
            </w:pPr>
            <w:r>
              <w:rPr>
                <w:rFonts w:ascii="Times New Roman" w:cs="Times New Roman" w:eastAsia="Times New Roman" w:hAnsi="Times New Roman"/>
                <w:sz w:val="15"/>
                <w:szCs w:val="15"/>
                <w:color w:val="231F20"/>
              </w:rPr>
              <w:t>Whole Foods</w:t>
            </w: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2640" w:type="dxa"/>
            <w:vAlign w:val="bottom"/>
            <w:gridSpan w:val="3"/>
          </w:tcPr>
          <w:p>
            <w:pPr>
              <w:ind w:left="100"/>
              <w:spacing w:after="0" w:line="152" w:lineRule="exact"/>
              <w:rPr>
                <w:sz w:val="20"/>
                <w:szCs w:val="20"/>
                <w:color w:val="auto"/>
              </w:rPr>
            </w:pPr>
            <w:r>
              <w:rPr>
                <w:rFonts w:ascii="Times New Roman" w:cs="Times New Roman" w:eastAsia="Times New Roman" w:hAnsi="Times New Roman"/>
                <w:sz w:val="15"/>
                <w:szCs w:val="15"/>
                <w:color w:val="231F20"/>
              </w:rPr>
              <w:t>Monterey, CA 93940</w:t>
            </w:r>
          </w:p>
        </w:tc>
        <w:tc>
          <w:tcPr>
            <w:tcW w:w="920" w:type="dxa"/>
            <w:vAlign w:val="bottom"/>
            <w:gridSpan w:val="2"/>
          </w:tcPr>
          <w:p>
            <w:pPr>
              <w:jc w:val="center"/>
              <w:ind w:left="4"/>
              <w:spacing w:after="0" w:line="152" w:lineRule="exact"/>
              <w:rPr>
                <w:sz w:val="20"/>
                <w:szCs w:val="20"/>
                <w:color w:val="auto"/>
              </w:rPr>
            </w:pPr>
            <w:r>
              <w:rPr>
                <w:rFonts w:ascii="Times New Roman" w:cs="Times New Roman" w:eastAsia="Times New Roman" w:hAnsi="Times New Roman"/>
                <w:sz w:val="15"/>
                <w:szCs w:val="15"/>
                <w:color w:val="231F20"/>
              </w:rPr>
              <w:t>1984, 2004</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ind w:left="40"/>
              <w:spacing w:after="0" w:line="152" w:lineRule="exact"/>
              <w:rPr>
                <w:sz w:val="20"/>
                <w:szCs w:val="20"/>
                <w:color w:val="auto"/>
              </w:rPr>
            </w:pPr>
            <w:r>
              <w:rPr>
                <w:rFonts w:ascii="Times New Roman" w:cs="Times New Roman" w:eastAsia="Times New Roman" w:hAnsi="Times New Roman"/>
                <w:sz w:val="15"/>
                <w:szCs w:val="15"/>
                <w:color w:val="231F20"/>
              </w:rPr>
              <w:t>Macy's</w:t>
            </w: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ind w:left="40"/>
              <w:spacing w:after="0" w:line="152" w:lineRule="exact"/>
              <w:rPr>
                <w:sz w:val="20"/>
                <w:szCs w:val="20"/>
                <w:color w:val="auto"/>
              </w:rPr>
            </w:pPr>
            <w:r>
              <w:rPr>
                <w:rFonts w:ascii="Times New Roman" w:cs="Times New Roman" w:eastAsia="Times New Roman" w:hAnsi="Times New Roman"/>
                <w:sz w:val="15"/>
                <w:szCs w:val="15"/>
                <w:color w:val="231F20"/>
              </w:rPr>
              <w:t>Petco</w:t>
            </w: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ind w:left="40"/>
              <w:spacing w:after="0" w:line="152" w:lineRule="exact"/>
              <w:rPr>
                <w:sz w:val="20"/>
                <w:szCs w:val="20"/>
                <w:color w:val="auto"/>
              </w:rPr>
            </w:pPr>
            <w:r>
              <w:rPr>
                <w:rFonts w:ascii="Times New Roman" w:cs="Times New Roman" w:eastAsia="Times New Roman" w:hAnsi="Times New Roman"/>
                <w:sz w:val="15"/>
                <w:szCs w:val="15"/>
                <w:color w:val="231F20"/>
              </w:rPr>
              <w:t>Pottery Barn</w:t>
            </w: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ind w:left="40"/>
              <w:spacing w:after="0" w:line="152" w:lineRule="exact"/>
              <w:rPr>
                <w:sz w:val="20"/>
                <w:szCs w:val="20"/>
                <w:color w:val="auto"/>
              </w:rPr>
            </w:pPr>
            <w:r>
              <w:rPr>
                <w:rFonts w:ascii="Times New Roman" w:cs="Times New Roman" w:eastAsia="Times New Roman" w:hAnsi="Times New Roman"/>
                <w:sz w:val="15"/>
                <w:szCs w:val="15"/>
                <w:color w:val="231F20"/>
              </w:rPr>
              <w:t>Apple</w:t>
            </w: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40" w:type="dxa"/>
            <w:vAlign w:val="bottom"/>
          </w:tcPr>
          <w:p>
            <w:pPr>
              <w:ind w:left="40"/>
              <w:spacing w:after="0"/>
              <w:rPr>
                <w:sz w:val="20"/>
                <w:szCs w:val="20"/>
                <w:color w:val="auto"/>
              </w:rPr>
            </w:pPr>
            <w:r>
              <w:rPr>
                <w:rFonts w:ascii="Times New Roman" w:cs="Times New Roman" w:eastAsia="Times New Roman" w:hAnsi="Times New Roman"/>
                <w:sz w:val="15"/>
                <w:szCs w:val="15"/>
                <w:color w:val="231F20"/>
              </w:rPr>
              <w:t>Sephora</w:t>
            </w:r>
          </w:p>
        </w:tc>
        <w:tc>
          <w:tcPr>
            <w:tcW w:w="0" w:type="dxa"/>
            <w:vAlign w:val="bottom"/>
          </w:tcPr>
          <w:p>
            <w:pPr>
              <w:spacing w:after="0"/>
              <w:rPr>
                <w:sz w:val="1"/>
                <w:szCs w:val="1"/>
                <w:color w:val="auto"/>
              </w:rPr>
            </w:pPr>
          </w:p>
        </w:tc>
      </w:tr>
      <w:tr>
        <w:trPr>
          <w:trHeight w:val="178"/>
        </w:trPr>
        <w:tc>
          <w:tcPr>
            <w:tcW w:w="60" w:type="dxa"/>
            <w:vAlign w:val="bottom"/>
          </w:tcPr>
          <w:p>
            <w:pPr>
              <w:spacing w:after="0"/>
              <w:rPr>
                <w:sz w:val="15"/>
                <w:szCs w:val="15"/>
                <w:color w:val="auto"/>
              </w:rPr>
            </w:pPr>
          </w:p>
        </w:tc>
        <w:tc>
          <w:tcPr>
            <w:tcW w:w="2640" w:type="dxa"/>
            <w:vAlign w:val="bottom"/>
            <w:gridSpan w:val="3"/>
          </w:tcPr>
          <w:p>
            <w:pPr>
              <w:spacing w:after="0"/>
              <w:rPr>
                <w:sz w:val="20"/>
                <w:szCs w:val="20"/>
                <w:color w:val="auto"/>
              </w:rPr>
            </w:pPr>
            <w:r>
              <w:rPr>
                <w:rFonts w:ascii="Times New Roman" w:cs="Times New Roman" w:eastAsia="Times New Roman" w:hAnsi="Times New Roman"/>
                <w:sz w:val="15"/>
                <w:szCs w:val="15"/>
                <w:color w:val="231F20"/>
              </w:rPr>
              <w:t>East Bay Bridge</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231F20"/>
              </w:rPr>
              <w:t>1994-2001,</w:t>
            </w:r>
          </w:p>
        </w:tc>
        <w:tc>
          <w:tcPr>
            <w:tcW w:w="880" w:type="dxa"/>
            <w:vAlign w:val="bottom"/>
            <w:gridSpan w:val="2"/>
          </w:tcPr>
          <w:p>
            <w:pPr>
              <w:jc w:val="center"/>
              <w:ind w:left="24"/>
              <w:spacing w:after="0"/>
              <w:rPr>
                <w:sz w:val="20"/>
                <w:szCs w:val="20"/>
                <w:color w:val="auto"/>
              </w:rPr>
            </w:pPr>
            <w:r>
              <w:rPr>
                <w:rFonts w:ascii="Times New Roman" w:cs="Times New Roman" w:eastAsia="Times New Roman" w:hAnsi="Times New Roman"/>
                <w:sz w:val="15"/>
                <w:szCs w:val="15"/>
                <w:color w:val="231F20"/>
                <w:w w:val="99"/>
              </w:rPr>
              <w:t>2012</w:t>
            </w:r>
          </w:p>
        </w:tc>
        <w:tc>
          <w:tcPr>
            <w:tcW w:w="1100" w:type="dxa"/>
            <w:vAlign w:val="bottom"/>
            <w:gridSpan w:val="2"/>
          </w:tcPr>
          <w:p>
            <w:pPr>
              <w:jc w:val="center"/>
              <w:ind w:left="44"/>
              <w:spacing w:after="0"/>
              <w:rPr>
                <w:sz w:val="20"/>
                <w:szCs w:val="20"/>
                <w:color w:val="auto"/>
              </w:rPr>
            </w:pPr>
            <w:r>
              <w:rPr>
                <w:rFonts w:ascii="Times New Roman" w:cs="Times New Roman" w:eastAsia="Times New Roman" w:hAnsi="Times New Roman"/>
                <w:sz w:val="15"/>
                <w:szCs w:val="15"/>
                <w:color w:val="231F20"/>
              </w:rPr>
              <w:t>441,000</w:t>
            </w:r>
          </w:p>
        </w:tc>
        <w:tc>
          <w:tcPr>
            <w:tcW w:w="1100" w:type="dxa"/>
            <w:vAlign w:val="bottom"/>
            <w:gridSpan w:val="2"/>
          </w:tcPr>
          <w:p>
            <w:pPr>
              <w:jc w:val="center"/>
              <w:ind w:left="44"/>
              <w:spacing w:after="0"/>
              <w:rPr>
                <w:sz w:val="20"/>
                <w:szCs w:val="20"/>
                <w:color w:val="auto"/>
              </w:rPr>
            </w:pPr>
            <w:r>
              <w:rPr>
                <w:rFonts w:ascii="Times New Roman" w:cs="Times New Roman" w:eastAsia="Times New Roman" w:hAnsi="Times New Roman"/>
                <w:sz w:val="15"/>
                <w:szCs w:val="15"/>
                <w:color w:val="231F20"/>
              </w:rPr>
              <w:t>$20.93</w:t>
            </w:r>
          </w:p>
        </w:tc>
        <w:tc>
          <w:tcPr>
            <w:tcW w:w="900" w:type="dxa"/>
            <w:vAlign w:val="bottom"/>
            <w:gridSpan w:val="2"/>
          </w:tcPr>
          <w:p>
            <w:pPr>
              <w:jc w:val="center"/>
              <w:ind w:left="24"/>
              <w:spacing w:after="0"/>
              <w:rPr>
                <w:sz w:val="20"/>
                <w:szCs w:val="20"/>
                <w:color w:val="auto"/>
              </w:rPr>
            </w:pPr>
            <w:r>
              <w:rPr>
                <w:rFonts w:ascii="Times New Roman" w:cs="Times New Roman" w:eastAsia="Times New Roman" w:hAnsi="Times New Roman"/>
                <w:sz w:val="15"/>
                <w:szCs w:val="15"/>
                <w:color w:val="231F20"/>
              </w:rPr>
              <w:t>98%</w:t>
            </w:r>
          </w:p>
        </w:tc>
        <w:tc>
          <w:tcPr>
            <w:tcW w:w="80" w:type="dxa"/>
            <w:vAlign w:val="bottom"/>
          </w:tcPr>
          <w:p>
            <w:pPr>
              <w:spacing w:after="0"/>
              <w:rPr>
                <w:sz w:val="15"/>
                <w:szCs w:val="15"/>
                <w:color w:val="auto"/>
              </w:rPr>
            </w:pPr>
          </w:p>
        </w:tc>
        <w:tc>
          <w:tcPr>
            <w:tcW w:w="2040" w:type="dxa"/>
            <w:vAlign w:val="bottom"/>
          </w:tcPr>
          <w:p>
            <w:pPr>
              <w:ind w:left="40"/>
              <w:spacing w:after="0"/>
              <w:rPr>
                <w:sz w:val="20"/>
                <w:szCs w:val="20"/>
                <w:color w:val="auto"/>
              </w:rPr>
            </w:pPr>
            <w:r>
              <w:rPr>
                <w:rFonts w:ascii="Times New Roman" w:cs="Times New Roman" w:eastAsia="Times New Roman" w:hAnsi="Times New Roman"/>
                <w:sz w:val="15"/>
                <w:szCs w:val="15"/>
                <w:color w:val="231F20"/>
              </w:rPr>
              <w:t>Pak-N-Save</w:t>
            </w: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2640" w:type="dxa"/>
            <w:vAlign w:val="bottom"/>
            <w:gridSpan w:val="3"/>
          </w:tcPr>
          <w:p>
            <w:pPr>
              <w:ind w:left="100"/>
              <w:spacing w:after="0" w:line="152" w:lineRule="exact"/>
              <w:rPr>
                <w:sz w:val="20"/>
                <w:szCs w:val="20"/>
                <w:color w:val="auto"/>
              </w:rPr>
            </w:pPr>
            <w:r>
              <w:rPr>
                <w:rFonts w:ascii="Times New Roman" w:cs="Times New Roman" w:eastAsia="Times New Roman" w:hAnsi="Times New Roman"/>
                <w:sz w:val="15"/>
                <w:szCs w:val="15"/>
                <w:color w:val="231F20"/>
              </w:rPr>
              <w:t>Emeryville &amp; Oakland, CA 94608</w:t>
            </w:r>
          </w:p>
        </w:tc>
        <w:tc>
          <w:tcPr>
            <w:tcW w:w="920" w:type="dxa"/>
            <w:vAlign w:val="bottom"/>
            <w:gridSpan w:val="2"/>
          </w:tcPr>
          <w:p>
            <w:pPr>
              <w:jc w:val="center"/>
              <w:ind w:left="4"/>
              <w:spacing w:after="0" w:line="152" w:lineRule="exact"/>
              <w:rPr>
                <w:sz w:val="20"/>
                <w:szCs w:val="20"/>
                <w:color w:val="auto"/>
              </w:rPr>
            </w:pPr>
            <w:r>
              <w:rPr>
                <w:rFonts w:ascii="Times New Roman" w:cs="Times New Roman" w:eastAsia="Times New Roman" w:hAnsi="Times New Roman"/>
                <w:sz w:val="15"/>
                <w:szCs w:val="15"/>
                <w:color w:val="231F20"/>
              </w:rPr>
              <w:t>2011, 2012</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ind w:left="40"/>
              <w:spacing w:after="0" w:line="152" w:lineRule="exact"/>
              <w:rPr>
                <w:sz w:val="20"/>
                <w:szCs w:val="20"/>
                <w:color w:val="auto"/>
              </w:rPr>
            </w:pPr>
            <w:r>
              <w:rPr>
                <w:rFonts w:ascii="Times New Roman" w:cs="Times New Roman" w:eastAsia="Times New Roman" w:hAnsi="Times New Roman"/>
                <w:sz w:val="15"/>
                <w:szCs w:val="15"/>
                <w:color w:val="231F20"/>
              </w:rPr>
              <w:t>Target</w:t>
            </w: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ind w:left="40"/>
              <w:spacing w:after="0" w:line="152" w:lineRule="exact"/>
              <w:rPr>
                <w:sz w:val="20"/>
                <w:szCs w:val="20"/>
                <w:color w:val="auto"/>
              </w:rPr>
            </w:pPr>
            <w:r>
              <w:rPr>
                <w:rFonts w:ascii="Times New Roman" w:cs="Times New Roman" w:eastAsia="Times New Roman" w:hAnsi="Times New Roman"/>
                <w:sz w:val="15"/>
                <w:szCs w:val="15"/>
                <w:color w:val="231F20"/>
              </w:rPr>
              <w:t>Home Depot</w:t>
            </w: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ind w:left="40"/>
              <w:spacing w:after="0" w:line="152" w:lineRule="exact"/>
              <w:rPr>
                <w:sz w:val="20"/>
                <w:szCs w:val="20"/>
                <w:color w:val="auto"/>
              </w:rPr>
            </w:pPr>
            <w:r>
              <w:rPr>
                <w:rFonts w:ascii="Times New Roman" w:cs="Times New Roman" w:eastAsia="Times New Roman" w:hAnsi="Times New Roman"/>
                <w:sz w:val="15"/>
                <w:szCs w:val="15"/>
                <w:color w:val="231F20"/>
              </w:rPr>
              <w:t>Nordstrom Rack</w:t>
            </w:r>
          </w:p>
        </w:tc>
        <w:tc>
          <w:tcPr>
            <w:tcW w:w="0" w:type="dxa"/>
            <w:vAlign w:val="bottom"/>
          </w:tcPr>
          <w:p>
            <w:pPr>
              <w:spacing w:after="0"/>
              <w:rPr>
                <w:sz w:val="1"/>
                <w:szCs w:val="1"/>
                <w:color w:val="auto"/>
              </w:rPr>
            </w:pPr>
          </w:p>
        </w:tc>
      </w:tr>
      <w:tr>
        <w:trPr>
          <w:trHeight w:val="190"/>
        </w:trPr>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40" w:type="dxa"/>
            <w:vAlign w:val="bottom"/>
          </w:tcPr>
          <w:p>
            <w:pPr>
              <w:ind w:left="40"/>
              <w:spacing w:after="0"/>
              <w:rPr>
                <w:sz w:val="20"/>
                <w:szCs w:val="20"/>
                <w:color w:val="auto"/>
              </w:rPr>
            </w:pPr>
            <w:r>
              <w:rPr>
                <w:rFonts w:ascii="Times New Roman" w:cs="Times New Roman" w:eastAsia="Times New Roman" w:hAnsi="Times New Roman"/>
                <w:sz w:val="15"/>
                <w:szCs w:val="15"/>
                <w:color w:val="231F20"/>
              </w:rPr>
              <w:t>Michaels</w:t>
            </w: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2640" w:type="dxa"/>
            <w:vAlign w:val="bottom"/>
            <w:gridSpan w:val="3"/>
          </w:tcPr>
          <w:p>
            <w:pPr>
              <w:spacing w:after="0" w:line="152" w:lineRule="exact"/>
              <w:rPr>
                <w:sz w:val="20"/>
                <w:szCs w:val="20"/>
                <w:color w:val="auto"/>
              </w:rPr>
            </w:pPr>
            <w:r>
              <w:rPr>
                <w:rFonts w:ascii="Times New Roman" w:cs="Times New Roman" w:eastAsia="Times New Roman" w:hAnsi="Times New Roman"/>
                <w:sz w:val="15"/>
                <w:szCs w:val="15"/>
                <w:color w:val="231F20"/>
              </w:rPr>
              <w:t>Escondido Promenade</w:t>
            </w:r>
          </w:p>
        </w:tc>
        <w:tc>
          <w:tcPr>
            <w:tcW w:w="920" w:type="dxa"/>
            <w:vAlign w:val="bottom"/>
            <w:gridSpan w:val="2"/>
          </w:tcPr>
          <w:p>
            <w:pPr>
              <w:jc w:val="center"/>
              <w:spacing w:after="0" w:line="152" w:lineRule="exact"/>
              <w:rPr>
                <w:sz w:val="20"/>
                <w:szCs w:val="20"/>
                <w:color w:val="auto"/>
              </w:rPr>
            </w:pPr>
            <w:r>
              <w:rPr>
                <w:rFonts w:ascii="Times New Roman" w:cs="Times New Roman" w:eastAsia="Times New Roman" w:hAnsi="Times New Roman"/>
                <w:sz w:val="15"/>
                <w:szCs w:val="15"/>
                <w:color w:val="231F20"/>
                <w:w w:val="99"/>
              </w:rPr>
              <w:t>1987</w:t>
            </w:r>
          </w:p>
        </w:tc>
        <w:tc>
          <w:tcPr>
            <w:tcW w:w="880" w:type="dxa"/>
            <w:vAlign w:val="bottom"/>
            <w:gridSpan w:val="2"/>
          </w:tcPr>
          <w:p>
            <w:pPr>
              <w:jc w:val="center"/>
              <w:ind w:left="4"/>
              <w:spacing w:after="0" w:line="152" w:lineRule="exact"/>
              <w:rPr>
                <w:sz w:val="20"/>
                <w:szCs w:val="20"/>
                <w:color w:val="auto"/>
              </w:rPr>
            </w:pPr>
            <w:r>
              <w:rPr>
                <w:rFonts w:ascii="Times New Roman" w:cs="Times New Roman" w:eastAsia="Times New Roman" w:hAnsi="Times New Roman"/>
                <w:sz w:val="15"/>
                <w:szCs w:val="15"/>
                <w:color w:val="231F20"/>
                <w:w w:val="99"/>
              </w:rPr>
              <w:t>1996/2010</w:t>
            </w:r>
          </w:p>
        </w:tc>
        <w:tc>
          <w:tcPr>
            <w:tcW w:w="1100" w:type="dxa"/>
            <w:vAlign w:val="bottom"/>
            <w:gridSpan w:val="2"/>
          </w:tcPr>
          <w:p>
            <w:pPr>
              <w:jc w:val="center"/>
              <w:ind w:left="44"/>
              <w:spacing w:after="0" w:line="152" w:lineRule="exact"/>
              <w:rPr>
                <w:sz w:val="20"/>
                <w:szCs w:val="20"/>
                <w:color w:val="auto"/>
              </w:rPr>
            </w:pPr>
            <w:r>
              <w:rPr>
                <w:rFonts w:ascii="Times New Roman" w:cs="Times New Roman" w:eastAsia="Times New Roman" w:hAnsi="Times New Roman"/>
                <w:sz w:val="15"/>
                <w:szCs w:val="15"/>
                <w:color w:val="231F20"/>
              </w:rPr>
              <w:t>298,000</w:t>
            </w:r>
          </w:p>
        </w:tc>
        <w:tc>
          <w:tcPr>
            <w:tcW w:w="1100" w:type="dxa"/>
            <w:vAlign w:val="bottom"/>
            <w:gridSpan w:val="2"/>
          </w:tcPr>
          <w:p>
            <w:pPr>
              <w:jc w:val="center"/>
              <w:ind w:left="44"/>
              <w:spacing w:after="0" w:line="152" w:lineRule="exact"/>
              <w:rPr>
                <w:sz w:val="20"/>
                <w:szCs w:val="20"/>
                <w:color w:val="auto"/>
              </w:rPr>
            </w:pPr>
            <w:r>
              <w:rPr>
                <w:rFonts w:ascii="Times New Roman" w:cs="Times New Roman" w:eastAsia="Times New Roman" w:hAnsi="Times New Roman"/>
                <w:sz w:val="15"/>
                <w:szCs w:val="15"/>
                <w:color w:val="231F20"/>
              </w:rPr>
              <w:t>$32.01</w:t>
            </w:r>
          </w:p>
        </w:tc>
        <w:tc>
          <w:tcPr>
            <w:tcW w:w="900" w:type="dxa"/>
            <w:vAlign w:val="bottom"/>
            <w:gridSpan w:val="2"/>
          </w:tcPr>
          <w:p>
            <w:pPr>
              <w:jc w:val="center"/>
              <w:ind w:left="24"/>
              <w:spacing w:after="0" w:line="152" w:lineRule="exact"/>
              <w:rPr>
                <w:sz w:val="20"/>
                <w:szCs w:val="20"/>
                <w:color w:val="auto"/>
              </w:rPr>
            </w:pPr>
            <w:r>
              <w:rPr>
                <w:rFonts w:ascii="Times New Roman" w:cs="Times New Roman" w:eastAsia="Times New Roman" w:hAnsi="Times New Roman"/>
                <w:sz w:val="15"/>
                <w:szCs w:val="15"/>
                <w:color w:val="231F20"/>
              </w:rPr>
              <w:t>100%</w:t>
            </w:r>
          </w:p>
        </w:tc>
        <w:tc>
          <w:tcPr>
            <w:tcW w:w="80" w:type="dxa"/>
            <w:vAlign w:val="bottom"/>
          </w:tcPr>
          <w:p>
            <w:pPr>
              <w:spacing w:after="0"/>
              <w:rPr>
                <w:sz w:val="13"/>
                <w:szCs w:val="13"/>
                <w:color w:val="auto"/>
              </w:rPr>
            </w:pPr>
          </w:p>
        </w:tc>
        <w:tc>
          <w:tcPr>
            <w:tcW w:w="2040" w:type="dxa"/>
            <w:vAlign w:val="bottom"/>
          </w:tcPr>
          <w:p>
            <w:pPr>
              <w:ind w:left="40"/>
              <w:spacing w:after="0" w:line="152" w:lineRule="exact"/>
              <w:rPr>
                <w:sz w:val="20"/>
                <w:szCs w:val="20"/>
                <w:color w:val="auto"/>
              </w:rPr>
            </w:pPr>
            <w:r>
              <w:rPr>
                <w:rFonts w:ascii="Times New Roman" w:cs="Times New Roman" w:eastAsia="Times New Roman" w:hAnsi="Times New Roman"/>
                <w:sz w:val="15"/>
                <w:szCs w:val="15"/>
                <w:color w:val="231F20"/>
              </w:rPr>
              <w:t>TJ Maxx</w:t>
            </w: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2640" w:type="dxa"/>
            <w:vAlign w:val="bottom"/>
            <w:gridSpan w:val="3"/>
          </w:tcPr>
          <w:p>
            <w:pPr>
              <w:ind w:left="100"/>
              <w:spacing w:after="0" w:line="152" w:lineRule="exact"/>
              <w:rPr>
                <w:sz w:val="20"/>
                <w:szCs w:val="20"/>
                <w:color w:val="auto"/>
              </w:rPr>
            </w:pPr>
            <w:r>
              <w:rPr>
                <w:rFonts w:ascii="Times New Roman" w:cs="Times New Roman" w:eastAsia="Times New Roman" w:hAnsi="Times New Roman"/>
                <w:sz w:val="15"/>
                <w:szCs w:val="15"/>
                <w:color w:val="231F20"/>
              </w:rPr>
              <w:t>Escondido, CA 92029</w:t>
            </w: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ind w:left="40"/>
              <w:spacing w:after="0" w:line="152" w:lineRule="exact"/>
              <w:rPr>
                <w:sz w:val="20"/>
                <w:szCs w:val="20"/>
                <w:color w:val="auto"/>
              </w:rPr>
            </w:pPr>
            <w:r>
              <w:rPr>
                <w:rFonts w:ascii="Times New Roman" w:cs="Times New Roman" w:eastAsia="Times New Roman" w:hAnsi="Times New Roman"/>
                <w:sz w:val="15"/>
                <w:szCs w:val="15"/>
                <w:color w:val="231F20"/>
              </w:rPr>
              <w:t>Dick's Sporting Goods</w:t>
            </w: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ind w:left="40"/>
              <w:spacing w:after="0" w:line="152" w:lineRule="exact"/>
              <w:rPr>
                <w:sz w:val="20"/>
                <w:szCs w:val="20"/>
                <w:color w:val="auto"/>
              </w:rPr>
            </w:pPr>
            <w:r>
              <w:rPr>
                <w:rFonts w:ascii="Times New Roman" w:cs="Times New Roman" w:eastAsia="Times New Roman" w:hAnsi="Times New Roman"/>
                <w:sz w:val="15"/>
                <w:szCs w:val="15"/>
                <w:color w:val="231F20"/>
              </w:rPr>
              <w:t>Ross Dress for Less</w:t>
            </w: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40" w:type="dxa"/>
            <w:vAlign w:val="bottom"/>
          </w:tcPr>
          <w:p>
            <w:pPr>
              <w:ind w:left="40"/>
              <w:spacing w:after="0"/>
              <w:rPr>
                <w:sz w:val="20"/>
                <w:szCs w:val="20"/>
                <w:color w:val="auto"/>
              </w:rPr>
            </w:pPr>
            <w:r>
              <w:rPr>
                <w:rFonts w:ascii="Times New Roman" w:cs="Times New Roman" w:eastAsia="Times New Roman" w:hAnsi="Times New Roman"/>
                <w:sz w:val="15"/>
                <w:szCs w:val="15"/>
                <w:color w:val="231F20"/>
              </w:rPr>
              <w:t>Bob's Discount Furniture</w:t>
            </w:r>
          </w:p>
        </w:tc>
        <w:tc>
          <w:tcPr>
            <w:tcW w:w="0" w:type="dxa"/>
            <w:vAlign w:val="bottom"/>
          </w:tcPr>
          <w:p>
            <w:pPr>
              <w:spacing w:after="0"/>
              <w:rPr>
                <w:sz w:val="1"/>
                <w:szCs w:val="1"/>
                <w:color w:val="auto"/>
              </w:rPr>
            </w:pPr>
          </w:p>
        </w:tc>
      </w:tr>
      <w:tr>
        <w:trPr>
          <w:trHeight w:val="168"/>
        </w:trPr>
        <w:tc>
          <w:tcPr>
            <w:tcW w:w="60" w:type="dxa"/>
            <w:vAlign w:val="bottom"/>
          </w:tcPr>
          <w:p>
            <w:pPr>
              <w:spacing w:after="0"/>
              <w:rPr>
                <w:sz w:val="14"/>
                <w:szCs w:val="14"/>
                <w:color w:val="auto"/>
              </w:rPr>
            </w:pPr>
          </w:p>
        </w:tc>
        <w:tc>
          <w:tcPr>
            <w:tcW w:w="2640" w:type="dxa"/>
            <w:vAlign w:val="bottom"/>
            <w:gridSpan w:val="3"/>
          </w:tcPr>
          <w:p>
            <w:pPr>
              <w:spacing w:after="0" w:line="169" w:lineRule="exact"/>
              <w:rPr>
                <w:sz w:val="20"/>
                <w:szCs w:val="20"/>
                <w:color w:val="auto"/>
              </w:rPr>
            </w:pPr>
            <w:r>
              <w:rPr>
                <w:rFonts w:ascii="Times New Roman" w:cs="Times New Roman" w:eastAsia="Times New Roman" w:hAnsi="Times New Roman"/>
                <w:sz w:val="15"/>
                <w:szCs w:val="15"/>
                <w:color w:val="231F20"/>
              </w:rPr>
              <w:t>Fourth Street</w:t>
            </w:r>
          </w:p>
        </w:tc>
        <w:tc>
          <w:tcPr>
            <w:tcW w:w="920" w:type="dxa"/>
            <w:vAlign w:val="bottom"/>
            <w:gridSpan w:val="2"/>
          </w:tcPr>
          <w:p>
            <w:pPr>
              <w:jc w:val="center"/>
              <w:ind w:left="4"/>
              <w:spacing w:after="0" w:line="169" w:lineRule="exact"/>
              <w:rPr>
                <w:sz w:val="20"/>
                <w:szCs w:val="20"/>
                <w:color w:val="auto"/>
              </w:rPr>
            </w:pPr>
            <w:r>
              <w:rPr>
                <w:rFonts w:ascii="Times New Roman" w:cs="Times New Roman" w:eastAsia="Times New Roman" w:hAnsi="Times New Roman"/>
                <w:sz w:val="15"/>
                <w:szCs w:val="15"/>
                <w:color w:val="231F20"/>
              </w:rPr>
              <w:t>1948, 1975</w:t>
            </w:r>
          </w:p>
        </w:tc>
        <w:tc>
          <w:tcPr>
            <w:tcW w:w="880" w:type="dxa"/>
            <w:vAlign w:val="bottom"/>
            <w:gridSpan w:val="2"/>
          </w:tcPr>
          <w:p>
            <w:pPr>
              <w:jc w:val="center"/>
              <w:ind w:left="24"/>
              <w:spacing w:after="0" w:line="169" w:lineRule="exact"/>
              <w:rPr>
                <w:sz w:val="20"/>
                <w:szCs w:val="20"/>
                <w:color w:val="auto"/>
              </w:rPr>
            </w:pPr>
            <w:r>
              <w:rPr>
                <w:rFonts w:ascii="Times New Roman" w:cs="Times New Roman" w:eastAsia="Times New Roman" w:hAnsi="Times New Roman"/>
                <w:sz w:val="15"/>
                <w:szCs w:val="15"/>
                <w:color w:val="231F20"/>
                <w:w w:val="99"/>
              </w:rPr>
              <w:t>2017</w:t>
            </w:r>
          </w:p>
        </w:tc>
        <w:tc>
          <w:tcPr>
            <w:tcW w:w="1100" w:type="dxa"/>
            <w:vAlign w:val="bottom"/>
            <w:gridSpan w:val="2"/>
          </w:tcPr>
          <w:p>
            <w:pPr>
              <w:jc w:val="center"/>
              <w:ind w:left="44"/>
              <w:spacing w:after="0" w:line="169" w:lineRule="exact"/>
              <w:rPr>
                <w:sz w:val="20"/>
                <w:szCs w:val="20"/>
                <w:color w:val="auto"/>
              </w:rPr>
            </w:pPr>
            <w:r>
              <w:rPr>
                <w:rFonts w:ascii="Times New Roman" w:cs="Times New Roman" w:eastAsia="Times New Roman" w:hAnsi="Times New Roman"/>
                <w:sz w:val="15"/>
                <w:szCs w:val="15"/>
                <w:color w:val="231F20"/>
              </w:rPr>
              <w:t>71,000</w:t>
            </w:r>
          </w:p>
        </w:tc>
        <w:tc>
          <w:tcPr>
            <w:tcW w:w="1100" w:type="dxa"/>
            <w:vAlign w:val="bottom"/>
            <w:gridSpan w:val="2"/>
          </w:tcPr>
          <w:p>
            <w:pPr>
              <w:jc w:val="center"/>
              <w:ind w:left="44"/>
              <w:spacing w:after="0" w:line="169" w:lineRule="exact"/>
              <w:rPr>
                <w:sz w:val="20"/>
                <w:szCs w:val="20"/>
                <w:color w:val="auto"/>
              </w:rPr>
            </w:pPr>
            <w:r>
              <w:rPr>
                <w:rFonts w:ascii="Times New Roman" w:cs="Times New Roman" w:eastAsia="Times New Roman" w:hAnsi="Times New Roman"/>
                <w:sz w:val="15"/>
                <w:szCs w:val="15"/>
                <w:color w:val="231F20"/>
              </w:rPr>
              <w:t>$41.11</w:t>
            </w:r>
          </w:p>
        </w:tc>
        <w:tc>
          <w:tcPr>
            <w:tcW w:w="900" w:type="dxa"/>
            <w:vAlign w:val="bottom"/>
            <w:gridSpan w:val="2"/>
          </w:tcPr>
          <w:p>
            <w:pPr>
              <w:jc w:val="center"/>
              <w:ind w:left="24"/>
              <w:spacing w:after="0" w:line="169" w:lineRule="exact"/>
              <w:rPr>
                <w:sz w:val="20"/>
                <w:szCs w:val="20"/>
                <w:color w:val="auto"/>
              </w:rPr>
            </w:pPr>
            <w:r>
              <w:rPr>
                <w:rFonts w:ascii="Times New Roman" w:cs="Times New Roman" w:eastAsia="Times New Roman" w:hAnsi="Times New Roman"/>
                <w:sz w:val="15"/>
                <w:szCs w:val="15"/>
                <w:color w:val="231F20"/>
              </w:rPr>
              <w:t>47%</w:t>
            </w:r>
          </w:p>
        </w:tc>
        <w:tc>
          <w:tcPr>
            <w:tcW w:w="80" w:type="dxa"/>
            <w:vAlign w:val="bottom"/>
          </w:tcPr>
          <w:p>
            <w:pPr>
              <w:spacing w:after="0"/>
              <w:rPr>
                <w:sz w:val="14"/>
                <w:szCs w:val="14"/>
                <w:color w:val="auto"/>
              </w:rPr>
            </w:pPr>
          </w:p>
        </w:tc>
        <w:tc>
          <w:tcPr>
            <w:tcW w:w="2040" w:type="dxa"/>
            <w:vAlign w:val="bottom"/>
          </w:tcPr>
          <w:p>
            <w:pPr>
              <w:ind w:left="40"/>
              <w:spacing w:after="0" w:line="169" w:lineRule="exact"/>
              <w:rPr>
                <w:sz w:val="20"/>
                <w:szCs w:val="20"/>
                <w:color w:val="auto"/>
              </w:rPr>
            </w:pPr>
            <w:r>
              <w:rPr>
                <w:rFonts w:ascii="Times New Roman" w:cs="Times New Roman" w:eastAsia="Times New Roman" w:hAnsi="Times New Roman"/>
                <w:sz w:val="15"/>
                <w:szCs w:val="15"/>
                <w:color w:val="231F20"/>
              </w:rPr>
              <w:t>CB2</w:t>
            </w: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2640" w:type="dxa"/>
            <w:vAlign w:val="bottom"/>
            <w:gridSpan w:val="3"/>
          </w:tcPr>
          <w:p>
            <w:pPr>
              <w:ind w:left="100"/>
              <w:spacing w:after="0"/>
              <w:rPr>
                <w:sz w:val="20"/>
                <w:szCs w:val="20"/>
                <w:color w:val="auto"/>
              </w:rPr>
            </w:pPr>
            <w:r>
              <w:rPr>
                <w:rFonts w:ascii="Times New Roman" w:cs="Times New Roman" w:eastAsia="Times New Roman" w:hAnsi="Times New Roman"/>
                <w:sz w:val="15"/>
                <w:szCs w:val="15"/>
                <w:color w:val="231F20"/>
              </w:rPr>
              <w:t>Berkeley, CA 94710(4)</w:t>
            </w: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40" w:type="dxa"/>
            <w:vAlign w:val="bottom"/>
          </w:tcPr>
          <w:p>
            <w:pPr>
              <w:ind w:left="40"/>
              <w:spacing w:after="0"/>
              <w:rPr>
                <w:sz w:val="20"/>
                <w:szCs w:val="20"/>
                <w:color w:val="auto"/>
              </w:rPr>
            </w:pPr>
            <w:r>
              <w:rPr>
                <w:rFonts w:ascii="Times New Roman" w:cs="Times New Roman" w:eastAsia="Times New Roman" w:hAnsi="Times New Roman"/>
                <w:sz w:val="15"/>
                <w:szCs w:val="15"/>
                <w:color w:val="231F20"/>
              </w:rPr>
              <w:t>Bellwether Coffee</w:t>
            </w:r>
          </w:p>
        </w:tc>
        <w:tc>
          <w:tcPr>
            <w:tcW w:w="0" w:type="dxa"/>
            <w:vAlign w:val="bottom"/>
          </w:tcPr>
          <w:p>
            <w:pPr>
              <w:spacing w:after="0"/>
              <w:rPr>
                <w:sz w:val="1"/>
                <w:szCs w:val="1"/>
                <w:color w:val="auto"/>
              </w:rPr>
            </w:pPr>
          </w:p>
        </w:tc>
      </w:tr>
      <w:tr>
        <w:trPr>
          <w:trHeight w:val="202"/>
        </w:trPr>
        <w:tc>
          <w:tcPr>
            <w:tcW w:w="60" w:type="dxa"/>
            <w:vAlign w:val="bottom"/>
          </w:tcPr>
          <w:p>
            <w:pPr>
              <w:spacing w:after="0"/>
              <w:rPr>
                <w:sz w:val="17"/>
                <w:szCs w:val="17"/>
                <w:color w:val="auto"/>
              </w:rPr>
            </w:pPr>
          </w:p>
        </w:tc>
        <w:tc>
          <w:tcPr>
            <w:tcW w:w="2640" w:type="dxa"/>
            <w:vAlign w:val="bottom"/>
            <w:gridSpan w:val="3"/>
          </w:tcPr>
          <w:p>
            <w:pPr>
              <w:spacing w:after="0"/>
              <w:rPr>
                <w:sz w:val="20"/>
                <w:szCs w:val="20"/>
                <w:color w:val="auto"/>
              </w:rPr>
            </w:pPr>
            <w:r>
              <w:rPr>
                <w:rFonts w:ascii="Times New Roman" w:cs="Times New Roman" w:eastAsia="Times New Roman" w:hAnsi="Times New Roman"/>
                <w:sz w:val="15"/>
                <w:szCs w:val="15"/>
                <w:color w:val="231F20"/>
              </w:rPr>
              <w:t>Freedom Plaza</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231F20"/>
                <w:w w:val="99"/>
              </w:rPr>
              <w:t>2020</w:t>
            </w:r>
          </w:p>
        </w:tc>
        <w:tc>
          <w:tcPr>
            <w:tcW w:w="880" w:type="dxa"/>
            <w:vAlign w:val="bottom"/>
            <w:gridSpan w:val="2"/>
          </w:tcPr>
          <w:p>
            <w:pPr>
              <w:jc w:val="center"/>
              <w:ind w:left="24"/>
              <w:spacing w:after="0"/>
              <w:rPr>
                <w:sz w:val="20"/>
                <w:szCs w:val="20"/>
                <w:color w:val="auto"/>
              </w:rPr>
            </w:pPr>
            <w:r>
              <w:rPr>
                <w:rFonts w:ascii="Times New Roman" w:cs="Times New Roman" w:eastAsia="Times New Roman" w:hAnsi="Times New Roman"/>
                <w:sz w:val="15"/>
                <w:szCs w:val="15"/>
                <w:color w:val="231F20"/>
                <w:w w:val="99"/>
              </w:rPr>
              <w:t>2018</w:t>
            </w:r>
          </w:p>
        </w:tc>
        <w:tc>
          <w:tcPr>
            <w:tcW w:w="1100" w:type="dxa"/>
            <w:vAlign w:val="bottom"/>
            <w:gridSpan w:val="2"/>
          </w:tcPr>
          <w:p>
            <w:pPr>
              <w:jc w:val="center"/>
              <w:ind w:left="44"/>
              <w:spacing w:after="0"/>
              <w:rPr>
                <w:sz w:val="20"/>
                <w:szCs w:val="20"/>
                <w:color w:val="auto"/>
              </w:rPr>
            </w:pPr>
            <w:r>
              <w:rPr>
                <w:rFonts w:ascii="Times New Roman" w:cs="Times New Roman" w:eastAsia="Times New Roman" w:hAnsi="Times New Roman"/>
                <w:sz w:val="15"/>
                <w:szCs w:val="15"/>
                <w:color w:val="231F20"/>
              </w:rPr>
              <w:t>114,000</w:t>
            </w:r>
          </w:p>
        </w:tc>
        <w:tc>
          <w:tcPr>
            <w:tcW w:w="1100" w:type="dxa"/>
            <w:vAlign w:val="bottom"/>
            <w:gridSpan w:val="2"/>
          </w:tcPr>
          <w:p>
            <w:pPr>
              <w:jc w:val="center"/>
              <w:ind w:left="44"/>
              <w:spacing w:after="0"/>
              <w:rPr>
                <w:sz w:val="20"/>
                <w:szCs w:val="20"/>
                <w:color w:val="auto"/>
              </w:rPr>
            </w:pPr>
            <w:r>
              <w:rPr>
                <w:rFonts w:ascii="Times New Roman" w:cs="Times New Roman" w:eastAsia="Times New Roman" w:hAnsi="Times New Roman"/>
                <w:sz w:val="15"/>
                <w:szCs w:val="15"/>
                <w:color w:val="231F20"/>
              </w:rPr>
              <w:t>$32.68</w:t>
            </w:r>
          </w:p>
        </w:tc>
        <w:tc>
          <w:tcPr>
            <w:tcW w:w="900" w:type="dxa"/>
            <w:vAlign w:val="bottom"/>
            <w:gridSpan w:val="2"/>
          </w:tcPr>
          <w:p>
            <w:pPr>
              <w:jc w:val="center"/>
              <w:ind w:left="24"/>
              <w:spacing w:after="0"/>
              <w:rPr>
                <w:sz w:val="20"/>
                <w:szCs w:val="20"/>
                <w:color w:val="auto"/>
              </w:rPr>
            </w:pPr>
            <w:r>
              <w:rPr>
                <w:rFonts w:ascii="Times New Roman" w:cs="Times New Roman" w:eastAsia="Times New Roman" w:hAnsi="Times New Roman"/>
                <w:sz w:val="15"/>
                <w:szCs w:val="15"/>
                <w:color w:val="231F20"/>
              </w:rPr>
              <w:t>92%</w:t>
            </w:r>
          </w:p>
        </w:tc>
        <w:tc>
          <w:tcPr>
            <w:tcW w:w="80" w:type="dxa"/>
            <w:vAlign w:val="bottom"/>
          </w:tcPr>
          <w:p>
            <w:pPr>
              <w:spacing w:after="0"/>
              <w:rPr>
                <w:sz w:val="17"/>
                <w:szCs w:val="17"/>
                <w:color w:val="auto"/>
              </w:rPr>
            </w:pPr>
          </w:p>
        </w:tc>
        <w:tc>
          <w:tcPr>
            <w:tcW w:w="2040" w:type="dxa"/>
            <w:vAlign w:val="bottom"/>
          </w:tcPr>
          <w:p>
            <w:pPr>
              <w:ind w:left="40"/>
              <w:spacing w:after="0"/>
              <w:rPr>
                <w:sz w:val="20"/>
                <w:szCs w:val="20"/>
                <w:color w:val="auto"/>
              </w:rPr>
            </w:pPr>
            <w:r>
              <w:rPr>
                <w:rFonts w:ascii="Times New Roman" w:cs="Times New Roman" w:eastAsia="Times New Roman" w:hAnsi="Times New Roman"/>
                <w:sz w:val="15"/>
                <w:szCs w:val="15"/>
                <w:color w:val="231F20"/>
              </w:rPr>
              <w:t>Smart &amp; Final</w:t>
            </w: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2640" w:type="dxa"/>
            <w:vAlign w:val="bottom"/>
            <w:gridSpan w:val="3"/>
          </w:tcPr>
          <w:p>
            <w:pPr>
              <w:ind w:left="100"/>
              <w:spacing w:after="0" w:line="152" w:lineRule="exact"/>
              <w:rPr>
                <w:sz w:val="20"/>
                <w:szCs w:val="20"/>
                <w:color w:val="auto"/>
              </w:rPr>
            </w:pPr>
            <w:r>
              <w:rPr>
                <w:rFonts w:ascii="Times New Roman" w:cs="Times New Roman" w:eastAsia="Times New Roman" w:hAnsi="Times New Roman"/>
                <w:sz w:val="15"/>
                <w:szCs w:val="15"/>
                <w:color w:val="231F20"/>
              </w:rPr>
              <w:t>Los Angeles, CA 90002(4)(7)</w:t>
            </w: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ind w:left="40"/>
              <w:spacing w:after="0" w:line="152" w:lineRule="exact"/>
              <w:rPr>
                <w:sz w:val="20"/>
                <w:szCs w:val="20"/>
                <w:color w:val="auto"/>
              </w:rPr>
            </w:pPr>
            <w:r>
              <w:rPr>
                <w:rFonts w:ascii="Times New Roman" w:cs="Times New Roman" w:eastAsia="Times New Roman" w:hAnsi="Times New Roman"/>
                <w:sz w:val="15"/>
                <w:szCs w:val="15"/>
                <w:color w:val="231F20"/>
              </w:rPr>
              <w:t>Nike</w:t>
            </w: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ind w:left="40"/>
              <w:spacing w:after="0" w:line="152" w:lineRule="exact"/>
              <w:rPr>
                <w:sz w:val="20"/>
                <w:szCs w:val="20"/>
                <w:color w:val="auto"/>
              </w:rPr>
            </w:pPr>
            <w:r>
              <w:rPr>
                <w:rFonts w:ascii="Times New Roman" w:cs="Times New Roman" w:eastAsia="Times New Roman" w:hAnsi="Times New Roman"/>
                <w:sz w:val="15"/>
                <w:szCs w:val="15"/>
                <w:color w:val="231F20"/>
              </w:rPr>
              <w:t>Blink Fitness</w:t>
            </w: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40" w:type="dxa"/>
            <w:vAlign w:val="bottom"/>
          </w:tcPr>
          <w:p>
            <w:pPr>
              <w:ind w:left="40"/>
              <w:spacing w:after="0"/>
              <w:rPr>
                <w:sz w:val="20"/>
                <w:szCs w:val="20"/>
                <w:color w:val="auto"/>
              </w:rPr>
            </w:pPr>
            <w:r>
              <w:rPr>
                <w:rFonts w:ascii="Times New Roman" w:cs="Times New Roman" w:eastAsia="Times New Roman" w:hAnsi="Times New Roman"/>
                <w:sz w:val="15"/>
                <w:szCs w:val="15"/>
                <w:color w:val="231F20"/>
              </w:rPr>
              <w:t>Ross Dress for Less</w:t>
            </w:r>
          </w:p>
        </w:tc>
        <w:tc>
          <w:tcPr>
            <w:tcW w:w="0" w:type="dxa"/>
            <w:vAlign w:val="bottom"/>
          </w:tcPr>
          <w:p>
            <w:pPr>
              <w:spacing w:after="0"/>
              <w:rPr>
                <w:sz w:val="1"/>
                <w:szCs w:val="1"/>
                <w:color w:val="auto"/>
              </w:rPr>
            </w:pPr>
          </w:p>
        </w:tc>
      </w:tr>
      <w:tr>
        <w:trPr>
          <w:trHeight w:val="183"/>
        </w:trPr>
        <w:tc>
          <w:tcPr>
            <w:tcW w:w="60" w:type="dxa"/>
            <w:vAlign w:val="bottom"/>
          </w:tcPr>
          <w:p>
            <w:pPr>
              <w:spacing w:after="0"/>
              <w:rPr>
                <w:sz w:val="15"/>
                <w:szCs w:val="15"/>
                <w:color w:val="auto"/>
              </w:rPr>
            </w:pPr>
          </w:p>
        </w:tc>
        <w:tc>
          <w:tcPr>
            <w:tcW w:w="2640" w:type="dxa"/>
            <w:vAlign w:val="bottom"/>
            <w:gridSpan w:val="3"/>
          </w:tcPr>
          <w:p>
            <w:pPr>
              <w:spacing w:after="0"/>
              <w:rPr>
                <w:sz w:val="20"/>
                <w:szCs w:val="20"/>
                <w:color w:val="auto"/>
              </w:rPr>
            </w:pPr>
            <w:r>
              <w:rPr>
                <w:rFonts w:ascii="Times New Roman" w:cs="Times New Roman" w:eastAsia="Times New Roman" w:hAnsi="Times New Roman"/>
                <w:sz w:val="15"/>
                <w:szCs w:val="15"/>
                <w:color w:val="231F20"/>
              </w:rPr>
              <w:t>Grossmont Center</w:t>
            </w:r>
          </w:p>
        </w:tc>
        <w:tc>
          <w:tcPr>
            <w:tcW w:w="920" w:type="dxa"/>
            <w:vAlign w:val="bottom"/>
            <w:gridSpan w:val="2"/>
          </w:tcPr>
          <w:p>
            <w:pPr>
              <w:jc w:val="center"/>
              <w:ind w:left="4"/>
              <w:spacing w:after="0"/>
              <w:rPr>
                <w:sz w:val="20"/>
                <w:szCs w:val="20"/>
                <w:color w:val="auto"/>
              </w:rPr>
            </w:pPr>
            <w:r>
              <w:rPr>
                <w:rFonts w:ascii="Times New Roman" w:cs="Times New Roman" w:eastAsia="Times New Roman" w:hAnsi="Times New Roman"/>
                <w:sz w:val="15"/>
                <w:szCs w:val="15"/>
                <w:color w:val="231F20"/>
              </w:rPr>
              <w:t>1961, 1963,</w:t>
            </w:r>
          </w:p>
        </w:tc>
        <w:tc>
          <w:tcPr>
            <w:tcW w:w="880" w:type="dxa"/>
            <w:vAlign w:val="bottom"/>
            <w:gridSpan w:val="2"/>
          </w:tcPr>
          <w:p>
            <w:pPr>
              <w:jc w:val="center"/>
              <w:ind w:left="24"/>
              <w:spacing w:after="0"/>
              <w:rPr>
                <w:sz w:val="20"/>
                <w:szCs w:val="20"/>
                <w:color w:val="auto"/>
              </w:rPr>
            </w:pPr>
            <w:r>
              <w:rPr>
                <w:rFonts w:ascii="Times New Roman" w:cs="Times New Roman" w:eastAsia="Times New Roman" w:hAnsi="Times New Roman"/>
                <w:sz w:val="15"/>
                <w:szCs w:val="15"/>
                <w:color w:val="231F20"/>
                <w:w w:val="99"/>
              </w:rPr>
              <w:t>2021</w:t>
            </w:r>
          </w:p>
        </w:tc>
        <w:tc>
          <w:tcPr>
            <w:tcW w:w="1100" w:type="dxa"/>
            <w:vAlign w:val="bottom"/>
            <w:gridSpan w:val="2"/>
          </w:tcPr>
          <w:p>
            <w:pPr>
              <w:jc w:val="center"/>
              <w:ind w:left="44"/>
              <w:spacing w:after="0"/>
              <w:rPr>
                <w:sz w:val="20"/>
                <w:szCs w:val="20"/>
                <w:color w:val="auto"/>
              </w:rPr>
            </w:pPr>
            <w:r>
              <w:rPr>
                <w:rFonts w:ascii="Times New Roman" w:cs="Times New Roman" w:eastAsia="Times New Roman" w:hAnsi="Times New Roman"/>
                <w:sz w:val="15"/>
                <w:szCs w:val="15"/>
                <w:color w:val="231F20"/>
              </w:rPr>
              <w:t>866,000</w:t>
            </w:r>
          </w:p>
        </w:tc>
        <w:tc>
          <w:tcPr>
            <w:tcW w:w="1100" w:type="dxa"/>
            <w:vAlign w:val="bottom"/>
            <w:gridSpan w:val="2"/>
          </w:tcPr>
          <w:p>
            <w:pPr>
              <w:jc w:val="center"/>
              <w:ind w:left="44"/>
              <w:spacing w:after="0"/>
              <w:rPr>
                <w:sz w:val="20"/>
                <w:szCs w:val="20"/>
                <w:color w:val="auto"/>
              </w:rPr>
            </w:pPr>
            <w:r>
              <w:rPr>
                <w:rFonts w:ascii="Times New Roman" w:cs="Times New Roman" w:eastAsia="Times New Roman" w:hAnsi="Times New Roman"/>
                <w:sz w:val="15"/>
                <w:szCs w:val="15"/>
                <w:color w:val="231F20"/>
              </w:rPr>
              <w:t>$16.62</w:t>
            </w:r>
          </w:p>
        </w:tc>
        <w:tc>
          <w:tcPr>
            <w:tcW w:w="900" w:type="dxa"/>
            <w:vAlign w:val="bottom"/>
            <w:gridSpan w:val="2"/>
          </w:tcPr>
          <w:p>
            <w:pPr>
              <w:jc w:val="center"/>
              <w:ind w:left="24"/>
              <w:spacing w:after="0"/>
              <w:rPr>
                <w:sz w:val="20"/>
                <w:szCs w:val="20"/>
                <w:color w:val="auto"/>
              </w:rPr>
            </w:pPr>
            <w:r>
              <w:rPr>
                <w:rFonts w:ascii="Times New Roman" w:cs="Times New Roman" w:eastAsia="Times New Roman" w:hAnsi="Times New Roman"/>
                <w:sz w:val="15"/>
                <w:szCs w:val="15"/>
                <w:color w:val="231F20"/>
              </w:rPr>
              <w:t>95%</w:t>
            </w:r>
          </w:p>
        </w:tc>
        <w:tc>
          <w:tcPr>
            <w:tcW w:w="80" w:type="dxa"/>
            <w:vAlign w:val="bottom"/>
          </w:tcPr>
          <w:p>
            <w:pPr>
              <w:spacing w:after="0"/>
              <w:rPr>
                <w:sz w:val="15"/>
                <w:szCs w:val="15"/>
                <w:color w:val="auto"/>
              </w:rPr>
            </w:pPr>
          </w:p>
        </w:tc>
        <w:tc>
          <w:tcPr>
            <w:tcW w:w="2040" w:type="dxa"/>
            <w:vAlign w:val="bottom"/>
          </w:tcPr>
          <w:p>
            <w:pPr>
              <w:ind w:left="40"/>
              <w:spacing w:after="0"/>
              <w:rPr>
                <w:sz w:val="20"/>
                <w:szCs w:val="20"/>
                <w:color w:val="auto"/>
              </w:rPr>
            </w:pPr>
            <w:r>
              <w:rPr>
                <w:rFonts w:ascii="Times New Roman" w:cs="Times New Roman" w:eastAsia="Times New Roman" w:hAnsi="Times New Roman"/>
                <w:sz w:val="15"/>
                <w:szCs w:val="15"/>
                <w:color w:val="231F20"/>
              </w:rPr>
              <w:t>Target</w:t>
            </w: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2640" w:type="dxa"/>
            <w:vAlign w:val="bottom"/>
            <w:gridSpan w:val="3"/>
          </w:tcPr>
          <w:p>
            <w:pPr>
              <w:ind w:left="100"/>
              <w:spacing w:after="0" w:line="152" w:lineRule="exact"/>
              <w:rPr>
                <w:sz w:val="20"/>
                <w:szCs w:val="20"/>
                <w:color w:val="auto"/>
              </w:rPr>
            </w:pPr>
            <w:r>
              <w:rPr>
                <w:rFonts w:ascii="Times New Roman" w:cs="Times New Roman" w:eastAsia="Times New Roman" w:hAnsi="Times New Roman"/>
                <w:sz w:val="15"/>
                <w:szCs w:val="15"/>
                <w:color w:val="231F20"/>
              </w:rPr>
              <w:t>La Mesa, CA 91942(4)</w:t>
            </w:r>
          </w:p>
        </w:tc>
        <w:tc>
          <w:tcPr>
            <w:tcW w:w="920" w:type="dxa"/>
            <w:vAlign w:val="bottom"/>
            <w:gridSpan w:val="2"/>
          </w:tcPr>
          <w:p>
            <w:pPr>
              <w:jc w:val="center"/>
              <w:spacing w:after="0" w:line="152" w:lineRule="exact"/>
              <w:rPr>
                <w:sz w:val="20"/>
                <w:szCs w:val="20"/>
                <w:color w:val="auto"/>
              </w:rPr>
            </w:pPr>
            <w:r>
              <w:rPr>
                <w:rFonts w:ascii="Times New Roman" w:cs="Times New Roman" w:eastAsia="Times New Roman" w:hAnsi="Times New Roman"/>
                <w:sz w:val="15"/>
                <w:szCs w:val="15"/>
                <w:color w:val="231F20"/>
              </w:rPr>
              <w:t>1982-1983,</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ind w:left="40"/>
              <w:spacing w:after="0" w:line="152" w:lineRule="exact"/>
              <w:rPr>
                <w:sz w:val="20"/>
                <w:szCs w:val="20"/>
                <w:color w:val="auto"/>
              </w:rPr>
            </w:pPr>
            <w:r>
              <w:rPr>
                <w:rFonts w:ascii="Times New Roman" w:cs="Times New Roman" w:eastAsia="Times New Roman" w:hAnsi="Times New Roman"/>
                <w:sz w:val="15"/>
                <w:szCs w:val="15"/>
                <w:color w:val="231F20"/>
              </w:rPr>
              <w:t>Walmart</w:t>
            </w: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920" w:type="dxa"/>
            <w:vAlign w:val="bottom"/>
            <w:gridSpan w:val="2"/>
          </w:tcPr>
          <w:p>
            <w:pPr>
              <w:jc w:val="center"/>
              <w:spacing w:after="0" w:line="152" w:lineRule="exact"/>
              <w:rPr>
                <w:sz w:val="20"/>
                <w:szCs w:val="20"/>
                <w:color w:val="auto"/>
              </w:rPr>
            </w:pPr>
            <w:r>
              <w:rPr>
                <w:rFonts w:ascii="Times New Roman" w:cs="Times New Roman" w:eastAsia="Times New Roman" w:hAnsi="Times New Roman"/>
                <w:sz w:val="15"/>
                <w:szCs w:val="15"/>
                <w:color w:val="231F20"/>
                <w:w w:val="99"/>
              </w:rPr>
              <w:t>2002</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ind w:left="40"/>
              <w:spacing w:after="0" w:line="152" w:lineRule="exact"/>
              <w:rPr>
                <w:sz w:val="20"/>
                <w:szCs w:val="20"/>
                <w:color w:val="auto"/>
              </w:rPr>
            </w:pPr>
            <w:r>
              <w:rPr>
                <w:rFonts w:ascii="Times New Roman" w:cs="Times New Roman" w:eastAsia="Times New Roman" w:hAnsi="Times New Roman"/>
                <w:sz w:val="15"/>
                <w:szCs w:val="15"/>
                <w:color w:val="231F20"/>
              </w:rPr>
              <w:t>Barnes &amp; Noble</w:t>
            </w: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40" w:type="dxa"/>
            <w:vAlign w:val="bottom"/>
          </w:tcPr>
          <w:p>
            <w:pPr>
              <w:ind w:left="40"/>
              <w:spacing w:after="0"/>
              <w:rPr>
                <w:sz w:val="20"/>
                <w:szCs w:val="20"/>
                <w:color w:val="auto"/>
              </w:rPr>
            </w:pPr>
            <w:r>
              <w:rPr>
                <w:rFonts w:ascii="Times New Roman" w:cs="Times New Roman" w:eastAsia="Times New Roman" w:hAnsi="Times New Roman"/>
                <w:sz w:val="15"/>
                <w:szCs w:val="15"/>
                <w:color w:val="231F20"/>
              </w:rPr>
              <w:t>CVS</w:t>
            </w:r>
          </w:p>
        </w:tc>
        <w:tc>
          <w:tcPr>
            <w:tcW w:w="0" w:type="dxa"/>
            <w:vAlign w:val="bottom"/>
          </w:tcPr>
          <w:p>
            <w:pPr>
              <w:spacing w:after="0"/>
              <w:rPr>
                <w:sz w:val="1"/>
                <w:szCs w:val="1"/>
                <w:color w:val="auto"/>
              </w:rPr>
            </w:pPr>
          </w:p>
        </w:tc>
      </w:tr>
      <w:tr>
        <w:trPr>
          <w:trHeight w:val="183"/>
        </w:trPr>
        <w:tc>
          <w:tcPr>
            <w:tcW w:w="60" w:type="dxa"/>
            <w:vAlign w:val="bottom"/>
          </w:tcPr>
          <w:p>
            <w:pPr>
              <w:spacing w:after="0"/>
              <w:rPr>
                <w:sz w:val="15"/>
                <w:szCs w:val="15"/>
                <w:color w:val="auto"/>
              </w:rPr>
            </w:pPr>
          </w:p>
        </w:tc>
        <w:tc>
          <w:tcPr>
            <w:tcW w:w="2640" w:type="dxa"/>
            <w:vAlign w:val="bottom"/>
            <w:gridSpan w:val="3"/>
          </w:tcPr>
          <w:p>
            <w:pPr>
              <w:spacing w:after="0"/>
              <w:rPr>
                <w:sz w:val="20"/>
                <w:szCs w:val="20"/>
                <w:color w:val="auto"/>
              </w:rPr>
            </w:pPr>
            <w:r>
              <w:rPr>
                <w:rFonts w:ascii="Times New Roman" w:cs="Times New Roman" w:eastAsia="Times New Roman" w:hAnsi="Times New Roman"/>
                <w:sz w:val="15"/>
                <w:szCs w:val="15"/>
                <w:color w:val="231F20"/>
              </w:rPr>
              <w:t>Hastings Ranch Plaza</w:t>
            </w:r>
          </w:p>
        </w:tc>
        <w:tc>
          <w:tcPr>
            <w:tcW w:w="920" w:type="dxa"/>
            <w:vAlign w:val="bottom"/>
            <w:gridSpan w:val="2"/>
          </w:tcPr>
          <w:p>
            <w:pPr>
              <w:jc w:val="center"/>
              <w:ind w:left="4"/>
              <w:spacing w:after="0"/>
              <w:rPr>
                <w:sz w:val="20"/>
                <w:szCs w:val="20"/>
                <w:color w:val="auto"/>
              </w:rPr>
            </w:pPr>
            <w:r>
              <w:rPr>
                <w:rFonts w:ascii="Times New Roman" w:cs="Times New Roman" w:eastAsia="Times New Roman" w:hAnsi="Times New Roman"/>
                <w:sz w:val="15"/>
                <w:szCs w:val="15"/>
                <w:color w:val="231F20"/>
              </w:rPr>
              <w:t>1958, 1984,</w:t>
            </w:r>
          </w:p>
        </w:tc>
        <w:tc>
          <w:tcPr>
            <w:tcW w:w="880" w:type="dxa"/>
            <w:vAlign w:val="bottom"/>
            <w:gridSpan w:val="2"/>
          </w:tcPr>
          <w:p>
            <w:pPr>
              <w:jc w:val="center"/>
              <w:ind w:left="24"/>
              <w:spacing w:after="0"/>
              <w:rPr>
                <w:sz w:val="20"/>
                <w:szCs w:val="20"/>
                <w:color w:val="auto"/>
              </w:rPr>
            </w:pPr>
            <w:r>
              <w:rPr>
                <w:rFonts w:ascii="Times New Roman" w:cs="Times New Roman" w:eastAsia="Times New Roman" w:hAnsi="Times New Roman"/>
                <w:sz w:val="15"/>
                <w:szCs w:val="15"/>
                <w:color w:val="231F20"/>
                <w:w w:val="99"/>
              </w:rPr>
              <w:t>2017</w:t>
            </w:r>
          </w:p>
        </w:tc>
        <w:tc>
          <w:tcPr>
            <w:tcW w:w="1100" w:type="dxa"/>
            <w:vAlign w:val="bottom"/>
            <w:gridSpan w:val="2"/>
          </w:tcPr>
          <w:p>
            <w:pPr>
              <w:jc w:val="center"/>
              <w:ind w:left="44"/>
              <w:spacing w:after="0"/>
              <w:rPr>
                <w:sz w:val="20"/>
                <w:szCs w:val="20"/>
                <w:color w:val="auto"/>
              </w:rPr>
            </w:pPr>
            <w:r>
              <w:rPr>
                <w:rFonts w:ascii="Times New Roman" w:cs="Times New Roman" w:eastAsia="Times New Roman" w:hAnsi="Times New Roman"/>
                <w:sz w:val="15"/>
                <w:szCs w:val="15"/>
                <w:color w:val="231F20"/>
              </w:rPr>
              <w:t>273,000</w:t>
            </w:r>
          </w:p>
        </w:tc>
        <w:tc>
          <w:tcPr>
            <w:tcW w:w="1100" w:type="dxa"/>
            <w:vAlign w:val="bottom"/>
            <w:gridSpan w:val="2"/>
          </w:tcPr>
          <w:p>
            <w:pPr>
              <w:jc w:val="center"/>
              <w:ind w:left="44"/>
              <w:spacing w:after="0"/>
              <w:rPr>
                <w:sz w:val="20"/>
                <w:szCs w:val="20"/>
                <w:color w:val="auto"/>
              </w:rPr>
            </w:pPr>
            <w:r>
              <w:rPr>
                <w:rFonts w:ascii="Times New Roman" w:cs="Times New Roman" w:eastAsia="Times New Roman" w:hAnsi="Times New Roman"/>
                <w:sz w:val="15"/>
                <w:szCs w:val="15"/>
                <w:color w:val="231F20"/>
              </w:rPr>
              <w:t>$9.66</w:t>
            </w:r>
          </w:p>
        </w:tc>
        <w:tc>
          <w:tcPr>
            <w:tcW w:w="900" w:type="dxa"/>
            <w:vAlign w:val="bottom"/>
            <w:gridSpan w:val="2"/>
          </w:tcPr>
          <w:p>
            <w:pPr>
              <w:jc w:val="center"/>
              <w:ind w:left="24"/>
              <w:spacing w:after="0"/>
              <w:rPr>
                <w:sz w:val="20"/>
                <w:szCs w:val="20"/>
                <w:color w:val="auto"/>
              </w:rPr>
            </w:pPr>
            <w:r>
              <w:rPr>
                <w:rFonts w:ascii="Times New Roman" w:cs="Times New Roman" w:eastAsia="Times New Roman" w:hAnsi="Times New Roman"/>
                <w:sz w:val="15"/>
                <w:szCs w:val="15"/>
                <w:color w:val="231F20"/>
              </w:rPr>
              <w:t>100%</w:t>
            </w:r>
          </w:p>
        </w:tc>
        <w:tc>
          <w:tcPr>
            <w:tcW w:w="80" w:type="dxa"/>
            <w:vAlign w:val="bottom"/>
          </w:tcPr>
          <w:p>
            <w:pPr>
              <w:spacing w:after="0"/>
              <w:rPr>
                <w:sz w:val="15"/>
                <w:szCs w:val="15"/>
                <w:color w:val="auto"/>
              </w:rPr>
            </w:pPr>
          </w:p>
        </w:tc>
        <w:tc>
          <w:tcPr>
            <w:tcW w:w="2040" w:type="dxa"/>
            <w:vAlign w:val="bottom"/>
          </w:tcPr>
          <w:p>
            <w:pPr>
              <w:ind w:left="40"/>
              <w:spacing w:after="0"/>
              <w:rPr>
                <w:sz w:val="20"/>
                <w:szCs w:val="20"/>
                <w:color w:val="auto"/>
              </w:rPr>
            </w:pPr>
            <w:r>
              <w:rPr>
                <w:rFonts w:ascii="Times New Roman" w:cs="Times New Roman" w:eastAsia="Times New Roman" w:hAnsi="Times New Roman"/>
                <w:sz w:val="15"/>
                <w:szCs w:val="15"/>
                <w:color w:val="231F20"/>
              </w:rPr>
              <w:t>Marshalls</w:t>
            </w: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2640" w:type="dxa"/>
            <w:vAlign w:val="bottom"/>
            <w:gridSpan w:val="3"/>
          </w:tcPr>
          <w:p>
            <w:pPr>
              <w:ind w:left="100"/>
              <w:spacing w:after="0" w:line="152" w:lineRule="exact"/>
              <w:rPr>
                <w:sz w:val="20"/>
                <w:szCs w:val="20"/>
                <w:color w:val="auto"/>
              </w:rPr>
            </w:pPr>
            <w:r>
              <w:rPr>
                <w:rFonts w:ascii="Times New Roman" w:cs="Times New Roman" w:eastAsia="Times New Roman" w:hAnsi="Times New Roman"/>
                <w:sz w:val="15"/>
                <w:szCs w:val="15"/>
                <w:color w:val="231F20"/>
              </w:rPr>
              <w:t>Pasadena, CA 91107(7)</w:t>
            </w:r>
          </w:p>
        </w:tc>
        <w:tc>
          <w:tcPr>
            <w:tcW w:w="920" w:type="dxa"/>
            <w:vAlign w:val="bottom"/>
            <w:gridSpan w:val="2"/>
          </w:tcPr>
          <w:p>
            <w:pPr>
              <w:jc w:val="center"/>
              <w:ind w:left="4"/>
              <w:spacing w:after="0" w:line="152" w:lineRule="exact"/>
              <w:rPr>
                <w:sz w:val="20"/>
                <w:szCs w:val="20"/>
                <w:color w:val="auto"/>
              </w:rPr>
            </w:pPr>
            <w:r>
              <w:rPr>
                <w:rFonts w:ascii="Times New Roman" w:cs="Times New Roman" w:eastAsia="Times New Roman" w:hAnsi="Times New Roman"/>
                <w:sz w:val="15"/>
                <w:szCs w:val="15"/>
                <w:color w:val="231F20"/>
              </w:rPr>
              <w:t>2006, 2007</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ind w:left="40"/>
              <w:spacing w:after="0" w:line="152" w:lineRule="exact"/>
              <w:rPr>
                <w:sz w:val="20"/>
                <w:szCs w:val="20"/>
                <w:color w:val="auto"/>
              </w:rPr>
            </w:pPr>
            <w:r>
              <w:rPr>
                <w:rFonts w:ascii="Times New Roman" w:cs="Times New Roman" w:eastAsia="Times New Roman" w:hAnsi="Times New Roman"/>
                <w:sz w:val="15"/>
                <w:szCs w:val="15"/>
                <w:color w:val="231F20"/>
              </w:rPr>
              <w:t>HomeGoods</w:t>
            </w:r>
          </w:p>
        </w:tc>
        <w:tc>
          <w:tcPr>
            <w:tcW w:w="0" w:type="dxa"/>
            <w:vAlign w:val="bottom"/>
          </w:tcPr>
          <w:p>
            <w:pPr>
              <w:spacing w:after="0"/>
              <w:rPr>
                <w:sz w:val="1"/>
                <w:szCs w:val="1"/>
                <w:color w:val="auto"/>
              </w:rPr>
            </w:pPr>
          </w:p>
        </w:tc>
      </w:tr>
      <w:tr>
        <w:trPr>
          <w:trHeight w:val="195"/>
        </w:trPr>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40" w:type="dxa"/>
            <w:vAlign w:val="bottom"/>
          </w:tcPr>
          <w:p>
            <w:pPr>
              <w:ind w:left="40"/>
              <w:spacing w:after="0"/>
              <w:rPr>
                <w:sz w:val="20"/>
                <w:szCs w:val="20"/>
                <w:color w:val="auto"/>
              </w:rPr>
            </w:pPr>
            <w:r>
              <w:rPr>
                <w:rFonts w:ascii="Times New Roman" w:cs="Times New Roman" w:eastAsia="Times New Roman" w:hAnsi="Times New Roman"/>
                <w:sz w:val="15"/>
                <w:szCs w:val="15"/>
                <w:color w:val="231F20"/>
              </w:rPr>
              <w:t>CVS</w:t>
            </w: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2640" w:type="dxa"/>
            <w:vAlign w:val="bottom"/>
            <w:gridSpan w:val="3"/>
          </w:tcPr>
          <w:p>
            <w:pPr>
              <w:spacing w:after="0" w:line="152" w:lineRule="exact"/>
              <w:rPr>
                <w:sz w:val="20"/>
                <w:szCs w:val="20"/>
                <w:color w:val="auto"/>
              </w:rPr>
            </w:pPr>
            <w:r>
              <w:rPr>
                <w:rFonts w:ascii="Times New Roman" w:cs="Times New Roman" w:eastAsia="Times New Roman" w:hAnsi="Times New Roman"/>
                <w:sz w:val="15"/>
                <w:szCs w:val="15"/>
                <w:color w:val="231F20"/>
              </w:rPr>
              <w:t>La Alameda</w:t>
            </w:r>
          </w:p>
        </w:tc>
        <w:tc>
          <w:tcPr>
            <w:tcW w:w="920" w:type="dxa"/>
            <w:vAlign w:val="bottom"/>
            <w:gridSpan w:val="2"/>
          </w:tcPr>
          <w:p>
            <w:pPr>
              <w:jc w:val="center"/>
              <w:spacing w:after="0" w:line="152" w:lineRule="exact"/>
              <w:rPr>
                <w:sz w:val="20"/>
                <w:szCs w:val="20"/>
                <w:color w:val="auto"/>
              </w:rPr>
            </w:pPr>
            <w:r>
              <w:rPr>
                <w:rFonts w:ascii="Times New Roman" w:cs="Times New Roman" w:eastAsia="Times New Roman" w:hAnsi="Times New Roman"/>
                <w:sz w:val="15"/>
                <w:szCs w:val="15"/>
                <w:color w:val="231F20"/>
                <w:w w:val="99"/>
              </w:rPr>
              <w:t>2008</w:t>
            </w:r>
          </w:p>
        </w:tc>
        <w:tc>
          <w:tcPr>
            <w:tcW w:w="880" w:type="dxa"/>
            <w:vAlign w:val="bottom"/>
            <w:gridSpan w:val="2"/>
          </w:tcPr>
          <w:p>
            <w:pPr>
              <w:jc w:val="center"/>
              <w:ind w:left="24"/>
              <w:spacing w:after="0" w:line="152" w:lineRule="exact"/>
              <w:rPr>
                <w:sz w:val="20"/>
                <w:szCs w:val="20"/>
                <w:color w:val="auto"/>
              </w:rPr>
            </w:pPr>
            <w:r>
              <w:rPr>
                <w:rFonts w:ascii="Times New Roman" w:cs="Times New Roman" w:eastAsia="Times New Roman" w:hAnsi="Times New Roman"/>
                <w:sz w:val="15"/>
                <w:szCs w:val="15"/>
                <w:color w:val="231F20"/>
                <w:w w:val="99"/>
              </w:rPr>
              <w:t>2017</w:t>
            </w:r>
          </w:p>
        </w:tc>
        <w:tc>
          <w:tcPr>
            <w:tcW w:w="1100" w:type="dxa"/>
            <w:vAlign w:val="bottom"/>
            <w:gridSpan w:val="2"/>
          </w:tcPr>
          <w:p>
            <w:pPr>
              <w:jc w:val="center"/>
              <w:ind w:left="44"/>
              <w:spacing w:after="0" w:line="152" w:lineRule="exact"/>
              <w:rPr>
                <w:sz w:val="20"/>
                <w:szCs w:val="20"/>
                <w:color w:val="auto"/>
              </w:rPr>
            </w:pPr>
            <w:r>
              <w:rPr>
                <w:rFonts w:ascii="Times New Roman" w:cs="Times New Roman" w:eastAsia="Times New Roman" w:hAnsi="Times New Roman"/>
                <w:sz w:val="15"/>
                <w:szCs w:val="15"/>
                <w:color w:val="231F20"/>
              </w:rPr>
              <w:t>245,000</w:t>
            </w:r>
          </w:p>
        </w:tc>
        <w:tc>
          <w:tcPr>
            <w:tcW w:w="1100" w:type="dxa"/>
            <w:vAlign w:val="bottom"/>
            <w:gridSpan w:val="2"/>
          </w:tcPr>
          <w:p>
            <w:pPr>
              <w:jc w:val="center"/>
              <w:ind w:left="44"/>
              <w:spacing w:after="0" w:line="152" w:lineRule="exact"/>
              <w:rPr>
                <w:sz w:val="20"/>
                <w:szCs w:val="20"/>
                <w:color w:val="auto"/>
              </w:rPr>
            </w:pPr>
            <w:r>
              <w:rPr>
                <w:rFonts w:ascii="Times New Roman" w:cs="Times New Roman" w:eastAsia="Times New Roman" w:hAnsi="Times New Roman"/>
                <w:sz w:val="15"/>
                <w:szCs w:val="15"/>
                <w:color w:val="231F20"/>
              </w:rPr>
              <w:t>$29.04</w:t>
            </w:r>
          </w:p>
        </w:tc>
        <w:tc>
          <w:tcPr>
            <w:tcW w:w="900" w:type="dxa"/>
            <w:vAlign w:val="bottom"/>
            <w:gridSpan w:val="2"/>
          </w:tcPr>
          <w:p>
            <w:pPr>
              <w:jc w:val="center"/>
              <w:ind w:left="24"/>
              <w:spacing w:after="0" w:line="152" w:lineRule="exact"/>
              <w:rPr>
                <w:sz w:val="20"/>
                <w:szCs w:val="20"/>
                <w:color w:val="auto"/>
              </w:rPr>
            </w:pPr>
            <w:r>
              <w:rPr>
                <w:rFonts w:ascii="Times New Roman" w:cs="Times New Roman" w:eastAsia="Times New Roman" w:hAnsi="Times New Roman"/>
                <w:sz w:val="15"/>
                <w:szCs w:val="15"/>
                <w:color w:val="231F20"/>
              </w:rPr>
              <w:t>94%</w:t>
            </w:r>
          </w:p>
        </w:tc>
        <w:tc>
          <w:tcPr>
            <w:tcW w:w="80" w:type="dxa"/>
            <w:vAlign w:val="bottom"/>
          </w:tcPr>
          <w:p>
            <w:pPr>
              <w:spacing w:after="0"/>
              <w:rPr>
                <w:sz w:val="13"/>
                <w:szCs w:val="13"/>
                <w:color w:val="auto"/>
              </w:rPr>
            </w:pPr>
          </w:p>
        </w:tc>
        <w:tc>
          <w:tcPr>
            <w:tcW w:w="2040" w:type="dxa"/>
            <w:vAlign w:val="bottom"/>
          </w:tcPr>
          <w:p>
            <w:pPr>
              <w:ind w:left="40"/>
              <w:spacing w:after="0" w:line="152" w:lineRule="exact"/>
              <w:rPr>
                <w:sz w:val="20"/>
                <w:szCs w:val="20"/>
                <w:color w:val="auto"/>
              </w:rPr>
            </w:pPr>
            <w:r>
              <w:rPr>
                <w:rFonts w:ascii="Times New Roman" w:cs="Times New Roman" w:eastAsia="Times New Roman" w:hAnsi="Times New Roman"/>
                <w:sz w:val="15"/>
                <w:szCs w:val="15"/>
                <w:color w:val="231F20"/>
              </w:rPr>
              <w:t>Marshalls</w:t>
            </w: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2640" w:type="dxa"/>
            <w:vAlign w:val="bottom"/>
            <w:gridSpan w:val="3"/>
          </w:tcPr>
          <w:p>
            <w:pPr>
              <w:ind w:left="100"/>
              <w:spacing w:after="0" w:line="152" w:lineRule="exact"/>
              <w:rPr>
                <w:sz w:val="20"/>
                <w:szCs w:val="20"/>
                <w:color w:val="auto"/>
              </w:rPr>
            </w:pPr>
            <w:r>
              <w:rPr>
                <w:rFonts w:ascii="Times New Roman" w:cs="Times New Roman" w:eastAsia="Times New Roman" w:hAnsi="Times New Roman"/>
                <w:sz w:val="15"/>
                <w:szCs w:val="15"/>
                <w:color w:val="231F20"/>
              </w:rPr>
              <w:t>Walnut Park, CA 90255(5)(6)(7)</w:t>
            </w: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ind w:left="40"/>
              <w:spacing w:after="0" w:line="152" w:lineRule="exact"/>
              <w:rPr>
                <w:sz w:val="20"/>
                <w:szCs w:val="20"/>
                <w:color w:val="auto"/>
              </w:rPr>
            </w:pPr>
            <w:r>
              <w:rPr>
                <w:rFonts w:ascii="Times New Roman" w:cs="Times New Roman" w:eastAsia="Times New Roman" w:hAnsi="Times New Roman"/>
                <w:sz w:val="15"/>
                <w:szCs w:val="15"/>
                <w:color w:val="231F20"/>
              </w:rPr>
              <w:t>Ross Dress for Less</w:t>
            </w: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ind w:left="40"/>
              <w:spacing w:after="0" w:line="152" w:lineRule="exact"/>
              <w:rPr>
                <w:sz w:val="20"/>
                <w:szCs w:val="20"/>
                <w:color w:val="auto"/>
              </w:rPr>
            </w:pPr>
            <w:r>
              <w:rPr>
                <w:rFonts w:ascii="Times New Roman" w:cs="Times New Roman" w:eastAsia="Times New Roman" w:hAnsi="Times New Roman"/>
                <w:sz w:val="15"/>
                <w:szCs w:val="15"/>
                <w:color w:val="231F20"/>
              </w:rPr>
              <w:t>CVS</w:t>
            </w: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40" w:type="dxa"/>
            <w:vAlign w:val="bottom"/>
          </w:tcPr>
          <w:p>
            <w:pPr>
              <w:ind w:left="40"/>
              <w:spacing w:after="0"/>
              <w:rPr>
                <w:sz w:val="20"/>
                <w:szCs w:val="20"/>
                <w:color w:val="auto"/>
              </w:rPr>
            </w:pPr>
            <w:r>
              <w:rPr>
                <w:rFonts w:ascii="Times New Roman" w:cs="Times New Roman" w:eastAsia="Times New Roman" w:hAnsi="Times New Roman"/>
                <w:sz w:val="15"/>
                <w:szCs w:val="15"/>
                <w:color w:val="231F20"/>
              </w:rPr>
              <w:t>Petco</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9720"/>
          </w:cols>
          <w:pgMar w:left="1060" w:top="963" w:right="1100" w:bottom="0" w:gutter="0" w:footer="0" w:header="0"/>
        </w:sectPr>
      </w:pPr>
    </w:p>
    <w:p>
      <w:pPr>
        <w:spacing w:after="0" w:line="2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231F20"/>
        </w:rPr>
        <w:t>22</w:t>
      </w:r>
    </w:p>
    <w:p>
      <w:pPr>
        <w:sectPr>
          <w:pgSz w:w="11880" w:h="15480" w:orient="portrait"/>
          <w:cols w:equalWidth="0" w:num="1">
            <w:col w:w="9720"/>
          </w:cols>
          <w:pgMar w:left="1060" w:top="963" w:right="1100" w:bottom="0" w:gutter="0" w:footer="0" w:header="0"/>
          <w:type w:val="continuous"/>
        </w:sectPr>
      </w:pPr>
    </w:p>
    <w:bookmarkStart w:id="30" w:name="page31"/>
    <w:bookmarkEnd w:id="30"/>
    <w:tbl>
      <w:tblPr>
        <w:tblLayout w:type="fixed"/>
        <w:tblInd w:w="0" w:type="dxa"/>
        <w:tblCellMar>
          <w:top w:w="0" w:type="dxa"/>
          <w:left w:w="0" w:type="dxa"/>
          <w:bottom w:w="0" w:type="dxa"/>
          <w:right w:w="0" w:type="dxa"/>
        </w:tblCellMar>
      </w:tblPr>
      <w:tr>
        <w:trPr>
          <w:trHeight w:val="172"/>
        </w:trPr>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231F20"/>
              </w:rPr>
              <w:t>Square</w:t>
            </w:r>
          </w:p>
        </w:tc>
        <w:tc>
          <w:tcPr>
            <w:tcW w:w="8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231F20"/>
              </w:rPr>
              <w:t>Average Base</w:t>
            </w: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231F20"/>
              </w:rPr>
              <w:t>Year</w:t>
            </w:r>
          </w:p>
        </w:tc>
        <w:tc>
          <w:tcPr>
            <w:tcW w:w="80" w:type="dxa"/>
            <w:vAlign w:val="bottom"/>
          </w:tcPr>
          <w:p>
            <w:pPr>
              <w:spacing w:after="0"/>
              <w:rPr>
                <w:sz w:val="13"/>
                <w:szCs w:val="13"/>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231F20"/>
              </w:rPr>
              <w:t>Year</w:t>
            </w:r>
          </w:p>
        </w:tc>
        <w:tc>
          <w:tcPr>
            <w:tcW w:w="80" w:type="dxa"/>
            <w:vAlign w:val="bottom"/>
          </w:tcPr>
          <w:p>
            <w:pPr>
              <w:spacing w:after="0"/>
              <w:rPr>
                <w:sz w:val="13"/>
                <w:szCs w:val="13"/>
                <w:color w:val="auto"/>
              </w:rPr>
            </w:pPr>
          </w:p>
        </w:tc>
        <w:tc>
          <w:tcPr>
            <w:tcW w:w="1020" w:type="dxa"/>
            <w:vAlign w:val="bottom"/>
          </w:tcPr>
          <w:p>
            <w:pPr>
              <w:jc w:val="center"/>
              <w:spacing w:after="0" w:line="152" w:lineRule="exact"/>
              <w:rPr>
                <w:sz w:val="20"/>
                <w:szCs w:val="20"/>
                <w:color w:val="auto"/>
              </w:rPr>
            </w:pPr>
            <w:r>
              <w:rPr>
                <w:rFonts w:ascii="Times New Roman" w:cs="Times New Roman" w:eastAsia="Times New Roman" w:hAnsi="Times New Roman"/>
                <w:sz w:val="15"/>
                <w:szCs w:val="15"/>
                <w:b w:val="1"/>
                <w:bCs w:val="1"/>
                <w:color w:val="231F20"/>
              </w:rPr>
              <w:t>Feet(1) /</w:t>
            </w:r>
          </w:p>
        </w:tc>
        <w:tc>
          <w:tcPr>
            <w:tcW w:w="80" w:type="dxa"/>
            <w:vAlign w:val="bottom"/>
          </w:tcPr>
          <w:p>
            <w:pPr>
              <w:spacing w:after="0"/>
              <w:rPr>
                <w:sz w:val="13"/>
                <w:szCs w:val="13"/>
                <w:color w:val="auto"/>
              </w:rPr>
            </w:pPr>
          </w:p>
        </w:tc>
        <w:tc>
          <w:tcPr>
            <w:tcW w:w="1020" w:type="dxa"/>
            <w:vAlign w:val="bottom"/>
          </w:tcPr>
          <w:p>
            <w:pPr>
              <w:jc w:val="center"/>
              <w:spacing w:after="0" w:line="152" w:lineRule="exact"/>
              <w:rPr>
                <w:sz w:val="20"/>
                <w:szCs w:val="20"/>
                <w:color w:val="auto"/>
              </w:rPr>
            </w:pPr>
            <w:r>
              <w:rPr>
                <w:rFonts w:ascii="Times New Roman" w:cs="Times New Roman" w:eastAsia="Times New Roman" w:hAnsi="Times New Roman"/>
                <w:sz w:val="15"/>
                <w:szCs w:val="15"/>
                <w:b w:val="1"/>
                <w:bCs w:val="1"/>
                <w:color w:val="231F20"/>
              </w:rPr>
              <w:t>Rent Per</w:t>
            </w:r>
          </w:p>
        </w:tc>
        <w:tc>
          <w:tcPr>
            <w:tcW w:w="60" w:type="dxa"/>
            <w:vAlign w:val="bottom"/>
          </w:tcPr>
          <w:p>
            <w:pPr>
              <w:spacing w:after="0"/>
              <w:rPr>
                <w:sz w:val="13"/>
                <w:szCs w:val="13"/>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231F20"/>
              </w:rPr>
              <w:t>Percentage</w:t>
            </w:r>
          </w:p>
        </w:tc>
        <w:tc>
          <w:tcPr>
            <w:tcW w:w="8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2640" w:type="dxa"/>
            <w:vAlign w:val="bottom"/>
            <w:gridSpan w:val="5"/>
            <w:vMerge w:val="restart"/>
          </w:tcPr>
          <w:p>
            <w:pPr>
              <w:spacing w:after="0"/>
              <w:rPr>
                <w:sz w:val="20"/>
                <w:szCs w:val="20"/>
                <w:color w:val="auto"/>
              </w:rPr>
            </w:pPr>
            <w:r>
              <w:rPr>
                <w:rFonts w:ascii="Times New Roman" w:cs="Times New Roman" w:eastAsia="Times New Roman" w:hAnsi="Times New Roman"/>
                <w:sz w:val="15"/>
                <w:szCs w:val="15"/>
                <w:b w:val="1"/>
                <w:bCs w:val="1"/>
                <w:color w:val="231F20"/>
              </w:rPr>
              <w:t>Property, City, State, Zip Code</w:t>
            </w:r>
          </w:p>
        </w:tc>
        <w:tc>
          <w:tcPr>
            <w:tcW w:w="6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jc w:val="center"/>
              <w:spacing w:after="0" w:line="152" w:lineRule="exact"/>
              <w:rPr>
                <w:sz w:val="20"/>
                <w:szCs w:val="20"/>
                <w:color w:val="auto"/>
              </w:rPr>
            </w:pPr>
            <w:r>
              <w:rPr>
                <w:rFonts w:ascii="Times New Roman" w:cs="Times New Roman" w:eastAsia="Times New Roman" w:hAnsi="Times New Roman"/>
                <w:sz w:val="15"/>
                <w:szCs w:val="15"/>
                <w:b w:val="1"/>
                <w:bCs w:val="1"/>
                <w:color w:val="231F20"/>
              </w:rPr>
              <w:t>Apartment</w:t>
            </w:r>
          </w:p>
        </w:tc>
        <w:tc>
          <w:tcPr>
            <w:tcW w:w="80" w:type="dxa"/>
            <w:vAlign w:val="bottom"/>
          </w:tcPr>
          <w:p>
            <w:pPr>
              <w:spacing w:after="0"/>
              <w:rPr>
                <w:sz w:val="13"/>
                <w:szCs w:val="13"/>
                <w:color w:val="auto"/>
              </w:rPr>
            </w:pPr>
          </w:p>
        </w:tc>
        <w:tc>
          <w:tcPr>
            <w:tcW w:w="1020" w:type="dxa"/>
            <w:vAlign w:val="bottom"/>
          </w:tcPr>
          <w:p>
            <w:pPr>
              <w:jc w:val="center"/>
              <w:spacing w:after="0" w:line="152" w:lineRule="exact"/>
              <w:rPr>
                <w:sz w:val="20"/>
                <w:szCs w:val="20"/>
                <w:color w:val="auto"/>
              </w:rPr>
            </w:pPr>
            <w:r>
              <w:rPr>
                <w:rFonts w:ascii="Times New Roman" w:cs="Times New Roman" w:eastAsia="Times New Roman" w:hAnsi="Times New Roman"/>
                <w:sz w:val="15"/>
                <w:szCs w:val="15"/>
                <w:b w:val="1"/>
                <w:bCs w:val="1"/>
                <w:color w:val="231F20"/>
              </w:rPr>
              <w:t>Square</w:t>
            </w:r>
          </w:p>
        </w:tc>
        <w:tc>
          <w:tcPr>
            <w:tcW w:w="6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vMerge w:val="restart"/>
          </w:tcPr>
          <w:p>
            <w:pPr>
              <w:ind w:left="380"/>
              <w:spacing w:after="0"/>
              <w:rPr>
                <w:sz w:val="20"/>
                <w:szCs w:val="20"/>
                <w:color w:val="auto"/>
              </w:rPr>
            </w:pPr>
            <w:r>
              <w:rPr>
                <w:rFonts w:ascii="Times New Roman" w:cs="Times New Roman" w:eastAsia="Times New Roman" w:hAnsi="Times New Roman"/>
                <w:sz w:val="15"/>
                <w:szCs w:val="15"/>
                <w:b w:val="1"/>
                <w:bCs w:val="1"/>
                <w:color w:val="231F20"/>
              </w:rPr>
              <w:t>Principal Tenant(s)</w:t>
            </w:r>
          </w:p>
        </w:tc>
        <w:tc>
          <w:tcPr>
            <w:tcW w:w="0" w:type="dxa"/>
            <w:vAlign w:val="bottom"/>
          </w:tcPr>
          <w:p>
            <w:pPr>
              <w:spacing w:after="0"/>
              <w:rPr>
                <w:sz w:val="1"/>
                <w:szCs w:val="1"/>
                <w:color w:val="auto"/>
              </w:rPr>
            </w:pPr>
          </w:p>
        </w:tc>
      </w:tr>
      <w:tr>
        <w:trPr>
          <w:trHeight w:val="203"/>
        </w:trPr>
        <w:tc>
          <w:tcPr>
            <w:tcW w:w="60" w:type="dxa"/>
            <w:vAlign w:val="bottom"/>
            <w:tcBorders>
              <w:bottom w:val="single" w:sz="8" w:color="231F20"/>
            </w:tcBorders>
          </w:tcPr>
          <w:p>
            <w:pPr>
              <w:spacing w:after="0"/>
              <w:rPr>
                <w:sz w:val="17"/>
                <w:szCs w:val="17"/>
                <w:color w:val="auto"/>
              </w:rPr>
            </w:pPr>
          </w:p>
        </w:tc>
        <w:tc>
          <w:tcPr>
            <w:tcW w:w="2640" w:type="dxa"/>
            <w:vAlign w:val="bottom"/>
            <w:tcBorders>
              <w:bottom w:val="single" w:sz="8" w:color="231F20"/>
            </w:tcBorders>
            <w:gridSpan w:val="5"/>
            <w:vMerge w:val="continue"/>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5"/>
                <w:szCs w:val="15"/>
                <w:b w:val="1"/>
                <w:bCs w:val="1"/>
                <w:color w:val="231F20"/>
              </w:rPr>
              <w:t>Completed</w:t>
            </w:r>
          </w:p>
        </w:tc>
        <w:tc>
          <w:tcPr>
            <w:tcW w:w="80" w:type="dxa"/>
            <w:vAlign w:val="bottom"/>
          </w:tcPr>
          <w:p>
            <w:pPr>
              <w:spacing w:after="0"/>
              <w:rPr>
                <w:sz w:val="17"/>
                <w:szCs w:val="17"/>
                <w:color w:val="auto"/>
              </w:rPr>
            </w:pPr>
          </w:p>
        </w:tc>
        <w:tc>
          <w:tcPr>
            <w:tcW w:w="80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5"/>
                <w:szCs w:val="15"/>
                <w:b w:val="1"/>
                <w:bCs w:val="1"/>
                <w:color w:val="231F20"/>
                <w:w w:val="99"/>
              </w:rPr>
              <w:t>Acquired</w:t>
            </w:r>
          </w:p>
        </w:tc>
        <w:tc>
          <w:tcPr>
            <w:tcW w:w="80" w:type="dxa"/>
            <w:vAlign w:val="bottom"/>
          </w:tcPr>
          <w:p>
            <w:pPr>
              <w:spacing w:after="0"/>
              <w:rPr>
                <w:sz w:val="17"/>
                <w:szCs w:val="17"/>
                <w:color w:val="auto"/>
              </w:rPr>
            </w:pPr>
          </w:p>
        </w:tc>
        <w:tc>
          <w:tcPr>
            <w:tcW w:w="102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5"/>
                <w:szCs w:val="15"/>
                <w:b w:val="1"/>
                <w:bCs w:val="1"/>
                <w:color w:val="231F20"/>
                <w:w w:val="99"/>
              </w:rPr>
              <w:t>Units</w:t>
            </w:r>
          </w:p>
        </w:tc>
        <w:tc>
          <w:tcPr>
            <w:tcW w:w="80" w:type="dxa"/>
            <w:vAlign w:val="bottom"/>
          </w:tcPr>
          <w:p>
            <w:pPr>
              <w:spacing w:after="0"/>
              <w:rPr>
                <w:sz w:val="17"/>
                <w:szCs w:val="17"/>
                <w:color w:val="auto"/>
              </w:rPr>
            </w:pPr>
          </w:p>
        </w:tc>
        <w:tc>
          <w:tcPr>
            <w:tcW w:w="102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5"/>
                <w:szCs w:val="15"/>
                <w:b w:val="1"/>
                <w:bCs w:val="1"/>
                <w:color w:val="231F20"/>
              </w:rPr>
              <w:t>Foot(2)</w:t>
            </w:r>
          </w:p>
        </w:tc>
        <w:tc>
          <w:tcPr>
            <w:tcW w:w="60" w:type="dxa"/>
            <w:vAlign w:val="bottom"/>
          </w:tcPr>
          <w:p>
            <w:pPr>
              <w:spacing w:after="0"/>
              <w:rPr>
                <w:sz w:val="17"/>
                <w:szCs w:val="17"/>
                <w:color w:val="auto"/>
              </w:rPr>
            </w:pPr>
          </w:p>
        </w:tc>
        <w:tc>
          <w:tcPr>
            <w:tcW w:w="84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5"/>
                <w:szCs w:val="15"/>
                <w:b w:val="1"/>
                <w:bCs w:val="1"/>
                <w:color w:val="231F20"/>
              </w:rPr>
              <w:t>Leased(3)</w:t>
            </w:r>
          </w:p>
        </w:tc>
        <w:tc>
          <w:tcPr>
            <w:tcW w:w="80" w:type="dxa"/>
            <w:vAlign w:val="bottom"/>
          </w:tcPr>
          <w:p>
            <w:pPr>
              <w:spacing w:after="0"/>
              <w:rPr>
                <w:sz w:val="17"/>
                <w:szCs w:val="17"/>
                <w:color w:val="auto"/>
              </w:rPr>
            </w:pPr>
          </w:p>
        </w:tc>
        <w:tc>
          <w:tcPr>
            <w:tcW w:w="2040" w:type="dxa"/>
            <w:vAlign w:val="bottom"/>
            <w:tcBorders>
              <w:bottom w:val="single" w:sz="8" w:color="231F20"/>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60" w:type="dxa"/>
            <w:vAlign w:val="bottom"/>
          </w:tcPr>
          <w:p>
            <w:pPr>
              <w:spacing w:after="0"/>
              <w:rPr>
                <w:sz w:val="12"/>
                <w:szCs w:val="12"/>
                <w:color w:val="auto"/>
              </w:rPr>
            </w:pPr>
          </w:p>
        </w:tc>
        <w:tc>
          <w:tcPr>
            <w:tcW w:w="2640" w:type="dxa"/>
            <w:vAlign w:val="bottom"/>
            <w:gridSpan w:val="5"/>
          </w:tcPr>
          <w:p>
            <w:pPr>
              <w:spacing w:after="0" w:line="146" w:lineRule="exact"/>
              <w:rPr>
                <w:sz w:val="20"/>
                <w:szCs w:val="20"/>
                <w:color w:val="auto"/>
              </w:rPr>
            </w:pPr>
            <w:r>
              <w:rPr>
                <w:rFonts w:ascii="Times New Roman" w:cs="Times New Roman" w:eastAsia="Times New Roman" w:hAnsi="Times New Roman"/>
                <w:sz w:val="15"/>
                <w:szCs w:val="15"/>
                <w:color w:val="231F20"/>
              </w:rPr>
              <w:t>Old Town Center</w:t>
            </w:r>
          </w:p>
        </w:tc>
        <w:tc>
          <w:tcPr>
            <w:tcW w:w="60" w:type="dxa"/>
            <w:vAlign w:val="bottom"/>
          </w:tcPr>
          <w:p>
            <w:pPr>
              <w:spacing w:after="0"/>
              <w:rPr>
                <w:sz w:val="12"/>
                <w:szCs w:val="12"/>
                <w:color w:val="auto"/>
              </w:rPr>
            </w:pPr>
          </w:p>
        </w:tc>
        <w:tc>
          <w:tcPr>
            <w:tcW w:w="860" w:type="dxa"/>
            <w:vAlign w:val="bottom"/>
          </w:tcPr>
          <w:p>
            <w:pPr>
              <w:jc w:val="center"/>
              <w:spacing w:after="0" w:line="146" w:lineRule="exact"/>
              <w:rPr>
                <w:sz w:val="20"/>
                <w:szCs w:val="20"/>
                <w:color w:val="auto"/>
              </w:rPr>
            </w:pPr>
            <w:r>
              <w:rPr>
                <w:rFonts w:ascii="Times New Roman" w:cs="Times New Roman" w:eastAsia="Times New Roman" w:hAnsi="Times New Roman"/>
                <w:sz w:val="15"/>
                <w:szCs w:val="15"/>
                <w:color w:val="231F20"/>
              </w:rPr>
              <w:t>1962, 1998</w:t>
            </w:r>
          </w:p>
        </w:tc>
        <w:tc>
          <w:tcPr>
            <w:tcW w:w="80" w:type="dxa"/>
            <w:vAlign w:val="bottom"/>
          </w:tcPr>
          <w:p>
            <w:pPr>
              <w:spacing w:after="0"/>
              <w:rPr>
                <w:sz w:val="12"/>
                <w:szCs w:val="12"/>
                <w:color w:val="auto"/>
              </w:rPr>
            </w:pPr>
          </w:p>
        </w:tc>
        <w:tc>
          <w:tcPr>
            <w:tcW w:w="800" w:type="dxa"/>
            <w:vAlign w:val="bottom"/>
          </w:tcPr>
          <w:p>
            <w:pPr>
              <w:jc w:val="center"/>
              <w:spacing w:after="0" w:line="146" w:lineRule="exact"/>
              <w:rPr>
                <w:sz w:val="20"/>
                <w:szCs w:val="20"/>
                <w:color w:val="auto"/>
              </w:rPr>
            </w:pPr>
            <w:r>
              <w:rPr>
                <w:rFonts w:ascii="Times New Roman" w:cs="Times New Roman" w:eastAsia="Times New Roman" w:hAnsi="Times New Roman"/>
                <w:sz w:val="15"/>
                <w:szCs w:val="15"/>
                <w:color w:val="231F20"/>
                <w:w w:val="99"/>
              </w:rPr>
              <w:t>1997</w:t>
            </w:r>
          </w:p>
        </w:tc>
        <w:tc>
          <w:tcPr>
            <w:tcW w:w="80" w:type="dxa"/>
            <w:vAlign w:val="bottom"/>
          </w:tcPr>
          <w:p>
            <w:pPr>
              <w:spacing w:after="0"/>
              <w:rPr>
                <w:sz w:val="12"/>
                <w:szCs w:val="12"/>
                <w:color w:val="auto"/>
              </w:rPr>
            </w:pPr>
          </w:p>
        </w:tc>
        <w:tc>
          <w:tcPr>
            <w:tcW w:w="1020" w:type="dxa"/>
            <w:vAlign w:val="bottom"/>
          </w:tcPr>
          <w:p>
            <w:pPr>
              <w:jc w:val="center"/>
              <w:spacing w:after="0" w:line="146" w:lineRule="exact"/>
              <w:rPr>
                <w:sz w:val="20"/>
                <w:szCs w:val="20"/>
                <w:color w:val="auto"/>
              </w:rPr>
            </w:pPr>
            <w:r>
              <w:rPr>
                <w:rFonts w:ascii="Times New Roman" w:cs="Times New Roman" w:eastAsia="Times New Roman" w:hAnsi="Times New Roman"/>
                <w:sz w:val="15"/>
                <w:szCs w:val="15"/>
                <w:color w:val="231F20"/>
              </w:rPr>
              <w:t>99,000</w:t>
            </w:r>
          </w:p>
        </w:tc>
        <w:tc>
          <w:tcPr>
            <w:tcW w:w="80" w:type="dxa"/>
            <w:vAlign w:val="bottom"/>
          </w:tcPr>
          <w:p>
            <w:pPr>
              <w:spacing w:after="0"/>
              <w:rPr>
                <w:sz w:val="12"/>
                <w:szCs w:val="12"/>
                <w:color w:val="auto"/>
              </w:rPr>
            </w:pPr>
          </w:p>
        </w:tc>
        <w:tc>
          <w:tcPr>
            <w:tcW w:w="1020" w:type="dxa"/>
            <w:vAlign w:val="bottom"/>
          </w:tcPr>
          <w:p>
            <w:pPr>
              <w:jc w:val="center"/>
              <w:spacing w:after="0" w:line="146" w:lineRule="exact"/>
              <w:rPr>
                <w:sz w:val="20"/>
                <w:szCs w:val="20"/>
                <w:color w:val="auto"/>
              </w:rPr>
            </w:pPr>
            <w:r>
              <w:rPr>
                <w:rFonts w:ascii="Times New Roman" w:cs="Times New Roman" w:eastAsia="Times New Roman" w:hAnsi="Times New Roman"/>
                <w:sz w:val="15"/>
                <w:szCs w:val="15"/>
                <w:color w:val="231F20"/>
              </w:rPr>
              <w:t>$49.43</w:t>
            </w:r>
          </w:p>
        </w:tc>
        <w:tc>
          <w:tcPr>
            <w:tcW w:w="60" w:type="dxa"/>
            <w:vAlign w:val="bottom"/>
          </w:tcPr>
          <w:p>
            <w:pPr>
              <w:spacing w:after="0"/>
              <w:rPr>
                <w:sz w:val="12"/>
                <w:szCs w:val="12"/>
                <w:color w:val="auto"/>
              </w:rPr>
            </w:pPr>
          </w:p>
        </w:tc>
        <w:tc>
          <w:tcPr>
            <w:tcW w:w="840" w:type="dxa"/>
            <w:vAlign w:val="bottom"/>
          </w:tcPr>
          <w:p>
            <w:pPr>
              <w:jc w:val="center"/>
              <w:spacing w:after="0" w:line="146" w:lineRule="exact"/>
              <w:rPr>
                <w:sz w:val="20"/>
                <w:szCs w:val="20"/>
                <w:color w:val="auto"/>
              </w:rPr>
            </w:pPr>
            <w:r>
              <w:rPr>
                <w:rFonts w:ascii="Times New Roman" w:cs="Times New Roman" w:eastAsia="Times New Roman" w:hAnsi="Times New Roman"/>
                <w:sz w:val="15"/>
                <w:szCs w:val="15"/>
                <w:color w:val="231F20"/>
              </w:rPr>
              <w:t>89%</w:t>
            </w:r>
          </w:p>
        </w:tc>
        <w:tc>
          <w:tcPr>
            <w:tcW w:w="80" w:type="dxa"/>
            <w:vAlign w:val="bottom"/>
          </w:tcPr>
          <w:p>
            <w:pPr>
              <w:spacing w:after="0"/>
              <w:rPr>
                <w:sz w:val="12"/>
                <w:szCs w:val="12"/>
                <w:color w:val="auto"/>
              </w:rPr>
            </w:pPr>
          </w:p>
        </w:tc>
        <w:tc>
          <w:tcPr>
            <w:tcW w:w="2040" w:type="dxa"/>
            <w:vAlign w:val="bottom"/>
          </w:tcPr>
          <w:p>
            <w:pPr>
              <w:ind w:left="40"/>
              <w:spacing w:after="0" w:line="146" w:lineRule="exact"/>
              <w:rPr>
                <w:sz w:val="20"/>
                <w:szCs w:val="20"/>
                <w:color w:val="auto"/>
              </w:rPr>
            </w:pPr>
            <w:r>
              <w:rPr>
                <w:rFonts w:ascii="Times New Roman" w:cs="Times New Roman" w:eastAsia="Times New Roman" w:hAnsi="Times New Roman"/>
                <w:sz w:val="15"/>
                <w:szCs w:val="15"/>
                <w:color w:val="231F20"/>
              </w:rPr>
              <w:t>Anthropologie</w:t>
            </w: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2640" w:type="dxa"/>
            <w:vAlign w:val="bottom"/>
            <w:gridSpan w:val="5"/>
          </w:tcPr>
          <w:p>
            <w:pPr>
              <w:ind w:left="100"/>
              <w:spacing w:after="0" w:line="152" w:lineRule="exact"/>
              <w:rPr>
                <w:sz w:val="20"/>
                <w:szCs w:val="20"/>
                <w:color w:val="auto"/>
              </w:rPr>
            </w:pPr>
            <w:r>
              <w:rPr>
                <w:rFonts w:ascii="Times New Roman" w:cs="Times New Roman" w:eastAsia="Times New Roman" w:hAnsi="Times New Roman"/>
                <w:sz w:val="15"/>
                <w:szCs w:val="15"/>
                <w:color w:val="231F20"/>
              </w:rPr>
              <w:t>Los Gatos, CA 95030</w:t>
            </w: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ind w:left="40"/>
              <w:spacing w:after="0" w:line="152" w:lineRule="exact"/>
              <w:rPr>
                <w:sz w:val="20"/>
                <w:szCs w:val="20"/>
                <w:color w:val="auto"/>
              </w:rPr>
            </w:pPr>
            <w:r>
              <w:rPr>
                <w:rFonts w:ascii="Times New Roman" w:cs="Times New Roman" w:eastAsia="Times New Roman" w:hAnsi="Times New Roman"/>
                <w:sz w:val="15"/>
                <w:szCs w:val="15"/>
                <w:color w:val="231F20"/>
              </w:rPr>
              <w:t>Sephora</w:t>
            </w: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ind w:left="40"/>
              <w:spacing w:after="0" w:line="152" w:lineRule="exact"/>
              <w:rPr>
                <w:sz w:val="20"/>
                <w:szCs w:val="20"/>
                <w:color w:val="auto"/>
              </w:rPr>
            </w:pPr>
            <w:r>
              <w:rPr>
                <w:rFonts w:ascii="Times New Roman" w:cs="Times New Roman" w:eastAsia="Times New Roman" w:hAnsi="Times New Roman"/>
                <w:sz w:val="15"/>
                <w:szCs w:val="15"/>
                <w:color w:val="231F20"/>
              </w:rPr>
              <w:t>Arhaus Furniture</w:t>
            </w: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40" w:type="dxa"/>
            <w:vAlign w:val="bottom"/>
          </w:tcPr>
          <w:p>
            <w:pPr>
              <w:ind w:left="40"/>
              <w:spacing w:after="0"/>
              <w:rPr>
                <w:sz w:val="20"/>
                <w:szCs w:val="20"/>
                <w:color w:val="auto"/>
              </w:rPr>
            </w:pPr>
            <w:r>
              <w:rPr>
                <w:rFonts w:ascii="Times New Roman" w:cs="Times New Roman" w:eastAsia="Times New Roman" w:hAnsi="Times New Roman"/>
                <w:sz w:val="15"/>
                <w:szCs w:val="15"/>
                <w:color w:val="231F20"/>
              </w:rPr>
              <w:t>Teleferic Barcelona</w:t>
            </w:r>
          </w:p>
        </w:tc>
        <w:tc>
          <w:tcPr>
            <w:tcW w:w="0" w:type="dxa"/>
            <w:vAlign w:val="bottom"/>
          </w:tcPr>
          <w:p>
            <w:pPr>
              <w:spacing w:after="0"/>
              <w:rPr>
                <w:sz w:val="1"/>
                <w:szCs w:val="1"/>
                <w:color w:val="auto"/>
              </w:rPr>
            </w:pPr>
          </w:p>
        </w:tc>
      </w:tr>
      <w:tr>
        <w:trPr>
          <w:trHeight w:val="168"/>
        </w:trPr>
        <w:tc>
          <w:tcPr>
            <w:tcW w:w="60" w:type="dxa"/>
            <w:vAlign w:val="bottom"/>
          </w:tcPr>
          <w:p>
            <w:pPr>
              <w:spacing w:after="0"/>
              <w:rPr>
                <w:sz w:val="14"/>
                <w:szCs w:val="14"/>
                <w:color w:val="auto"/>
              </w:rPr>
            </w:pPr>
          </w:p>
        </w:tc>
        <w:tc>
          <w:tcPr>
            <w:tcW w:w="2640" w:type="dxa"/>
            <w:vAlign w:val="bottom"/>
            <w:gridSpan w:val="5"/>
          </w:tcPr>
          <w:p>
            <w:pPr>
              <w:spacing w:after="0" w:line="169" w:lineRule="exact"/>
              <w:rPr>
                <w:sz w:val="20"/>
                <w:szCs w:val="20"/>
                <w:color w:val="auto"/>
              </w:rPr>
            </w:pPr>
            <w:r>
              <w:rPr>
                <w:rFonts w:ascii="Times New Roman" w:cs="Times New Roman" w:eastAsia="Times New Roman" w:hAnsi="Times New Roman"/>
                <w:sz w:val="15"/>
                <w:szCs w:val="15"/>
                <w:color w:val="231F20"/>
              </w:rPr>
              <w:t>Olivo at Mission Hills</w:t>
            </w:r>
          </w:p>
        </w:tc>
        <w:tc>
          <w:tcPr>
            <w:tcW w:w="920" w:type="dxa"/>
            <w:vAlign w:val="bottom"/>
            <w:gridSpan w:val="2"/>
          </w:tcPr>
          <w:p>
            <w:pPr>
              <w:jc w:val="center"/>
              <w:spacing w:after="0" w:line="169" w:lineRule="exact"/>
              <w:rPr>
                <w:sz w:val="20"/>
                <w:szCs w:val="20"/>
                <w:color w:val="auto"/>
              </w:rPr>
            </w:pPr>
            <w:r>
              <w:rPr>
                <w:rFonts w:ascii="Times New Roman" w:cs="Times New Roman" w:eastAsia="Times New Roman" w:hAnsi="Times New Roman"/>
                <w:sz w:val="15"/>
                <w:szCs w:val="15"/>
                <w:color w:val="231F20"/>
                <w:w w:val="99"/>
              </w:rPr>
              <w:t>2018</w:t>
            </w:r>
          </w:p>
        </w:tc>
        <w:tc>
          <w:tcPr>
            <w:tcW w:w="880" w:type="dxa"/>
            <w:vAlign w:val="bottom"/>
            <w:gridSpan w:val="2"/>
          </w:tcPr>
          <w:p>
            <w:pPr>
              <w:jc w:val="center"/>
              <w:ind w:left="24"/>
              <w:spacing w:after="0" w:line="169" w:lineRule="exact"/>
              <w:rPr>
                <w:sz w:val="20"/>
                <w:szCs w:val="20"/>
                <w:color w:val="auto"/>
              </w:rPr>
            </w:pPr>
            <w:r>
              <w:rPr>
                <w:rFonts w:ascii="Times New Roman" w:cs="Times New Roman" w:eastAsia="Times New Roman" w:hAnsi="Times New Roman"/>
                <w:sz w:val="15"/>
                <w:szCs w:val="15"/>
                <w:color w:val="231F20"/>
                <w:w w:val="99"/>
              </w:rPr>
              <w:t>2017</w:t>
            </w:r>
          </w:p>
        </w:tc>
        <w:tc>
          <w:tcPr>
            <w:tcW w:w="1100" w:type="dxa"/>
            <w:vAlign w:val="bottom"/>
            <w:gridSpan w:val="2"/>
          </w:tcPr>
          <w:p>
            <w:pPr>
              <w:jc w:val="center"/>
              <w:ind w:left="44"/>
              <w:spacing w:after="0" w:line="169" w:lineRule="exact"/>
              <w:rPr>
                <w:sz w:val="20"/>
                <w:szCs w:val="20"/>
                <w:color w:val="auto"/>
              </w:rPr>
            </w:pPr>
            <w:r>
              <w:rPr>
                <w:rFonts w:ascii="Times New Roman" w:cs="Times New Roman" w:eastAsia="Times New Roman" w:hAnsi="Times New Roman"/>
                <w:sz w:val="15"/>
                <w:szCs w:val="15"/>
                <w:color w:val="231F20"/>
              </w:rPr>
              <w:t>155,000</w:t>
            </w:r>
          </w:p>
        </w:tc>
        <w:tc>
          <w:tcPr>
            <w:tcW w:w="1100" w:type="dxa"/>
            <w:vAlign w:val="bottom"/>
            <w:gridSpan w:val="2"/>
          </w:tcPr>
          <w:p>
            <w:pPr>
              <w:jc w:val="center"/>
              <w:ind w:left="44"/>
              <w:spacing w:after="0" w:line="169" w:lineRule="exact"/>
              <w:rPr>
                <w:sz w:val="20"/>
                <w:szCs w:val="20"/>
                <w:color w:val="auto"/>
              </w:rPr>
            </w:pPr>
            <w:r>
              <w:rPr>
                <w:rFonts w:ascii="Times New Roman" w:cs="Times New Roman" w:eastAsia="Times New Roman" w:hAnsi="Times New Roman"/>
                <w:sz w:val="15"/>
                <w:szCs w:val="15"/>
                <w:color w:val="231F20"/>
              </w:rPr>
              <w:t>$35.10</w:t>
            </w:r>
          </w:p>
        </w:tc>
        <w:tc>
          <w:tcPr>
            <w:tcW w:w="900" w:type="dxa"/>
            <w:vAlign w:val="bottom"/>
            <w:gridSpan w:val="2"/>
          </w:tcPr>
          <w:p>
            <w:pPr>
              <w:jc w:val="center"/>
              <w:ind w:left="24"/>
              <w:spacing w:after="0" w:line="169" w:lineRule="exact"/>
              <w:rPr>
                <w:sz w:val="20"/>
                <w:szCs w:val="20"/>
                <w:color w:val="auto"/>
              </w:rPr>
            </w:pPr>
            <w:r>
              <w:rPr>
                <w:rFonts w:ascii="Times New Roman" w:cs="Times New Roman" w:eastAsia="Times New Roman" w:hAnsi="Times New Roman"/>
                <w:sz w:val="15"/>
                <w:szCs w:val="15"/>
                <w:color w:val="231F20"/>
              </w:rPr>
              <w:t>100%</w:t>
            </w:r>
          </w:p>
        </w:tc>
        <w:tc>
          <w:tcPr>
            <w:tcW w:w="80" w:type="dxa"/>
            <w:vAlign w:val="bottom"/>
          </w:tcPr>
          <w:p>
            <w:pPr>
              <w:spacing w:after="0"/>
              <w:rPr>
                <w:sz w:val="14"/>
                <w:szCs w:val="14"/>
                <w:color w:val="auto"/>
              </w:rPr>
            </w:pPr>
          </w:p>
        </w:tc>
        <w:tc>
          <w:tcPr>
            <w:tcW w:w="2040" w:type="dxa"/>
            <w:vAlign w:val="bottom"/>
          </w:tcPr>
          <w:p>
            <w:pPr>
              <w:ind w:left="40"/>
              <w:spacing w:after="0" w:line="169" w:lineRule="exact"/>
              <w:rPr>
                <w:sz w:val="20"/>
                <w:szCs w:val="20"/>
                <w:color w:val="auto"/>
              </w:rPr>
            </w:pPr>
            <w:r>
              <w:rPr>
                <w:rFonts w:ascii="Times New Roman" w:cs="Times New Roman" w:eastAsia="Times New Roman" w:hAnsi="Times New Roman"/>
                <w:sz w:val="15"/>
                <w:szCs w:val="15"/>
                <w:color w:val="231F20"/>
              </w:rPr>
              <w:t>Target</w:t>
            </w: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2640" w:type="dxa"/>
            <w:vAlign w:val="bottom"/>
            <w:gridSpan w:val="5"/>
          </w:tcPr>
          <w:p>
            <w:pPr>
              <w:ind w:left="100"/>
              <w:spacing w:after="0" w:line="152" w:lineRule="exact"/>
              <w:rPr>
                <w:sz w:val="20"/>
                <w:szCs w:val="20"/>
                <w:color w:val="auto"/>
              </w:rPr>
            </w:pPr>
            <w:r>
              <w:rPr>
                <w:rFonts w:ascii="Times New Roman" w:cs="Times New Roman" w:eastAsia="Times New Roman" w:hAnsi="Times New Roman"/>
                <w:sz w:val="15"/>
                <w:szCs w:val="15"/>
                <w:color w:val="231F20"/>
              </w:rPr>
              <w:t>Mission Hills, CA 91345(4)</w:t>
            </w: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ind w:left="40"/>
              <w:spacing w:after="0" w:line="152" w:lineRule="exact"/>
              <w:rPr>
                <w:sz w:val="20"/>
                <w:szCs w:val="20"/>
                <w:color w:val="auto"/>
              </w:rPr>
            </w:pPr>
            <w:r>
              <w:rPr>
                <w:rFonts w:ascii="Times New Roman" w:cs="Times New Roman" w:eastAsia="Times New Roman" w:hAnsi="Times New Roman"/>
                <w:sz w:val="15"/>
                <w:szCs w:val="15"/>
                <w:color w:val="231F20"/>
              </w:rPr>
              <w:t>24 Hour Fitness</w:t>
            </w: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ind w:left="40"/>
              <w:spacing w:after="0" w:line="152" w:lineRule="exact"/>
              <w:rPr>
                <w:sz w:val="20"/>
                <w:szCs w:val="20"/>
                <w:color w:val="auto"/>
              </w:rPr>
            </w:pPr>
            <w:r>
              <w:rPr>
                <w:rFonts w:ascii="Times New Roman" w:cs="Times New Roman" w:eastAsia="Times New Roman" w:hAnsi="Times New Roman"/>
                <w:sz w:val="15"/>
                <w:szCs w:val="15"/>
                <w:color w:val="231F20"/>
              </w:rPr>
              <w:t>Ross Dress for Less</w:t>
            </w: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40" w:type="dxa"/>
            <w:vAlign w:val="bottom"/>
          </w:tcPr>
          <w:p>
            <w:pPr>
              <w:ind w:left="40"/>
              <w:spacing w:after="0"/>
              <w:rPr>
                <w:sz w:val="20"/>
                <w:szCs w:val="20"/>
                <w:color w:val="auto"/>
              </w:rPr>
            </w:pPr>
            <w:r>
              <w:rPr>
                <w:rFonts w:ascii="Times New Roman" w:cs="Times New Roman" w:eastAsia="Times New Roman" w:hAnsi="Times New Roman"/>
                <w:sz w:val="15"/>
                <w:szCs w:val="15"/>
                <w:color w:val="231F20"/>
              </w:rPr>
              <w:t>Ulta</w:t>
            </w:r>
          </w:p>
        </w:tc>
        <w:tc>
          <w:tcPr>
            <w:tcW w:w="0" w:type="dxa"/>
            <w:vAlign w:val="bottom"/>
          </w:tcPr>
          <w:p>
            <w:pPr>
              <w:spacing w:after="0"/>
              <w:rPr>
                <w:sz w:val="1"/>
                <w:szCs w:val="1"/>
                <w:color w:val="auto"/>
              </w:rPr>
            </w:pPr>
          </w:p>
        </w:tc>
      </w:tr>
      <w:tr>
        <w:trPr>
          <w:trHeight w:val="168"/>
        </w:trPr>
        <w:tc>
          <w:tcPr>
            <w:tcW w:w="60" w:type="dxa"/>
            <w:vAlign w:val="bottom"/>
          </w:tcPr>
          <w:p>
            <w:pPr>
              <w:spacing w:after="0"/>
              <w:rPr>
                <w:sz w:val="14"/>
                <w:szCs w:val="14"/>
                <w:color w:val="auto"/>
              </w:rPr>
            </w:pPr>
          </w:p>
        </w:tc>
        <w:tc>
          <w:tcPr>
            <w:tcW w:w="2640" w:type="dxa"/>
            <w:vAlign w:val="bottom"/>
            <w:gridSpan w:val="5"/>
          </w:tcPr>
          <w:p>
            <w:pPr>
              <w:spacing w:after="0" w:line="169" w:lineRule="exact"/>
              <w:rPr>
                <w:sz w:val="20"/>
                <w:szCs w:val="20"/>
                <w:color w:val="auto"/>
              </w:rPr>
            </w:pPr>
            <w:r>
              <w:rPr>
                <w:rFonts w:ascii="Times New Roman" w:cs="Times New Roman" w:eastAsia="Times New Roman" w:hAnsi="Times New Roman"/>
                <w:sz w:val="15"/>
                <w:szCs w:val="15"/>
                <w:color w:val="231F20"/>
              </w:rPr>
              <w:t>Pinole Vista Crossing</w:t>
            </w:r>
          </w:p>
        </w:tc>
        <w:tc>
          <w:tcPr>
            <w:tcW w:w="920" w:type="dxa"/>
            <w:vAlign w:val="bottom"/>
            <w:gridSpan w:val="2"/>
          </w:tcPr>
          <w:p>
            <w:pPr>
              <w:jc w:val="center"/>
              <w:ind w:left="4"/>
              <w:spacing w:after="0" w:line="169" w:lineRule="exact"/>
              <w:rPr>
                <w:sz w:val="20"/>
                <w:szCs w:val="20"/>
                <w:color w:val="auto"/>
              </w:rPr>
            </w:pPr>
            <w:r>
              <w:rPr>
                <w:rFonts w:ascii="Times New Roman" w:cs="Times New Roman" w:eastAsia="Times New Roman" w:hAnsi="Times New Roman"/>
                <w:sz w:val="15"/>
                <w:szCs w:val="15"/>
                <w:color w:val="231F20"/>
              </w:rPr>
              <w:t>1995, 2015</w:t>
            </w:r>
          </w:p>
        </w:tc>
        <w:tc>
          <w:tcPr>
            <w:tcW w:w="880" w:type="dxa"/>
            <w:vAlign w:val="bottom"/>
            <w:gridSpan w:val="2"/>
          </w:tcPr>
          <w:p>
            <w:pPr>
              <w:jc w:val="center"/>
              <w:ind w:left="24"/>
              <w:spacing w:after="0" w:line="169" w:lineRule="exact"/>
              <w:rPr>
                <w:sz w:val="20"/>
                <w:szCs w:val="20"/>
                <w:color w:val="auto"/>
              </w:rPr>
            </w:pPr>
            <w:r>
              <w:rPr>
                <w:rFonts w:ascii="Times New Roman" w:cs="Times New Roman" w:eastAsia="Times New Roman" w:hAnsi="Times New Roman"/>
                <w:sz w:val="15"/>
                <w:szCs w:val="15"/>
                <w:color w:val="231F20"/>
                <w:w w:val="99"/>
              </w:rPr>
              <w:t>2024</w:t>
            </w:r>
          </w:p>
        </w:tc>
        <w:tc>
          <w:tcPr>
            <w:tcW w:w="1100" w:type="dxa"/>
            <w:vAlign w:val="bottom"/>
            <w:gridSpan w:val="2"/>
          </w:tcPr>
          <w:p>
            <w:pPr>
              <w:jc w:val="center"/>
              <w:ind w:left="44"/>
              <w:spacing w:after="0" w:line="169" w:lineRule="exact"/>
              <w:rPr>
                <w:sz w:val="20"/>
                <w:szCs w:val="20"/>
                <w:color w:val="auto"/>
              </w:rPr>
            </w:pPr>
            <w:r>
              <w:rPr>
                <w:rFonts w:ascii="Times New Roman" w:cs="Times New Roman" w:eastAsia="Times New Roman" w:hAnsi="Times New Roman"/>
                <w:sz w:val="15"/>
                <w:szCs w:val="15"/>
                <w:color w:val="231F20"/>
              </w:rPr>
              <w:t>216,000</w:t>
            </w:r>
          </w:p>
        </w:tc>
        <w:tc>
          <w:tcPr>
            <w:tcW w:w="1100" w:type="dxa"/>
            <w:vAlign w:val="bottom"/>
            <w:gridSpan w:val="2"/>
          </w:tcPr>
          <w:p>
            <w:pPr>
              <w:jc w:val="center"/>
              <w:ind w:left="44"/>
              <w:spacing w:after="0" w:line="169" w:lineRule="exact"/>
              <w:rPr>
                <w:sz w:val="20"/>
                <w:szCs w:val="20"/>
                <w:color w:val="auto"/>
              </w:rPr>
            </w:pPr>
            <w:r>
              <w:rPr>
                <w:rFonts w:ascii="Times New Roman" w:cs="Times New Roman" w:eastAsia="Times New Roman" w:hAnsi="Times New Roman"/>
                <w:sz w:val="15"/>
                <w:szCs w:val="15"/>
                <w:color w:val="231F20"/>
              </w:rPr>
              <w:t>$22.48</w:t>
            </w:r>
          </w:p>
        </w:tc>
        <w:tc>
          <w:tcPr>
            <w:tcW w:w="900" w:type="dxa"/>
            <w:vAlign w:val="bottom"/>
            <w:gridSpan w:val="2"/>
          </w:tcPr>
          <w:p>
            <w:pPr>
              <w:jc w:val="center"/>
              <w:ind w:left="24"/>
              <w:spacing w:after="0" w:line="169" w:lineRule="exact"/>
              <w:rPr>
                <w:sz w:val="20"/>
                <w:szCs w:val="20"/>
                <w:color w:val="auto"/>
              </w:rPr>
            </w:pPr>
            <w:r>
              <w:rPr>
                <w:rFonts w:ascii="Times New Roman" w:cs="Times New Roman" w:eastAsia="Times New Roman" w:hAnsi="Times New Roman"/>
                <w:sz w:val="15"/>
                <w:szCs w:val="15"/>
                <w:color w:val="231F20"/>
              </w:rPr>
              <w:t>99%</w:t>
            </w:r>
          </w:p>
        </w:tc>
        <w:tc>
          <w:tcPr>
            <w:tcW w:w="80" w:type="dxa"/>
            <w:vAlign w:val="bottom"/>
          </w:tcPr>
          <w:p>
            <w:pPr>
              <w:spacing w:after="0"/>
              <w:rPr>
                <w:sz w:val="14"/>
                <w:szCs w:val="14"/>
                <w:color w:val="auto"/>
              </w:rPr>
            </w:pPr>
          </w:p>
        </w:tc>
        <w:tc>
          <w:tcPr>
            <w:tcW w:w="2040" w:type="dxa"/>
            <w:vAlign w:val="bottom"/>
          </w:tcPr>
          <w:p>
            <w:pPr>
              <w:ind w:left="40"/>
              <w:spacing w:after="0" w:line="169" w:lineRule="exact"/>
              <w:rPr>
                <w:sz w:val="20"/>
                <w:szCs w:val="20"/>
                <w:color w:val="auto"/>
              </w:rPr>
            </w:pPr>
            <w:r>
              <w:rPr>
                <w:rFonts w:ascii="Times New Roman" w:cs="Times New Roman" w:eastAsia="Times New Roman" w:hAnsi="Times New Roman"/>
                <w:sz w:val="15"/>
                <w:szCs w:val="15"/>
                <w:color w:val="231F20"/>
              </w:rPr>
              <w:t>FoodMaxx</w:t>
            </w: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2640" w:type="dxa"/>
            <w:vAlign w:val="bottom"/>
            <w:gridSpan w:val="5"/>
          </w:tcPr>
          <w:p>
            <w:pPr>
              <w:ind w:left="100"/>
              <w:spacing w:after="0" w:line="152" w:lineRule="exact"/>
              <w:rPr>
                <w:sz w:val="20"/>
                <w:szCs w:val="20"/>
                <w:color w:val="auto"/>
              </w:rPr>
            </w:pPr>
            <w:r>
              <w:rPr>
                <w:rFonts w:ascii="Times New Roman" w:cs="Times New Roman" w:eastAsia="Times New Roman" w:hAnsi="Times New Roman"/>
                <w:sz w:val="15"/>
                <w:szCs w:val="15"/>
                <w:color w:val="231F20"/>
              </w:rPr>
              <w:t>Pinole, CA 94564</w:t>
            </w: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ind w:left="40"/>
              <w:spacing w:after="0" w:line="152" w:lineRule="exact"/>
              <w:rPr>
                <w:sz w:val="20"/>
                <w:szCs w:val="20"/>
                <w:color w:val="auto"/>
              </w:rPr>
            </w:pPr>
            <w:r>
              <w:rPr>
                <w:rFonts w:ascii="Times New Roman" w:cs="Times New Roman" w:eastAsia="Times New Roman" w:hAnsi="Times New Roman"/>
                <w:sz w:val="15"/>
                <w:szCs w:val="15"/>
                <w:color w:val="231F20"/>
              </w:rPr>
              <w:t>TJ Maxx</w:t>
            </w: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ind w:left="40"/>
              <w:spacing w:after="0" w:line="152" w:lineRule="exact"/>
              <w:rPr>
                <w:sz w:val="20"/>
                <w:szCs w:val="20"/>
                <w:color w:val="auto"/>
              </w:rPr>
            </w:pPr>
            <w:r>
              <w:rPr>
                <w:rFonts w:ascii="Times New Roman" w:cs="Times New Roman" w:eastAsia="Times New Roman" w:hAnsi="Times New Roman"/>
                <w:sz w:val="15"/>
                <w:szCs w:val="15"/>
                <w:color w:val="231F20"/>
              </w:rPr>
              <w:t>Nordstrom Rack</w:t>
            </w: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ind w:left="40"/>
              <w:spacing w:after="0" w:line="152" w:lineRule="exact"/>
              <w:rPr>
                <w:sz w:val="20"/>
                <w:szCs w:val="20"/>
                <w:color w:val="auto"/>
              </w:rPr>
            </w:pPr>
            <w:r>
              <w:rPr>
                <w:rFonts w:ascii="Times New Roman" w:cs="Times New Roman" w:eastAsia="Times New Roman" w:hAnsi="Times New Roman"/>
                <w:sz w:val="15"/>
                <w:szCs w:val="15"/>
                <w:color w:val="231F20"/>
              </w:rPr>
              <w:t>HomeGoods</w:t>
            </w: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40" w:type="dxa"/>
            <w:vAlign w:val="bottom"/>
          </w:tcPr>
          <w:p>
            <w:pPr>
              <w:ind w:left="40"/>
              <w:spacing w:after="0"/>
              <w:rPr>
                <w:sz w:val="20"/>
                <w:szCs w:val="20"/>
                <w:color w:val="auto"/>
              </w:rPr>
            </w:pPr>
            <w:r>
              <w:rPr>
                <w:rFonts w:ascii="Times New Roman" w:cs="Times New Roman" w:eastAsia="Times New Roman" w:hAnsi="Times New Roman"/>
                <w:sz w:val="15"/>
                <w:szCs w:val="15"/>
                <w:color w:val="231F20"/>
              </w:rPr>
              <w:t>Ulta</w:t>
            </w:r>
          </w:p>
        </w:tc>
        <w:tc>
          <w:tcPr>
            <w:tcW w:w="0" w:type="dxa"/>
            <w:vAlign w:val="bottom"/>
          </w:tcPr>
          <w:p>
            <w:pPr>
              <w:spacing w:after="0"/>
              <w:rPr>
                <w:sz w:val="1"/>
                <w:szCs w:val="1"/>
                <w:color w:val="auto"/>
              </w:rPr>
            </w:pPr>
          </w:p>
        </w:tc>
      </w:tr>
      <w:tr>
        <w:trPr>
          <w:trHeight w:val="188"/>
        </w:trPr>
        <w:tc>
          <w:tcPr>
            <w:tcW w:w="60" w:type="dxa"/>
            <w:vAlign w:val="bottom"/>
          </w:tcPr>
          <w:p>
            <w:pPr>
              <w:spacing w:after="0"/>
              <w:rPr>
                <w:sz w:val="16"/>
                <w:szCs w:val="16"/>
                <w:color w:val="auto"/>
              </w:rPr>
            </w:pPr>
          </w:p>
        </w:tc>
        <w:tc>
          <w:tcPr>
            <w:tcW w:w="2640" w:type="dxa"/>
            <w:vAlign w:val="bottom"/>
            <w:gridSpan w:val="5"/>
          </w:tcPr>
          <w:p>
            <w:pPr>
              <w:spacing w:after="0"/>
              <w:rPr>
                <w:sz w:val="20"/>
                <w:szCs w:val="20"/>
                <w:color w:val="auto"/>
              </w:rPr>
            </w:pPr>
            <w:r>
              <w:rPr>
                <w:rFonts w:ascii="Times New Roman" w:cs="Times New Roman" w:eastAsia="Times New Roman" w:hAnsi="Times New Roman"/>
                <w:sz w:val="15"/>
                <w:szCs w:val="15"/>
                <w:color w:val="231F20"/>
              </w:rPr>
              <w:t>Plaza Del Sol</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231F20"/>
                <w:w w:val="99"/>
              </w:rPr>
              <w:t>2009</w:t>
            </w:r>
          </w:p>
        </w:tc>
        <w:tc>
          <w:tcPr>
            <w:tcW w:w="880" w:type="dxa"/>
            <w:vAlign w:val="bottom"/>
            <w:gridSpan w:val="2"/>
          </w:tcPr>
          <w:p>
            <w:pPr>
              <w:jc w:val="center"/>
              <w:ind w:left="24"/>
              <w:spacing w:after="0"/>
              <w:rPr>
                <w:sz w:val="20"/>
                <w:szCs w:val="20"/>
                <w:color w:val="auto"/>
              </w:rPr>
            </w:pPr>
            <w:r>
              <w:rPr>
                <w:rFonts w:ascii="Times New Roman" w:cs="Times New Roman" w:eastAsia="Times New Roman" w:hAnsi="Times New Roman"/>
                <w:sz w:val="15"/>
                <w:szCs w:val="15"/>
                <w:color w:val="231F20"/>
                <w:w w:val="99"/>
              </w:rPr>
              <w:t>2017</w:t>
            </w:r>
          </w:p>
        </w:tc>
        <w:tc>
          <w:tcPr>
            <w:tcW w:w="1100" w:type="dxa"/>
            <w:vAlign w:val="bottom"/>
            <w:gridSpan w:val="2"/>
          </w:tcPr>
          <w:p>
            <w:pPr>
              <w:jc w:val="center"/>
              <w:ind w:left="44"/>
              <w:spacing w:after="0"/>
              <w:rPr>
                <w:sz w:val="20"/>
                <w:szCs w:val="20"/>
                <w:color w:val="auto"/>
              </w:rPr>
            </w:pPr>
            <w:r>
              <w:rPr>
                <w:rFonts w:ascii="Times New Roman" w:cs="Times New Roman" w:eastAsia="Times New Roman" w:hAnsi="Times New Roman"/>
                <w:sz w:val="15"/>
                <w:szCs w:val="15"/>
                <w:color w:val="231F20"/>
              </w:rPr>
              <w:t>48,000</w:t>
            </w:r>
          </w:p>
        </w:tc>
        <w:tc>
          <w:tcPr>
            <w:tcW w:w="1100" w:type="dxa"/>
            <w:vAlign w:val="bottom"/>
            <w:gridSpan w:val="2"/>
          </w:tcPr>
          <w:p>
            <w:pPr>
              <w:jc w:val="center"/>
              <w:ind w:left="44"/>
              <w:spacing w:after="0"/>
              <w:rPr>
                <w:sz w:val="20"/>
                <w:szCs w:val="20"/>
                <w:color w:val="auto"/>
              </w:rPr>
            </w:pPr>
            <w:r>
              <w:rPr>
                <w:rFonts w:ascii="Times New Roman" w:cs="Times New Roman" w:eastAsia="Times New Roman" w:hAnsi="Times New Roman"/>
                <w:sz w:val="15"/>
                <w:szCs w:val="15"/>
                <w:color w:val="231F20"/>
              </w:rPr>
              <w:t>$25.97</w:t>
            </w:r>
          </w:p>
        </w:tc>
        <w:tc>
          <w:tcPr>
            <w:tcW w:w="900" w:type="dxa"/>
            <w:vAlign w:val="bottom"/>
            <w:gridSpan w:val="2"/>
          </w:tcPr>
          <w:p>
            <w:pPr>
              <w:jc w:val="center"/>
              <w:ind w:left="24"/>
              <w:spacing w:after="0"/>
              <w:rPr>
                <w:sz w:val="20"/>
                <w:szCs w:val="20"/>
                <w:color w:val="auto"/>
              </w:rPr>
            </w:pPr>
            <w:r>
              <w:rPr>
                <w:rFonts w:ascii="Times New Roman" w:cs="Times New Roman" w:eastAsia="Times New Roman" w:hAnsi="Times New Roman"/>
                <w:sz w:val="15"/>
                <w:szCs w:val="15"/>
                <w:color w:val="231F20"/>
              </w:rPr>
              <w:t>98%</w:t>
            </w:r>
          </w:p>
        </w:tc>
        <w:tc>
          <w:tcPr>
            <w:tcW w:w="80" w:type="dxa"/>
            <w:vAlign w:val="bottom"/>
          </w:tcPr>
          <w:p>
            <w:pPr>
              <w:spacing w:after="0"/>
              <w:rPr>
                <w:sz w:val="16"/>
                <w:szCs w:val="16"/>
                <w:color w:val="auto"/>
              </w:rPr>
            </w:pPr>
          </w:p>
        </w:tc>
        <w:tc>
          <w:tcPr>
            <w:tcW w:w="2040" w:type="dxa"/>
            <w:vAlign w:val="bottom"/>
          </w:tcPr>
          <w:p>
            <w:pPr>
              <w:ind w:left="40"/>
              <w:spacing w:after="0"/>
              <w:rPr>
                <w:sz w:val="20"/>
                <w:szCs w:val="20"/>
                <w:color w:val="auto"/>
              </w:rPr>
            </w:pPr>
            <w:r>
              <w:rPr>
                <w:rFonts w:ascii="Times New Roman" w:cs="Times New Roman" w:eastAsia="Times New Roman" w:hAnsi="Times New Roman"/>
                <w:sz w:val="15"/>
                <w:szCs w:val="15"/>
                <w:color w:val="231F20"/>
              </w:rPr>
              <w:t>Marshalls</w:t>
            </w: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2640" w:type="dxa"/>
            <w:vAlign w:val="bottom"/>
            <w:gridSpan w:val="5"/>
          </w:tcPr>
          <w:p>
            <w:pPr>
              <w:ind w:left="100"/>
              <w:spacing w:after="0"/>
              <w:rPr>
                <w:sz w:val="20"/>
                <w:szCs w:val="20"/>
                <w:color w:val="auto"/>
              </w:rPr>
            </w:pPr>
            <w:r>
              <w:rPr>
                <w:rFonts w:ascii="Times New Roman" w:cs="Times New Roman" w:eastAsia="Times New Roman" w:hAnsi="Times New Roman"/>
                <w:sz w:val="15"/>
                <w:szCs w:val="15"/>
                <w:color w:val="231F20"/>
              </w:rPr>
              <w:t>South El Monte, CA 91733(4)</w:t>
            </w: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9"/>
        </w:trPr>
        <w:tc>
          <w:tcPr>
            <w:tcW w:w="60" w:type="dxa"/>
            <w:vAlign w:val="bottom"/>
          </w:tcPr>
          <w:p>
            <w:pPr>
              <w:spacing w:after="0"/>
              <w:rPr>
                <w:sz w:val="13"/>
                <w:szCs w:val="13"/>
                <w:color w:val="auto"/>
              </w:rPr>
            </w:pPr>
          </w:p>
        </w:tc>
        <w:tc>
          <w:tcPr>
            <w:tcW w:w="2640" w:type="dxa"/>
            <w:vAlign w:val="bottom"/>
            <w:gridSpan w:val="5"/>
          </w:tcPr>
          <w:p>
            <w:pPr>
              <w:spacing w:after="0" w:line="159" w:lineRule="exact"/>
              <w:rPr>
                <w:sz w:val="20"/>
                <w:szCs w:val="20"/>
                <w:color w:val="auto"/>
              </w:rPr>
            </w:pPr>
            <w:r>
              <w:rPr>
                <w:rFonts w:ascii="Times New Roman" w:cs="Times New Roman" w:eastAsia="Times New Roman" w:hAnsi="Times New Roman"/>
                <w:sz w:val="15"/>
                <w:szCs w:val="15"/>
                <w:color w:val="231F20"/>
              </w:rPr>
              <w:t>Plaza El Segundo / The Point</w:t>
            </w:r>
          </w:p>
        </w:tc>
        <w:tc>
          <w:tcPr>
            <w:tcW w:w="920" w:type="dxa"/>
            <w:vAlign w:val="bottom"/>
            <w:gridSpan w:val="2"/>
          </w:tcPr>
          <w:p>
            <w:pPr>
              <w:jc w:val="center"/>
              <w:spacing w:after="0" w:line="159" w:lineRule="exact"/>
              <w:rPr>
                <w:sz w:val="20"/>
                <w:szCs w:val="20"/>
                <w:color w:val="auto"/>
              </w:rPr>
            </w:pPr>
            <w:r>
              <w:rPr>
                <w:rFonts w:ascii="Times New Roman" w:cs="Times New Roman" w:eastAsia="Times New Roman" w:hAnsi="Times New Roman"/>
                <w:sz w:val="15"/>
                <w:szCs w:val="15"/>
                <w:color w:val="231F20"/>
              </w:rPr>
              <w:t>2006-2007,</w:t>
            </w:r>
          </w:p>
        </w:tc>
        <w:tc>
          <w:tcPr>
            <w:tcW w:w="880" w:type="dxa"/>
            <w:vAlign w:val="bottom"/>
            <w:gridSpan w:val="2"/>
          </w:tcPr>
          <w:p>
            <w:pPr>
              <w:jc w:val="center"/>
              <w:ind w:left="4"/>
              <w:spacing w:after="0" w:line="159" w:lineRule="exact"/>
              <w:rPr>
                <w:sz w:val="20"/>
                <w:szCs w:val="20"/>
                <w:color w:val="auto"/>
              </w:rPr>
            </w:pPr>
            <w:r>
              <w:rPr>
                <w:rFonts w:ascii="Times New Roman" w:cs="Times New Roman" w:eastAsia="Times New Roman" w:hAnsi="Times New Roman"/>
                <w:sz w:val="15"/>
                <w:szCs w:val="15"/>
                <w:color w:val="231F20"/>
                <w:w w:val="99"/>
              </w:rPr>
              <w:t>2011/2013</w:t>
            </w:r>
          </w:p>
        </w:tc>
        <w:tc>
          <w:tcPr>
            <w:tcW w:w="1100" w:type="dxa"/>
            <w:vAlign w:val="bottom"/>
            <w:gridSpan w:val="2"/>
          </w:tcPr>
          <w:p>
            <w:pPr>
              <w:jc w:val="center"/>
              <w:ind w:left="44"/>
              <w:spacing w:after="0" w:line="159" w:lineRule="exact"/>
              <w:rPr>
                <w:sz w:val="20"/>
                <w:szCs w:val="20"/>
                <w:color w:val="auto"/>
              </w:rPr>
            </w:pPr>
            <w:r>
              <w:rPr>
                <w:rFonts w:ascii="Times New Roman" w:cs="Times New Roman" w:eastAsia="Times New Roman" w:hAnsi="Times New Roman"/>
                <w:sz w:val="15"/>
                <w:szCs w:val="15"/>
                <w:color w:val="231F20"/>
              </w:rPr>
              <w:t>503,000</w:t>
            </w:r>
          </w:p>
        </w:tc>
        <w:tc>
          <w:tcPr>
            <w:tcW w:w="1100" w:type="dxa"/>
            <w:vAlign w:val="bottom"/>
            <w:gridSpan w:val="2"/>
          </w:tcPr>
          <w:p>
            <w:pPr>
              <w:jc w:val="center"/>
              <w:ind w:left="44"/>
              <w:spacing w:after="0" w:line="159" w:lineRule="exact"/>
              <w:rPr>
                <w:sz w:val="20"/>
                <w:szCs w:val="20"/>
                <w:color w:val="auto"/>
              </w:rPr>
            </w:pPr>
            <w:r>
              <w:rPr>
                <w:rFonts w:ascii="Times New Roman" w:cs="Times New Roman" w:eastAsia="Times New Roman" w:hAnsi="Times New Roman"/>
                <w:sz w:val="15"/>
                <w:szCs w:val="15"/>
                <w:color w:val="231F20"/>
              </w:rPr>
              <w:t>$49.24</w:t>
            </w:r>
          </w:p>
        </w:tc>
        <w:tc>
          <w:tcPr>
            <w:tcW w:w="900" w:type="dxa"/>
            <w:vAlign w:val="bottom"/>
            <w:gridSpan w:val="2"/>
          </w:tcPr>
          <w:p>
            <w:pPr>
              <w:jc w:val="center"/>
              <w:ind w:left="24"/>
              <w:spacing w:after="0" w:line="159" w:lineRule="exact"/>
              <w:rPr>
                <w:sz w:val="20"/>
                <w:szCs w:val="20"/>
                <w:color w:val="auto"/>
              </w:rPr>
            </w:pPr>
            <w:r>
              <w:rPr>
                <w:rFonts w:ascii="Times New Roman" w:cs="Times New Roman" w:eastAsia="Times New Roman" w:hAnsi="Times New Roman"/>
                <w:sz w:val="15"/>
                <w:szCs w:val="15"/>
                <w:color w:val="231F20"/>
              </w:rPr>
              <w:t>99%</w:t>
            </w:r>
          </w:p>
        </w:tc>
        <w:tc>
          <w:tcPr>
            <w:tcW w:w="80" w:type="dxa"/>
            <w:vAlign w:val="bottom"/>
          </w:tcPr>
          <w:p>
            <w:pPr>
              <w:spacing w:after="0"/>
              <w:rPr>
                <w:sz w:val="13"/>
                <w:szCs w:val="13"/>
                <w:color w:val="auto"/>
              </w:rPr>
            </w:pPr>
          </w:p>
        </w:tc>
        <w:tc>
          <w:tcPr>
            <w:tcW w:w="2040" w:type="dxa"/>
            <w:vAlign w:val="bottom"/>
          </w:tcPr>
          <w:p>
            <w:pPr>
              <w:ind w:left="40"/>
              <w:spacing w:after="0" w:line="159" w:lineRule="exact"/>
              <w:rPr>
                <w:sz w:val="20"/>
                <w:szCs w:val="20"/>
                <w:color w:val="auto"/>
              </w:rPr>
            </w:pPr>
            <w:r>
              <w:rPr>
                <w:rFonts w:ascii="Times New Roman" w:cs="Times New Roman" w:eastAsia="Times New Roman" w:hAnsi="Times New Roman"/>
                <w:sz w:val="15"/>
                <w:szCs w:val="15"/>
                <w:color w:val="231F20"/>
              </w:rPr>
              <w:t>Whole Foods</w:t>
            </w: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2640" w:type="dxa"/>
            <w:vAlign w:val="bottom"/>
            <w:gridSpan w:val="5"/>
          </w:tcPr>
          <w:p>
            <w:pPr>
              <w:ind w:left="100"/>
              <w:spacing w:after="0" w:line="152" w:lineRule="exact"/>
              <w:rPr>
                <w:sz w:val="20"/>
                <w:szCs w:val="20"/>
                <w:color w:val="auto"/>
              </w:rPr>
            </w:pPr>
            <w:r>
              <w:rPr>
                <w:rFonts w:ascii="Times New Roman" w:cs="Times New Roman" w:eastAsia="Times New Roman" w:hAnsi="Times New Roman"/>
                <w:sz w:val="15"/>
                <w:szCs w:val="15"/>
                <w:color w:val="231F20"/>
              </w:rPr>
              <w:t>El Segundo, CA 90245 (6)</w:t>
            </w:r>
          </w:p>
        </w:tc>
        <w:tc>
          <w:tcPr>
            <w:tcW w:w="920" w:type="dxa"/>
            <w:vAlign w:val="bottom"/>
            <w:gridSpan w:val="2"/>
          </w:tcPr>
          <w:p>
            <w:pPr>
              <w:jc w:val="center"/>
              <w:spacing w:after="0" w:line="152" w:lineRule="exact"/>
              <w:rPr>
                <w:sz w:val="20"/>
                <w:szCs w:val="20"/>
                <w:color w:val="auto"/>
              </w:rPr>
            </w:pPr>
            <w:r>
              <w:rPr>
                <w:rFonts w:ascii="Times New Roman" w:cs="Times New Roman" w:eastAsia="Times New Roman" w:hAnsi="Times New Roman"/>
                <w:sz w:val="15"/>
                <w:szCs w:val="15"/>
                <w:color w:val="231F20"/>
                <w:w w:val="99"/>
              </w:rPr>
              <w:t>2016</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ind w:left="40"/>
              <w:spacing w:after="0" w:line="152" w:lineRule="exact"/>
              <w:rPr>
                <w:sz w:val="20"/>
                <w:szCs w:val="20"/>
                <w:color w:val="auto"/>
              </w:rPr>
            </w:pPr>
            <w:r>
              <w:rPr>
                <w:rFonts w:ascii="Times New Roman" w:cs="Times New Roman" w:eastAsia="Times New Roman" w:hAnsi="Times New Roman"/>
                <w:sz w:val="15"/>
                <w:szCs w:val="15"/>
                <w:color w:val="231F20"/>
              </w:rPr>
              <w:t>Nordstrom Rack</w:t>
            </w: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ind w:left="40"/>
              <w:spacing w:after="0" w:line="152" w:lineRule="exact"/>
              <w:rPr>
                <w:sz w:val="20"/>
                <w:szCs w:val="20"/>
                <w:color w:val="auto"/>
              </w:rPr>
            </w:pPr>
            <w:r>
              <w:rPr>
                <w:rFonts w:ascii="Times New Roman" w:cs="Times New Roman" w:eastAsia="Times New Roman" w:hAnsi="Times New Roman"/>
                <w:sz w:val="15"/>
                <w:szCs w:val="15"/>
                <w:color w:val="231F20"/>
              </w:rPr>
              <w:t>HomeGoods</w:t>
            </w: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ind w:left="40"/>
              <w:spacing w:after="0" w:line="152" w:lineRule="exact"/>
              <w:rPr>
                <w:sz w:val="20"/>
                <w:szCs w:val="20"/>
                <w:color w:val="auto"/>
              </w:rPr>
            </w:pPr>
            <w:r>
              <w:rPr>
                <w:rFonts w:ascii="Times New Roman" w:cs="Times New Roman" w:eastAsia="Times New Roman" w:hAnsi="Times New Roman"/>
                <w:sz w:val="15"/>
                <w:szCs w:val="15"/>
                <w:color w:val="231F20"/>
              </w:rPr>
              <w:t>Dick's Sporting Goods</w:t>
            </w: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40" w:type="dxa"/>
            <w:vAlign w:val="bottom"/>
          </w:tcPr>
          <w:p>
            <w:pPr>
              <w:ind w:left="40"/>
              <w:spacing w:after="0"/>
              <w:rPr>
                <w:sz w:val="20"/>
                <w:szCs w:val="20"/>
                <w:color w:val="auto"/>
              </w:rPr>
            </w:pPr>
            <w:r>
              <w:rPr>
                <w:rFonts w:ascii="Times New Roman" w:cs="Times New Roman" w:eastAsia="Times New Roman" w:hAnsi="Times New Roman"/>
                <w:sz w:val="15"/>
                <w:szCs w:val="15"/>
                <w:color w:val="231F20"/>
              </w:rPr>
              <w:t>Multiple Restaurants</w:t>
            </w:r>
          </w:p>
        </w:tc>
        <w:tc>
          <w:tcPr>
            <w:tcW w:w="0" w:type="dxa"/>
            <w:vAlign w:val="bottom"/>
          </w:tcPr>
          <w:p>
            <w:pPr>
              <w:spacing w:after="0"/>
              <w:rPr>
                <w:sz w:val="1"/>
                <w:szCs w:val="1"/>
                <w:color w:val="auto"/>
              </w:rPr>
            </w:pPr>
          </w:p>
        </w:tc>
      </w:tr>
      <w:tr>
        <w:trPr>
          <w:trHeight w:val="187"/>
        </w:trPr>
        <w:tc>
          <w:tcPr>
            <w:tcW w:w="60" w:type="dxa"/>
            <w:vAlign w:val="bottom"/>
          </w:tcPr>
          <w:p>
            <w:pPr>
              <w:spacing w:after="0"/>
              <w:rPr>
                <w:sz w:val="16"/>
                <w:szCs w:val="16"/>
                <w:color w:val="auto"/>
              </w:rPr>
            </w:pPr>
          </w:p>
        </w:tc>
        <w:tc>
          <w:tcPr>
            <w:tcW w:w="2640" w:type="dxa"/>
            <w:vAlign w:val="bottom"/>
            <w:gridSpan w:val="5"/>
          </w:tcPr>
          <w:p>
            <w:pPr>
              <w:spacing w:after="0"/>
              <w:rPr>
                <w:sz w:val="20"/>
                <w:szCs w:val="20"/>
                <w:color w:val="auto"/>
              </w:rPr>
            </w:pPr>
            <w:r>
              <w:rPr>
                <w:rFonts w:ascii="Times New Roman" w:cs="Times New Roman" w:eastAsia="Times New Roman" w:hAnsi="Times New Roman"/>
                <w:sz w:val="15"/>
                <w:szCs w:val="15"/>
                <w:color w:val="231F20"/>
              </w:rPr>
              <w:t>San Antonio Center</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231F20"/>
              </w:rPr>
              <w:t>1958,</w:t>
            </w:r>
          </w:p>
        </w:tc>
        <w:tc>
          <w:tcPr>
            <w:tcW w:w="880" w:type="dxa"/>
            <w:vAlign w:val="bottom"/>
            <w:gridSpan w:val="2"/>
          </w:tcPr>
          <w:p>
            <w:pPr>
              <w:jc w:val="center"/>
              <w:ind w:left="4"/>
              <w:spacing w:after="0"/>
              <w:rPr>
                <w:sz w:val="20"/>
                <w:szCs w:val="20"/>
                <w:color w:val="auto"/>
              </w:rPr>
            </w:pPr>
            <w:r>
              <w:rPr>
                <w:rFonts w:ascii="Times New Roman" w:cs="Times New Roman" w:eastAsia="Times New Roman" w:hAnsi="Times New Roman"/>
                <w:sz w:val="15"/>
                <w:szCs w:val="15"/>
                <w:color w:val="231F20"/>
                <w:w w:val="99"/>
              </w:rPr>
              <w:t>2015/2019</w:t>
            </w:r>
          </w:p>
        </w:tc>
        <w:tc>
          <w:tcPr>
            <w:tcW w:w="1100" w:type="dxa"/>
            <w:vAlign w:val="bottom"/>
            <w:gridSpan w:val="2"/>
          </w:tcPr>
          <w:p>
            <w:pPr>
              <w:jc w:val="center"/>
              <w:ind w:left="44"/>
              <w:spacing w:after="0"/>
              <w:rPr>
                <w:sz w:val="20"/>
                <w:szCs w:val="20"/>
                <w:color w:val="auto"/>
              </w:rPr>
            </w:pPr>
            <w:r>
              <w:rPr>
                <w:rFonts w:ascii="Times New Roman" w:cs="Times New Roman" w:eastAsia="Times New Roman" w:hAnsi="Times New Roman"/>
                <w:sz w:val="15"/>
                <w:szCs w:val="15"/>
                <w:color w:val="231F20"/>
              </w:rPr>
              <w:t>213,000</w:t>
            </w:r>
          </w:p>
        </w:tc>
        <w:tc>
          <w:tcPr>
            <w:tcW w:w="1100" w:type="dxa"/>
            <w:vAlign w:val="bottom"/>
            <w:gridSpan w:val="2"/>
          </w:tcPr>
          <w:p>
            <w:pPr>
              <w:jc w:val="center"/>
              <w:ind w:left="44"/>
              <w:spacing w:after="0"/>
              <w:rPr>
                <w:sz w:val="20"/>
                <w:szCs w:val="20"/>
                <w:color w:val="auto"/>
              </w:rPr>
            </w:pPr>
            <w:r>
              <w:rPr>
                <w:rFonts w:ascii="Times New Roman" w:cs="Times New Roman" w:eastAsia="Times New Roman" w:hAnsi="Times New Roman"/>
                <w:sz w:val="15"/>
                <w:szCs w:val="15"/>
                <w:color w:val="231F20"/>
              </w:rPr>
              <w:t>$18.37</w:t>
            </w:r>
          </w:p>
        </w:tc>
        <w:tc>
          <w:tcPr>
            <w:tcW w:w="900" w:type="dxa"/>
            <w:vAlign w:val="bottom"/>
            <w:gridSpan w:val="2"/>
          </w:tcPr>
          <w:p>
            <w:pPr>
              <w:jc w:val="center"/>
              <w:ind w:left="24"/>
              <w:spacing w:after="0"/>
              <w:rPr>
                <w:sz w:val="20"/>
                <w:szCs w:val="20"/>
                <w:color w:val="auto"/>
              </w:rPr>
            </w:pPr>
            <w:r>
              <w:rPr>
                <w:rFonts w:ascii="Times New Roman" w:cs="Times New Roman" w:eastAsia="Times New Roman" w:hAnsi="Times New Roman"/>
                <w:sz w:val="15"/>
                <w:szCs w:val="15"/>
                <w:color w:val="231F20"/>
              </w:rPr>
              <w:t>100%</w:t>
            </w:r>
          </w:p>
        </w:tc>
        <w:tc>
          <w:tcPr>
            <w:tcW w:w="80" w:type="dxa"/>
            <w:vAlign w:val="bottom"/>
          </w:tcPr>
          <w:p>
            <w:pPr>
              <w:spacing w:after="0"/>
              <w:rPr>
                <w:sz w:val="16"/>
                <w:szCs w:val="16"/>
                <w:color w:val="auto"/>
              </w:rPr>
            </w:pPr>
          </w:p>
        </w:tc>
        <w:tc>
          <w:tcPr>
            <w:tcW w:w="2040" w:type="dxa"/>
            <w:vAlign w:val="bottom"/>
          </w:tcPr>
          <w:p>
            <w:pPr>
              <w:ind w:left="40"/>
              <w:spacing w:after="0"/>
              <w:rPr>
                <w:sz w:val="20"/>
                <w:szCs w:val="20"/>
                <w:color w:val="auto"/>
              </w:rPr>
            </w:pPr>
            <w:r>
              <w:rPr>
                <w:rFonts w:ascii="Times New Roman" w:cs="Times New Roman" w:eastAsia="Times New Roman" w:hAnsi="Times New Roman"/>
                <w:sz w:val="15"/>
                <w:szCs w:val="15"/>
                <w:color w:val="231F20"/>
              </w:rPr>
              <w:t>Trader Joe's</w:t>
            </w: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2640" w:type="dxa"/>
            <w:vAlign w:val="bottom"/>
            <w:gridSpan w:val="5"/>
          </w:tcPr>
          <w:p>
            <w:pPr>
              <w:ind w:left="100"/>
              <w:spacing w:after="0" w:line="152" w:lineRule="exact"/>
              <w:rPr>
                <w:sz w:val="20"/>
                <w:szCs w:val="20"/>
                <w:color w:val="auto"/>
              </w:rPr>
            </w:pPr>
            <w:r>
              <w:rPr>
                <w:rFonts w:ascii="Times New Roman" w:cs="Times New Roman" w:eastAsia="Times New Roman" w:hAnsi="Times New Roman"/>
                <w:sz w:val="15"/>
                <w:szCs w:val="15"/>
                <w:color w:val="231F20"/>
              </w:rPr>
              <w:t>Mountain View, CA 94040(7)(8)</w:t>
            </w:r>
          </w:p>
        </w:tc>
        <w:tc>
          <w:tcPr>
            <w:tcW w:w="920" w:type="dxa"/>
            <w:vAlign w:val="bottom"/>
            <w:gridSpan w:val="2"/>
          </w:tcPr>
          <w:p>
            <w:pPr>
              <w:jc w:val="center"/>
              <w:spacing w:after="0" w:line="152" w:lineRule="exact"/>
              <w:rPr>
                <w:sz w:val="20"/>
                <w:szCs w:val="20"/>
                <w:color w:val="auto"/>
              </w:rPr>
            </w:pPr>
            <w:r>
              <w:rPr>
                <w:rFonts w:ascii="Times New Roman" w:cs="Times New Roman" w:eastAsia="Times New Roman" w:hAnsi="Times New Roman"/>
                <w:sz w:val="15"/>
                <w:szCs w:val="15"/>
                <w:color w:val="231F20"/>
              </w:rPr>
              <w:t>1964-1965,</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ind w:left="40"/>
              <w:spacing w:after="0" w:line="152" w:lineRule="exact"/>
              <w:rPr>
                <w:sz w:val="20"/>
                <w:szCs w:val="20"/>
                <w:color w:val="auto"/>
              </w:rPr>
            </w:pPr>
            <w:r>
              <w:rPr>
                <w:rFonts w:ascii="Times New Roman" w:cs="Times New Roman" w:eastAsia="Times New Roman" w:hAnsi="Times New Roman"/>
                <w:sz w:val="15"/>
                <w:szCs w:val="15"/>
                <w:color w:val="231F20"/>
              </w:rPr>
              <w:t>Walmart</w:t>
            </w: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920" w:type="dxa"/>
            <w:vAlign w:val="bottom"/>
            <w:gridSpan w:val="2"/>
          </w:tcPr>
          <w:p>
            <w:pPr>
              <w:jc w:val="center"/>
              <w:spacing w:after="0" w:line="152" w:lineRule="exact"/>
              <w:rPr>
                <w:sz w:val="20"/>
                <w:szCs w:val="20"/>
                <w:color w:val="auto"/>
              </w:rPr>
            </w:pPr>
            <w:r>
              <w:rPr>
                <w:rFonts w:ascii="Times New Roman" w:cs="Times New Roman" w:eastAsia="Times New Roman" w:hAnsi="Times New Roman"/>
                <w:sz w:val="15"/>
                <w:szCs w:val="15"/>
                <w:color w:val="231F20"/>
              </w:rPr>
              <w:t>1974-1975,</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ind w:left="40"/>
              <w:spacing w:after="0" w:line="152" w:lineRule="exact"/>
              <w:rPr>
                <w:sz w:val="20"/>
                <w:szCs w:val="20"/>
                <w:color w:val="auto"/>
              </w:rPr>
            </w:pPr>
            <w:r>
              <w:rPr>
                <w:rFonts w:ascii="Times New Roman" w:cs="Times New Roman" w:eastAsia="Times New Roman" w:hAnsi="Times New Roman"/>
                <w:sz w:val="15"/>
                <w:szCs w:val="15"/>
                <w:color w:val="231F20"/>
              </w:rPr>
              <w:t>24 Hour Fitness</w:t>
            </w: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231F20"/>
              </w:rPr>
              <w:t>1995-1997</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60" w:type="dxa"/>
            <w:vAlign w:val="bottom"/>
          </w:tcPr>
          <w:p>
            <w:pPr>
              <w:spacing w:after="0"/>
              <w:rPr>
                <w:sz w:val="14"/>
                <w:szCs w:val="14"/>
                <w:color w:val="auto"/>
              </w:rPr>
            </w:pPr>
          </w:p>
        </w:tc>
        <w:tc>
          <w:tcPr>
            <w:tcW w:w="2640" w:type="dxa"/>
            <w:vAlign w:val="bottom"/>
            <w:gridSpan w:val="5"/>
          </w:tcPr>
          <w:p>
            <w:pPr>
              <w:spacing w:after="0" w:line="169" w:lineRule="exact"/>
              <w:rPr>
                <w:sz w:val="20"/>
                <w:szCs w:val="20"/>
                <w:color w:val="auto"/>
              </w:rPr>
            </w:pPr>
            <w:r>
              <w:rPr>
                <w:rFonts w:ascii="Times New Roman" w:cs="Times New Roman" w:eastAsia="Times New Roman" w:hAnsi="Times New Roman"/>
                <w:sz w:val="15"/>
                <w:szCs w:val="15"/>
                <w:color w:val="231F20"/>
              </w:rPr>
              <w:t>Santana Row</w:t>
            </w:r>
          </w:p>
        </w:tc>
        <w:tc>
          <w:tcPr>
            <w:tcW w:w="920" w:type="dxa"/>
            <w:vAlign w:val="bottom"/>
            <w:gridSpan w:val="2"/>
          </w:tcPr>
          <w:p>
            <w:pPr>
              <w:jc w:val="center"/>
              <w:ind w:left="4"/>
              <w:spacing w:after="0" w:line="169" w:lineRule="exact"/>
              <w:rPr>
                <w:sz w:val="20"/>
                <w:szCs w:val="20"/>
                <w:color w:val="auto"/>
              </w:rPr>
            </w:pPr>
            <w:r>
              <w:rPr>
                <w:rFonts w:ascii="Times New Roman" w:cs="Times New Roman" w:eastAsia="Times New Roman" w:hAnsi="Times New Roman"/>
                <w:sz w:val="15"/>
                <w:szCs w:val="15"/>
                <w:color w:val="231F20"/>
              </w:rPr>
              <w:t>2002, 2009,</w:t>
            </w:r>
          </w:p>
        </w:tc>
        <w:tc>
          <w:tcPr>
            <w:tcW w:w="880" w:type="dxa"/>
            <w:vAlign w:val="bottom"/>
            <w:gridSpan w:val="2"/>
          </w:tcPr>
          <w:p>
            <w:pPr>
              <w:jc w:val="center"/>
              <w:ind w:left="24"/>
              <w:spacing w:after="0" w:line="169" w:lineRule="exact"/>
              <w:rPr>
                <w:sz w:val="20"/>
                <w:szCs w:val="20"/>
                <w:color w:val="auto"/>
              </w:rPr>
            </w:pPr>
            <w:r>
              <w:rPr>
                <w:rFonts w:ascii="Times New Roman" w:cs="Times New Roman" w:eastAsia="Times New Roman" w:hAnsi="Times New Roman"/>
                <w:sz w:val="15"/>
                <w:szCs w:val="15"/>
                <w:color w:val="231F20"/>
                <w:w w:val="99"/>
              </w:rPr>
              <w:t>1997</w:t>
            </w:r>
          </w:p>
        </w:tc>
        <w:tc>
          <w:tcPr>
            <w:tcW w:w="1100" w:type="dxa"/>
            <w:vAlign w:val="bottom"/>
            <w:gridSpan w:val="2"/>
          </w:tcPr>
          <w:p>
            <w:pPr>
              <w:jc w:val="center"/>
              <w:ind w:left="44"/>
              <w:spacing w:after="0" w:line="169" w:lineRule="exact"/>
              <w:rPr>
                <w:sz w:val="20"/>
                <w:szCs w:val="20"/>
                <w:color w:val="auto"/>
              </w:rPr>
            </w:pPr>
            <w:r>
              <w:rPr>
                <w:rFonts w:ascii="Times New Roman" w:cs="Times New Roman" w:eastAsia="Times New Roman" w:hAnsi="Times New Roman"/>
                <w:sz w:val="15"/>
                <w:szCs w:val="15"/>
                <w:color w:val="231F20"/>
              </w:rPr>
              <w:t>1,521,000</w:t>
            </w:r>
          </w:p>
        </w:tc>
        <w:tc>
          <w:tcPr>
            <w:tcW w:w="1100" w:type="dxa"/>
            <w:vAlign w:val="bottom"/>
            <w:gridSpan w:val="2"/>
          </w:tcPr>
          <w:p>
            <w:pPr>
              <w:jc w:val="center"/>
              <w:ind w:left="44"/>
              <w:spacing w:after="0" w:line="169" w:lineRule="exact"/>
              <w:rPr>
                <w:sz w:val="20"/>
                <w:szCs w:val="20"/>
                <w:color w:val="auto"/>
              </w:rPr>
            </w:pPr>
            <w:r>
              <w:rPr>
                <w:rFonts w:ascii="Times New Roman" w:cs="Times New Roman" w:eastAsia="Times New Roman" w:hAnsi="Times New Roman"/>
                <w:sz w:val="15"/>
                <w:szCs w:val="15"/>
                <w:color w:val="231F20"/>
              </w:rPr>
              <w:t>$57.21</w:t>
            </w:r>
          </w:p>
        </w:tc>
        <w:tc>
          <w:tcPr>
            <w:tcW w:w="900" w:type="dxa"/>
            <w:vAlign w:val="bottom"/>
            <w:gridSpan w:val="2"/>
          </w:tcPr>
          <w:p>
            <w:pPr>
              <w:jc w:val="center"/>
              <w:ind w:left="24"/>
              <w:spacing w:after="0" w:line="169" w:lineRule="exact"/>
              <w:rPr>
                <w:sz w:val="20"/>
                <w:szCs w:val="20"/>
                <w:color w:val="auto"/>
              </w:rPr>
            </w:pPr>
            <w:r>
              <w:rPr>
                <w:rFonts w:ascii="Times New Roman" w:cs="Times New Roman" w:eastAsia="Times New Roman" w:hAnsi="Times New Roman"/>
                <w:sz w:val="15"/>
                <w:szCs w:val="15"/>
                <w:color w:val="231F20"/>
              </w:rPr>
              <w:t>98%</w:t>
            </w:r>
          </w:p>
        </w:tc>
        <w:tc>
          <w:tcPr>
            <w:tcW w:w="80" w:type="dxa"/>
            <w:vAlign w:val="bottom"/>
          </w:tcPr>
          <w:p>
            <w:pPr>
              <w:spacing w:after="0"/>
              <w:rPr>
                <w:sz w:val="14"/>
                <w:szCs w:val="14"/>
                <w:color w:val="auto"/>
              </w:rPr>
            </w:pPr>
          </w:p>
        </w:tc>
        <w:tc>
          <w:tcPr>
            <w:tcW w:w="2040" w:type="dxa"/>
            <w:vAlign w:val="bottom"/>
          </w:tcPr>
          <w:p>
            <w:pPr>
              <w:ind w:left="40"/>
              <w:spacing w:after="0" w:line="169" w:lineRule="exact"/>
              <w:rPr>
                <w:sz w:val="20"/>
                <w:szCs w:val="20"/>
                <w:color w:val="auto"/>
              </w:rPr>
            </w:pPr>
            <w:r>
              <w:rPr>
                <w:rFonts w:ascii="Times New Roman" w:cs="Times New Roman" w:eastAsia="Times New Roman" w:hAnsi="Times New Roman"/>
                <w:sz w:val="15"/>
                <w:szCs w:val="15"/>
                <w:color w:val="231F20"/>
              </w:rPr>
              <w:t>Crate &amp; Barrel</w:t>
            </w: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2640" w:type="dxa"/>
            <w:vAlign w:val="bottom"/>
            <w:gridSpan w:val="5"/>
          </w:tcPr>
          <w:p>
            <w:pPr>
              <w:ind w:left="100"/>
              <w:spacing w:after="0" w:line="152" w:lineRule="exact"/>
              <w:rPr>
                <w:sz w:val="20"/>
                <w:szCs w:val="20"/>
                <w:color w:val="auto"/>
              </w:rPr>
            </w:pPr>
            <w:r>
              <w:rPr>
                <w:rFonts w:ascii="Times New Roman" w:cs="Times New Roman" w:eastAsia="Times New Roman" w:hAnsi="Times New Roman"/>
                <w:sz w:val="15"/>
                <w:szCs w:val="15"/>
                <w:color w:val="231F20"/>
              </w:rPr>
              <w:t>San Jose, CA 95128(7)(10)</w:t>
            </w:r>
          </w:p>
        </w:tc>
        <w:tc>
          <w:tcPr>
            <w:tcW w:w="920" w:type="dxa"/>
            <w:vAlign w:val="bottom"/>
            <w:gridSpan w:val="2"/>
          </w:tcPr>
          <w:p>
            <w:pPr>
              <w:jc w:val="center"/>
              <w:ind w:left="4"/>
              <w:spacing w:after="0" w:line="152" w:lineRule="exact"/>
              <w:rPr>
                <w:sz w:val="20"/>
                <w:szCs w:val="20"/>
                <w:color w:val="auto"/>
              </w:rPr>
            </w:pPr>
            <w:r>
              <w:rPr>
                <w:rFonts w:ascii="Times New Roman" w:cs="Times New Roman" w:eastAsia="Times New Roman" w:hAnsi="Times New Roman"/>
                <w:sz w:val="15"/>
                <w:szCs w:val="15"/>
                <w:color w:val="231F20"/>
              </w:rPr>
              <w:t>2016, 2020</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ind w:left="40"/>
              <w:spacing w:after="0" w:line="152" w:lineRule="exact"/>
              <w:rPr>
                <w:sz w:val="20"/>
                <w:szCs w:val="20"/>
                <w:color w:val="auto"/>
              </w:rPr>
            </w:pPr>
            <w:r>
              <w:rPr>
                <w:rFonts w:ascii="Times New Roman" w:cs="Times New Roman" w:eastAsia="Times New Roman" w:hAnsi="Times New Roman"/>
                <w:sz w:val="15"/>
                <w:szCs w:val="15"/>
                <w:color w:val="231F20"/>
              </w:rPr>
              <w:t>Container Store</w:t>
            </w: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ind w:left="40"/>
              <w:spacing w:after="0" w:line="152" w:lineRule="exact"/>
              <w:rPr>
                <w:sz w:val="20"/>
                <w:szCs w:val="20"/>
                <w:color w:val="auto"/>
              </w:rPr>
            </w:pPr>
            <w:r>
              <w:rPr>
                <w:rFonts w:ascii="Times New Roman" w:cs="Times New Roman" w:eastAsia="Times New Roman" w:hAnsi="Times New Roman"/>
                <w:sz w:val="15"/>
                <w:szCs w:val="15"/>
                <w:color w:val="231F20"/>
              </w:rPr>
              <w:t>Best Buy</w:t>
            </w: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ind w:left="40"/>
              <w:spacing w:after="0" w:line="152" w:lineRule="exact"/>
              <w:rPr>
                <w:sz w:val="20"/>
                <w:szCs w:val="20"/>
                <w:color w:val="auto"/>
              </w:rPr>
            </w:pPr>
            <w:r>
              <w:rPr>
                <w:rFonts w:ascii="Times New Roman" w:cs="Times New Roman" w:eastAsia="Times New Roman" w:hAnsi="Times New Roman"/>
                <w:sz w:val="15"/>
                <w:szCs w:val="15"/>
                <w:color w:val="231F20"/>
              </w:rPr>
              <w:t>Sephora</w:t>
            </w: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ind w:left="40"/>
              <w:spacing w:after="0" w:line="152" w:lineRule="exact"/>
              <w:rPr>
                <w:sz w:val="20"/>
                <w:szCs w:val="20"/>
                <w:color w:val="auto"/>
              </w:rPr>
            </w:pPr>
            <w:r>
              <w:rPr>
                <w:rFonts w:ascii="Times New Roman" w:cs="Times New Roman" w:eastAsia="Times New Roman" w:hAnsi="Times New Roman"/>
                <w:sz w:val="15"/>
                <w:szCs w:val="15"/>
                <w:color w:val="231F20"/>
              </w:rPr>
              <w:t>Cisco Systems</w:t>
            </w: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ind w:left="40"/>
              <w:spacing w:after="0" w:line="152" w:lineRule="exact"/>
              <w:rPr>
                <w:sz w:val="20"/>
                <w:szCs w:val="20"/>
                <w:color w:val="auto"/>
              </w:rPr>
            </w:pPr>
            <w:r>
              <w:rPr>
                <w:rFonts w:ascii="Times New Roman" w:cs="Times New Roman" w:eastAsia="Times New Roman" w:hAnsi="Times New Roman"/>
                <w:sz w:val="15"/>
                <w:szCs w:val="15"/>
                <w:color w:val="231F20"/>
              </w:rPr>
              <w:t>Net App</w:t>
            </w: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40" w:type="dxa"/>
            <w:vAlign w:val="bottom"/>
          </w:tcPr>
          <w:p>
            <w:pPr>
              <w:ind w:left="40"/>
              <w:spacing w:after="0"/>
              <w:rPr>
                <w:sz w:val="20"/>
                <w:szCs w:val="20"/>
                <w:color w:val="auto"/>
              </w:rPr>
            </w:pPr>
            <w:r>
              <w:rPr>
                <w:rFonts w:ascii="Times New Roman" w:cs="Times New Roman" w:eastAsia="Times New Roman" w:hAnsi="Times New Roman"/>
                <w:sz w:val="15"/>
                <w:szCs w:val="15"/>
                <w:color w:val="231F20"/>
              </w:rPr>
              <w:t>Multiple Restaurants</w:t>
            </w:r>
          </w:p>
        </w:tc>
        <w:tc>
          <w:tcPr>
            <w:tcW w:w="0" w:type="dxa"/>
            <w:vAlign w:val="bottom"/>
          </w:tcPr>
          <w:p>
            <w:pPr>
              <w:spacing w:after="0"/>
              <w:rPr>
                <w:sz w:val="1"/>
                <w:szCs w:val="1"/>
                <w:color w:val="auto"/>
              </w:rPr>
            </w:pPr>
          </w:p>
        </w:tc>
      </w:tr>
      <w:tr>
        <w:trPr>
          <w:trHeight w:val="197"/>
        </w:trPr>
        <w:tc>
          <w:tcPr>
            <w:tcW w:w="60" w:type="dxa"/>
            <w:vAlign w:val="bottom"/>
          </w:tcPr>
          <w:p>
            <w:pPr>
              <w:spacing w:after="0"/>
              <w:rPr>
                <w:sz w:val="17"/>
                <w:szCs w:val="17"/>
                <w:color w:val="auto"/>
              </w:rPr>
            </w:pPr>
          </w:p>
        </w:tc>
        <w:tc>
          <w:tcPr>
            <w:tcW w:w="2640" w:type="dxa"/>
            <w:vAlign w:val="bottom"/>
            <w:gridSpan w:val="5"/>
          </w:tcPr>
          <w:p>
            <w:pPr>
              <w:spacing w:after="0"/>
              <w:rPr>
                <w:sz w:val="20"/>
                <w:szCs w:val="20"/>
                <w:color w:val="auto"/>
              </w:rPr>
            </w:pPr>
            <w:r>
              <w:rPr>
                <w:rFonts w:ascii="Times New Roman" w:cs="Times New Roman" w:eastAsia="Times New Roman" w:hAnsi="Times New Roman"/>
                <w:sz w:val="15"/>
                <w:szCs w:val="15"/>
                <w:color w:val="231F20"/>
              </w:rPr>
              <w:t>Santana Row Residential</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231F20"/>
              </w:rPr>
              <w:t>2003-2006,</w:t>
            </w:r>
          </w:p>
        </w:tc>
        <w:tc>
          <w:tcPr>
            <w:tcW w:w="880" w:type="dxa"/>
            <w:vAlign w:val="bottom"/>
            <w:gridSpan w:val="2"/>
          </w:tcPr>
          <w:p>
            <w:pPr>
              <w:jc w:val="center"/>
              <w:ind w:left="4"/>
              <w:spacing w:after="0"/>
              <w:rPr>
                <w:sz w:val="20"/>
                <w:szCs w:val="20"/>
                <w:color w:val="auto"/>
              </w:rPr>
            </w:pPr>
            <w:r>
              <w:rPr>
                <w:rFonts w:ascii="Times New Roman" w:cs="Times New Roman" w:eastAsia="Times New Roman" w:hAnsi="Times New Roman"/>
                <w:sz w:val="15"/>
                <w:szCs w:val="15"/>
                <w:color w:val="231F20"/>
                <w:w w:val="99"/>
              </w:rPr>
              <w:t>1997/2012</w:t>
            </w:r>
          </w:p>
        </w:tc>
        <w:tc>
          <w:tcPr>
            <w:tcW w:w="8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5"/>
                <w:szCs w:val="15"/>
                <w:color w:val="231F20"/>
              </w:rPr>
              <w:t>554 units</w:t>
            </w:r>
          </w:p>
        </w:tc>
        <w:tc>
          <w:tcPr>
            <w:tcW w:w="80" w:type="dxa"/>
            <w:vAlign w:val="bottom"/>
          </w:tcPr>
          <w:p>
            <w:pPr>
              <w:spacing w:after="0"/>
              <w:rPr>
                <w:sz w:val="17"/>
                <w:szCs w:val="17"/>
                <w:color w:val="auto"/>
              </w:rPr>
            </w:pPr>
          </w:p>
        </w:tc>
        <w:tc>
          <w:tcPr>
            <w:tcW w:w="1020" w:type="dxa"/>
            <w:vAlign w:val="bottom"/>
          </w:tcPr>
          <w:p>
            <w:pPr>
              <w:ind w:left="420"/>
              <w:spacing w:after="0"/>
              <w:rPr>
                <w:sz w:val="20"/>
                <w:szCs w:val="20"/>
                <w:color w:val="auto"/>
              </w:rPr>
            </w:pPr>
            <w:r>
              <w:rPr>
                <w:rFonts w:ascii="Times New Roman" w:cs="Times New Roman" w:eastAsia="Times New Roman" w:hAnsi="Times New Roman"/>
                <w:sz w:val="15"/>
                <w:szCs w:val="15"/>
                <w:color w:val="231F20"/>
              </w:rPr>
              <w:t>N/A</w:t>
            </w:r>
          </w:p>
        </w:tc>
        <w:tc>
          <w:tcPr>
            <w:tcW w:w="900" w:type="dxa"/>
            <w:vAlign w:val="bottom"/>
            <w:gridSpan w:val="2"/>
          </w:tcPr>
          <w:p>
            <w:pPr>
              <w:jc w:val="center"/>
              <w:ind w:left="24"/>
              <w:spacing w:after="0"/>
              <w:rPr>
                <w:sz w:val="20"/>
                <w:szCs w:val="20"/>
                <w:color w:val="auto"/>
              </w:rPr>
            </w:pPr>
            <w:r>
              <w:rPr>
                <w:rFonts w:ascii="Times New Roman" w:cs="Times New Roman" w:eastAsia="Times New Roman" w:hAnsi="Times New Roman"/>
                <w:sz w:val="15"/>
                <w:szCs w:val="15"/>
                <w:color w:val="231F20"/>
              </w:rPr>
              <w:t>97%</w:t>
            </w:r>
          </w:p>
        </w:tc>
        <w:tc>
          <w:tcPr>
            <w:tcW w:w="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2640" w:type="dxa"/>
            <w:vAlign w:val="bottom"/>
            <w:gridSpan w:val="5"/>
          </w:tcPr>
          <w:p>
            <w:pPr>
              <w:ind w:left="100"/>
              <w:spacing w:after="0"/>
              <w:rPr>
                <w:sz w:val="20"/>
                <w:szCs w:val="20"/>
                <w:color w:val="auto"/>
              </w:rPr>
            </w:pPr>
            <w:r>
              <w:rPr>
                <w:rFonts w:ascii="Times New Roman" w:cs="Times New Roman" w:eastAsia="Times New Roman" w:hAnsi="Times New Roman"/>
                <w:sz w:val="15"/>
                <w:szCs w:val="15"/>
                <w:color w:val="231F20"/>
              </w:rPr>
              <w:t>San Jose, CA 95128</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231F20"/>
                <w:w w:val="99"/>
              </w:rPr>
              <w:t>2014</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9"/>
        </w:trPr>
        <w:tc>
          <w:tcPr>
            <w:tcW w:w="60" w:type="dxa"/>
            <w:vAlign w:val="bottom"/>
          </w:tcPr>
          <w:p>
            <w:pPr>
              <w:spacing w:after="0"/>
              <w:rPr>
                <w:sz w:val="13"/>
                <w:szCs w:val="13"/>
                <w:color w:val="auto"/>
              </w:rPr>
            </w:pPr>
          </w:p>
        </w:tc>
        <w:tc>
          <w:tcPr>
            <w:tcW w:w="2640" w:type="dxa"/>
            <w:vAlign w:val="bottom"/>
            <w:gridSpan w:val="5"/>
          </w:tcPr>
          <w:p>
            <w:pPr>
              <w:spacing w:after="0" w:line="159" w:lineRule="exact"/>
              <w:rPr>
                <w:sz w:val="20"/>
                <w:szCs w:val="20"/>
                <w:color w:val="auto"/>
              </w:rPr>
            </w:pPr>
            <w:r>
              <w:rPr>
                <w:rFonts w:ascii="Times New Roman" w:cs="Times New Roman" w:eastAsia="Times New Roman" w:hAnsi="Times New Roman"/>
                <w:sz w:val="15"/>
                <w:szCs w:val="15"/>
                <w:color w:val="231F20"/>
              </w:rPr>
              <w:t>Sylmar Towne Center</w:t>
            </w:r>
          </w:p>
        </w:tc>
        <w:tc>
          <w:tcPr>
            <w:tcW w:w="920" w:type="dxa"/>
            <w:vAlign w:val="bottom"/>
            <w:gridSpan w:val="2"/>
          </w:tcPr>
          <w:p>
            <w:pPr>
              <w:jc w:val="center"/>
              <w:spacing w:after="0" w:line="159" w:lineRule="exact"/>
              <w:rPr>
                <w:sz w:val="20"/>
                <w:szCs w:val="20"/>
                <w:color w:val="auto"/>
              </w:rPr>
            </w:pPr>
            <w:r>
              <w:rPr>
                <w:rFonts w:ascii="Times New Roman" w:cs="Times New Roman" w:eastAsia="Times New Roman" w:hAnsi="Times New Roman"/>
                <w:sz w:val="15"/>
                <w:szCs w:val="15"/>
                <w:color w:val="231F20"/>
                <w:w w:val="99"/>
              </w:rPr>
              <w:t>1973</w:t>
            </w:r>
          </w:p>
        </w:tc>
        <w:tc>
          <w:tcPr>
            <w:tcW w:w="880" w:type="dxa"/>
            <w:vAlign w:val="bottom"/>
            <w:gridSpan w:val="2"/>
          </w:tcPr>
          <w:p>
            <w:pPr>
              <w:jc w:val="center"/>
              <w:ind w:left="24"/>
              <w:spacing w:after="0" w:line="159" w:lineRule="exact"/>
              <w:rPr>
                <w:sz w:val="20"/>
                <w:szCs w:val="20"/>
                <w:color w:val="auto"/>
              </w:rPr>
            </w:pPr>
            <w:r>
              <w:rPr>
                <w:rFonts w:ascii="Times New Roman" w:cs="Times New Roman" w:eastAsia="Times New Roman" w:hAnsi="Times New Roman"/>
                <w:sz w:val="15"/>
                <w:szCs w:val="15"/>
                <w:color w:val="231F20"/>
                <w:w w:val="99"/>
              </w:rPr>
              <w:t>2017</w:t>
            </w:r>
          </w:p>
        </w:tc>
        <w:tc>
          <w:tcPr>
            <w:tcW w:w="1100" w:type="dxa"/>
            <w:vAlign w:val="bottom"/>
            <w:gridSpan w:val="2"/>
          </w:tcPr>
          <w:p>
            <w:pPr>
              <w:jc w:val="center"/>
              <w:ind w:left="44"/>
              <w:spacing w:after="0" w:line="159" w:lineRule="exact"/>
              <w:rPr>
                <w:sz w:val="20"/>
                <w:szCs w:val="20"/>
                <w:color w:val="auto"/>
              </w:rPr>
            </w:pPr>
            <w:r>
              <w:rPr>
                <w:rFonts w:ascii="Times New Roman" w:cs="Times New Roman" w:eastAsia="Times New Roman" w:hAnsi="Times New Roman"/>
                <w:sz w:val="15"/>
                <w:szCs w:val="15"/>
                <w:color w:val="231F20"/>
              </w:rPr>
              <w:t>148,000</w:t>
            </w:r>
          </w:p>
        </w:tc>
        <w:tc>
          <w:tcPr>
            <w:tcW w:w="1100" w:type="dxa"/>
            <w:vAlign w:val="bottom"/>
            <w:gridSpan w:val="2"/>
          </w:tcPr>
          <w:p>
            <w:pPr>
              <w:jc w:val="center"/>
              <w:ind w:left="44"/>
              <w:spacing w:after="0" w:line="159" w:lineRule="exact"/>
              <w:rPr>
                <w:sz w:val="20"/>
                <w:szCs w:val="20"/>
                <w:color w:val="auto"/>
              </w:rPr>
            </w:pPr>
            <w:r>
              <w:rPr>
                <w:rFonts w:ascii="Times New Roman" w:cs="Times New Roman" w:eastAsia="Times New Roman" w:hAnsi="Times New Roman"/>
                <w:sz w:val="15"/>
                <w:szCs w:val="15"/>
                <w:color w:val="231F20"/>
              </w:rPr>
              <w:t>$22.37</w:t>
            </w:r>
          </w:p>
        </w:tc>
        <w:tc>
          <w:tcPr>
            <w:tcW w:w="900" w:type="dxa"/>
            <w:vAlign w:val="bottom"/>
            <w:gridSpan w:val="2"/>
          </w:tcPr>
          <w:p>
            <w:pPr>
              <w:jc w:val="center"/>
              <w:ind w:left="24"/>
              <w:spacing w:after="0" w:line="159" w:lineRule="exact"/>
              <w:rPr>
                <w:sz w:val="20"/>
                <w:szCs w:val="20"/>
                <w:color w:val="auto"/>
              </w:rPr>
            </w:pPr>
            <w:r>
              <w:rPr>
                <w:rFonts w:ascii="Times New Roman" w:cs="Times New Roman" w:eastAsia="Times New Roman" w:hAnsi="Times New Roman"/>
                <w:sz w:val="15"/>
                <w:szCs w:val="15"/>
                <w:color w:val="231F20"/>
              </w:rPr>
              <w:t>95%</w:t>
            </w:r>
          </w:p>
        </w:tc>
        <w:tc>
          <w:tcPr>
            <w:tcW w:w="80" w:type="dxa"/>
            <w:vAlign w:val="bottom"/>
          </w:tcPr>
          <w:p>
            <w:pPr>
              <w:spacing w:after="0"/>
              <w:rPr>
                <w:sz w:val="13"/>
                <w:szCs w:val="13"/>
                <w:color w:val="auto"/>
              </w:rPr>
            </w:pPr>
          </w:p>
        </w:tc>
        <w:tc>
          <w:tcPr>
            <w:tcW w:w="2040" w:type="dxa"/>
            <w:vAlign w:val="bottom"/>
          </w:tcPr>
          <w:p>
            <w:pPr>
              <w:ind w:left="40"/>
              <w:spacing w:after="0" w:line="159" w:lineRule="exact"/>
              <w:rPr>
                <w:sz w:val="20"/>
                <w:szCs w:val="20"/>
                <w:color w:val="auto"/>
              </w:rPr>
            </w:pPr>
            <w:r>
              <w:rPr>
                <w:rFonts w:ascii="Times New Roman" w:cs="Times New Roman" w:eastAsia="Times New Roman" w:hAnsi="Times New Roman"/>
                <w:sz w:val="15"/>
                <w:szCs w:val="15"/>
                <w:color w:val="231F20"/>
              </w:rPr>
              <w:t>Food 4 Less</w:t>
            </w: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2640" w:type="dxa"/>
            <w:vAlign w:val="bottom"/>
            <w:gridSpan w:val="5"/>
          </w:tcPr>
          <w:p>
            <w:pPr>
              <w:ind w:left="100"/>
              <w:spacing w:after="0" w:line="152" w:lineRule="exact"/>
              <w:rPr>
                <w:sz w:val="20"/>
                <w:szCs w:val="20"/>
                <w:color w:val="auto"/>
              </w:rPr>
            </w:pPr>
            <w:r>
              <w:rPr>
                <w:rFonts w:ascii="Times New Roman" w:cs="Times New Roman" w:eastAsia="Times New Roman" w:hAnsi="Times New Roman"/>
                <w:sz w:val="15"/>
                <w:szCs w:val="15"/>
                <w:color w:val="231F20"/>
              </w:rPr>
              <w:t>Sylmar, CA 91342(4)</w:t>
            </w: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ind w:left="40"/>
              <w:spacing w:after="0" w:line="152" w:lineRule="exact"/>
              <w:rPr>
                <w:sz w:val="20"/>
                <w:szCs w:val="20"/>
                <w:color w:val="auto"/>
              </w:rPr>
            </w:pPr>
            <w:r>
              <w:rPr>
                <w:rFonts w:ascii="Times New Roman" w:cs="Times New Roman" w:eastAsia="Times New Roman" w:hAnsi="Times New Roman"/>
                <w:sz w:val="15"/>
                <w:szCs w:val="15"/>
                <w:color w:val="231F20"/>
              </w:rPr>
              <w:t>CVS</w:t>
            </w:r>
          </w:p>
        </w:tc>
        <w:tc>
          <w:tcPr>
            <w:tcW w:w="0" w:type="dxa"/>
            <w:vAlign w:val="bottom"/>
          </w:tcPr>
          <w:p>
            <w:pPr>
              <w:spacing w:after="0"/>
              <w:rPr>
                <w:sz w:val="1"/>
                <w:szCs w:val="1"/>
                <w:color w:val="auto"/>
              </w:rPr>
            </w:pPr>
          </w:p>
        </w:tc>
      </w:tr>
      <w:tr>
        <w:trPr>
          <w:trHeight w:val="195"/>
        </w:trPr>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40" w:type="dxa"/>
            <w:vAlign w:val="bottom"/>
          </w:tcPr>
          <w:p>
            <w:pPr>
              <w:ind w:left="40"/>
              <w:spacing w:after="0"/>
              <w:rPr>
                <w:sz w:val="20"/>
                <w:szCs w:val="20"/>
                <w:color w:val="auto"/>
              </w:rPr>
            </w:pPr>
            <w:r>
              <w:rPr>
                <w:rFonts w:ascii="Times New Roman" w:cs="Times New Roman" w:eastAsia="Times New Roman" w:hAnsi="Times New Roman"/>
                <w:sz w:val="15"/>
                <w:szCs w:val="15"/>
                <w:color w:val="231F20"/>
              </w:rPr>
              <w:t>Ross Dress for Less</w:t>
            </w: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2640" w:type="dxa"/>
            <w:vAlign w:val="bottom"/>
            <w:gridSpan w:val="5"/>
          </w:tcPr>
          <w:p>
            <w:pPr>
              <w:spacing w:after="0" w:line="152" w:lineRule="exact"/>
              <w:rPr>
                <w:sz w:val="20"/>
                <w:szCs w:val="20"/>
                <w:color w:val="auto"/>
              </w:rPr>
            </w:pPr>
            <w:r>
              <w:rPr>
                <w:rFonts w:ascii="Times New Roman" w:cs="Times New Roman" w:eastAsia="Times New Roman" w:hAnsi="Times New Roman"/>
                <w:sz w:val="15"/>
                <w:szCs w:val="15"/>
                <w:color w:val="231F20"/>
              </w:rPr>
              <w:t>Westgate Center</w:t>
            </w:r>
          </w:p>
        </w:tc>
        <w:tc>
          <w:tcPr>
            <w:tcW w:w="920" w:type="dxa"/>
            <w:vAlign w:val="bottom"/>
            <w:gridSpan w:val="2"/>
          </w:tcPr>
          <w:p>
            <w:pPr>
              <w:jc w:val="center"/>
              <w:spacing w:after="0" w:line="152" w:lineRule="exact"/>
              <w:rPr>
                <w:sz w:val="20"/>
                <w:szCs w:val="20"/>
                <w:color w:val="auto"/>
              </w:rPr>
            </w:pPr>
            <w:r>
              <w:rPr>
                <w:rFonts w:ascii="Times New Roman" w:cs="Times New Roman" w:eastAsia="Times New Roman" w:hAnsi="Times New Roman"/>
                <w:sz w:val="15"/>
                <w:szCs w:val="15"/>
                <w:color w:val="231F20"/>
              </w:rPr>
              <w:t>1960-1966</w:t>
            </w:r>
          </w:p>
        </w:tc>
        <w:tc>
          <w:tcPr>
            <w:tcW w:w="880" w:type="dxa"/>
            <w:vAlign w:val="bottom"/>
            <w:gridSpan w:val="2"/>
          </w:tcPr>
          <w:p>
            <w:pPr>
              <w:jc w:val="center"/>
              <w:ind w:left="24"/>
              <w:spacing w:after="0" w:line="152" w:lineRule="exact"/>
              <w:rPr>
                <w:sz w:val="20"/>
                <w:szCs w:val="20"/>
                <w:color w:val="auto"/>
              </w:rPr>
            </w:pPr>
            <w:r>
              <w:rPr>
                <w:rFonts w:ascii="Times New Roman" w:cs="Times New Roman" w:eastAsia="Times New Roman" w:hAnsi="Times New Roman"/>
                <w:sz w:val="15"/>
                <w:szCs w:val="15"/>
                <w:color w:val="231F20"/>
                <w:w w:val="99"/>
              </w:rPr>
              <w:t>2004</w:t>
            </w:r>
          </w:p>
        </w:tc>
        <w:tc>
          <w:tcPr>
            <w:tcW w:w="1100" w:type="dxa"/>
            <w:vAlign w:val="bottom"/>
            <w:gridSpan w:val="2"/>
          </w:tcPr>
          <w:p>
            <w:pPr>
              <w:jc w:val="center"/>
              <w:ind w:left="44"/>
              <w:spacing w:after="0" w:line="152" w:lineRule="exact"/>
              <w:rPr>
                <w:sz w:val="20"/>
                <w:szCs w:val="20"/>
                <w:color w:val="auto"/>
              </w:rPr>
            </w:pPr>
            <w:r>
              <w:rPr>
                <w:rFonts w:ascii="Times New Roman" w:cs="Times New Roman" w:eastAsia="Times New Roman" w:hAnsi="Times New Roman"/>
                <w:sz w:val="15"/>
                <w:szCs w:val="15"/>
                <w:color w:val="231F20"/>
              </w:rPr>
              <w:t>650,000</w:t>
            </w:r>
          </w:p>
        </w:tc>
        <w:tc>
          <w:tcPr>
            <w:tcW w:w="1100" w:type="dxa"/>
            <w:vAlign w:val="bottom"/>
            <w:gridSpan w:val="2"/>
          </w:tcPr>
          <w:p>
            <w:pPr>
              <w:jc w:val="center"/>
              <w:ind w:left="44"/>
              <w:spacing w:after="0" w:line="152" w:lineRule="exact"/>
              <w:rPr>
                <w:sz w:val="20"/>
                <w:szCs w:val="20"/>
                <w:color w:val="auto"/>
              </w:rPr>
            </w:pPr>
            <w:r>
              <w:rPr>
                <w:rFonts w:ascii="Times New Roman" w:cs="Times New Roman" w:eastAsia="Times New Roman" w:hAnsi="Times New Roman"/>
                <w:sz w:val="15"/>
                <w:szCs w:val="15"/>
                <w:color w:val="231F20"/>
              </w:rPr>
              <w:t>$23.72</w:t>
            </w:r>
          </w:p>
        </w:tc>
        <w:tc>
          <w:tcPr>
            <w:tcW w:w="900" w:type="dxa"/>
            <w:vAlign w:val="bottom"/>
            <w:gridSpan w:val="2"/>
          </w:tcPr>
          <w:p>
            <w:pPr>
              <w:jc w:val="center"/>
              <w:ind w:left="24"/>
              <w:spacing w:after="0" w:line="152" w:lineRule="exact"/>
              <w:rPr>
                <w:sz w:val="20"/>
                <w:szCs w:val="20"/>
                <w:color w:val="auto"/>
              </w:rPr>
            </w:pPr>
            <w:r>
              <w:rPr>
                <w:rFonts w:ascii="Times New Roman" w:cs="Times New Roman" w:eastAsia="Times New Roman" w:hAnsi="Times New Roman"/>
                <w:sz w:val="15"/>
                <w:szCs w:val="15"/>
                <w:color w:val="231F20"/>
              </w:rPr>
              <w:t>92%</w:t>
            </w:r>
          </w:p>
        </w:tc>
        <w:tc>
          <w:tcPr>
            <w:tcW w:w="80" w:type="dxa"/>
            <w:vAlign w:val="bottom"/>
          </w:tcPr>
          <w:p>
            <w:pPr>
              <w:spacing w:after="0"/>
              <w:rPr>
                <w:sz w:val="13"/>
                <w:szCs w:val="13"/>
                <w:color w:val="auto"/>
              </w:rPr>
            </w:pPr>
          </w:p>
        </w:tc>
        <w:tc>
          <w:tcPr>
            <w:tcW w:w="2040" w:type="dxa"/>
            <w:vAlign w:val="bottom"/>
          </w:tcPr>
          <w:p>
            <w:pPr>
              <w:ind w:left="40"/>
              <w:spacing w:after="0" w:line="152" w:lineRule="exact"/>
              <w:rPr>
                <w:sz w:val="20"/>
                <w:szCs w:val="20"/>
                <w:color w:val="auto"/>
              </w:rPr>
            </w:pPr>
            <w:r>
              <w:rPr>
                <w:rFonts w:ascii="Times New Roman" w:cs="Times New Roman" w:eastAsia="Times New Roman" w:hAnsi="Times New Roman"/>
                <w:sz w:val="15"/>
                <w:szCs w:val="15"/>
                <w:color w:val="231F20"/>
              </w:rPr>
              <w:t>Target</w:t>
            </w: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2640" w:type="dxa"/>
            <w:vAlign w:val="bottom"/>
            <w:gridSpan w:val="5"/>
          </w:tcPr>
          <w:p>
            <w:pPr>
              <w:ind w:left="100"/>
              <w:spacing w:after="0" w:line="152" w:lineRule="exact"/>
              <w:rPr>
                <w:sz w:val="20"/>
                <w:szCs w:val="20"/>
                <w:color w:val="auto"/>
              </w:rPr>
            </w:pPr>
            <w:r>
              <w:rPr>
                <w:rFonts w:ascii="Times New Roman" w:cs="Times New Roman" w:eastAsia="Times New Roman" w:hAnsi="Times New Roman"/>
                <w:sz w:val="15"/>
                <w:szCs w:val="15"/>
                <w:color w:val="231F20"/>
              </w:rPr>
              <w:t>San Jose, CA 95129</w:t>
            </w: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ind w:left="40"/>
              <w:spacing w:after="0" w:line="152" w:lineRule="exact"/>
              <w:rPr>
                <w:sz w:val="20"/>
                <w:szCs w:val="20"/>
                <w:color w:val="auto"/>
              </w:rPr>
            </w:pPr>
            <w:r>
              <w:rPr>
                <w:rFonts w:ascii="Times New Roman" w:cs="Times New Roman" w:eastAsia="Times New Roman" w:hAnsi="Times New Roman"/>
                <w:sz w:val="15"/>
                <w:szCs w:val="15"/>
                <w:color w:val="231F20"/>
              </w:rPr>
              <w:t>Nordstrom Rack</w:t>
            </w: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ind w:left="40"/>
              <w:spacing w:after="0" w:line="152" w:lineRule="exact"/>
              <w:rPr>
                <w:sz w:val="20"/>
                <w:szCs w:val="20"/>
                <w:color w:val="auto"/>
              </w:rPr>
            </w:pPr>
            <w:r>
              <w:rPr>
                <w:rFonts w:ascii="Times New Roman" w:cs="Times New Roman" w:eastAsia="Times New Roman" w:hAnsi="Times New Roman"/>
                <w:sz w:val="15"/>
                <w:szCs w:val="15"/>
                <w:color w:val="231F20"/>
              </w:rPr>
              <w:t>Nike Factory</w:t>
            </w: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ind w:left="40"/>
              <w:spacing w:after="0" w:line="152" w:lineRule="exact"/>
              <w:rPr>
                <w:sz w:val="20"/>
                <w:szCs w:val="20"/>
                <w:color w:val="auto"/>
              </w:rPr>
            </w:pPr>
            <w:r>
              <w:rPr>
                <w:rFonts w:ascii="Times New Roman" w:cs="Times New Roman" w:eastAsia="Times New Roman" w:hAnsi="Times New Roman"/>
                <w:sz w:val="15"/>
                <w:szCs w:val="15"/>
                <w:color w:val="231F20"/>
              </w:rPr>
              <w:t>TJ Maxx</w:t>
            </w: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40" w:type="dxa"/>
            <w:vAlign w:val="bottom"/>
          </w:tcPr>
          <w:p>
            <w:pPr>
              <w:ind w:left="40"/>
              <w:spacing w:after="0"/>
              <w:rPr>
                <w:sz w:val="20"/>
                <w:szCs w:val="20"/>
                <w:color w:val="auto"/>
              </w:rPr>
            </w:pPr>
            <w:r>
              <w:rPr>
                <w:rFonts w:ascii="Times New Roman" w:cs="Times New Roman" w:eastAsia="Times New Roman" w:hAnsi="Times New Roman"/>
                <w:sz w:val="15"/>
                <w:szCs w:val="15"/>
                <w:color w:val="231F20"/>
              </w:rPr>
              <w:t>Ross Dress for Less</w:t>
            </w:r>
          </w:p>
        </w:tc>
        <w:tc>
          <w:tcPr>
            <w:tcW w:w="0" w:type="dxa"/>
            <w:vAlign w:val="bottom"/>
          </w:tcPr>
          <w:p>
            <w:pPr>
              <w:spacing w:after="0"/>
              <w:rPr>
                <w:sz w:val="1"/>
                <w:szCs w:val="1"/>
                <w:color w:val="auto"/>
              </w:rPr>
            </w:pPr>
          </w:p>
        </w:tc>
      </w:tr>
      <w:tr>
        <w:trPr>
          <w:trHeight w:val="197"/>
        </w:trPr>
        <w:tc>
          <w:tcPr>
            <w:tcW w:w="60" w:type="dxa"/>
            <w:vAlign w:val="bottom"/>
          </w:tcPr>
          <w:p>
            <w:pPr>
              <w:spacing w:after="0"/>
              <w:rPr>
                <w:sz w:val="17"/>
                <w:szCs w:val="17"/>
                <w:color w:val="auto"/>
              </w:rPr>
            </w:pPr>
          </w:p>
        </w:tc>
        <w:tc>
          <w:tcPr>
            <w:tcW w:w="780" w:type="dxa"/>
            <w:vAlign w:val="bottom"/>
            <w:tcBorders>
              <w:bottom w:val="single" w:sz="8" w:color="231F20"/>
            </w:tcBorders>
            <w:gridSpan w:val="3"/>
          </w:tcPr>
          <w:p>
            <w:pPr>
              <w:spacing w:after="0"/>
              <w:rPr>
                <w:sz w:val="20"/>
                <w:szCs w:val="20"/>
                <w:color w:val="auto"/>
              </w:rPr>
            </w:pPr>
            <w:r>
              <w:rPr>
                <w:rFonts w:ascii="Times New Roman" w:cs="Times New Roman" w:eastAsia="Times New Roman" w:hAnsi="Times New Roman"/>
                <w:sz w:val="15"/>
                <w:szCs w:val="15"/>
                <w:b w:val="1"/>
                <w:bCs w:val="1"/>
                <w:color w:val="231F20"/>
                <w:w w:val="98"/>
              </w:rPr>
              <w:t>Connecticut</w:t>
            </w:r>
          </w:p>
        </w:tc>
        <w:tc>
          <w:tcPr>
            <w:tcW w:w="1860" w:type="dxa"/>
            <w:vAlign w:val="bottom"/>
            <w:gridSpan w:val="2"/>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2640" w:type="dxa"/>
            <w:vAlign w:val="bottom"/>
            <w:gridSpan w:val="5"/>
          </w:tcPr>
          <w:p>
            <w:pPr>
              <w:spacing w:after="0"/>
              <w:rPr>
                <w:sz w:val="20"/>
                <w:szCs w:val="20"/>
                <w:color w:val="auto"/>
              </w:rPr>
            </w:pPr>
            <w:r>
              <w:rPr>
                <w:rFonts w:ascii="Times New Roman" w:cs="Times New Roman" w:eastAsia="Times New Roman" w:hAnsi="Times New Roman"/>
                <w:sz w:val="15"/>
                <w:szCs w:val="15"/>
                <w:color w:val="231F20"/>
              </w:rPr>
              <w:t>Darien Commons</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231F20"/>
              </w:rPr>
              <w:t>1920-2009,</w:t>
            </w:r>
          </w:p>
        </w:tc>
        <w:tc>
          <w:tcPr>
            <w:tcW w:w="880" w:type="dxa"/>
            <w:vAlign w:val="bottom"/>
            <w:gridSpan w:val="2"/>
          </w:tcPr>
          <w:p>
            <w:pPr>
              <w:jc w:val="center"/>
              <w:ind w:left="4"/>
              <w:spacing w:after="0"/>
              <w:rPr>
                <w:sz w:val="20"/>
                <w:szCs w:val="20"/>
                <w:color w:val="auto"/>
              </w:rPr>
            </w:pPr>
            <w:r>
              <w:rPr>
                <w:rFonts w:ascii="Times New Roman" w:cs="Times New Roman" w:eastAsia="Times New Roman" w:hAnsi="Times New Roman"/>
                <w:sz w:val="15"/>
                <w:szCs w:val="15"/>
                <w:color w:val="231F20"/>
                <w:w w:val="99"/>
              </w:rPr>
              <w:t>2013/2018</w:t>
            </w:r>
          </w:p>
        </w:tc>
        <w:tc>
          <w:tcPr>
            <w:tcW w:w="1100" w:type="dxa"/>
            <w:vAlign w:val="bottom"/>
            <w:gridSpan w:val="2"/>
          </w:tcPr>
          <w:p>
            <w:pPr>
              <w:jc w:val="center"/>
              <w:ind w:left="44"/>
              <w:spacing w:after="0"/>
              <w:rPr>
                <w:sz w:val="20"/>
                <w:szCs w:val="20"/>
                <w:color w:val="auto"/>
              </w:rPr>
            </w:pPr>
            <w:r>
              <w:rPr>
                <w:rFonts w:ascii="Times New Roman" w:cs="Times New Roman" w:eastAsia="Times New Roman" w:hAnsi="Times New Roman"/>
                <w:sz w:val="15"/>
                <w:szCs w:val="15"/>
                <w:color w:val="231F20"/>
              </w:rPr>
              <w:t>120,000</w:t>
            </w:r>
          </w:p>
        </w:tc>
        <w:tc>
          <w:tcPr>
            <w:tcW w:w="1100" w:type="dxa"/>
            <w:vAlign w:val="bottom"/>
            <w:gridSpan w:val="2"/>
          </w:tcPr>
          <w:p>
            <w:pPr>
              <w:jc w:val="center"/>
              <w:ind w:left="44"/>
              <w:spacing w:after="0"/>
              <w:rPr>
                <w:sz w:val="20"/>
                <w:szCs w:val="20"/>
                <w:color w:val="auto"/>
              </w:rPr>
            </w:pPr>
            <w:r>
              <w:rPr>
                <w:rFonts w:ascii="Times New Roman" w:cs="Times New Roman" w:eastAsia="Times New Roman" w:hAnsi="Times New Roman"/>
                <w:sz w:val="15"/>
                <w:szCs w:val="15"/>
                <w:color w:val="231F20"/>
              </w:rPr>
              <w:t>$48.04</w:t>
            </w:r>
          </w:p>
        </w:tc>
        <w:tc>
          <w:tcPr>
            <w:tcW w:w="900" w:type="dxa"/>
            <w:vAlign w:val="bottom"/>
            <w:gridSpan w:val="2"/>
          </w:tcPr>
          <w:p>
            <w:pPr>
              <w:jc w:val="center"/>
              <w:ind w:left="24"/>
              <w:spacing w:after="0"/>
              <w:rPr>
                <w:sz w:val="20"/>
                <w:szCs w:val="20"/>
                <w:color w:val="auto"/>
              </w:rPr>
            </w:pPr>
            <w:r>
              <w:rPr>
                <w:rFonts w:ascii="Times New Roman" w:cs="Times New Roman" w:eastAsia="Times New Roman" w:hAnsi="Times New Roman"/>
                <w:sz w:val="15"/>
                <w:szCs w:val="15"/>
                <w:color w:val="231F20"/>
              </w:rPr>
              <w:t>96%</w:t>
            </w:r>
          </w:p>
        </w:tc>
        <w:tc>
          <w:tcPr>
            <w:tcW w:w="80" w:type="dxa"/>
            <w:vAlign w:val="bottom"/>
          </w:tcPr>
          <w:p>
            <w:pPr>
              <w:spacing w:after="0"/>
              <w:rPr>
                <w:sz w:val="18"/>
                <w:szCs w:val="18"/>
                <w:color w:val="auto"/>
              </w:rPr>
            </w:pPr>
          </w:p>
        </w:tc>
        <w:tc>
          <w:tcPr>
            <w:tcW w:w="2040" w:type="dxa"/>
            <w:vAlign w:val="bottom"/>
          </w:tcPr>
          <w:p>
            <w:pPr>
              <w:ind w:left="40"/>
              <w:spacing w:after="0"/>
              <w:rPr>
                <w:sz w:val="20"/>
                <w:szCs w:val="20"/>
                <w:color w:val="auto"/>
              </w:rPr>
            </w:pPr>
            <w:r>
              <w:rPr>
                <w:rFonts w:ascii="Times New Roman" w:cs="Times New Roman" w:eastAsia="Times New Roman" w:hAnsi="Times New Roman"/>
                <w:sz w:val="15"/>
                <w:szCs w:val="15"/>
                <w:color w:val="231F20"/>
              </w:rPr>
              <w:t>Equinox</w:t>
            </w: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2640" w:type="dxa"/>
            <w:vAlign w:val="bottom"/>
            <w:gridSpan w:val="5"/>
          </w:tcPr>
          <w:p>
            <w:pPr>
              <w:ind w:left="100"/>
              <w:spacing w:after="0" w:line="152" w:lineRule="exact"/>
              <w:rPr>
                <w:sz w:val="20"/>
                <w:szCs w:val="20"/>
                <w:color w:val="auto"/>
              </w:rPr>
            </w:pPr>
            <w:r>
              <w:rPr>
                <w:rFonts w:ascii="Times New Roman" w:cs="Times New Roman" w:eastAsia="Times New Roman" w:hAnsi="Times New Roman"/>
                <w:sz w:val="15"/>
                <w:szCs w:val="15"/>
                <w:color w:val="231F20"/>
              </w:rPr>
              <w:t>Darien, CT 06820</w:t>
            </w:r>
          </w:p>
        </w:tc>
        <w:tc>
          <w:tcPr>
            <w:tcW w:w="920" w:type="dxa"/>
            <w:vAlign w:val="bottom"/>
            <w:gridSpan w:val="2"/>
          </w:tcPr>
          <w:p>
            <w:pPr>
              <w:jc w:val="center"/>
              <w:spacing w:after="0" w:line="152" w:lineRule="exact"/>
              <w:rPr>
                <w:sz w:val="20"/>
                <w:szCs w:val="20"/>
                <w:color w:val="auto"/>
              </w:rPr>
            </w:pPr>
            <w:r>
              <w:rPr>
                <w:rFonts w:ascii="Times New Roman" w:cs="Times New Roman" w:eastAsia="Times New Roman" w:hAnsi="Times New Roman"/>
                <w:sz w:val="15"/>
                <w:szCs w:val="15"/>
                <w:color w:val="231F20"/>
                <w:w w:val="99"/>
              </w:rPr>
              <w:t>2023</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ind w:left="40"/>
              <w:spacing w:after="0" w:line="152" w:lineRule="exact"/>
              <w:rPr>
                <w:sz w:val="20"/>
                <w:szCs w:val="20"/>
                <w:color w:val="auto"/>
              </w:rPr>
            </w:pPr>
            <w:r>
              <w:rPr>
                <w:rFonts w:ascii="Times New Roman" w:cs="Times New Roman" w:eastAsia="Times New Roman" w:hAnsi="Times New Roman"/>
                <w:sz w:val="15"/>
                <w:szCs w:val="15"/>
                <w:color w:val="231F20"/>
              </w:rPr>
              <w:t>Walgreens</w:t>
            </w: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40" w:type="dxa"/>
            <w:vAlign w:val="bottom"/>
          </w:tcPr>
          <w:p>
            <w:pPr>
              <w:ind w:left="40"/>
              <w:spacing w:after="0"/>
              <w:rPr>
                <w:sz w:val="20"/>
                <w:szCs w:val="20"/>
                <w:color w:val="auto"/>
              </w:rPr>
            </w:pPr>
            <w:r>
              <w:rPr>
                <w:rFonts w:ascii="Times New Roman" w:cs="Times New Roman" w:eastAsia="Times New Roman" w:hAnsi="Times New Roman"/>
                <w:sz w:val="15"/>
                <w:szCs w:val="15"/>
                <w:color w:val="231F20"/>
              </w:rPr>
              <w:t>Multiple Restaurants</w:t>
            </w:r>
          </w:p>
        </w:tc>
        <w:tc>
          <w:tcPr>
            <w:tcW w:w="0" w:type="dxa"/>
            <w:vAlign w:val="bottom"/>
          </w:tcPr>
          <w:p>
            <w:pPr>
              <w:spacing w:after="0"/>
              <w:rPr>
                <w:sz w:val="1"/>
                <w:szCs w:val="1"/>
                <w:color w:val="auto"/>
              </w:rPr>
            </w:pPr>
          </w:p>
        </w:tc>
      </w:tr>
      <w:tr>
        <w:trPr>
          <w:trHeight w:val="164"/>
        </w:trPr>
        <w:tc>
          <w:tcPr>
            <w:tcW w:w="60" w:type="dxa"/>
            <w:vAlign w:val="bottom"/>
          </w:tcPr>
          <w:p>
            <w:pPr>
              <w:spacing w:after="0"/>
              <w:rPr>
                <w:sz w:val="14"/>
                <w:szCs w:val="14"/>
                <w:color w:val="auto"/>
              </w:rPr>
            </w:pPr>
          </w:p>
        </w:tc>
        <w:tc>
          <w:tcPr>
            <w:tcW w:w="2640" w:type="dxa"/>
            <w:vAlign w:val="bottom"/>
            <w:gridSpan w:val="5"/>
          </w:tcPr>
          <w:p>
            <w:pPr>
              <w:spacing w:after="0" w:line="164" w:lineRule="exact"/>
              <w:rPr>
                <w:sz w:val="20"/>
                <w:szCs w:val="20"/>
                <w:color w:val="auto"/>
              </w:rPr>
            </w:pPr>
            <w:r>
              <w:rPr>
                <w:rFonts w:ascii="Times New Roman" w:cs="Times New Roman" w:eastAsia="Times New Roman" w:hAnsi="Times New Roman"/>
                <w:sz w:val="15"/>
                <w:szCs w:val="15"/>
                <w:color w:val="231F20"/>
              </w:rPr>
              <w:t>Darien Commons Residential</w:t>
            </w:r>
          </w:p>
        </w:tc>
        <w:tc>
          <w:tcPr>
            <w:tcW w:w="920" w:type="dxa"/>
            <w:vAlign w:val="bottom"/>
            <w:gridSpan w:val="2"/>
          </w:tcPr>
          <w:p>
            <w:pPr>
              <w:jc w:val="center"/>
              <w:spacing w:after="0" w:line="164" w:lineRule="exact"/>
              <w:rPr>
                <w:sz w:val="20"/>
                <w:szCs w:val="20"/>
                <w:color w:val="auto"/>
              </w:rPr>
            </w:pPr>
            <w:r>
              <w:rPr>
                <w:rFonts w:ascii="Times New Roman" w:cs="Times New Roman" w:eastAsia="Times New Roman" w:hAnsi="Times New Roman"/>
                <w:sz w:val="15"/>
                <w:szCs w:val="15"/>
                <w:color w:val="231F20"/>
                <w:w w:val="99"/>
              </w:rPr>
              <w:t>2022</w:t>
            </w:r>
          </w:p>
        </w:tc>
        <w:tc>
          <w:tcPr>
            <w:tcW w:w="880" w:type="dxa"/>
            <w:vAlign w:val="bottom"/>
            <w:gridSpan w:val="2"/>
          </w:tcPr>
          <w:p>
            <w:pPr>
              <w:jc w:val="center"/>
              <w:ind w:left="4"/>
              <w:spacing w:after="0" w:line="164" w:lineRule="exact"/>
              <w:rPr>
                <w:sz w:val="20"/>
                <w:szCs w:val="20"/>
                <w:color w:val="auto"/>
              </w:rPr>
            </w:pPr>
            <w:r>
              <w:rPr>
                <w:rFonts w:ascii="Times New Roman" w:cs="Times New Roman" w:eastAsia="Times New Roman" w:hAnsi="Times New Roman"/>
                <w:sz w:val="15"/>
                <w:szCs w:val="15"/>
                <w:color w:val="231F20"/>
                <w:w w:val="99"/>
              </w:rPr>
              <w:t>2013/2018</w:t>
            </w:r>
          </w:p>
        </w:tc>
        <w:tc>
          <w:tcPr>
            <w:tcW w:w="80" w:type="dxa"/>
            <w:vAlign w:val="bottom"/>
          </w:tcPr>
          <w:p>
            <w:pPr>
              <w:spacing w:after="0"/>
              <w:rPr>
                <w:sz w:val="14"/>
                <w:szCs w:val="14"/>
                <w:color w:val="auto"/>
              </w:rPr>
            </w:pPr>
          </w:p>
        </w:tc>
        <w:tc>
          <w:tcPr>
            <w:tcW w:w="1020" w:type="dxa"/>
            <w:vAlign w:val="bottom"/>
          </w:tcPr>
          <w:p>
            <w:pPr>
              <w:jc w:val="center"/>
              <w:spacing w:after="0" w:line="164" w:lineRule="exact"/>
              <w:rPr>
                <w:sz w:val="20"/>
                <w:szCs w:val="20"/>
                <w:color w:val="auto"/>
              </w:rPr>
            </w:pPr>
            <w:r>
              <w:rPr>
                <w:rFonts w:ascii="Times New Roman" w:cs="Times New Roman" w:eastAsia="Times New Roman" w:hAnsi="Times New Roman"/>
                <w:sz w:val="15"/>
                <w:szCs w:val="15"/>
                <w:color w:val="231F20"/>
              </w:rPr>
              <w:t>124 units</w:t>
            </w:r>
          </w:p>
        </w:tc>
        <w:tc>
          <w:tcPr>
            <w:tcW w:w="80" w:type="dxa"/>
            <w:vAlign w:val="bottom"/>
          </w:tcPr>
          <w:p>
            <w:pPr>
              <w:spacing w:after="0"/>
              <w:rPr>
                <w:sz w:val="14"/>
                <w:szCs w:val="14"/>
                <w:color w:val="auto"/>
              </w:rPr>
            </w:pPr>
          </w:p>
        </w:tc>
        <w:tc>
          <w:tcPr>
            <w:tcW w:w="1020" w:type="dxa"/>
            <w:vAlign w:val="bottom"/>
          </w:tcPr>
          <w:p>
            <w:pPr>
              <w:ind w:left="420"/>
              <w:spacing w:after="0" w:line="164" w:lineRule="exact"/>
              <w:rPr>
                <w:sz w:val="20"/>
                <w:szCs w:val="20"/>
                <w:color w:val="auto"/>
              </w:rPr>
            </w:pPr>
            <w:r>
              <w:rPr>
                <w:rFonts w:ascii="Times New Roman" w:cs="Times New Roman" w:eastAsia="Times New Roman" w:hAnsi="Times New Roman"/>
                <w:sz w:val="15"/>
                <w:szCs w:val="15"/>
                <w:color w:val="231F20"/>
              </w:rPr>
              <w:t>N/A</w:t>
            </w:r>
          </w:p>
        </w:tc>
        <w:tc>
          <w:tcPr>
            <w:tcW w:w="900" w:type="dxa"/>
            <w:vAlign w:val="bottom"/>
            <w:gridSpan w:val="2"/>
          </w:tcPr>
          <w:p>
            <w:pPr>
              <w:jc w:val="center"/>
              <w:ind w:left="24"/>
              <w:spacing w:after="0" w:line="164" w:lineRule="exact"/>
              <w:rPr>
                <w:sz w:val="20"/>
                <w:szCs w:val="20"/>
                <w:color w:val="auto"/>
              </w:rPr>
            </w:pPr>
            <w:r>
              <w:rPr>
                <w:rFonts w:ascii="Times New Roman" w:cs="Times New Roman" w:eastAsia="Times New Roman" w:hAnsi="Times New Roman"/>
                <w:sz w:val="15"/>
                <w:szCs w:val="15"/>
                <w:color w:val="231F20"/>
              </w:rPr>
              <w:t>96%</w:t>
            </w:r>
          </w:p>
        </w:tc>
        <w:tc>
          <w:tcPr>
            <w:tcW w:w="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60" w:type="dxa"/>
            <w:vAlign w:val="bottom"/>
          </w:tcPr>
          <w:p>
            <w:pPr>
              <w:spacing w:after="0"/>
              <w:rPr>
                <w:sz w:val="16"/>
                <w:szCs w:val="16"/>
                <w:color w:val="auto"/>
              </w:rPr>
            </w:pPr>
          </w:p>
        </w:tc>
        <w:tc>
          <w:tcPr>
            <w:tcW w:w="2640" w:type="dxa"/>
            <w:vAlign w:val="bottom"/>
            <w:gridSpan w:val="5"/>
          </w:tcPr>
          <w:p>
            <w:pPr>
              <w:ind w:left="100"/>
              <w:spacing w:after="0"/>
              <w:rPr>
                <w:sz w:val="20"/>
                <w:szCs w:val="20"/>
                <w:color w:val="auto"/>
              </w:rPr>
            </w:pPr>
            <w:r>
              <w:rPr>
                <w:rFonts w:ascii="Times New Roman" w:cs="Times New Roman" w:eastAsia="Times New Roman" w:hAnsi="Times New Roman"/>
                <w:sz w:val="15"/>
                <w:szCs w:val="15"/>
                <w:color w:val="231F20"/>
              </w:rPr>
              <w:t>Darien, CT 06820</w:t>
            </w:r>
          </w:p>
        </w:tc>
        <w:tc>
          <w:tcPr>
            <w:tcW w:w="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2640" w:type="dxa"/>
            <w:vAlign w:val="bottom"/>
            <w:gridSpan w:val="5"/>
          </w:tcPr>
          <w:p>
            <w:pPr>
              <w:spacing w:after="0" w:line="152" w:lineRule="exact"/>
              <w:rPr>
                <w:sz w:val="20"/>
                <w:szCs w:val="20"/>
                <w:color w:val="auto"/>
              </w:rPr>
            </w:pPr>
            <w:r>
              <w:rPr>
                <w:rFonts w:ascii="Times New Roman" w:cs="Times New Roman" w:eastAsia="Times New Roman" w:hAnsi="Times New Roman"/>
                <w:sz w:val="15"/>
                <w:szCs w:val="15"/>
                <w:color w:val="231F20"/>
              </w:rPr>
              <w:t>Greenwich Avenue</w:t>
            </w:r>
          </w:p>
        </w:tc>
        <w:tc>
          <w:tcPr>
            <w:tcW w:w="920" w:type="dxa"/>
            <w:vAlign w:val="bottom"/>
            <w:gridSpan w:val="2"/>
          </w:tcPr>
          <w:p>
            <w:pPr>
              <w:jc w:val="center"/>
              <w:spacing w:after="0" w:line="152" w:lineRule="exact"/>
              <w:rPr>
                <w:sz w:val="20"/>
                <w:szCs w:val="20"/>
                <w:color w:val="auto"/>
              </w:rPr>
            </w:pPr>
            <w:r>
              <w:rPr>
                <w:rFonts w:ascii="Times New Roman" w:cs="Times New Roman" w:eastAsia="Times New Roman" w:hAnsi="Times New Roman"/>
                <w:sz w:val="15"/>
                <w:szCs w:val="15"/>
                <w:color w:val="231F20"/>
                <w:w w:val="99"/>
              </w:rPr>
              <w:t>1968</w:t>
            </w:r>
          </w:p>
        </w:tc>
        <w:tc>
          <w:tcPr>
            <w:tcW w:w="880" w:type="dxa"/>
            <w:vAlign w:val="bottom"/>
            <w:gridSpan w:val="2"/>
          </w:tcPr>
          <w:p>
            <w:pPr>
              <w:jc w:val="center"/>
              <w:ind w:left="24"/>
              <w:spacing w:after="0" w:line="152" w:lineRule="exact"/>
              <w:rPr>
                <w:sz w:val="20"/>
                <w:szCs w:val="20"/>
                <w:color w:val="auto"/>
              </w:rPr>
            </w:pPr>
            <w:r>
              <w:rPr>
                <w:rFonts w:ascii="Times New Roman" w:cs="Times New Roman" w:eastAsia="Times New Roman" w:hAnsi="Times New Roman"/>
                <w:sz w:val="15"/>
                <w:szCs w:val="15"/>
                <w:color w:val="231F20"/>
                <w:w w:val="99"/>
              </w:rPr>
              <w:t>1995</w:t>
            </w:r>
          </w:p>
        </w:tc>
        <w:tc>
          <w:tcPr>
            <w:tcW w:w="1100" w:type="dxa"/>
            <w:vAlign w:val="bottom"/>
            <w:gridSpan w:val="2"/>
          </w:tcPr>
          <w:p>
            <w:pPr>
              <w:jc w:val="center"/>
              <w:ind w:left="44"/>
              <w:spacing w:after="0" w:line="152" w:lineRule="exact"/>
              <w:rPr>
                <w:sz w:val="20"/>
                <w:szCs w:val="20"/>
                <w:color w:val="auto"/>
              </w:rPr>
            </w:pPr>
            <w:r>
              <w:rPr>
                <w:rFonts w:ascii="Times New Roman" w:cs="Times New Roman" w:eastAsia="Times New Roman" w:hAnsi="Times New Roman"/>
                <w:sz w:val="15"/>
                <w:szCs w:val="15"/>
                <w:color w:val="231F20"/>
              </w:rPr>
              <w:t>36,000</w:t>
            </w:r>
          </w:p>
        </w:tc>
        <w:tc>
          <w:tcPr>
            <w:tcW w:w="1100" w:type="dxa"/>
            <w:vAlign w:val="bottom"/>
            <w:gridSpan w:val="2"/>
          </w:tcPr>
          <w:p>
            <w:pPr>
              <w:jc w:val="center"/>
              <w:ind w:left="44"/>
              <w:spacing w:after="0" w:line="152" w:lineRule="exact"/>
              <w:rPr>
                <w:sz w:val="20"/>
                <w:szCs w:val="20"/>
                <w:color w:val="auto"/>
              </w:rPr>
            </w:pPr>
            <w:r>
              <w:rPr>
                <w:rFonts w:ascii="Times New Roman" w:cs="Times New Roman" w:eastAsia="Times New Roman" w:hAnsi="Times New Roman"/>
                <w:sz w:val="15"/>
                <w:szCs w:val="15"/>
                <w:color w:val="231F20"/>
              </w:rPr>
              <w:t>$96.19</w:t>
            </w:r>
          </w:p>
        </w:tc>
        <w:tc>
          <w:tcPr>
            <w:tcW w:w="900" w:type="dxa"/>
            <w:vAlign w:val="bottom"/>
            <w:gridSpan w:val="2"/>
          </w:tcPr>
          <w:p>
            <w:pPr>
              <w:jc w:val="center"/>
              <w:ind w:left="24"/>
              <w:spacing w:after="0" w:line="152" w:lineRule="exact"/>
              <w:rPr>
                <w:sz w:val="20"/>
                <w:szCs w:val="20"/>
                <w:color w:val="auto"/>
              </w:rPr>
            </w:pPr>
            <w:r>
              <w:rPr>
                <w:rFonts w:ascii="Times New Roman" w:cs="Times New Roman" w:eastAsia="Times New Roman" w:hAnsi="Times New Roman"/>
                <w:sz w:val="15"/>
                <w:szCs w:val="15"/>
                <w:color w:val="231F20"/>
              </w:rPr>
              <w:t>100%</w:t>
            </w:r>
          </w:p>
        </w:tc>
        <w:tc>
          <w:tcPr>
            <w:tcW w:w="80" w:type="dxa"/>
            <w:vAlign w:val="bottom"/>
          </w:tcPr>
          <w:p>
            <w:pPr>
              <w:spacing w:after="0"/>
              <w:rPr>
                <w:sz w:val="13"/>
                <w:szCs w:val="13"/>
                <w:color w:val="auto"/>
              </w:rPr>
            </w:pPr>
          </w:p>
        </w:tc>
        <w:tc>
          <w:tcPr>
            <w:tcW w:w="2040" w:type="dxa"/>
            <w:vAlign w:val="bottom"/>
          </w:tcPr>
          <w:p>
            <w:pPr>
              <w:ind w:left="40"/>
              <w:spacing w:after="0" w:line="152" w:lineRule="exact"/>
              <w:rPr>
                <w:sz w:val="20"/>
                <w:szCs w:val="20"/>
                <w:color w:val="auto"/>
              </w:rPr>
            </w:pPr>
            <w:r>
              <w:rPr>
                <w:rFonts w:ascii="Times New Roman" w:cs="Times New Roman" w:eastAsia="Times New Roman" w:hAnsi="Times New Roman"/>
                <w:sz w:val="15"/>
                <w:szCs w:val="15"/>
                <w:color w:val="231F20"/>
              </w:rPr>
              <w:t>Saks Fifth Avenue</w:t>
            </w: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2640" w:type="dxa"/>
            <w:vAlign w:val="bottom"/>
            <w:gridSpan w:val="5"/>
          </w:tcPr>
          <w:p>
            <w:pPr>
              <w:ind w:left="100"/>
              <w:spacing w:after="0"/>
              <w:rPr>
                <w:sz w:val="20"/>
                <w:szCs w:val="20"/>
                <w:color w:val="auto"/>
              </w:rPr>
            </w:pPr>
            <w:r>
              <w:rPr>
                <w:rFonts w:ascii="Times New Roman" w:cs="Times New Roman" w:eastAsia="Times New Roman" w:hAnsi="Times New Roman"/>
                <w:sz w:val="15"/>
                <w:szCs w:val="15"/>
                <w:color w:val="231F20"/>
              </w:rPr>
              <w:t>Greenwich Avenue, CT 06830</w:t>
            </w: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0" w:type="dxa"/>
            <w:vAlign w:val="bottom"/>
          </w:tcPr>
          <w:p>
            <w:pPr>
              <w:spacing w:after="0"/>
              <w:rPr>
                <w:sz w:val="17"/>
                <w:szCs w:val="17"/>
                <w:color w:val="auto"/>
              </w:rPr>
            </w:pPr>
          </w:p>
        </w:tc>
        <w:tc>
          <w:tcPr>
            <w:tcW w:w="2640" w:type="dxa"/>
            <w:vAlign w:val="bottom"/>
            <w:gridSpan w:val="5"/>
          </w:tcPr>
          <w:p>
            <w:pPr>
              <w:spacing w:after="0"/>
              <w:rPr>
                <w:sz w:val="20"/>
                <w:szCs w:val="20"/>
                <w:color w:val="auto"/>
              </w:rPr>
            </w:pPr>
            <w:r>
              <w:rPr>
                <w:rFonts w:ascii="Times New Roman" w:cs="Times New Roman" w:eastAsia="Times New Roman" w:hAnsi="Times New Roman"/>
                <w:sz w:val="15"/>
                <w:szCs w:val="15"/>
                <w:b w:val="1"/>
                <w:bCs w:val="1"/>
                <w:color w:val="231F20"/>
              </w:rPr>
              <w:t>District of Columbia</w:t>
            </w: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1320" w:type="dxa"/>
            <w:vAlign w:val="bottom"/>
            <w:tcBorders>
              <w:top w:val="single" w:sz="8" w:color="231F20"/>
            </w:tcBorders>
            <w:gridSpan w:val="4"/>
          </w:tcPr>
          <w:p>
            <w:pPr>
              <w:spacing w:after="0"/>
              <w:rPr>
                <w:sz w:val="20"/>
                <w:szCs w:val="20"/>
                <w:color w:val="auto"/>
              </w:rPr>
            </w:pPr>
            <w:r>
              <w:rPr>
                <w:rFonts w:ascii="Times New Roman" w:cs="Times New Roman" w:eastAsia="Times New Roman" w:hAnsi="Times New Roman"/>
                <w:sz w:val="15"/>
                <w:szCs w:val="15"/>
                <w:color w:val="231F20"/>
              </w:rPr>
              <w:t>Friendship Center</w:t>
            </w:r>
          </w:p>
        </w:tc>
        <w:tc>
          <w:tcPr>
            <w:tcW w:w="1320" w:type="dxa"/>
            <w:vAlign w:val="bottom"/>
          </w:tcPr>
          <w:p>
            <w:pPr>
              <w:spacing w:after="0"/>
              <w:rPr>
                <w:sz w:val="18"/>
                <w:szCs w:val="18"/>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231F20"/>
                <w:w w:val="99"/>
              </w:rPr>
              <w:t>1998</w:t>
            </w:r>
          </w:p>
        </w:tc>
        <w:tc>
          <w:tcPr>
            <w:tcW w:w="880" w:type="dxa"/>
            <w:vAlign w:val="bottom"/>
            <w:gridSpan w:val="2"/>
          </w:tcPr>
          <w:p>
            <w:pPr>
              <w:jc w:val="center"/>
              <w:ind w:left="24"/>
              <w:spacing w:after="0"/>
              <w:rPr>
                <w:sz w:val="20"/>
                <w:szCs w:val="20"/>
                <w:color w:val="auto"/>
              </w:rPr>
            </w:pPr>
            <w:r>
              <w:rPr>
                <w:rFonts w:ascii="Times New Roman" w:cs="Times New Roman" w:eastAsia="Times New Roman" w:hAnsi="Times New Roman"/>
                <w:sz w:val="15"/>
                <w:szCs w:val="15"/>
                <w:color w:val="231F20"/>
                <w:w w:val="99"/>
              </w:rPr>
              <w:t>2001</w:t>
            </w:r>
          </w:p>
        </w:tc>
        <w:tc>
          <w:tcPr>
            <w:tcW w:w="1100" w:type="dxa"/>
            <w:vAlign w:val="bottom"/>
            <w:gridSpan w:val="2"/>
          </w:tcPr>
          <w:p>
            <w:pPr>
              <w:jc w:val="center"/>
              <w:ind w:left="44"/>
              <w:spacing w:after="0"/>
              <w:rPr>
                <w:sz w:val="20"/>
                <w:szCs w:val="20"/>
                <w:color w:val="auto"/>
              </w:rPr>
            </w:pPr>
            <w:r>
              <w:rPr>
                <w:rFonts w:ascii="Times New Roman" w:cs="Times New Roman" w:eastAsia="Times New Roman" w:hAnsi="Times New Roman"/>
                <w:sz w:val="15"/>
                <w:szCs w:val="15"/>
                <w:color w:val="231F20"/>
              </w:rPr>
              <w:t>25,000</w:t>
            </w:r>
          </w:p>
        </w:tc>
        <w:tc>
          <w:tcPr>
            <w:tcW w:w="1100" w:type="dxa"/>
            <w:vAlign w:val="bottom"/>
            <w:gridSpan w:val="2"/>
          </w:tcPr>
          <w:p>
            <w:pPr>
              <w:jc w:val="center"/>
              <w:ind w:left="44"/>
              <w:spacing w:after="0"/>
              <w:rPr>
                <w:sz w:val="20"/>
                <w:szCs w:val="20"/>
                <w:color w:val="auto"/>
              </w:rPr>
            </w:pPr>
            <w:r>
              <w:rPr>
                <w:rFonts w:ascii="Times New Roman" w:cs="Times New Roman" w:eastAsia="Times New Roman" w:hAnsi="Times New Roman"/>
                <w:sz w:val="15"/>
                <w:szCs w:val="15"/>
                <w:color w:val="231F20"/>
              </w:rPr>
              <w:t>$23.18</w:t>
            </w:r>
          </w:p>
        </w:tc>
        <w:tc>
          <w:tcPr>
            <w:tcW w:w="900" w:type="dxa"/>
            <w:vAlign w:val="bottom"/>
            <w:gridSpan w:val="2"/>
          </w:tcPr>
          <w:p>
            <w:pPr>
              <w:jc w:val="center"/>
              <w:ind w:left="24"/>
              <w:spacing w:after="0"/>
              <w:rPr>
                <w:sz w:val="20"/>
                <w:szCs w:val="20"/>
                <w:color w:val="auto"/>
              </w:rPr>
            </w:pPr>
            <w:r>
              <w:rPr>
                <w:rFonts w:ascii="Times New Roman" w:cs="Times New Roman" w:eastAsia="Times New Roman" w:hAnsi="Times New Roman"/>
                <w:sz w:val="15"/>
                <w:szCs w:val="15"/>
                <w:color w:val="231F20"/>
              </w:rPr>
              <w:t>100%</w:t>
            </w:r>
          </w:p>
        </w:tc>
        <w:tc>
          <w:tcPr>
            <w:tcW w:w="80" w:type="dxa"/>
            <w:vAlign w:val="bottom"/>
          </w:tcPr>
          <w:p>
            <w:pPr>
              <w:spacing w:after="0"/>
              <w:rPr>
                <w:sz w:val="18"/>
                <w:szCs w:val="18"/>
                <w:color w:val="auto"/>
              </w:rPr>
            </w:pPr>
          </w:p>
        </w:tc>
        <w:tc>
          <w:tcPr>
            <w:tcW w:w="2040" w:type="dxa"/>
            <w:vAlign w:val="bottom"/>
          </w:tcPr>
          <w:p>
            <w:pPr>
              <w:ind w:left="40"/>
              <w:spacing w:after="0"/>
              <w:rPr>
                <w:sz w:val="20"/>
                <w:szCs w:val="20"/>
                <w:color w:val="auto"/>
              </w:rPr>
            </w:pPr>
            <w:r>
              <w:rPr>
                <w:rFonts w:ascii="Times New Roman" w:cs="Times New Roman" w:eastAsia="Times New Roman" w:hAnsi="Times New Roman"/>
                <w:sz w:val="15"/>
                <w:szCs w:val="15"/>
                <w:color w:val="231F20"/>
              </w:rPr>
              <w:t>Maggiano's</w:t>
            </w: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2640" w:type="dxa"/>
            <w:vAlign w:val="bottom"/>
            <w:gridSpan w:val="5"/>
          </w:tcPr>
          <w:p>
            <w:pPr>
              <w:ind w:left="100"/>
              <w:spacing w:after="0"/>
              <w:rPr>
                <w:sz w:val="20"/>
                <w:szCs w:val="20"/>
                <w:color w:val="auto"/>
              </w:rPr>
            </w:pPr>
            <w:r>
              <w:rPr>
                <w:rFonts w:ascii="Times New Roman" w:cs="Times New Roman" w:eastAsia="Times New Roman" w:hAnsi="Times New Roman"/>
                <w:sz w:val="15"/>
                <w:szCs w:val="15"/>
                <w:color w:val="231F20"/>
              </w:rPr>
              <w:t>Washington, DC 20015</w:t>
            </w: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60" w:type="dxa"/>
            <w:vAlign w:val="bottom"/>
          </w:tcPr>
          <w:p>
            <w:pPr>
              <w:spacing w:after="0"/>
              <w:rPr>
                <w:sz w:val="18"/>
                <w:szCs w:val="18"/>
                <w:color w:val="auto"/>
              </w:rPr>
            </w:pPr>
          </w:p>
        </w:tc>
        <w:tc>
          <w:tcPr>
            <w:tcW w:w="480" w:type="dxa"/>
            <w:vAlign w:val="bottom"/>
            <w:tcBorders>
              <w:bottom w:val="single" w:sz="8" w:color="231F20"/>
            </w:tcBorders>
            <w:gridSpan w:val="2"/>
          </w:tcPr>
          <w:p>
            <w:pPr>
              <w:spacing w:after="0"/>
              <w:rPr>
                <w:sz w:val="20"/>
                <w:szCs w:val="20"/>
                <w:color w:val="auto"/>
              </w:rPr>
            </w:pPr>
            <w:r>
              <w:rPr>
                <w:rFonts w:ascii="Times New Roman" w:cs="Times New Roman" w:eastAsia="Times New Roman" w:hAnsi="Times New Roman"/>
                <w:sz w:val="15"/>
                <w:szCs w:val="15"/>
                <w:b w:val="1"/>
                <w:bCs w:val="1"/>
                <w:color w:val="231F20"/>
                <w:w w:val="96"/>
              </w:rPr>
              <w:t>Florida</w:t>
            </w:r>
          </w:p>
        </w:tc>
        <w:tc>
          <w:tcPr>
            <w:tcW w:w="2160" w:type="dxa"/>
            <w:vAlign w:val="bottom"/>
            <w:gridSpan w:val="3"/>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2640" w:type="dxa"/>
            <w:vAlign w:val="bottom"/>
            <w:gridSpan w:val="5"/>
          </w:tcPr>
          <w:p>
            <w:pPr>
              <w:spacing w:after="0"/>
              <w:rPr>
                <w:sz w:val="20"/>
                <w:szCs w:val="20"/>
                <w:color w:val="auto"/>
              </w:rPr>
            </w:pPr>
            <w:r>
              <w:rPr>
                <w:rFonts w:ascii="Times New Roman" w:cs="Times New Roman" w:eastAsia="Times New Roman" w:hAnsi="Times New Roman"/>
                <w:sz w:val="15"/>
                <w:szCs w:val="15"/>
                <w:color w:val="231F20"/>
              </w:rPr>
              <w:t>CocoWalk</w:t>
            </w:r>
          </w:p>
        </w:tc>
        <w:tc>
          <w:tcPr>
            <w:tcW w:w="920" w:type="dxa"/>
            <w:vAlign w:val="bottom"/>
            <w:gridSpan w:val="2"/>
          </w:tcPr>
          <w:p>
            <w:pPr>
              <w:jc w:val="center"/>
              <w:ind w:left="4"/>
              <w:spacing w:after="0"/>
              <w:rPr>
                <w:sz w:val="20"/>
                <w:szCs w:val="20"/>
                <w:color w:val="auto"/>
              </w:rPr>
            </w:pPr>
            <w:r>
              <w:rPr>
                <w:rFonts w:ascii="Times New Roman" w:cs="Times New Roman" w:eastAsia="Times New Roman" w:hAnsi="Times New Roman"/>
                <w:sz w:val="15"/>
                <w:szCs w:val="15"/>
                <w:color w:val="231F20"/>
              </w:rPr>
              <w:t>1990/1994,</w:t>
            </w:r>
          </w:p>
        </w:tc>
        <w:tc>
          <w:tcPr>
            <w:tcW w:w="880" w:type="dxa"/>
            <w:vAlign w:val="bottom"/>
            <w:gridSpan w:val="2"/>
          </w:tcPr>
          <w:p>
            <w:pPr>
              <w:jc w:val="center"/>
              <w:ind w:left="24"/>
              <w:spacing w:after="0"/>
              <w:rPr>
                <w:sz w:val="20"/>
                <w:szCs w:val="20"/>
                <w:color w:val="auto"/>
              </w:rPr>
            </w:pPr>
            <w:r>
              <w:rPr>
                <w:rFonts w:ascii="Times New Roman" w:cs="Times New Roman" w:eastAsia="Times New Roman" w:hAnsi="Times New Roman"/>
                <w:sz w:val="15"/>
                <w:szCs w:val="15"/>
                <w:color w:val="231F20"/>
              </w:rPr>
              <w:t>2015-2017</w:t>
            </w:r>
          </w:p>
        </w:tc>
        <w:tc>
          <w:tcPr>
            <w:tcW w:w="1100" w:type="dxa"/>
            <w:vAlign w:val="bottom"/>
            <w:gridSpan w:val="2"/>
          </w:tcPr>
          <w:p>
            <w:pPr>
              <w:jc w:val="center"/>
              <w:ind w:left="44"/>
              <w:spacing w:after="0"/>
              <w:rPr>
                <w:sz w:val="20"/>
                <w:szCs w:val="20"/>
                <w:color w:val="auto"/>
              </w:rPr>
            </w:pPr>
            <w:r>
              <w:rPr>
                <w:rFonts w:ascii="Times New Roman" w:cs="Times New Roman" w:eastAsia="Times New Roman" w:hAnsi="Times New Roman"/>
                <w:sz w:val="15"/>
                <w:szCs w:val="15"/>
                <w:color w:val="231F20"/>
              </w:rPr>
              <w:t>278,000</w:t>
            </w:r>
          </w:p>
        </w:tc>
        <w:tc>
          <w:tcPr>
            <w:tcW w:w="1100" w:type="dxa"/>
            <w:vAlign w:val="bottom"/>
            <w:gridSpan w:val="2"/>
          </w:tcPr>
          <w:p>
            <w:pPr>
              <w:jc w:val="center"/>
              <w:ind w:left="44"/>
              <w:spacing w:after="0"/>
              <w:rPr>
                <w:sz w:val="20"/>
                <w:szCs w:val="20"/>
                <w:color w:val="auto"/>
              </w:rPr>
            </w:pPr>
            <w:r>
              <w:rPr>
                <w:rFonts w:ascii="Times New Roman" w:cs="Times New Roman" w:eastAsia="Times New Roman" w:hAnsi="Times New Roman"/>
                <w:sz w:val="15"/>
                <w:szCs w:val="15"/>
                <w:color w:val="231F20"/>
              </w:rPr>
              <w:t>$50.24</w:t>
            </w:r>
          </w:p>
        </w:tc>
        <w:tc>
          <w:tcPr>
            <w:tcW w:w="900" w:type="dxa"/>
            <w:vAlign w:val="bottom"/>
            <w:gridSpan w:val="2"/>
          </w:tcPr>
          <w:p>
            <w:pPr>
              <w:jc w:val="center"/>
              <w:ind w:left="24"/>
              <w:spacing w:after="0"/>
              <w:rPr>
                <w:sz w:val="20"/>
                <w:szCs w:val="20"/>
                <w:color w:val="auto"/>
              </w:rPr>
            </w:pPr>
            <w:r>
              <w:rPr>
                <w:rFonts w:ascii="Times New Roman" w:cs="Times New Roman" w:eastAsia="Times New Roman" w:hAnsi="Times New Roman"/>
                <w:sz w:val="15"/>
                <w:szCs w:val="15"/>
                <w:color w:val="231F20"/>
              </w:rPr>
              <w:t>100%</w:t>
            </w:r>
          </w:p>
        </w:tc>
        <w:tc>
          <w:tcPr>
            <w:tcW w:w="80" w:type="dxa"/>
            <w:vAlign w:val="bottom"/>
          </w:tcPr>
          <w:p>
            <w:pPr>
              <w:spacing w:after="0"/>
              <w:rPr>
                <w:sz w:val="18"/>
                <w:szCs w:val="18"/>
                <w:color w:val="auto"/>
              </w:rPr>
            </w:pPr>
          </w:p>
        </w:tc>
        <w:tc>
          <w:tcPr>
            <w:tcW w:w="2040" w:type="dxa"/>
            <w:vAlign w:val="bottom"/>
          </w:tcPr>
          <w:p>
            <w:pPr>
              <w:ind w:left="40"/>
              <w:spacing w:after="0"/>
              <w:rPr>
                <w:sz w:val="20"/>
                <w:szCs w:val="20"/>
                <w:color w:val="auto"/>
              </w:rPr>
            </w:pPr>
            <w:r>
              <w:rPr>
                <w:rFonts w:ascii="Times New Roman" w:cs="Times New Roman" w:eastAsia="Times New Roman" w:hAnsi="Times New Roman"/>
                <w:sz w:val="15"/>
                <w:szCs w:val="15"/>
                <w:color w:val="231F20"/>
              </w:rPr>
              <w:t>Cinepolis Theaters</w:t>
            </w: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2640" w:type="dxa"/>
            <w:vAlign w:val="bottom"/>
            <w:gridSpan w:val="5"/>
          </w:tcPr>
          <w:p>
            <w:pPr>
              <w:ind w:left="100"/>
              <w:spacing w:after="0" w:line="152" w:lineRule="exact"/>
              <w:rPr>
                <w:sz w:val="20"/>
                <w:szCs w:val="20"/>
                <w:color w:val="auto"/>
              </w:rPr>
            </w:pPr>
            <w:r>
              <w:rPr>
                <w:rFonts w:ascii="Times New Roman" w:cs="Times New Roman" w:eastAsia="Times New Roman" w:hAnsi="Times New Roman"/>
                <w:sz w:val="15"/>
                <w:szCs w:val="15"/>
                <w:color w:val="231F20"/>
              </w:rPr>
              <w:t>Coconut Grove, FL 33133(11)</w:t>
            </w:r>
          </w:p>
        </w:tc>
        <w:tc>
          <w:tcPr>
            <w:tcW w:w="920" w:type="dxa"/>
            <w:vAlign w:val="bottom"/>
            <w:gridSpan w:val="2"/>
          </w:tcPr>
          <w:p>
            <w:pPr>
              <w:jc w:val="center"/>
              <w:spacing w:after="0" w:line="152" w:lineRule="exact"/>
              <w:rPr>
                <w:sz w:val="20"/>
                <w:szCs w:val="20"/>
                <w:color w:val="auto"/>
              </w:rPr>
            </w:pPr>
            <w:r>
              <w:rPr>
                <w:rFonts w:ascii="Times New Roman" w:cs="Times New Roman" w:eastAsia="Times New Roman" w:hAnsi="Times New Roman"/>
                <w:sz w:val="15"/>
                <w:szCs w:val="15"/>
                <w:color w:val="231F20"/>
              </w:rPr>
              <w:t>1922-1973,</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ind w:left="40"/>
              <w:spacing w:after="0" w:line="152" w:lineRule="exact"/>
              <w:rPr>
                <w:sz w:val="20"/>
                <w:szCs w:val="20"/>
                <w:color w:val="auto"/>
              </w:rPr>
            </w:pPr>
            <w:r>
              <w:rPr>
                <w:rFonts w:ascii="Times New Roman" w:cs="Times New Roman" w:eastAsia="Times New Roman" w:hAnsi="Times New Roman"/>
                <w:sz w:val="15"/>
                <w:szCs w:val="15"/>
                <w:color w:val="231F20"/>
              </w:rPr>
              <w:t>Youfit Health Club</w:t>
            </w: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231F20"/>
              </w:rPr>
              <w:t>2018-2021</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40" w:type="dxa"/>
            <w:vAlign w:val="bottom"/>
          </w:tcPr>
          <w:p>
            <w:pPr>
              <w:ind w:left="40"/>
              <w:spacing w:after="0"/>
              <w:rPr>
                <w:sz w:val="20"/>
                <w:szCs w:val="20"/>
                <w:color w:val="auto"/>
              </w:rPr>
            </w:pPr>
            <w:r>
              <w:rPr>
                <w:rFonts w:ascii="Times New Roman" w:cs="Times New Roman" w:eastAsia="Times New Roman" w:hAnsi="Times New Roman"/>
                <w:sz w:val="15"/>
                <w:szCs w:val="15"/>
                <w:color w:val="231F20"/>
              </w:rPr>
              <w:t>Multiple Restaurants</w:t>
            </w:r>
          </w:p>
        </w:tc>
        <w:tc>
          <w:tcPr>
            <w:tcW w:w="0" w:type="dxa"/>
            <w:vAlign w:val="bottom"/>
          </w:tcPr>
          <w:p>
            <w:pPr>
              <w:spacing w:after="0"/>
              <w:rPr>
                <w:sz w:val="1"/>
                <w:szCs w:val="1"/>
                <w:color w:val="auto"/>
              </w:rPr>
            </w:pPr>
          </w:p>
        </w:tc>
      </w:tr>
      <w:tr>
        <w:trPr>
          <w:trHeight w:val="164"/>
        </w:trPr>
        <w:tc>
          <w:tcPr>
            <w:tcW w:w="60" w:type="dxa"/>
            <w:vAlign w:val="bottom"/>
          </w:tcPr>
          <w:p>
            <w:pPr>
              <w:spacing w:after="0"/>
              <w:rPr>
                <w:sz w:val="14"/>
                <w:szCs w:val="14"/>
                <w:color w:val="auto"/>
              </w:rPr>
            </w:pPr>
          </w:p>
        </w:tc>
        <w:tc>
          <w:tcPr>
            <w:tcW w:w="2640" w:type="dxa"/>
            <w:vAlign w:val="bottom"/>
            <w:gridSpan w:val="5"/>
          </w:tcPr>
          <w:p>
            <w:pPr>
              <w:spacing w:after="0" w:line="164" w:lineRule="exact"/>
              <w:rPr>
                <w:sz w:val="20"/>
                <w:szCs w:val="20"/>
                <w:color w:val="auto"/>
              </w:rPr>
            </w:pPr>
            <w:r>
              <w:rPr>
                <w:rFonts w:ascii="Times New Roman" w:cs="Times New Roman" w:eastAsia="Times New Roman" w:hAnsi="Times New Roman"/>
                <w:sz w:val="15"/>
                <w:szCs w:val="15"/>
                <w:color w:val="231F20"/>
              </w:rPr>
              <w:t>Del Mar Village</w:t>
            </w:r>
          </w:p>
        </w:tc>
        <w:tc>
          <w:tcPr>
            <w:tcW w:w="920" w:type="dxa"/>
            <w:vAlign w:val="bottom"/>
            <w:gridSpan w:val="2"/>
          </w:tcPr>
          <w:p>
            <w:pPr>
              <w:jc w:val="center"/>
              <w:ind w:left="4"/>
              <w:spacing w:after="0" w:line="164" w:lineRule="exact"/>
              <w:rPr>
                <w:sz w:val="20"/>
                <w:szCs w:val="20"/>
                <w:color w:val="auto"/>
              </w:rPr>
            </w:pPr>
            <w:r>
              <w:rPr>
                <w:rFonts w:ascii="Times New Roman" w:cs="Times New Roman" w:eastAsia="Times New Roman" w:hAnsi="Times New Roman"/>
                <w:sz w:val="15"/>
                <w:szCs w:val="15"/>
                <w:color w:val="231F20"/>
              </w:rPr>
              <w:t>1982, 1994</w:t>
            </w:r>
          </w:p>
        </w:tc>
        <w:tc>
          <w:tcPr>
            <w:tcW w:w="880" w:type="dxa"/>
            <w:vAlign w:val="bottom"/>
            <w:gridSpan w:val="2"/>
          </w:tcPr>
          <w:p>
            <w:pPr>
              <w:jc w:val="center"/>
              <w:ind w:left="4"/>
              <w:spacing w:after="0" w:line="164" w:lineRule="exact"/>
              <w:rPr>
                <w:sz w:val="20"/>
                <w:szCs w:val="20"/>
                <w:color w:val="auto"/>
              </w:rPr>
            </w:pPr>
            <w:r>
              <w:rPr>
                <w:rFonts w:ascii="Times New Roman" w:cs="Times New Roman" w:eastAsia="Times New Roman" w:hAnsi="Times New Roman"/>
                <w:sz w:val="15"/>
                <w:szCs w:val="15"/>
                <w:color w:val="231F20"/>
                <w:w w:val="99"/>
              </w:rPr>
              <w:t>2008/2014</w:t>
            </w:r>
          </w:p>
        </w:tc>
        <w:tc>
          <w:tcPr>
            <w:tcW w:w="1100" w:type="dxa"/>
            <w:vAlign w:val="bottom"/>
            <w:gridSpan w:val="2"/>
          </w:tcPr>
          <w:p>
            <w:pPr>
              <w:jc w:val="center"/>
              <w:ind w:left="44"/>
              <w:spacing w:after="0" w:line="164" w:lineRule="exact"/>
              <w:rPr>
                <w:sz w:val="20"/>
                <w:szCs w:val="20"/>
                <w:color w:val="auto"/>
              </w:rPr>
            </w:pPr>
            <w:r>
              <w:rPr>
                <w:rFonts w:ascii="Times New Roman" w:cs="Times New Roman" w:eastAsia="Times New Roman" w:hAnsi="Times New Roman"/>
                <w:sz w:val="15"/>
                <w:szCs w:val="15"/>
                <w:color w:val="231F20"/>
              </w:rPr>
              <w:t>187,000</w:t>
            </w:r>
          </w:p>
        </w:tc>
        <w:tc>
          <w:tcPr>
            <w:tcW w:w="1100" w:type="dxa"/>
            <w:vAlign w:val="bottom"/>
            <w:gridSpan w:val="2"/>
          </w:tcPr>
          <w:p>
            <w:pPr>
              <w:jc w:val="center"/>
              <w:ind w:left="44"/>
              <w:spacing w:after="0" w:line="164" w:lineRule="exact"/>
              <w:rPr>
                <w:sz w:val="20"/>
                <w:szCs w:val="20"/>
                <w:color w:val="auto"/>
              </w:rPr>
            </w:pPr>
            <w:r>
              <w:rPr>
                <w:rFonts w:ascii="Times New Roman" w:cs="Times New Roman" w:eastAsia="Times New Roman" w:hAnsi="Times New Roman"/>
                <w:sz w:val="15"/>
                <w:szCs w:val="15"/>
                <w:color w:val="231F20"/>
              </w:rPr>
              <w:t>$25.59</w:t>
            </w:r>
          </w:p>
        </w:tc>
        <w:tc>
          <w:tcPr>
            <w:tcW w:w="900" w:type="dxa"/>
            <w:vAlign w:val="bottom"/>
            <w:gridSpan w:val="2"/>
          </w:tcPr>
          <w:p>
            <w:pPr>
              <w:jc w:val="center"/>
              <w:ind w:left="24"/>
              <w:spacing w:after="0" w:line="164" w:lineRule="exact"/>
              <w:rPr>
                <w:sz w:val="20"/>
                <w:szCs w:val="20"/>
                <w:color w:val="auto"/>
              </w:rPr>
            </w:pPr>
            <w:r>
              <w:rPr>
                <w:rFonts w:ascii="Times New Roman" w:cs="Times New Roman" w:eastAsia="Times New Roman" w:hAnsi="Times New Roman"/>
                <w:sz w:val="15"/>
                <w:szCs w:val="15"/>
                <w:color w:val="231F20"/>
              </w:rPr>
              <w:t>98%</w:t>
            </w:r>
          </w:p>
        </w:tc>
        <w:tc>
          <w:tcPr>
            <w:tcW w:w="80" w:type="dxa"/>
            <w:vAlign w:val="bottom"/>
          </w:tcPr>
          <w:p>
            <w:pPr>
              <w:spacing w:after="0"/>
              <w:rPr>
                <w:sz w:val="14"/>
                <w:szCs w:val="14"/>
                <w:color w:val="auto"/>
              </w:rPr>
            </w:pPr>
          </w:p>
        </w:tc>
        <w:tc>
          <w:tcPr>
            <w:tcW w:w="2040" w:type="dxa"/>
            <w:vAlign w:val="bottom"/>
          </w:tcPr>
          <w:p>
            <w:pPr>
              <w:ind w:left="40"/>
              <w:spacing w:after="0" w:line="164" w:lineRule="exact"/>
              <w:rPr>
                <w:sz w:val="20"/>
                <w:szCs w:val="20"/>
                <w:color w:val="auto"/>
              </w:rPr>
            </w:pPr>
            <w:r>
              <w:rPr>
                <w:rFonts w:ascii="Times New Roman" w:cs="Times New Roman" w:eastAsia="Times New Roman" w:hAnsi="Times New Roman"/>
                <w:sz w:val="15"/>
                <w:szCs w:val="15"/>
                <w:color w:val="231F20"/>
              </w:rPr>
              <w:t>Aldi</w:t>
            </w: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2640" w:type="dxa"/>
            <w:vAlign w:val="bottom"/>
            <w:gridSpan w:val="5"/>
          </w:tcPr>
          <w:p>
            <w:pPr>
              <w:ind w:left="100"/>
              <w:spacing w:after="0" w:line="152" w:lineRule="exact"/>
              <w:rPr>
                <w:sz w:val="20"/>
                <w:szCs w:val="20"/>
                <w:color w:val="auto"/>
              </w:rPr>
            </w:pPr>
            <w:r>
              <w:rPr>
                <w:rFonts w:ascii="Times New Roman" w:cs="Times New Roman" w:eastAsia="Times New Roman" w:hAnsi="Times New Roman"/>
                <w:sz w:val="15"/>
                <w:szCs w:val="15"/>
                <w:color w:val="231F20"/>
              </w:rPr>
              <w:t>Boca Raton, FL 33433</w:t>
            </w:r>
          </w:p>
        </w:tc>
        <w:tc>
          <w:tcPr>
            <w:tcW w:w="920" w:type="dxa"/>
            <w:vAlign w:val="bottom"/>
            <w:gridSpan w:val="2"/>
          </w:tcPr>
          <w:p>
            <w:pPr>
              <w:jc w:val="center"/>
              <w:spacing w:after="0" w:line="152" w:lineRule="exact"/>
              <w:rPr>
                <w:sz w:val="20"/>
                <w:szCs w:val="20"/>
                <w:color w:val="auto"/>
              </w:rPr>
            </w:pPr>
            <w:r>
              <w:rPr>
                <w:rFonts w:ascii="Times New Roman" w:cs="Times New Roman" w:eastAsia="Times New Roman" w:hAnsi="Times New Roman"/>
                <w:sz w:val="15"/>
                <w:szCs w:val="15"/>
                <w:color w:val="231F20"/>
              </w:rPr>
              <w:t>&amp; 2007</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ind w:left="40"/>
              <w:spacing w:after="0" w:line="152" w:lineRule="exact"/>
              <w:rPr>
                <w:sz w:val="20"/>
                <w:szCs w:val="20"/>
                <w:color w:val="auto"/>
              </w:rPr>
            </w:pPr>
            <w:r>
              <w:rPr>
                <w:rFonts w:ascii="Times New Roman" w:cs="Times New Roman" w:eastAsia="Times New Roman" w:hAnsi="Times New Roman"/>
                <w:sz w:val="15"/>
                <w:szCs w:val="15"/>
                <w:color w:val="231F20"/>
              </w:rPr>
              <w:t>CVS</w:t>
            </w: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40" w:type="dxa"/>
            <w:vAlign w:val="bottom"/>
          </w:tcPr>
          <w:p>
            <w:pPr>
              <w:ind w:left="40"/>
              <w:spacing w:after="0"/>
              <w:rPr>
                <w:sz w:val="20"/>
                <w:szCs w:val="20"/>
                <w:color w:val="auto"/>
              </w:rPr>
            </w:pPr>
            <w:r>
              <w:rPr>
                <w:rFonts w:ascii="Times New Roman" w:cs="Times New Roman" w:eastAsia="Times New Roman" w:hAnsi="Times New Roman"/>
                <w:sz w:val="15"/>
                <w:szCs w:val="15"/>
                <w:color w:val="231F20"/>
              </w:rPr>
              <w:t>L.A. Fitness</w:t>
            </w:r>
          </w:p>
        </w:tc>
        <w:tc>
          <w:tcPr>
            <w:tcW w:w="0" w:type="dxa"/>
            <w:vAlign w:val="bottom"/>
          </w:tcPr>
          <w:p>
            <w:pPr>
              <w:spacing w:after="0"/>
              <w:rPr>
                <w:sz w:val="1"/>
                <w:szCs w:val="1"/>
                <w:color w:val="auto"/>
              </w:rPr>
            </w:pPr>
          </w:p>
        </w:tc>
      </w:tr>
      <w:tr>
        <w:trPr>
          <w:trHeight w:val="164"/>
        </w:trPr>
        <w:tc>
          <w:tcPr>
            <w:tcW w:w="60" w:type="dxa"/>
            <w:vAlign w:val="bottom"/>
          </w:tcPr>
          <w:p>
            <w:pPr>
              <w:spacing w:after="0"/>
              <w:rPr>
                <w:sz w:val="14"/>
                <w:szCs w:val="14"/>
                <w:color w:val="auto"/>
              </w:rPr>
            </w:pPr>
          </w:p>
        </w:tc>
        <w:tc>
          <w:tcPr>
            <w:tcW w:w="2640" w:type="dxa"/>
            <w:vAlign w:val="bottom"/>
            <w:gridSpan w:val="5"/>
          </w:tcPr>
          <w:p>
            <w:pPr>
              <w:spacing w:after="0" w:line="164" w:lineRule="exact"/>
              <w:rPr>
                <w:sz w:val="20"/>
                <w:szCs w:val="20"/>
                <w:color w:val="auto"/>
              </w:rPr>
            </w:pPr>
            <w:r>
              <w:rPr>
                <w:rFonts w:ascii="Times New Roman" w:cs="Times New Roman" w:eastAsia="Times New Roman" w:hAnsi="Times New Roman"/>
                <w:sz w:val="15"/>
                <w:szCs w:val="15"/>
                <w:color w:val="231F20"/>
              </w:rPr>
              <w:t>Shops at Pembroke Gardens</w:t>
            </w:r>
          </w:p>
        </w:tc>
        <w:tc>
          <w:tcPr>
            <w:tcW w:w="920" w:type="dxa"/>
            <w:vAlign w:val="bottom"/>
            <w:gridSpan w:val="2"/>
          </w:tcPr>
          <w:p>
            <w:pPr>
              <w:jc w:val="center"/>
              <w:spacing w:after="0" w:line="164" w:lineRule="exact"/>
              <w:rPr>
                <w:sz w:val="20"/>
                <w:szCs w:val="20"/>
                <w:color w:val="auto"/>
              </w:rPr>
            </w:pPr>
            <w:r>
              <w:rPr>
                <w:rFonts w:ascii="Times New Roman" w:cs="Times New Roman" w:eastAsia="Times New Roman" w:hAnsi="Times New Roman"/>
                <w:sz w:val="15"/>
                <w:szCs w:val="15"/>
                <w:color w:val="231F20"/>
                <w:w w:val="99"/>
              </w:rPr>
              <w:t>2007</w:t>
            </w:r>
          </w:p>
        </w:tc>
        <w:tc>
          <w:tcPr>
            <w:tcW w:w="880" w:type="dxa"/>
            <w:vAlign w:val="bottom"/>
            <w:gridSpan w:val="2"/>
          </w:tcPr>
          <w:p>
            <w:pPr>
              <w:jc w:val="center"/>
              <w:ind w:left="24"/>
              <w:spacing w:after="0" w:line="164" w:lineRule="exact"/>
              <w:rPr>
                <w:sz w:val="20"/>
                <w:szCs w:val="20"/>
                <w:color w:val="auto"/>
              </w:rPr>
            </w:pPr>
            <w:r>
              <w:rPr>
                <w:rFonts w:ascii="Times New Roman" w:cs="Times New Roman" w:eastAsia="Times New Roman" w:hAnsi="Times New Roman"/>
                <w:sz w:val="15"/>
                <w:szCs w:val="15"/>
                <w:color w:val="231F20"/>
                <w:w w:val="99"/>
              </w:rPr>
              <w:t>2022</w:t>
            </w:r>
          </w:p>
        </w:tc>
        <w:tc>
          <w:tcPr>
            <w:tcW w:w="1100" w:type="dxa"/>
            <w:vAlign w:val="bottom"/>
            <w:gridSpan w:val="2"/>
          </w:tcPr>
          <w:p>
            <w:pPr>
              <w:jc w:val="center"/>
              <w:ind w:left="44"/>
              <w:spacing w:after="0" w:line="164" w:lineRule="exact"/>
              <w:rPr>
                <w:sz w:val="20"/>
                <w:szCs w:val="20"/>
                <w:color w:val="auto"/>
              </w:rPr>
            </w:pPr>
            <w:r>
              <w:rPr>
                <w:rFonts w:ascii="Times New Roman" w:cs="Times New Roman" w:eastAsia="Times New Roman" w:hAnsi="Times New Roman"/>
                <w:sz w:val="15"/>
                <w:szCs w:val="15"/>
                <w:color w:val="231F20"/>
              </w:rPr>
              <w:t>391,000</w:t>
            </w:r>
          </w:p>
        </w:tc>
        <w:tc>
          <w:tcPr>
            <w:tcW w:w="1100" w:type="dxa"/>
            <w:vAlign w:val="bottom"/>
            <w:gridSpan w:val="2"/>
          </w:tcPr>
          <w:p>
            <w:pPr>
              <w:jc w:val="center"/>
              <w:ind w:left="44"/>
              <w:spacing w:after="0" w:line="164" w:lineRule="exact"/>
              <w:rPr>
                <w:sz w:val="20"/>
                <w:szCs w:val="20"/>
                <w:color w:val="auto"/>
              </w:rPr>
            </w:pPr>
            <w:r>
              <w:rPr>
                <w:rFonts w:ascii="Times New Roman" w:cs="Times New Roman" w:eastAsia="Times New Roman" w:hAnsi="Times New Roman"/>
                <w:sz w:val="15"/>
                <w:szCs w:val="15"/>
                <w:color w:val="231F20"/>
              </w:rPr>
              <w:t>$33.70</w:t>
            </w:r>
          </w:p>
        </w:tc>
        <w:tc>
          <w:tcPr>
            <w:tcW w:w="900" w:type="dxa"/>
            <w:vAlign w:val="bottom"/>
            <w:gridSpan w:val="2"/>
          </w:tcPr>
          <w:p>
            <w:pPr>
              <w:jc w:val="center"/>
              <w:ind w:left="24"/>
              <w:spacing w:after="0" w:line="164" w:lineRule="exact"/>
              <w:rPr>
                <w:sz w:val="20"/>
                <w:szCs w:val="20"/>
                <w:color w:val="auto"/>
              </w:rPr>
            </w:pPr>
            <w:r>
              <w:rPr>
                <w:rFonts w:ascii="Times New Roman" w:cs="Times New Roman" w:eastAsia="Times New Roman" w:hAnsi="Times New Roman"/>
                <w:sz w:val="15"/>
                <w:szCs w:val="15"/>
                <w:color w:val="231F20"/>
              </w:rPr>
              <w:t>100%</w:t>
            </w:r>
          </w:p>
        </w:tc>
        <w:tc>
          <w:tcPr>
            <w:tcW w:w="80" w:type="dxa"/>
            <w:vAlign w:val="bottom"/>
          </w:tcPr>
          <w:p>
            <w:pPr>
              <w:spacing w:after="0"/>
              <w:rPr>
                <w:sz w:val="14"/>
                <w:szCs w:val="14"/>
                <w:color w:val="auto"/>
              </w:rPr>
            </w:pPr>
          </w:p>
        </w:tc>
        <w:tc>
          <w:tcPr>
            <w:tcW w:w="2040" w:type="dxa"/>
            <w:vAlign w:val="bottom"/>
          </w:tcPr>
          <w:p>
            <w:pPr>
              <w:ind w:left="40"/>
              <w:spacing w:after="0" w:line="164" w:lineRule="exact"/>
              <w:rPr>
                <w:sz w:val="20"/>
                <w:szCs w:val="20"/>
                <w:color w:val="auto"/>
              </w:rPr>
            </w:pPr>
            <w:r>
              <w:rPr>
                <w:rFonts w:ascii="Times New Roman" w:cs="Times New Roman" w:eastAsia="Times New Roman" w:hAnsi="Times New Roman"/>
                <w:sz w:val="15"/>
                <w:szCs w:val="15"/>
                <w:color w:val="231F20"/>
              </w:rPr>
              <w:t>Nike Factory</w:t>
            </w: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2640" w:type="dxa"/>
            <w:vAlign w:val="bottom"/>
            <w:gridSpan w:val="5"/>
          </w:tcPr>
          <w:p>
            <w:pPr>
              <w:ind w:left="100"/>
              <w:spacing w:after="0" w:line="152" w:lineRule="exact"/>
              <w:rPr>
                <w:sz w:val="20"/>
                <w:szCs w:val="20"/>
                <w:color w:val="auto"/>
              </w:rPr>
            </w:pPr>
            <w:r>
              <w:rPr>
                <w:rFonts w:ascii="Times New Roman" w:cs="Times New Roman" w:eastAsia="Times New Roman" w:hAnsi="Times New Roman"/>
                <w:sz w:val="15"/>
                <w:szCs w:val="15"/>
                <w:color w:val="231F20"/>
              </w:rPr>
              <w:t>Pembroke Pines, FL 33027</w:t>
            </w: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ind w:left="40"/>
              <w:spacing w:after="0" w:line="152" w:lineRule="exact"/>
              <w:rPr>
                <w:sz w:val="20"/>
                <w:szCs w:val="20"/>
                <w:color w:val="auto"/>
              </w:rPr>
            </w:pPr>
            <w:r>
              <w:rPr>
                <w:rFonts w:ascii="Times New Roman" w:cs="Times New Roman" w:eastAsia="Times New Roman" w:hAnsi="Times New Roman"/>
                <w:sz w:val="15"/>
                <w:szCs w:val="15"/>
                <w:color w:val="231F20"/>
              </w:rPr>
              <w:t>Old Navy</w:t>
            </w: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ind w:left="40"/>
              <w:spacing w:after="0" w:line="152" w:lineRule="exact"/>
              <w:rPr>
                <w:sz w:val="20"/>
                <w:szCs w:val="20"/>
                <w:color w:val="auto"/>
              </w:rPr>
            </w:pPr>
            <w:r>
              <w:rPr>
                <w:rFonts w:ascii="Times New Roman" w:cs="Times New Roman" w:eastAsia="Times New Roman" w:hAnsi="Times New Roman"/>
                <w:sz w:val="15"/>
                <w:szCs w:val="15"/>
                <w:color w:val="231F20"/>
              </w:rPr>
              <w:t>DSW</w:t>
            </w: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40" w:type="dxa"/>
            <w:vAlign w:val="bottom"/>
          </w:tcPr>
          <w:p>
            <w:pPr>
              <w:ind w:left="40"/>
              <w:spacing w:after="0"/>
              <w:rPr>
                <w:sz w:val="20"/>
                <w:szCs w:val="20"/>
                <w:color w:val="auto"/>
              </w:rPr>
            </w:pPr>
            <w:r>
              <w:rPr>
                <w:rFonts w:ascii="Times New Roman" w:cs="Times New Roman" w:eastAsia="Times New Roman" w:hAnsi="Times New Roman"/>
                <w:sz w:val="15"/>
                <w:szCs w:val="15"/>
                <w:color w:val="231F20"/>
              </w:rPr>
              <w:t>Barnes &amp; Noble</w:t>
            </w:r>
          </w:p>
        </w:tc>
        <w:tc>
          <w:tcPr>
            <w:tcW w:w="0" w:type="dxa"/>
            <w:vAlign w:val="bottom"/>
          </w:tcPr>
          <w:p>
            <w:pPr>
              <w:spacing w:after="0"/>
              <w:rPr>
                <w:sz w:val="1"/>
                <w:szCs w:val="1"/>
                <w:color w:val="auto"/>
              </w:rPr>
            </w:pPr>
          </w:p>
        </w:tc>
      </w:tr>
      <w:tr>
        <w:trPr>
          <w:trHeight w:val="168"/>
        </w:trPr>
        <w:tc>
          <w:tcPr>
            <w:tcW w:w="60" w:type="dxa"/>
            <w:vAlign w:val="bottom"/>
          </w:tcPr>
          <w:p>
            <w:pPr>
              <w:spacing w:after="0"/>
              <w:rPr>
                <w:sz w:val="14"/>
                <w:szCs w:val="14"/>
                <w:color w:val="auto"/>
              </w:rPr>
            </w:pPr>
          </w:p>
        </w:tc>
        <w:tc>
          <w:tcPr>
            <w:tcW w:w="2640" w:type="dxa"/>
            <w:vAlign w:val="bottom"/>
            <w:gridSpan w:val="5"/>
          </w:tcPr>
          <w:p>
            <w:pPr>
              <w:spacing w:after="0" w:line="169" w:lineRule="exact"/>
              <w:rPr>
                <w:sz w:val="20"/>
                <w:szCs w:val="20"/>
                <w:color w:val="auto"/>
              </w:rPr>
            </w:pPr>
            <w:r>
              <w:rPr>
                <w:rFonts w:ascii="Times New Roman" w:cs="Times New Roman" w:eastAsia="Times New Roman" w:hAnsi="Times New Roman"/>
                <w:sz w:val="15"/>
                <w:szCs w:val="15"/>
                <w:color w:val="231F20"/>
              </w:rPr>
              <w:t>Tower Shops</w:t>
            </w:r>
          </w:p>
        </w:tc>
        <w:tc>
          <w:tcPr>
            <w:tcW w:w="920" w:type="dxa"/>
            <w:vAlign w:val="bottom"/>
            <w:gridSpan w:val="2"/>
          </w:tcPr>
          <w:p>
            <w:pPr>
              <w:jc w:val="center"/>
              <w:ind w:left="4"/>
              <w:spacing w:after="0" w:line="169" w:lineRule="exact"/>
              <w:rPr>
                <w:sz w:val="20"/>
                <w:szCs w:val="20"/>
                <w:color w:val="auto"/>
              </w:rPr>
            </w:pPr>
            <w:r>
              <w:rPr>
                <w:rFonts w:ascii="Times New Roman" w:cs="Times New Roman" w:eastAsia="Times New Roman" w:hAnsi="Times New Roman"/>
                <w:sz w:val="15"/>
                <w:szCs w:val="15"/>
                <w:color w:val="231F20"/>
              </w:rPr>
              <w:t>1989, 2017</w:t>
            </w:r>
          </w:p>
        </w:tc>
        <w:tc>
          <w:tcPr>
            <w:tcW w:w="880" w:type="dxa"/>
            <w:vAlign w:val="bottom"/>
            <w:gridSpan w:val="2"/>
          </w:tcPr>
          <w:p>
            <w:pPr>
              <w:jc w:val="center"/>
              <w:ind w:left="4"/>
              <w:spacing w:after="0" w:line="169" w:lineRule="exact"/>
              <w:rPr>
                <w:sz w:val="20"/>
                <w:szCs w:val="20"/>
                <w:color w:val="auto"/>
              </w:rPr>
            </w:pPr>
            <w:r>
              <w:rPr>
                <w:rFonts w:ascii="Times New Roman" w:cs="Times New Roman" w:eastAsia="Times New Roman" w:hAnsi="Times New Roman"/>
                <w:sz w:val="15"/>
                <w:szCs w:val="15"/>
                <w:color w:val="231F20"/>
                <w:w w:val="99"/>
              </w:rPr>
              <w:t>2011/2014</w:t>
            </w:r>
          </w:p>
        </w:tc>
        <w:tc>
          <w:tcPr>
            <w:tcW w:w="1100" w:type="dxa"/>
            <w:vAlign w:val="bottom"/>
            <w:gridSpan w:val="2"/>
          </w:tcPr>
          <w:p>
            <w:pPr>
              <w:jc w:val="center"/>
              <w:ind w:left="44"/>
              <w:spacing w:after="0" w:line="169" w:lineRule="exact"/>
              <w:rPr>
                <w:sz w:val="20"/>
                <w:szCs w:val="20"/>
                <w:color w:val="auto"/>
              </w:rPr>
            </w:pPr>
            <w:r>
              <w:rPr>
                <w:rFonts w:ascii="Times New Roman" w:cs="Times New Roman" w:eastAsia="Times New Roman" w:hAnsi="Times New Roman"/>
                <w:sz w:val="15"/>
                <w:szCs w:val="15"/>
                <w:color w:val="231F20"/>
              </w:rPr>
              <w:t>431,000</w:t>
            </w:r>
          </w:p>
        </w:tc>
        <w:tc>
          <w:tcPr>
            <w:tcW w:w="1100" w:type="dxa"/>
            <w:vAlign w:val="bottom"/>
            <w:gridSpan w:val="2"/>
          </w:tcPr>
          <w:p>
            <w:pPr>
              <w:jc w:val="center"/>
              <w:ind w:left="44"/>
              <w:spacing w:after="0" w:line="169" w:lineRule="exact"/>
              <w:rPr>
                <w:sz w:val="20"/>
                <w:szCs w:val="20"/>
                <w:color w:val="auto"/>
              </w:rPr>
            </w:pPr>
            <w:r>
              <w:rPr>
                <w:rFonts w:ascii="Times New Roman" w:cs="Times New Roman" w:eastAsia="Times New Roman" w:hAnsi="Times New Roman"/>
                <w:sz w:val="15"/>
                <w:szCs w:val="15"/>
                <w:color w:val="231F20"/>
              </w:rPr>
              <w:t>$30.53</w:t>
            </w:r>
          </w:p>
        </w:tc>
        <w:tc>
          <w:tcPr>
            <w:tcW w:w="900" w:type="dxa"/>
            <w:vAlign w:val="bottom"/>
            <w:gridSpan w:val="2"/>
          </w:tcPr>
          <w:p>
            <w:pPr>
              <w:jc w:val="center"/>
              <w:ind w:left="24"/>
              <w:spacing w:after="0" w:line="169" w:lineRule="exact"/>
              <w:rPr>
                <w:sz w:val="20"/>
                <w:szCs w:val="20"/>
                <w:color w:val="auto"/>
              </w:rPr>
            </w:pPr>
            <w:r>
              <w:rPr>
                <w:rFonts w:ascii="Times New Roman" w:cs="Times New Roman" w:eastAsia="Times New Roman" w:hAnsi="Times New Roman"/>
                <w:sz w:val="15"/>
                <w:szCs w:val="15"/>
                <w:color w:val="231F20"/>
              </w:rPr>
              <w:t>99%</w:t>
            </w:r>
          </w:p>
        </w:tc>
        <w:tc>
          <w:tcPr>
            <w:tcW w:w="80" w:type="dxa"/>
            <w:vAlign w:val="bottom"/>
          </w:tcPr>
          <w:p>
            <w:pPr>
              <w:spacing w:after="0"/>
              <w:rPr>
                <w:sz w:val="14"/>
                <w:szCs w:val="14"/>
                <w:color w:val="auto"/>
              </w:rPr>
            </w:pPr>
          </w:p>
        </w:tc>
        <w:tc>
          <w:tcPr>
            <w:tcW w:w="2040" w:type="dxa"/>
            <w:vAlign w:val="bottom"/>
          </w:tcPr>
          <w:p>
            <w:pPr>
              <w:ind w:left="40"/>
              <w:spacing w:after="0" w:line="169" w:lineRule="exact"/>
              <w:rPr>
                <w:sz w:val="20"/>
                <w:szCs w:val="20"/>
                <w:color w:val="auto"/>
              </w:rPr>
            </w:pPr>
            <w:r>
              <w:rPr>
                <w:rFonts w:ascii="Times New Roman" w:cs="Times New Roman" w:eastAsia="Times New Roman" w:hAnsi="Times New Roman"/>
                <w:sz w:val="15"/>
                <w:szCs w:val="15"/>
                <w:color w:val="231F20"/>
              </w:rPr>
              <w:t>Trader Joe's</w:t>
            </w: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2640" w:type="dxa"/>
            <w:vAlign w:val="bottom"/>
            <w:gridSpan w:val="5"/>
          </w:tcPr>
          <w:p>
            <w:pPr>
              <w:ind w:left="100"/>
              <w:spacing w:after="0" w:line="152" w:lineRule="exact"/>
              <w:rPr>
                <w:sz w:val="20"/>
                <w:szCs w:val="20"/>
                <w:color w:val="auto"/>
              </w:rPr>
            </w:pPr>
            <w:r>
              <w:rPr>
                <w:rFonts w:ascii="Times New Roman" w:cs="Times New Roman" w:eastAsia="Times New Roman" w:hAnsi="Times New Roman"/>
                <w:sz w:val="15"/>
                <w:szCs w:val="15"/>
                <w:color w:val="231F20"/>
              </w:rPr>
              <w:t>Davie, FL 33324</w:t>
            </w: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ind w:left="40"/>
              <w:spacing w:after="0" w:line="152" w:lineRule="exact"/>
              <w:rPr>
                <w:sz w:val="20"/>
                <w:szCs w:val="20"/>
                <w:color w:val="auto"/>
              </w:rPr>
            </w:pPr>
            <w:r>
              <w:rPr>
                <w:rFonts w:ascii="Times New Roman" w:cs="Times New Roman" w:eastAsia="Times New Roman" w:hAnsi="Times New Roman"/>
                <w:sz w:val="15"/>
                <w:szCs w:val="15"/>
                <w:color w:val="231F20"/>
              </w:rPr>
              <w:t>TJ Maxx</w:t>
            </w: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ind w:left="40"/>
              <w:spacing w:after="0" w:line="152" w:lineRule="exact"/>
              <w:rPr>
                <w:sz w:val="20"/>
                <w:szCs w:val="20"/>
                <w:color w:val="auto"/>
              </w:rPr>
            </w:pPr>
            <w:r>
              <w:rPr>
                <w:rFonts w:ascii="Times New Roman" w:cs="Times New Roman" w:eastAsia="Times New Roman" w:hAnsi="Times New Roman"/>
                <w:sz w:val="15"/>
                <w:szCs w:val="15"/>
                <w:color w:val="231F20"/>
              </w:rPr>
              <w:t>Ross Dress for Less</w:t>
            </w: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ind w:left="40"/>
              <w:spacing w:after="0" w:line="152" w:lineRule="exact"/>
              <w:rPr>
                <w:sz w:val="20"/>
                <w:szCs w:val="20"/>
                <w:color w:val="auto"/>
              </w:rPr>
            </w:pPr>
            <w:r>
              <w:rPr>
                <w:rFonts w:ascii="Times New Roman" w:cs="Times New Roman" w:eastAsia="Times New Roman" w:hAnsi="Times New Roman"/>
                <w:sz w:val="15"/>
                <w:szCs w:val="15"/>
                <w:color w:val="231F20"/>
              </w:rPr>
              <w:t>Best Buy</w:t>
            </w: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40" w:type="dxa"/>
            <w:vAlign w:val="bottom"/>
          </w:tcPr>
          <w:p>
            <w:pPr>
              <w:ind w:left="40"/>
              <w:spacing w:after="0"/>
              <w:rPr>
                <w:sz w:val="20"/>
                <w:szCs w:val="20"/>
                <w:color w:val="auto"/>
              </w:rPr>
            </w:pPr>
            <w:r>
              <w:rPr>
                <w:rFonts w:ascii="Times New Roman" w:cs="Times New Roman" w:eastAsia="Times New Roman" w:hAnsi="Times New Roman"/>
                <w:sz w:val="15"/>
                <w:szCs w:val="15"/>
                <w:color w:val="231F20"/>
              </w:rPr>
              <w:t>Ulta</w:t>
            </w:r>
          </w:p>
        </w:tc>
        <w:tc>
          <w:tcPr>
            <w:tcW w:w="0" w:type="dxa"/>
            <w:vAlign w:val="bottom"/>
          </w:tcPr>
          <w:p>
            <w:pPr>
              <w:spacing w:after="0"/>
              <w:rPr>
                <w:sz w:val="1"/>
                <w:szCs w:val="1"/>
                <w:color w:val="auto"/>
              </w:rPr>
            </w:pPr>
          </w:p>
        </w:tc>
      </w:tr>
      <w:tr>
        <w:trPr>
          <w:trHeight w:val="169"/>
        </w:trPr>
        <w:tc>
          <w:tcPr>
            <w:tcW w:w="60" w:type="dxa"/>
            <w:vAlign w:val="bottom"/>
          </w:tcPr>
          <w:p>
            <w:pPr>
              <w:spacing w:after="0"/>
              <w:rPr>
                <w:sz w:val="14"/>
                <w:szCs w:val="14"/>
                <w:color w:val="auto"/>
              </w:rPr>
            </w:pPr>
          </w:p>
        </w:tc>
        <w:tc>
          <w:tcPr>
            <w:tcW w:w="2640" w:type="dxa"/>
            <w:vAlign w:val="bottom"/>
            <w:gridSpan w:val="5"/>
          </w:tcPr>
          <w:p>
            <w:pPr>
              <w:spacing w:after="0" w:line="169" w:lineRule="exact"/>
              <w:rPr>
                <w:sz w:val="20"/>
                <w:szCs w:val="20"/>
                <w:color w:val="auto"/>
              </w:rPr>
            </w:pPr>
            <w:r>
              <w:rPr>
                <w:rFonts w:ascii="Times New Roman" w:cs="Times New Roman" w:eastAsia="Times New Roman" w:hAnsi="Times New Roman"/>
                <w:sz w:val="15"/>
                <w:szCs w:val="15"/>
                <w:b w:val="1"/>
                <w:bCs w:val="1"/>
                <w:color w:val="231F20"/>
              </w:rPr>
              <w:t>Illinois</w:t>
            </w: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40" w:type="dxa"/>
            <w:vAlign w:val="bottom"/>
            <w:shd w:val="clear" w:color="auto" w:fill="231F20"/>
          </w:tcPr>
          <w:p>
            <w:pPr>
              <w:spacing w:after="0" w:line="20" w:lineRule="exact"/>
              <w:rPr>
                <w:sz w:val="1"/>
                <w:szCs w:val="1"/>
                <w:color w:val="auto"/>
              </w:rPr>
            </w:pPr>
          </w:p>
        </w:tc>
        <w:tc>
          <w:tcPr>
            <w:tcW w:w="22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60" w:type="dxa"/>
            <w:vAlign w:val="bottom"/>
          </w:tcPr>
          <w:p>
            <w:pPr>
              <w:spacing w:after="0"/>
              <w:rPr>
                <w:sz w:val="18"/>
                <w:szCs w:val="18"/>
                <w:color w:val="auto"/>
              </w:rPr>
            </w:pPr>
          </w:p>
        </w:tc>
        <w:tc>
          <w:tcPr>
            <w:tcW w:w="2640" w:type="dxa"/>
            <w:vAlign w:val="bottom"/>
            <w:gridSpan w:val="5"/>
          </w:tcPr>
          <w:p>
            <w:pPr>
              <w:spacing w:after="0"/>
              <w:rPr>
                <w:sz w:val="20"/>
                <w:szCs w:val="20"/>
                <w:color w:val="auto"/>
              </w:rPr>
            </w:pPr>
            <w:r>
              <w:rPr>
                <w:rFonts w:ascii="Times New Roman" w:cs="Times New Roman" w:eastAsia="Times New Roman" w:hAnsi="Times New Roman"/>
                <w:sz w:val="15"/>
                <w:szCs w:val="15"/>
                <w:color w:val="231F20"/>
              </w:rPr>
              <w:t>Crossroads</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231F20"/>
                <w:w w:val="99"/>
              </w:rPr>
              <w:t>1959</w:t>
            </w:r>
          </w:p>
        </w:tc>
        <w:tc>
          <w:tcPr>
            <w:tcW w:w="880" w:type="dxa"/>
            <w:vAlign w:val="bottom"/>
            <w:gridSpan w:val="2"/>
          </w:tcPr>
          <w:p>
            <w:pPr>
              <w:jc w:val="center"/>
              <w:ind w:left="24"/>
              <w:spacing w:after="0"/>
              <w:rPr>
                <w:sz w:val="20"/>
                <w:szCs w:val="20"/>
                <w:color w:val="auto"/>
              </w:rPr>
            </w:pPr>
            <w:r>
              <w:rPr>
                <w:rFonts w:ascii="Times New Roman" w:cs="Times New Roman" w:eastAsia="Times New Roman" w:hAnsi="Times New Roman"/>
                <w:sz w:val="15"/>
                <w:szCs w:val="15"/>
                <w:color w:val="231F20"/>
                <w:w w:val="99"/>
              </w:rPr>
              <w:t>1993</w:t>
            </w:r>
          </w:p>
        </w:tc>
        <w:tc>
          <w:tcPr>
            <w:tcW w:w="1100" w:type="dxa"/>
            <w:vAlign w:val="bottom"/>
            <w:gridSpan w:val="2"/>
          </w:tcPr>
          <w:p>
            <w:pPr>
              <w:jc w:val="center"/>
              <w:ind w:left="44"/>
              <w:spacing w:after="0"/>
              <w:rPr>
                <w:sz w:val="20"/>
                <w:szCs w:val="20"/>
                <w:color w:val="auto"/>
              </w:rPr>
            </w:pPr>
            <w:r>
              <w:rPr>
                <w:rFonts w:ascii="Times New Roman" w:cs="Times New Roman" w:eastAsia="Times New Roman" w:hAnsi="Times New Roman"/>
                <w:sz w:val="15"/>
                <w:szCs w:val="15"/>
                <w:color w:val="231F20"/>
              </w:rPr>
              <w:t>168,000</w:t>
            </w:r>
          </w:p>
        </w:tc>
        <w:tc>
          <w:tcPr>
            <w:tcW w:w="1100" w:type="dxa"/>
            <w:vAlign w:val="bottom"/>
            <w:gridSpan w:val="2"/>
          </w:tcPr>
          <w:p>
            <w:pPr>
              <w:jc w:val="center"/>
              <w:ind w:left="44"/>
              <w:spacing w:after="0"/>
              <w:rPr>
                <w:sz w:val="20"/>
                <w:szCs w:val="20"/>
                <w:color w:val="auto"/>
              </w:rPr>
            </w:pPr>
            <w:r>
              <w:rPr>
                <w:rFonts w:ascii="Times New Roman" w:cs="Times New Roman" w:eastAsia="Times New Roman" w:hAnsi="Times New Roman"/>
                <w:sz w:val="15"/>
                <w:szCs w:val="15"/>
                <w:color w:val="231F20"/>
              </w:rPr>
              <w:t>$21.52</w:t>
            </w:r>
          </w:p>
        </w:tc>
        <w:tc>
          <w:tcPr>
            <w:tcW w:w="900" w:type="dxa"/>
            <w:vAlign w:val="bottom"/>
            <w:gridSpan w:val="2"/>
          </w:tcPr>
          <w:p>
            <w:pPr>
              <w:jc w:val="center"/>
              <w:ind w:left="24"/>
              <w:spacing w:after="0"/>
              <w:rPr>
                <w:sz w:val="20"/>
                <w:szCs w:val="20"/>
                <w:color w:val="auto"/>
              </w:rPr>
            </w:pPr>
            <w:r>
              <w:rPr>
                <w:rFonts w:ascii="Times New Roman" w:cs="Times New Roman" w:eastAsia="Times New Roman" w:hAnsi="Times New Roman"/>
                <w:sz w:val="15"/>
                <w:szCs w:val="15"/>
                <w:color w:val="231F20"/>
              </w:rPr>
              <w:t>97%</w:t>
            </w:r>
          </w:p>
        </w:tc>
        <w:tc>
          <w:tcPr>
            <w:tcW w:w="80" w:type="dxa"/>
            <w:vAlign w:val="bottom"/>
          </w:tcPr>
          <w:p>
            <w:pPr>
              <w:spacing w:after="0"/>
              <w:rPr>
                <w:sz w:val="18"/>
                <w:szCs w:val="18"/>
                <w:color w:val="auto"/>
              </w:rPr>
            </w:pPr>
          </w:p>
        </w:tc>
        <w:tc>
          <w:tcPr>
            <w:tcW w:w="2040" w:type="dxa"/>
            <w:vAlign w:val="bottom"/>
          </w:tcPr>
          <w:p>
            <w:pPr>
              <w:ind w:left="40"/>
              <w:spacing w:after="0"/>
              <w:rPr>
                <w:sz w:val="20"/>
                <w:szCs w:val="20"/>
                <w:color w:val="auto"/>
              </w:rPr>
            </w:pPr>
            <w:r>
              <w:rPr>
                <w:rFonts w:ascii="Times New Roman" w:cs="Times New Roman" w:eastAsia="Times New Roman" w:hAnsi="Times New Roman"/>
                <w:sz w:val="15"/>
                <w:szCs w:val="15"/>
                <w:color w:val="231F20"/>
              </w:rPr>
              <w:t>L.A. Fitness</w:t>
            </w: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2640" w:type="dxa"/>
            <w:vAlign w:val="bottom"/>
            <w:gridSpan w:val="5"/>
          </w:tcPr>
          <w:p>
            <w:pPr>
              <w:ind w:left="100"/>
              <w:spacing w:after="0" w:line="152" w:lineRule="exact"/>
              <w:rPr>
                <w:sz w:val="20"/>
                <w:szCs w:val="20"/>
                <w:color w:val="auto"/>
              </w:rPr>
            </w:pPr>
            <w:r>
              <w:rPr>
                <w:rFonts w:ascii="Times New Roman" w:cs="Times New Roman" w:eastAsia="Times New Roman" w:hAnsi="Times New Roman"/>
                <w:sz w:val="15"/>
                <w:szCs w:val="15"/>
                <w:color w:val="231F20"/>
              </w:rPr>
              <w:t>Highland Park, IL 60035</w:t>
            </w: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ind w:left="40"/>
              <w:spacing w:after="0" w:line="152" w:lineRule="exact"/>
              <w:rPr>
                <w:sz w:val="20"/>
                <w:szCs w:val="20"/>
                <w:color w:val="auto"/>
              </w:rPr>
            </w:pPr>
            <w:r>
              <w:rPr>
                <w:rFonts w:ascii="Times New Roman" w:cs="Times New Roman" w:eastAsia="Times New Roman" w:hAnsi="Times New Roman"/>
                <w:sz w:val="15"/>
                <w:szCs w:val="15"/>
                <w:color w:val="231F20"/>
              </w:rPr>
              <w:t>Ulta</w:t>
            </w: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ind w:left="40"/>
              <w:spacing w:after="0" w:line="152" w:lineRule="exact"/>
              <w:rPr>
                <w:sz w:val="20"/>
                <w:szCs w:val="20"/>
                <w:color w:val="auto"/>
              </w:rPr>
            </w:pPr>
            <w:r>
              <w:rPr>
                <w:rFonts w:ascii="Times New Roman" w:cs="Times New Roman" w:eastAsia="Times New Roman" w:hAnsi="Times New Roman"/>
                <w:sz w:val="15"/>
                <w:szCs w:val="15"/>
                <w:color w:val="231F20"/>
              </w:rPr>
              <w:t>Binny's</w:t>
            </w: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40" w:type="dxa"/>
            <w:vAlign w:val="bottom"/>
          </w:tcPr>
          <w:p>
            <w:pPr>
              <w:ind w:left="40"/>
              <w:spacing w:after="0"/>
              <w:rPr>
                <w:sz w:val="20"/>
                <w:szCs w:val="20"/>
                <w:color w:val="auto"/>
              </w:rPr>
            </w:pPr>
            <w:r>
              <w:rPr>
                <w:rFonts w:ascii="Times New Roman" w:cs="Times New Roman" w:eastAsia="Times New Roman" w:hAnsi="Times New Roman"/>
                <w:sz w:val="15"/>
                <w:szCs w:val="15"/>
                <w:color w:val="231F20"/>
              </w:rPr>
              <w:t>Ferguson Home</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9720"/>
          </w:cols>
          <w:pgMar w:left="1060" w:top="1003" w:right="1100" w:bottom="0" w:gutter="0" w:footer="0" w:header="0"/>
        </w:sect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231F20"/>
        </w:rPr>
        <w:t>23</w:t>
      </w:r>
    </w:p>
    <w:p>
      <w:pPr>
        <w:sectPr>
          <w:pgSz w:w="11880" w:h="15480" w:orient="portrait"/>
          <w:cols w:equalWidth="0" w:num="1">
            <w:col w:w="9720"/>
          </w:cols>
          <w:pgMar w:left="1060" w:top="1003" w:right="1100" w:bottom="0" w:gutter="0" w:footer="0" w:header="0"/>
          <w:type w:val="continuous"/>
        </w:sectPr>
      </w:pPr>
    </w:p>
    <w:bookmarkStart w:id="31" w:name="page32"/>
    <w:bookmarkEnd w:id="31"/>
    <w:tbl>
      <w:tblPr>
        <w:tblLayout w:type="fixed"/>
        <w:tblInd w:w="0" w:type="dxa"/>
        <w:tblCellMar>
          <w:top w:w="0" w:type="dxa"/>
          <w:left w:w="0" w:type="dxa"/>
          <w:bottom w:w="0" w:type="dxa"/>
          <w:right w:w="0" w:type="dxa"/>
        </w:tblCellMar>
      </w:tblPr>
      <w:tr>
        <w:trPr>
          <w:trHeight w:val="172"/>
        </w:trPr>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231F20"/>
              </w:rPr>
              <w:t>Square</w:t>
            </w:r>
          </w:p>
        </w:tc>
        <w:tc>
          <w:tcPr>
            <w:tcW w:w="8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231F20"/>
              </w:rPr>
              <w:t>Average Base</w:t>
            </w: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231F20"/>
              </w:rPr>
              <w:t>Year</w:t>
            </w:r>
          </w:p>
        </w:tc>
        <w:tc>
          <w:tcPr>
            <w:tcW w:w="80" w:type="dxa"/>
            <w:vAlign w:val="bottom"/>
          </w:tcPr>
          <w:p>
            <w:pPr>
              <w:spacing w:after="0"/>
              <w:rPr>
                <w:sz w:val="13"/>
                <w:szCs w:val="13"/>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231F20"/>
              </w:rPr>
              <w:t>Year</w:t>
            </w:r>
          </w:p>
        </w:tc>
        <w:tc>
          <w:tcPr>
            <w:tcW w:w="80" w:type="dxa"/>
            <w:vAlign w:val="bottom"/>
          </w:tcPr>
          <w:p>
            <w:pPr>
              <w:spacing w:after="0"/>
              <w:rPr>
                <w:sz w:val="13"/>
                <w:szCs w:val="13"/>
                <w:color w:val="auto"/>
              </w:rPr>
            </w:pPr>
          </w:p>
        </w:tc>
        <w:tc>
          <w:tcPr>
            <w:tcW w:w="1020" w:type="dxa"/>
            <w:vAlign w:val="bottom"/>
          </w:tcPr>
          <w:p>
            <w:pPr>
              <w:jc w:val="right"/>
              <w:ind w:right="164"/>
              <w:spacing w:after="0" w:line="152" w:lineRule="exact"/>
              <w:rPr>
                <w:sz w:val="20"/>
                <w:szCs w:val="20"/>
                <w:color w:val="auto"/>
              </w:rPr>
            </w:pPr>
            <w:r>
              <w:rPr>
                <w:rFonts w:ascii="Times New Roman" w:cs="Times New Roman" w:eastAsia="Times New Roman" w:hAnsi="Times New Roman"/>
                <w:sz w:val="15"/>
                <w:szCs w:val="15"/>
                <w:b w:val="1"/>
                <w:bCs w:val="1"/>
                <w:color w:val="231F20"/>
              </w:rPr>
              <w:t>Feet(1) /</w:t>
            </w:r>
          </w:p>
        </w:tc>
        <w:tc>
          <w:tcPr>
            <w:tcW w:w="80" w:type="dxa"/>
            <w:vAlign w:val="bottom"/>
          </w:tcPr>
          <w:p>
            <w:pPr>
              <w:spacing w:after="0"/>
              <w:rPr>
                <w:sz w:val="13"/>
                <w:szCs w:val="13"/>
                <w:color w:val="auto"/>
              </w:rPr>
            </w:pPr>
          </w:p>
        </w:tc>
        <w:tc>
          <w:tcPr>
            <w:tcW w:w="1020" w:type="dxa"/>
            <w:vAlign w:val="bottom"/>
          </w:tcPr>
          <w:p>
            <w:pPr>
              <w:jc w:val="center"/>
              <w:spacing w:after="0" w:line="152" w:lineRule="exact"/>
              <w:rPr>
                <w:sz w:val="20"/>
                <w:szCs w:val="20"/>
                <w:color w:val="auto"/>
              </w:rPr>
            </w:pPr>
            <w:r>
              <w:rPr>
                <w:rFonts w:ascii="Times New Roman" w:cs="Times New Roman" w:eastAsia="Times New Roman" w:hAnsi="Times New Roman"/>
                <w:sz w:val="15"/>
                <w:szCs w:val="15"/>
                <w:b w:val="1"/>
                <w:bCs w:val="1"/>
                <w:color w:val="231F20"/>
              </w:rPr>
              <w:t>Rent Per</w:t>
            </w:r>
          </w:p>
        </w:tc>
        <w:tc>
          <w:tcPr>
            <w:tcW w:w="60" w:type="dxa"/>
            <w:vAlign w:val="bottom"/>
          </w:tcPr>
          <w:p>
            <w:pPr>
              <w:spacing w:after="0"/>
              <w:rPr>
                <w:sz w:val="13"/>
                <w:szCs w:val="13"/>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231F20"/>
              </w:rPr>
              <w:t>Percentage</w:t>
            </w:r>
          </w:p>
        </w:tc>
        <w:tc>
          <w:tcPr>
            <w:tcW w:w="8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2640" w:type="dxa"/>
            <w:vAlign w:val="bottom"/>
            <w:gridSpan w:val="3"/>
            <w:vMerge w:val="restart"/>
          </w:tcPr>
          <w:p>
            <w:pPr>
              <w:spacing w:after="0"/>
              <w:rPr>
                <w:sz w:val="20"/>
                <w:szCs w:val="20"/>
                <w:color w:val="auto"/>
              </w:rPr>
            </w:pPr>
            <w:r>
              <w:rPr>
                <w:rFonts w:ascii="Times New Roman" w:cs="Times New Roman" w:eastAsia="Times New Roman" w:hAnsi="Times New Roman"/>
                <w:sz w:val="15"/>
                <w:szCs w:val="15"/>
                <w:b w:val="1"/>
                <w:bCs w:val="1"/>
                <w:color w:val="231F20"/>
              </w:rPr>
              <w:t>Property, City, State, Zip Code</w:t>
            </w:r>
          </w:p>
        </w:tc>
        <w:tc>
          <w:tcPr>
            <w:tcW w:w="6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jc w:val="center"/>
              <w:spacing w:after="0" w:line="152" w:lineRule="exact"/>
              <w:rPr>
                <w:sz w:val="20"/>
                <w:szCs w:val="20"/>
                <w:color w:val="auto"/>
              </w:rPr>
            </w:pPr>
            <w:r>
              <w:rPr>
                <w:rFonts w:ascii="Times New Roman" w:cs="Times New Roman" w:eastAsia="Times New Roman" w:hAnsi="Times New Roman"/>
                <w:sz w:val="15"/>
                <w:szCs w:val="15"/>
                <w:b w:val="1"/>
                <w:bCs w:val="1"/>
                <w:color w:val="231F20"/>
              </w:rPr>
              <w:t>Apartment</w:t>
            </w:r>
          </w:p>
        </w:tc>
        <w:tc>
          <w:tcPr>
            <w:tcW w:w="80" w:type="dxa"/>
            <w:vAlign w:val="bottom"/>
          </w:tcPr>
          <w:p>
            <w:pPr>
              <w:spacing w:after="0"/>
              <w:rPr>
                <w:sz w:val="13"/>
                <w:szCs w:val="13"/>
                <w:color w:val="auto"/>
              </w:rPr>
            </w:pPr>
          </w:p>
        </w:tc>
        <w:tc>
          <w:tcPr>
            <w:tcW w:w="1020" w:type="dxa"/>
            <w:vAlign w:val="bottom"/>
          </w:tcPr>
          <w:p>
            <w:pPr>
              <w:jc w:val="center"/>
              <w:spacing w:after="0" w:line="152" w:lineRule="exact"/>
              <w:rPr>
                <w:sz w:val="20"/>
                <w:szCs w:val="20"/>
                <w:color w:val="auto"/>
              </w:rPr>
            </w:pPr>
            <w:r>
              <w:rPr>
                <w:rFonts w:ascii="Times New Roman" w:cs="Times New Roman" w:eastAsia="Times New Roman" w:hAnsi="Times New Roman"/>
                <w:sz w:val="15"/>
                <w:szCs w:val="15"/>
                <w:b w:val="1"/>
                <w:bCs w:val="1"/>
                <w:color w:val="231F20"/>
              </w:rPr>
              <w:t>Square</w:t>
            </w:r>
          </w:p>
        </w:tc>
        <w:tc>
          <w:tcPr>
            <w:tcW w:w="6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vMerge w:val="restart"/>
          </w:tcPr>
          <w:p>
            <w:pPr>
              <w:ind w:left="380"/>
              <w:spacing w:after="0"/>
              <w:rPr>
                <w:sz w:val="20"/>
                <w:szCs w:val="20"/>
                <w:color w:val="auto"/>
              </w:rPr>
            </w:pPr>
            <w:r>
              <w:rPr>
                <w:rFonts w:ascii="Times New Roman" w:cs="Times New Roman" w:eastAsia="Times New Roman" w:hAnsi="Times New Roman"/>
                <w:sz w:val="15"/>
                <w:szCs w:val="15"/>
                <w:b w:val="1"/>
                <w:bCs w:val="1"/>
                <w:color w:val="231F20"/>
              </w:rPr>
              <w:t>Principal Tenant(s)</w:t>
            </w:r>
          </w:p>
        </w:tc>
        <w:tc>
          <w:tcPr>
            <w:tcW w:w="0" w:type="dxa"/>
            <w:vAlign w:val="bottom"/>
          </w:tcPr>
          <w:p>
            <w:pPr>
              <w:spacing w:after="0"/>
              <w:rPr>
                <w:sz w:val="1"/>
                <w:szCs w:val="1"/>
                <w:color w:val="auto"/>
              </w:rPr>
            </w:pPr>
          </w:p>
        </w:tc>
      </w:tr>
      <w:tr>
        <w:trPr>
          <w:trHeight w:val="203"/>
        </w:trPr>
        <w:tc>
          <w:tcPr>
            <w:tcW w:w="60" w:type="dxa"/>
            <w:vAlign w:val="bottom"/>
            <w:tcBorders>
              <w:bottom w:val="single" w:sz="8" w:color="231F20"/>
            </w:tcBorders>
          </w:tcPr>
          <w:p>
            <w:pPr>
              <w:spacing w:after="0"/>
              <w:rPr>
                <w:sz w:val="17"/>
                <w:szCs w:val="17"/>
                <w:color w:val="auto"/>
              </w:rPr>
            </w:pPr>
          </w:p>
        </w:tc>
        <w:tc>
          <w:tcPr>
            <w:tcW w:w="2640" w:type="dxa"/>
            <w:vAlign w:val="bottom"/>
            <w:tcBorders>
              <w:bottom w:val="single" w:sz="8" w:color="231F20"/>
            </w:tcBorders>
            <w:gridSpan w:val="3"/>
            <w:vMerge w:val="continue"/>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5"/>
                <w:szCs w:val="15"/>
                <w:b w:val="1"/>
                <w:bCs w:val="1"/>
                <w:color w:val="231F20"/>
              </w:rPr>
              <w:t>Completed</w:t>
            </w:r>
          </w:p>
        </w:tc>
        <w:tc>
          <w:tcPr>
            <w:tcW w:w="80" w:type="dxa"/>
            <w:vAlign w:val="bottom"/>
          </w:tcPr>
          <w:p>
            <w:pPr>
              <w:spacing w:after="0"/>
              <w:rPr>
                <w:sz w:val="17"/>
                <w:szCs w:val="17"/>
                <w:color w:val="auto"/>
              </w:rPr>
            </w:pPr>
          </w:p>
        </w:tc>
        <w:tc>
          <w:tcPr>
            <w:tcW w:w="80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5"/>
                <w:szCs w:val="15"/>
                <w:b w:val="1"/>
                <w:bCs w:val="1"/>
                <w:color w:val="231F20"/>
                <w:w w:val="99"/>
              </w:rPr>
              <w:t>Acquired</w:t>
            </w:r>
          </w:p>
        </w:tc>
        <w:tc>
          <w:tcPr>
            <w:tcW w:w="80" w:type="dxa"/>
            <w:vAlign w:val="bottom"/>
          </w:tcPr>
          <w:p>
            <w:pPr>
              <w:spacing w:after="0"/>
              <w:rPr>
                <w:sz w:val="17"/>
                <w:szCs w:val="17"/>
                <w:color w:val="auto"/>
              </w:rPr>
            </w:pPr>
          </w:p>
        </w:tc>
        <w:tc>
          <w:tcPr>
            <w:tcW w:w="102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5"/>
                <w:szCs w:val="15"/>
                <w:b w:val="1"/>
                <w:bCs w:val="1"/>
                <w:color w:val="231F20"/>
                <w:w w:val="99"/>
              </w:rPr>
              <w:t>Units</w:t>
            </w:r>
          </w:p>
        </w:tc>
        <w:tc>
          <w:tcPr>
            <w:tcW w:w="80" w:type="dxa"/>
            <w:vAlign w:val="bottom"/>
          </w:tcPr>
          <w:p>
            <w:pPr>
              <w:spacing w:after="0"/>
              <w:rPr>
                <w:sz w:val="17"/>
                <w:szCs w:val="17"/>
                <w:color w:val="auto"/>
              </w:rPr>
            </w:pPr>
          </w:p>
        </w:tc>
        <w:tc>
          <w:tcPr>
            <w:tcW w:w="102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5"/>
                <w:szCs w:val="15"/>
                <w:b w:val="1"/>
                <w:bCs w:val="1"/>
                <w:color w:val="231F20"/>
              </w:rPr>
              <w:t>Foot(2)</w:t>
            </w:r>
          </w:p>
        </w:tc>
        <w:tc>
          <w:tcPr>
            <w:tcW w:w="60" w:type="dxa"/>
            <w:vAlign w:val="bottom"/>
          </w:tcPr>
          <w:p>
            <w:pPr>
              <w:spacing w:after="0"/>
              <w:rPr>
                <w:sz w:val="17"/>
                <w:szCs w:val="17"/>
                <w:color w:val="auto"/>
              </w:rPr>
            </w:pPr>
          </w:p>
        </w:tc>
        <w:tc>
          <w:tcPr>
            <w:tcW w:w="84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5"/>
                <w:szCs w:val="15"/>
                <w:b w:val="1"/>
                <w:bCs w:val="1"/>
                <w:color w:val="231F20"/>
              </w:rPr>
              <w:t>Leased(3)</w:t>
            </w:r>
          </w:p>
        </w:tc>
        <w:tc>
          <w:tcPr>
            <w:tcW w:w="80" w:type="dxa"/>
            <w:vAlign w:val="bottom"/>
          </w:tcPr>
          <w:p>
            <w:pPr>
              <w:spacing w:after="0"/>
              <w:rPr>
                <w:sz w:val="17"/>
                <w:szCs w:val="17"/>
                <w:color w:val="auto"/>
              </w:rPr>
            </w:pPr>
          </w:p>
        </w:tc>
        <w:tc>
          <w:tcPr>
            <w:tcW w:w="2040" w:type="dxa"/>
            <w:vAlign w:val="bottom"/>
            <w:tcBorders>
              <w:bottom w:val="single" w:sz="8" w:color="231F20"/>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60" w:type="dxa"/>
            <w:vAlign w:val="bottom"/>
          </w:tcPr>
          <w:p>
            <w:pPr>
              <w:spacing w:after="0"/>
              <w:rPr>
                <w:sz w:val="12"/>
                <w:szCs w:val="12"/>
                <w:color w:val="auto"/>
              </w:rPr>
            </w:pPr>
          </w:p>
        </w:tc>
        <w:tc>
          <w:tcPr>
            <w:tcW w:w="2640" w:type="dxa"/>
            <w:vAlign w:val="bottom"/>
            <w:gridSpan w:val="3"/>
          </w:tcPr>
          <w:p>
            <w:pPr>
              <w:spacing w:after="0" w:line="146" w:lineRule="exact"/>
              <w:rPr>
                <w:sz w:val="20"/>
                <w:szCs w:val="20"/>
                <w:color w:val="auto"/>
              </w:rPr>
            </w:pPr>
            <w:r>
              <w:rPr>
                <w:rFonts w:ascii="Times New Roman" w:cs="Times New Roman" w:eastAsia="Times New Roman" w:hAnsi="Times New Roman"/>
                <w:sz w:val="15"/>
                <w:szCs w:val="15"/>
                <w:color w:val="231F20"/>
              </w:rPr>
              <w:t>Finley Square</w:t>
            </w:r>
          </w:p>
        </w:tc>
        <w:tc>
          <w:tcPr>
            <w:tcW w:w="60" w:type="dxa"/>
            <w:vAlign w:val="bottom"/>
          </w:tcPr>
          <w:p>
            <w:pPr>
              <w:spacing w:after="0"/>
              <w:rPr>
                <w:sz w:val="12"/>
                <w:szCs w:val="12"/>
                <w:color w:val="auto"/>
              </w:rPr>
            </w:pPr>
          </w:p>
        </w:tc>
        <w:tc>
          <w:tcPr>
            <w:tcW w:w="860" w:type="dxa"/>
            <w:vAlign w:val="bottom"/>
          </w:tcPr>
          <w:p>
            <w:pPr>
              <w:jc w:val="center"/>
              <w:spacing w:after="0" w:line="146" w:lineRule="exact"/>
              <w:rPr>
                <w:sz w:val="20"/>
                <w:szCs w:val="20"/>
                <w:color w:val="auto"/>
              </w:rPr>
            </w:pPr>
            <w:r>
              <w:rPr>
                <w:rFonts w:ascii="Times New Roman" w:cs="Times New Roman" w:eastAsia="Times New Roman" w:hAnsi="Times New Roman"/>
                <w:sz w:val="15"/>
                <w:szCs w:val="15"/>
                <w:color w:val="231F20"/>
                <w:w w:val="99"/>
              </w:rPr>
              <w:t>1974</w:t>
            </w:r>
          </w:p>
        </w:tc>
        <w:tc>
          <w:tcPr>
            <w:tcW w:w="80" w:type="dxa"/>
            <w:vAlign w:val="bottom"/>
          </w:tcPr>
          <w:p>
            <w:pPr>
              <w:spacing w:after="0"/>
              <w:rPr>
                <w:sz w:val="12"/>
                <w:szCs w:val="12"/>
                <w:color w:val="auto"/>
              </w:rPr>
            </w:pPr>
          </w:p>
        </w:tc>
        <w:tc>
          <w:tcPr>
            <w:tcW w:w="800" w:type="dxa"/>
            <w:vAlign w:val="bottom"/>
          </w:tcPr>
          <w:p>
            <w:pPr>
              <w:jc w:val="center"/>
              <w:spacing w:after="0" w:line="146" w:lineRule="exact"/>
              <w:rPr>
                <w:sz w:val="20"/>
                <w:szCs w:val="20"/>
                <w:color w:val="auto"/>
              </w:rPr>
            </w:pPr>
            <w:r>
              <w:rPr>
                <w:rFonts w:ascii="Times New Roman" w:cs="Times New Roman" w:eastAsia="Times New Roman" w:hAnsi="Times New Roman"/>
                <w:sz w:val="15"/>
                <w:szCs w:val="15"/>
                <w:color w:val="231F20"/>
                <w:w w:val="99"/>
              </w:rPr>
              <w:t>1995</w:t>
            </w:r>
          </w:p>
        </w:tc>
        <w:tc>
          <w:tcPr>
            <w:tcW w:w="80" w:type="dxa"/>
            <w:vAlign w:val="bottom"/>
          </w:tcPr>
          <w:p>
            <w:pPr>
              <w:spacing w:after="0"/>
              <w:rPr>
                <w:sz w:val="12"/>
                <w:szCs w:val="12"/>
                <w:color w:val="auto"/>
              </w:rPr>
            </w:pPr>
          </w:p>
        </w:tc>
        <w:tc>
          <w:tcPr>
            <w:tcW w:w="1020" w:type="dxa"/>
            <w:vAlign w:val="bottom"/>
          </w:tcPr>
          <w:p>
            <w:pPr>
              <w:jc w:val="right"/>
              <w:ind w:right="164"/>
              <w:spacing w:after="0" w:line="146" w:lineRule="exact"/>
              <w:rPr>
                <w:sz w:val="20"/>
                <w:szCs w:val="20"/>
                <w:color w:val="auto"/>
              </w:rPr>
            </w:pPr>
            <w:r>
              <w:rPr>
                <w:rFonts w:ascii="Times New Roman" w:cs="Times New Roman" w:eastAsia="Times New Roman" w:hAnsi="Times New Roman"/>
                <w:sz w:val="15"/>
                <w:szCs w:val="15"/>
                <w:color w:val="231F20"/>
              </w:rPr>
              <w:t>258,000</w:t>
            </w:r>
          </w:p>
        </w:tc>
        <w:tc>
          <w:tcPr>
            <w:tcW w:w="80" w:type="dxa"/>
            <w:vAlign w:val="bottom"/>
          </w:tcPr>
          <w:p>
            <w:pPr>
              <w:spacing w:after="0"/>
              <w:rPr>
                <w:sz w:val="12"/>
                <w:szCs w:val="12"/>
                <w:color w:val="auto"/>
              </w:rPr>
            </w:pPr>
          </w:p>
        </w:tc>
        <w:tc>
          <w:tcPr>
            <w:tcW w:w="1020" w:type="dxa"/>
            <w:vAlign w:val="bottom"/>
          </w:tcPr>
          <w:p>
            <w:pPr>
              <w:jc w:val="center"/>
              <w:spacing w:after="0" w:line="146" w:lineRule="exact"/>
              <w:rPr>
                <w:sz w:val="20"/>
                <w:szCs w:val="20"/>
                <w:color w:val="auto"/>
              </w:rPr>
            </w:pPr>
            <w:r>
              <w:rPr>
                <w:rFonts w:ascii="Times New Roman" w:cs="Times New Roman" w:eastAsia="Times New Roman" w:hAnsi="Times New Roman"/>
                <w:sz w:val="15"/>
                <w:szCs w:val="15"/>
                <w:color w:val="231F20"/>
              </w:rPr>
              <w:t>$18.96</w:t>
            </w:r>
          </w:p>
        </w:tc>
        <w:tc>
          <w:tcPr>
            <w:tcW w:w="60" w:type="dxa"/>
            <w:vAlign w:val="bottom"/>
          </w:tcPr>
          <w:p>
            <w:pPr>
              <w:spacing w:after="0"/>
              <w:rPr>
                <w:sz w:val="12"/>
                <w:szCs w:val="12"/>
                <w:color w:val="auto"/>
              </w:rPr>
            </w:pPr>
          </w:p>
        </w:tc>
        <w:tc>
          <w:tcPr>
            <w:tcW w:w="840" w:type="dxa"/>
            <w:vAlign w:val="bottom"/>
          </w:tcPr>
          <w:p>
            <w:pPr>
              <w:jc w:val="center"/>
              <w:spacing w:after="0" w:line="146" w:lineRule="exact"/>
              <w:rPr>
                <w:sz w:val="20"/>
                <w:szCs w:val="20"/>
                <w:color w:val="auto"/>
              </w:rPr>
            </w:pPr>
            <w:r>
              <w:rPr>
                <w:rFonts w:ascii="Times New Roman" w:cs="Times New Roman" w:eastAsia="Times New Roman" w:hAnsi="Times New Roman"/>
                <w:sz w:val="15"/>
                <w:szCs w:val="15"/>
                <w:color w:val="231F20"/>
              </w:rPr>
              <w:t>93%</w:t>
            </w:r>
          </w:p>
        </w:tc>
        <w:tc>
          <w:tcPr>
            <w:tcW w:w="80" w:type="dxa"/>
            <w:vAlign w:val="bottom"/>
          </w:tcPr>
          <w:p>
            <w:pPr>
              <w:spacing w:after="0"/>
              <w:rPr>
                <w:sz w:val="12"/>
                <w:szCs w:val="12"/>
                <w:color w:val="auto"/>
              </w:rPr>
            </w:pPr>
          </w:p>
        </w:tc>
        <w:tc>
          <w:tcPr>
            <w:tcW w:w="2040" w:type="dxa"/>
            <w:vAlign w:val="bottom"/>
          </w:tcPr>
          <w:p>
            <w:pPr>
              <w:ind w:left="40"/>
              <w:spacing w:after="0" w:line="146" w:lineRule="exact"/>
              <w:rPr>
                <w:sz w:val="20"/>
                <w:szCs w:val="20"/>
                <w:color w:val="auto"/>
              </w:rPr>
            </w:pPr>
            <w:r>
              <w:rPr>
                <w:rFonts w:ascii="Times New Roman" w:cs="Times New Roman" w:eastAsia="Times New Roman" w:hAnsi="Times New Roman"/>
                <w:sz w:val="15"/>
                <w:szCs w:val="15"/>
                <w:color w:val="231F20"/>
              </w:rPr>
              <w:t>Marshalls</w:t>
            </w: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2640" w:type="dxa"/>
            <w:vAlign w:val="bottom"/>
            <w:gridSpan w:val="3"/>
          </w:tcPr>
          <w:p>
            <w:pPr>
              <w:ind w:left="100"/>
              <w:spacing w:after="0" w:line="152" w:lineRule="exact"/>
              <w:rPr>
                <w:sz w:val="20"/>
                <w:szCs w:val="20"/>
                <w:color w:val="auto"/>
              </w:rPr>
            </w:pPr>
            <w:r>
              <w:rPr>
                <w:rFonts w:ascii="Times New Roman" w:cs="Times New Roman" w:eastAsia="Times New Roman" w:hAnsi="Times New Roman"/>
                <w:sz w:val="15"/>
                <w:szCs w:val="15"/>
                <w:color w:val="231F20"/>
              </w:rPr>
              <w:t>Downers Grove, IL 60515</w:t>
            </w: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ind w:left="40"/>
              <w:spacing w:after="0" w:line="152" w:lineRule="exact"/>
              <w:rPr>
                <w:sz w:val="20"/>
                <w:szCs w:val="20"/>
                <w:color w:val="auto"/>
              </w:rPr>
            </w:pPr>
            <w:r>
              <w:rPr>
                <w:rFonts w:ascii="Times New Roman" w:cs="Times New Roman" w:eastAsia="Times New Roman" w:hAnsi="Times New Roman"/>
                <w:sz w:val="15"/>
                <w:szCs w:val="15"/>
                <w:color w:val="231F20"/>
              </w:rPr>
              <w:t>Home Goods</w:t>
            </w: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ind w:left="40"/>
              <w:spacing w:after="0" w:line="152" w:lineRule="exact"/>
              <w:rPr>
                <w:sz w:val="20"/>
                <w:szCs w:val="20"/>
                <w:color w:val="auto"/>
              </w:rPr>
            </w:pPr>
            <w:r>
              <w:rPr>
                <w:rFonts w:ascii="Times New Roman" w:cs="Times New Roman" w:eastAsia="Times New Roman" w:hAnsi="Times New Roman"/>
                <w:sz w:val="15"/>
                <w:szCs w:val="15"/>
                <w:color w:val="231F20"/>
              </w:rPr>
              <w:t>Michaels</w:t>
            </w: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40" w:type="dxa"/>
            <w:vAlign w:val="bottom"/>
          </w:tcPr>
          <w:p>
            <w:pPr>
              <w:ind w:left="40"/>
              <w:spacing w:after="0"/>
              <w:rPr>
                <w:sz w:val="20"/>
                <w:szCs w:val="20"/>
                <w:color w:val="auto"/>
              </w:rPr>
            </w:pPr>
            <w:r>
              <w:rPr>
                <w:rFonts w:ascii="Times New Roman" w:cs="Times New Roman" w:eastAsia="Times New Roman" w:hAnsi="Times New Roman"/>
                <w:sz w:val="15"/>
                <w:szCs w:val="15"/>
                <w:color w:val="231F20"/>
              </w:rPr>
              <w:t>Portillo's</w:t>
            </w:r>
          </w:p>
        </w:tc>
        <w:tc>
          <w:tcPr>
            <w:tcW w:w="0" w:type="dxa"/>
            <w:vAlign w:val="bottom"/>
          </w:tcPr>
          <w:p>
            <w:pPr>
              <w:spacing w:after="0"/>
              <w:rPr>
                <w:sz w:val="1"/>
                <w:szCs w:val="1"/>
                <w:color w:val="auto"/>
              </w:rPr>
            </w:pPr>
          </w:p>
        </w:tc>
      </w:tr>
      <w:tr>
        <w:trPr>
          <w:trHeight w:val="168"/>
        </w:trPr>
        <w:tc>
          <w:tcPr>
            <w:tcW w:w="60" w:type="dxa"/>
            <w:vAlign w:val="bottom"/>
          </w:tcPr>
          <w:p>
            <w:pPr>
              <w:spacing w:after="0"/>
              <w:rPr>
                <w:sz w:val="14"/>
                <w:szCs w:val="14"/>
                <w:color w:val="auto"/>
              </w:rPr>
            </w:pPr>
          </w:p>
        </w:tc>
        <w:tc>
          <w:tcPr>
            <w:tcW w:w="2640" w:type="dxa"/>
            <w:vAlign w:val="bottom"/>
            <w:gridSpan w:val="3"/>
          </w:tcPr>
          <w:p>
            <w:pPr>
              <w:spacing w:after="0" w:line="169" w:lineRule="exact"/>
              <w:rPr>
                <w:sz w:val="20"/>
                <w:szCs w:val="20"/>
                <w:color w:val="auto"/>
              </w:rPr>
            </w:pPr>
            <w:r>
              <w:rPr>
                <w:rFonts w:ascii="Times New Roman" w:cs="Times New Roman" w:eastAsia="Times New Roman" w:hAnsi="Times New Roman"/>
                <w:sz w:val="15"/>
                <w:szCs w:val="15"/>
                <w:color w:val="231F20"/>
              </w:rPr>
              <w:t>Garden Market</w:t>
            </w:r>
          </w:p>
        </w:tc>
        <w:tc>
          <w:tcPr>
            <w:tcW w:w="920" w:type="dxa"/>
            <w:vAlign w:val="bottom"/>
            <w:gridSpan w:val="2"/>
          </w:tcPr>
          <w:p>
            <w:pPr>
              <w:jc w:val="center"/>
              <w:spacing w:after="0" w:line="169" w:lineRule="exact"/>
              <w:rPr>
                <w:sz w:val="20"/>
                <w:szCs w:val="20"/>
                <w:color w:val="auto"/>
              </w:rPr>
            </w:pPr>
            <w:r>
              <w:rPr>
                <w:rFonts w:ascii="Times New Roman" w:cs="Times New Roman" w:eastAsia="Times New Roman" w:hAnsi="Times New Roman"/>
                <w:sz w:val="15"/>
                <w:szCs w:val="15"/>
                <w:color w:val="231F20"/>
                <w:w w:val="99"/>
              </w:rPr>
              <w:t>1958</w:t>
            </w:r>
          </w:p>
        </w:tc>
        <w:tc>
          <w:tcPr>
            <w:tcW w:w="880" w:type="dxa"/>
            <w:vAlign w:val="bottom"/>
            <w:gridSpan w:val="2"/>
          </w:tcPr>
          <w:p>
            <w:pPr>
              <w:jc w:val="center"/>
              <w:ind w:left="24"/>
              <w:spacing w:after="0" w:line="169" w:lineRule="exact"/>
              <w:rPr>
                <w:sz w:val="20"/>
                <w:szCs w:val="20"/>
                <w:color w:val="auto"/>
              </w:rPr>
            </w:pPr>
            <w:r>
              <w:rPr>
                <w:rFonts w:ascii="Times New Roman" w:cs="Times New Roman" w:eastAsia="Times New Roman" w:hAnsi="Times New Roman"/>
                <w:sz w:val="15"/>
                <w:szCs w:val="15"/>
                <w:color w:val="231F20"/>
                <w:w w:val="99"/>
              </w:rPr>
              <w:t>1994</w:t>
            </w:r>
          </w:p>
        </w:tc>
        <w:tc>
          <w:tcPr>
            <w:tcW w:w="1100" w:type="dxa"/>
            <w:vAlign w:val="bottom"/>
            <w:gridSpan w:val="2"/>
          </w:tcPr>
          <w:p>
            <w:pPr>
              <w:jc w:val="right"/>
              <w:ind w:right="164"/>
              <w:spacing w:after="0" w:line="169" w:lineRule="exact"/>
              <w:rPr>
                <w:sz w:val="20"/>
                <w:szCs w:val="20"/>
                <w:color w:val="auto"/>
              </w:rPr>
            </w:pPr>
            <w:r>
              <w:rPr>
                <w:rFonts w:ascii="Times New Roman" w:cs="Times New Roman" w:eastAsia="Times New Roman" w:hAnsi="Times New Roman"/>
                <w:sz w:val="15"/>
                <w:szCs w:val="15"/>
                <w:color w:val="231F20"/>
              </w:rPr>
              <w:t>141,000</w:t>
            </w:r>
          </w:p>
        </w:tc>
        <w:tc>
          <w:tcPr>
            <w:tcW w:w="1100" w:type="dxa"/>
            <w:vAlign w:val="bottom"/>
            <w:gridSpan w:val="2"/>
          </w:tcPr>
          <w:p>
            <w:pPr>
              <w:jc w:val="center"/>
              <w:ind w:left="44"/>
              <w:spacing w:after="0" w:line="169" w:lineRule="exact"/>
              <w:rPr>
                <w:sz w:val="20"/>
                <w:szCs w:val="20"/>
                <w:color w:val="auto"/>
              </w:rPr>
            </w:pPr>
            <w:r>
              <w:rPr>
                <w:rFonts w:ascii="Times New Roman" w:cs="Times New Roman" w:eastAsia="Times New Roman" w:hAnsi="Times New Roman"/>
                <w:sz w:val="15"/>
                <w:szCs w:val="15"/>
                <w:color w:val="231F20"/>
              </w:rPr>
              <w:t>$16.62</w:t>
            </w:r>
          </w:p>
        </w:tc>
        <w:tc>
          <w:tcPr>
            <w:tcW w:w="900" w:type="dxa"/>
            <w:vAlign w:val="bottom"/>
            <w:gridSpan w:val="2"/>
          </w:tcPr>
          <w:p>
            <w:pPr>
              <w:jc w:val="center"/>
              <w:ind w:left="24"/>
              <w:spacing w:after="0" w:line="169" w:lineRule="exact"/>
              <w:rPr>
                <w:sz w:val="20"/>
                <w:szCs w:val="20"/>
                <w:color w:val="auto"/>
              </w:rPr>
            </w:pPr>
            <w:r>
              <w:rPr>
                <w:rFonts w:ascii="Times New Roman" w:cs="Times New Roman" w:eastAsia="Times New Roman" w:hAnsi="Times New Roman"/>
                <w:sz w:val="15"/>
                <w:szCs w:val="15"/>
                <w:color w:val="231F20"/>
              </w:rPr>
              <w:t>100%</w:t>
            </w:r>
          </w:p>
        </w:tc>
        <w:tc>
          <w:tcPr>
            <w:tcW w:w="80" w:type="dxa"/>
            <w:vAlign w:val="bottom"/>
          </w:tcPr>
          <w:p>
            <w:pPr>
              <w:spacing w:after="0"/>
              <w:rPr>
                <w:sz w:val="14"/>
                <w:szCs w:val="14"/>
                <w:color w:val="auto"/>
              </w:rPr>
            </w:pPr>
          </w:p>
        </w:tc>
        <w:tc>
          <w:tcPr>
            <w:tcW w:w="2040" w:type="dxa"/>
            <w:vAlign w:val="bottom"/>
          </w:tcPr>
          <w:p>
            <w:pPr>
              <w:ind w:left="40"/>
              <w:spacing w:after="0" w:line="169" w:lineRule="exact"/>
              <w:rPr>
                <w:sz w:val="20"/>
                <w:szCs w:val="20"/>
                <w:color w:val="auto"/>
              </w:rPr>
            </w:pPr>
            <w:r>
              <w:rPr>
                <w:rFonts w:ascii="Times New Roman" w:cs="Times New Roman" w:eastAsia="Times New Roman" w:hAnsi="Times New Roman"/>
                <w:sz w:val="15"/>
                <w:szCs w:val="15"/>
                <w:color w:val="231F20"/>
              </w:rPr>
              <w:t>Mariano's Fresh Market</w:t>
            </w: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2640" w:type="dxa"/>
            <w:vAlign w:val="bottom"/>
            <w:gridSpan w:val="3"/>
          </w:tcPr>
          <w:p>
            <w:pPr>
              <w:ind w:left="100"/>
              <w:spacing w:after="0"/>
              <w:rPr>
                <w:sz w:val="20"/>
                <w:szCs w:val="20"/>
                <w:color w:val="auto"/>
              </w:rPr>
            </w:pPr>
            <w:r>
              <w:rPr>
                <w:rFonts w:ascii="Times New Roman" w:cs="Times New Roman" w:eastAsia="Times New Roman" w:hAnsi="Times New Roman"/>
                <w:sz w:val="15"/>
                <w:szCs w:val="15"/>
                <w:color w:val="231F20"/>
              </w:rPr>
              <w:t>Western Springs, IL 60558</w:t>
            </w: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40" w:type="dxa"/>
            <w:vAlign w:val="bottom"/>
          </w:tcPr>
          <w:p>
            <w:pPr>
              <w:ind w:left="40"/>
              <w:spacing w:after="0"/>
              <w:rPr>
                <w:sz w:val="20"/>
                <w:szCs w:val="20"/>
                <w:color w:val="auto"/>
              </w:rPr>
            </w:pPr>
            <w:r>
              <w:rPr>
                <w:rFonts w:ascii="Times New Roman" w:cs="Times New Roman" w:eastAsia="Times New Roman" w:hAnsi="Times New Roman"/>
                <w:sz w:val="15"/>
                <w:szCs w:val="15"/>
                <w:color w:val="231F20"/>
              </w:rPr>
              <w:t>Walgreens</w:t>
            </w:r>
          </w:p>
        </w:tc>
        <w:tc>
          <w:tcPr>
            <w:tcW w:w="0" w:type="dxa"/>
            <w:vAlign w:val="bottom"/>
          </w:tcPr>
          <w:p>
            <w:pPr>
              <w:spacing w:after="0"/>
              <w:rPr>
                <w:sz w:val="1"/>
                <w:szCs w:val="1"/>
                <w:color w:val="auto"/>
              </w:rPr>
            </w:pPr>
          </w:p>
        </w:tc>
      </w:tr>
      <w:tr>
        <w:trPr>
          <w:trHeight w:val="202"/>
        </w:trPr>
        <w:tc>
          <w:tcPr>
            <w:tcW w:w="60" w:type="dxa"/>
            <w:vAlign w:val="bottom"/>
          </w:tcPr>
          <w:p>
            <w:pPr>
              <w:spacing w:after="0"/>
              <w:rPr>
                <w:sz w:val="17"/>
                <w:szCs w:val="17"/>
                <w:color w:val="auto"/>
              </w:rPr>
            </w:pPr>
          </w:p>
        </w:tc>
        <w:tc>
          <w:tcPr>
            <w:tcW w:w="2640" w:type="dxa"/>
            <w:vAlign w:val="bottom"/>
            <w:gridSpan w:val="3"/>
          </w:tcPr>
          <w:p>
            <w:pPr>
              <w:spacing w:after="0"/>
              <w:rPr>
                <w:sz w:val="20"/>
                <w:szCs w:val="20"/>
                <w:color w:val="auto"/>
              </w:rPr>
            </w:pPr>
            <w:r>
              <w:rPr>
                <w:rFonts w:ascii="Times New Roman" w:cs="Times New Roman" w:eastAsia="Times New Roman" w:hAnsi="Times New Roman"/>
                <w:sz w:val="15"/>
                <w:szCs w:val="15"/>
                <w:color w:val="231F20"/>
              </w:rPr>
              <w:t>Riverpoint Center</w:t>
            </w:r>
          </w:p>
        </w:tc>
        <w:tc>
          <w:tcPr>
            <w:tcW w:w="920" w:type="dxa"/>
            <w:vAlign w:val="bottom"/>
            <w:gridSpan w:val="2"/>
          </w:tcPr>
          <w:p>
            <w:pPr>
              <w:jc w:val="center"/>
              <w:ind w:left="4"/>
              <w:spacing w:after="0"/>
              <w:rPr>
                <w:sz w:val="20"/>
                <w:szCs w:val="20"/>
                <w:color w:val="auto"/>
              </w:rPr>
            </w:pPr>
            <w:r>
              <w:rPr>
                <w:rFonts w:ascii="Times New Roman" w:cs="Times New Roman" w:eastAsia="Times New Roman" w:hAnsi="Times New Roman"/>
                <w:sz w:val="15"/>
                <w:szCs w:val="15"/>
                <w:color w:val="231F20"/>
              </w:rPr>
              <w:t>1989, 2012</w:t>
            </w:r>
          </w:p>
        </w:tc>
        <w:tc>
          <w:tcPr>
            <w:tcW w:w="880" w:type="dxa"/>
            <w:vAlign w:val="bottom"/>
            <w:gridSpan w:val="2"/>
          </w:tcPr>
          <w:p>
            <w:pPr>
              <w:jc w:val="center"/>
              <w:ind w:left="24"/>
              <w:spacing w:after="0"/>
              <w:rPr>
                <w:sz w:val="20"/>
                <w:szCs w:val="20"/>
                <w:color w:val="auto"/>
              </w:rPr>
            </w:pPr>
            <w:r>
              <w:rPr>
                <w:rFonts w:ascii="Times New Roman" w:cs="Times New Roman" w:eastAsia="Times New Roman" w:hAnsi="Times New Roman"/>
                <w:sz w:val="15"/>
                <w:szCs w:val="15"/>
                <w:color w:val="231F20"/>
                <w:w w:val="99"/>
              </w:rPr>
              <w:t>2017</w:t>
            </w:r>
          </w:p>
        </w:tc>
        <w:tc>
          <w:tcPr>
            <w:tcW w:w="1100" w:type="dxa"/>
            <w:vAlign w:val="bottom"/>
            <w:gridSpan w:val="2"/>
          </w:tcPr>
          <w:p>
            <w:pPr>
              <w:jc w:val="right"/>
              <w:ind w:right="164"/>
              <w:spacing w:after="0"/>
              <w:rPr>
                <w:sz w:val="20"/>
                <w:szCs w:val="20"/>
                <w:color w:val="auto"/>
              </w:rPr>
            </w:pPr>
            <w:r>
              <w:rPr>
                <w:rFonts w:ascii="Times New Roman" w:cs="Times New Roman" w:eastAsia="Times New Roman" w:hAnsi="Times New Roman"/>
                <w:sz w:val="15"/>
                <w:szCs w:val="15"/>
                <w:color w:val="231F20"/>
              </w:rPr>
              <w:t>211,000</w:t>
            </w:r>
          </w:p>
        </w:tc>
        <w:tc>
          <w:tcPr>
            <w:tcW w:w="1100" w:type="dxa"/>
            <w:vAlign w:val="bottom"/>
            <w:gridSpan w:val="2"/>
          </w:tcPr>
          <w:p>
            <w:pPr>
              <w:jc w:val="center"/>
              <w:ind w:left="44"/>
              <w:spacing w:after="0"/>
              <w:rPr>
                <w:sz w:val="20"/>
                <w:szCs w:val="20"/>
                <w:color w:val="auto"/>
              </w:rPr>
            </w:pPr>
            <w:r>
              <w:rPr>
                <w:rFonts w:ascii="Times New Roman" w:cs="Times New Roman" w:eastAsia="Times New Roman" w:hAnsi="Times New Roman"/>
                <w:sz w:val="15"/>
                <w:szCs w:val="15"/>
                <w:color w:val="231F20"/>
              </w:rPr>
              <w:t>$22.00</w:t>
            </w:r>
          </w:p>
        </w:tc>
        <w:tc>
          <w:tcPr>
            <w:tcW w:w="900" w:type="dxa"/>
            <w:vAlign w:val="bottom"/>
            <w:gridSpan w:val="2"/>
          </w:tcPr>
          <w:p>
            <w:pPr>
              <w:jc w:val="center"/>
              <w:ind w:left="24"/>
              <w:spacing w:after="0"/>
              <w:rPr>
                <w:sz w:val="20"/>
                <w:szCs w:val="20"/>
                <w:color w:val="auto"/>
              </w:rPr>
            </w:pPr>
            <w:r>
              <w:rPr>
                <w:rFonts w:ascii="Times New Roman" w:cs="Times New Roman" w:eastAsia="Times New Roman" w:hAnsi="Times New Roman"/>
                <w:sz w:val="15"/>
                <w:szCs w:val="15"/>
                <w:color w:val="231F20"/>
              </w:rPr>
              <w:t>98%</w:t>
            </w:r>
          </w:p>
        </w:tc>
        <w:tc>
          <w:tcPr>
            <w:tcW w:w="80" w:type="dxa"/>
            <w:vAlign w:val="bottom"/>
          </w:tcPr>
          <w:p>
            <w:pPr>
              <w:spacing w:after="0"/>
              <w:rPr>
                <w:sz w:val="17"/>
                <w:szCs w:val="17"/>
                <w:color w:val="auto"/>
              </w:rPr>
            </w:pPr>
          </w:p>
        </w:tc>
        <w:tc>
          <w:tcPr>
            <w:tcW w:w="2040" w:type="dxa"/>
            <w:vAlign w:val="bottom"/>
          </w:tcPr>
          <w:p>
            <w:pPr>
              <w:ind w:left="40"/>
              <w:spacing w:after="0"/>
              <w:rPr>
                <w:sz w:val="20"/>
                <w:szCs w:val="20"/>
                <w:color w:val="auto"/>
              </w:rPr>
            </w:pPr>
            <w:r>
              <w:rPr>
                <w:rFonts w:ascii="Times New Roman" w:cs="Times New Roman" w:eastAsia="Times New Roman" w:hAnsi="Times New Roman"/>
                <w:sz w:val="15"/>
                <w:szCs w:val="15"/>
                <w:color w:val="231F20"/>
              </w:rPr>
              <w:t>Jewel Osco</w:t>
            </w: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2640" w:type="dxa"/>
            <w:vAlign w:val="bottom"/>
            <w:gridSpan w:val="3"/>
          </w:tcPr>
          <w:p>
            <w:pPr>
              <w:ind w:left="100"/>
              <w:spacing w:after="0" w:line="152" w:lineRule="exact"/>
              <w:rPr>
                <w:sz w:val="20"/>
                <w:szCs w:val="20"/>
                <w:color w:val="auto"/>
              </w:rPr>
            </w:pPr>
            <w:r>
              <w:rPr>
                <w:rFonts w:ascii="Times New Roman" w:cs="Times New Roman" w:eastAsia="Times New Roman" w:hAnsi="Times New Roman"/>
                <w:sz w:val="15"/>
                <w:szCs w:val="15"/>
                <w:color w:val="231F20"/>
              </w:rPr>
              <w:t>Chicago, IL 60614</w:t>
            </w: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ind w:left="40"/>
              <w:spacing w:after="0" w:line="152" w:lineRule="exact"/>
              <w:rPr>
                <w:sz w:val="20"/>
                <w:szCs w:val="20"/>
                <w:color w:val="auto"/>
              </w:rPr>
            </w:pPr>
            <w:r>
              <w:rPr>
                <w:rFonts w:ascii="Times New Roman" w:cs="Times New Roman" w:eastAsia="Times New Roman" w:hAnsi="Times New Roman"/>
                <w:sz w:val="15"/>
                <w:szCs w:val="15"/>
                <w:color w:val="231F20"/>
              </w:rPr>
              <w:t>Marshalls</w:t>
            </w: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40" w:type="dxa"/>
            <w:vAlign w:val="bottom"/>
          </w:tcPr>
          <w:p>
            <w:pPr>
              <w:ind w:left="40"/>
              <w:spacing w:after="0"/>
              <w:rPr>
                <w:sz w:val="20"/>
                <w:szCs w:val="20"/>
                <w:color w:val="auto"/>
              </w:rPr>
            </w:pPr>
            <w:r>
              <w:rPr>
                <w:rFonts w:ascii="Times New Roman" w:cs="Times New Roman" w:eastAsia="Times New Roman" w:hAnsi="Times New Roman"/>
                <w:sz w:val="15"/>
                <w:szCs w:val="15"/>
                <w:color w:val="231F20"/>
              </w:rPr>
              <w:t>Old Navy</w:t>
            </w:r>
          </w:p>
        </w:tc>
        <w:tc>
          <w:tcPr>
            <w:tcW w:w="0" w:type="dxa"/>
            <w:vAlign w:val="bottom"/>
          </w:tcPr>
          <w:p>
            <w:pPr>
              <w:spacing w:after="0"/>
              <w:rPr>
                <w:sz w:val="1"/>
                <w:szCs w:val="1"/>
                <w:color w:val="auto"/>
              </w:rPr>
            </w:pPr>
          </w:p>
        </w:tc>
      </w:tr>
      <w:tr>
        <w:trPr>
          <w:trHeight w:val="173"/>
        </w:trPr>
        <w:tc>
          <w:tcPr>
            <w:tcW w:w="60" w:type="dxa"/>
            <w:vAlign w:val="bottom"/>
          </w:tcPr>
          <w:p>
            <w:pPr>
              <w:spacing w:after="0"/>
              <w:rPr>
                <w:sz w:val="15"/>
                <w:szCs w:val="15"/>
                <w:color w:val="auto"/>
              </w:rPr>
            </w:pPr>
          </w:p>
        </w:tc>
        <w:tc>
          <w:tcPr>
            <w:tcW w:w="264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231F20"/>
              </w:rPr>
              <w:t>Kansas</w:t>
            </w:r>
          </w:p>
        </w:tc>
        <w:tc>
          <w:tcPr>
            <w:tcW w:w="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60" w:type="dxa"/>
            <w:vAlign w:val="bottom"/>
            <w:shd w:val="clear" w:color="auto" w:fill="231F2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gridSpan w:val="2"/>
            <w:vMerge w:val="restart"/>
          </w:tcPr>
          <w:p>
            <w:pPr>
              <w:jc w:val="center"/>
              <w:ind w:left="24"/>
              <w:spacing w:after="0"/>
              <w:rPr>
                <w:sz w:val="20"/>
                <w:szCs w:val="20"/>
                <w:color w:val="auto"/>
              </w:rPr>
            </w:pPr>
            <w:r>
              <w:rPr>
                <w:rFonts w:ascii="Times New Roman" w:cs="Times New Roman" w:eastAsia="Times New Roman" w:hAnsi="Times New Roman"/>
                <w:sz w:val="15"/>
                <w:szCs w:val="15"/>
                <w:color w:val="231F20"/>
                <w:w w:val="99"/>
              </w:rPr>
              <w:t>2025</w:t>
            </w:r>
          </w:p>
        </w:tc>
        <w:tc>
          <w:tcPr>
            <w:tcW w:w="1100" w:type="dxa"/>
            <w:vAlign w:val="bottom"/>
            <w:gridSpan w:val="2"/>
            <w:vMerge w:val="restart"/>
          </w:tcPr>
          <w:p>
            <w:pPr>
              <w:jc w:val="right"/>
              <w:ind w:right="164"/>
              <w:spacing w:after="0"/>
              <w:rPr>
                <w:sz w:val="20"/>
                <w:szCs w:val="20"/>
                <w:color w:val="auto"/>
              </w:rPr>
            </w:pPr>
            <w:r>
              <w:rPr>
                <w:rFonts w:ascii="Times New Roman" w:cs="Times New Roman" w:eastAsia="Times New Roman" w:hAnsi="Times New Roman"/>
                <w:sz w:val="15"/>
                <w:szCs w:val="15"/>
                <w:color w:val="231F20"/>
              </w:rPr>
              <w:t>552,000</w:t>
            </w:r>
          </w:p>
        </w:tc>
        <w:tc>
          <w:tcPr>
            <w:tcW w:w="1100" w:type="dxa"/>
            <w:vAlign w:val="bottom"/>
            <w:gridSpan w:val="2"/>
            <w:vMerge w:val="restart"/>
          </w:tcPr>
          <w:p>
            <w:pPr>
              <w:jc w:val="center"/>
              <w:ind w:left="44"/>
              <w:spacing w:after="0"/>
              <w:rPr>
                <w:sz w:val="20"/>
                <w:szCs w:val="20"/>
                <w:color w:val="auto"/>
              </w:rPr>
            </w:pPr>
            <w:r>
              <w:rPr>
                <w:rFonts w:ascii="Times New Roman" w:cs="Times New Roman" w:eastAsia="Times New Roman" w:hAnsi="Times New Roman"/>
                <w:sz w:val="15"/>
                <w:szCs w:val="15"/>
                <w:color w:val="231F20"/>
              </w:rPr>
              <w:t>$37.14</w:t>
            </w:r>
          </w:p>
        </w:tc>
        <w:tc>
          <w:tcPr>
            <w:tcW w:w="900" w:type="dxa"/>
            <w:vAlign w:val="bottom"/>
            <w:gridSpan w:val="2"/>
            <w:vMerge w:val="restart"/>
          </w:tcPr>
          <w:p>
            <w:pPr>
              <w:jc w:val="center"/>
              <w:ind w:left="24"/>
              <w:spacing w:after="0"/>
              <w:rPr>
                <w:sz w:val="20"/>
                <w:szCs w:val="20"/>
                <w:color w:val="auto"/>
              </w:rPr>
            </w:pPr>
            <w:r>
              <w:rPr>
                <w:rFonts w:ascii="Times New Roman" w:cs="Times New Roman" w:eastAsia="Times New Roman" w:hAnsi="Times New Roman"/>
                <w:sz w:val="15"/>
                <w:szCs w:val="15"/>
                <w:color w:val="231F20"/>
              </w:rPr>
              <w:t>95%</w:t>
            </w:r>
          </w:p>
        </w:tc>
        <w:tc>
          <w:tcPr>
            <w:tcW w:w="80" w:type="dxa"/>
            <w:vAlign w:val="bottom"/>
          </w:tcPr>
          <w:p>
            <w:pPr>
              <w:spacing w:after="0" w:line="20" w:lineRule="exact"/>
              <w:rPr>
                <w:sz w:val="1"/>
                <w:szCs w:val="1"/>
                <w:color w:val="auto"/>
              </w:rPr>
            </w:pPr>
          </w:p>
        </w:tc>
        <w:tc>
          <w:tcPr>
            <w:tcW w:w="204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231F20"/>
              </w:rPr>
              <w:t>Trader Joe's</w:t>
            </w:r>
          </w:p>
        </w:tc>
        <w:tc>
          <w:tcPr>
            <w:tcW w:w="0" w:type="dxa"/>
            <w:vAlign w:val="bottom"/>
          </w:tcPr>
          <w:p>
            <w:pPr>
              <w:spacing w:after="0" w:line="20" w:lineRule="exact"/>
              <w:rPr>
                <w:sz w:val="1"/>
                <w:szCs w:val="1"/>
                <w:color w:val="auto"/>
              </w:rPr>
            </w:pPr>
          </w:p>
        </w:tc>
      </w:tr>
      <w:tr>
        <w:trPr>
          <w:trHeight w:val="213"/>
        </w:trPr>
        <w:tc>
          <w:tcPr>
            <w:tcW w:w="60" w:type="dxa"/>
            <w:vAlign w:val="bottom"/>
          </w:tcPr>
          <w:p>
            <w:pPr>
              <w:spacing w:after="0"/>
              <w:rPr>
                <w:sz w:val="18"/>
                <w:szCs w:val="18"/>
                <w:color w:val="auto"/>
              </w:rPr>
            </w:pPr>
          </w:p>
        </w:tc>
        <w:tc>
          <w:tcPr>
            <w:tcW w:w="2640" w:type="dxa"/>
            <w:vAlign w:val="bottom"/>
            <w:gridSpan w:val="3"/>
          </w:tcPr>
          <w:p>
            <w:pPr>
              <w:spacing w:after="0"/>
              <w:rPr>
                <w:sz w:val="20"/>
                <w:szCs w:val="20"/>
                <w:color w:val="auto"/>
              </w:rPr>
            </w:pPr>
            <w:r>
              <w:rPr>
                <w:rFonts w:ascii="Times New Roman" w:cs="Times New Roman" w:eastAsia="Times New Roman" w:hAnsi="Times New Roman"/>
                <w:sz w:val="15"/>
                <w:szCs w:val="15"/>
                <w:color w:val="231F20"/>
              </w:rPr>
              <w:t>Town Center Crossing/Town Center Plaza</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231F20"/>
              </w:rPr>
              <w:t>1995,</w:t>
            </w:r>
          </w:p>
        </w:tc>
        <w:tc>
          <w:tcPr>
            <w:tcW w:w="880" w:type="dxa"/>
            <w:vAlign w:val="bottom"/>
            <w:gridSpan w:val="2"/>
            <w:vMerge w:val="continue"/>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2640" w:type="dxa"/>
            <w:vAlign w:val="bottom"/>
            <w:gridSpan w:val="3"/>
          </w:tcPr>
          <w:p>
            <w:pPr>
              <w:ind w:left="100"/>
              <w:spacing w:after="0" w:line="152" w:lineRule="exact"/>
              <w:rPr>
                <w:sz w:val="20"/>
                <w:szCs w:val="20"/>
                <w:color w:val="auto"/>
              </w:rPr>
            </w:pPr>
            <w:r>
              <w:rPr>
                <w:rFonts w:ascii="Times New Roman" w:cs="Times New Roman" w:eastAsia="Times New Roman" w:hAnsi="Times New Roman"/>
                <w:sz w:val="15"/>
                <w:szCs w:val="15"/>
                <w:color w:val="231F20"/>
              </w:rPr>
              <w:t>Leawood, KS 66209</w:t>
            </w:r>
          </w:p>
        </w:tc>
        <w:tc>
          <w:tcPr>
            <w:tcW w:w="920" w:type="dxa"/>
            <w:vAlign w:val="bottom"/>
            <w:gridSpan w:val="2"/>
          </w:tcPr>
          <w:p>
            <w:pPr>
              <w:jc w:val="center"/>
              <w:spacing w:after="0" w:line="152" w:lineRule="exact"/>
              <w:rPr>
                <w:sz w:val="20"/>
                <w:szCs w:val="20"/>
                <w:color w:val="auto"/>
              </w:rPr>
            </w:pPr>
            <w:r>
              <w:rPr>
                <w:rFonts w:ascii="Times New Roman" w:cs="Times New Roman" w:eastAsia="Times New Roman" w:hAnsi="Times New Roman"/>
                <w:sz w:val="15"/>
                <w:szCs w:val="15"/>
                <w:color w:val="231F20"/>
              </w:rPr>
              <w:t>2005-2008,</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ind w:left="40"/>
              <w:spacing w:after="0" w:line="152" w:lineRule="exact"/>
              <w:rPr>
                <w:sz w:val="20"/>
                <w:szCs w:val="20"/>
                <w:color w:val="auto"/>
              </w:rPr>
            </w:pPr>
            <w:r>
              <w:rPr>
                <w:rFonts w:ascii="Times New Roman" w:cs="Times New Roman" w:eastAsia="Times New Roman" w:hAnsi="Times New Roman"/>
                <w:sz w:val="15"/>
                <w:szCs w:val="15"/>
                <w:color w:val="231F20"/>
              </w:rPr>
              <w:t>Crate &amp; Barrel</w:t>
            </w: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920" w:type="dxa"/>
            <w:vAlign w:val="bottom"/>
            <w:gridSpan w:val="2"/>
          </w:tcPr>
          <w:p>
            <w:pPr>
              <w:jc w:val="center"/>
              <w:ind w:left="4"/>
              <w:spacing w:after="0" w:line="152" w:lineRule="exact"/>
              <w:rPr>
                <w:sz w:val="20"/>
                <w:szCs w:val="20"/>
                <w:color w:val="auto"/>
              </w:rPr>
            </w:pPr>
            <w:r>
              <w:rPr>
                <w:rFonts w:ascii="Times New Roman" w:cs="Times New Roman" w:eastAsia="Times New Roman" w:hAnsi="Times New Roman"/>
                <w:sz w:val="15"/>
                <w:szCs w:val="15"/>
                <w:color w:val="231F20"/>
              </w:rPr>
              <w:t>2014, 2015</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ind w:left="40"/>
              <w:spacing w:after="0" w:line="152" w:lineRule="exact"/>
              <w:rPr>
                <w:sz w:val="20"/>
                <w:szCs w:val="20"/>
                <w:color w:val="auto"/>
              </w:rPr>
            </w:pPr>
            <w:r>
              <w:rPr>
                <w:rFonts w:ascii="Times New Roman" w:cs="Times New Roman" w:eastAsia="Times New Roman" w:hAnsi="Times New Roman"/>
                <w:sz w:val="15"/>
                <w:szCs w:val="15"/>
                <w:color w:val="231F20"/>
              </w:rPr>
              <w:t>Pottery Barn</w:t>
            </w: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ind w:left="40"/>
              <w:spacing w:after="0" w:line="152" w:lineRule="exact"/>
              <w:rPr>
                <w:sz w:val="20"/>
                <w:szCs w:val="20"/>
                <w:color w:val="auto"/>
              </w:rPr>
            </w:pPr>
            <w:r>
              <w:rPr>
                <w:rFonts w:ascii="Times New Roman" w:cs="Times New Roman" w:eastAsia="Times New Roman" w:hAnsi="Times New Roman"/>
                <w:sz w:val="15"/>
                <w:szCs w:val="15"/>
                <w:color w:val="231F20"/>
              </w:rPr>
              <w:t>Restoration Hardware</w:t>
            </w: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ind w:left="40"/>
              <w:spacing w:after="0" w:line="152" w:lineRule="exact"/>
              <w:rPr>
                <w:sz w:val="20"/>
                <w:szCs w:val="20"/>
                <w:color w:val="auto"/>
              </w:rPr>
            </w:pPr>
            <w:r>
              <w:rPr>
                <w:rFonts w:ascii="Times New Roman" w:cs="Times New Roman" w:eastAsia="Times New Roman" w:hAnsi="Times New Roman"/>
                <w:sz w:val="15"/>
                <w:szCs w:val="15"/>
                <w:color w:val="231F20"/>
              </w:rPr>
              <w:t>Apple</w:t>
            </w: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40" w:type="dxa"/>
            <w:vAlign w:val="bottom"/>
          </w:tcPr>
          <w:p>
            <w:pPr>
              <w:ind w:left="40"/>
              <w:spacing w:after="0"/>
              <w:rPr>
                <w:sz w:val="20"/>
                <w:szCs w:val="20"/>
                <w:color w:val="auto"/>
              </w:rPr>
            </w:pPr>
            <w:r>
              <w:rPr>
                <w:rFonts w:ascii="Times New Roman" w:cs="Times New Roman" w:eastAsia="Times New Roman" w:hAnsi="Times New Roman"/>
                <w:sz w:val="15"/>
                <w:szCs w:val="15"/>
                <w:color w:val="231F20"/>
              </w:rPr>
              <w:t>Aritzia</w:t>
            </w:r>
          </w:p>
        </w:tc>
        <w:tc>
          <w:tcPr>
            <w:tcW w:w="0" w:type="dxa"/>
            <w:vAlign w:val="bottom"/>
          </w:tcPr>
          <w:p>
            <w:pPr>
              <w:spacing w:after="0"/>
              <w:rPr>
                <w:sz w:val="1"/>
                <w:szCs w:val="1"/>
                <w:color w:val="auto"/>
              </w:rPr>
            </w:pPr>
          </w:p>
        </w:tc>
      </w:tr>
      <w:tr>
        <w:trPr>
          <w:trHeight w:val="188"/>
        </w:trPr>
        <w:tc>
          <w:tcPr>
            <w:tcW w:w="60" w:type="dxa"/>
            <w:vAlign w:val="bottom"/>
          </w:tcPr>
          <w:p>
            <w:pPr>
              <w:spacing w:after="0"/>
              <w:rPr>
                <w:sz w:val="16"/>
                <w:szCs w:val="16"/>
                <w:color w:val="auto"/>
              </w:rPr>
            </w:pPr>
          </w:p>
        </w:tc>
        <w:tc>
          <w:tcPr>
            <w:tcW w:w="264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231F20"/>
              </w:rPr>
              <w:t>Maryland</w:t>
            </w:r>
          </w:p>
        </w:tc>
        <w:tc>
          <w:tcPr>
            <w:tcW w:w="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40" w:type="dxa"/>
            <w:vAlign w:val="bottom"/>
            <w:gridSpan w:val="2"/>
            <w:shd w:val="clear" w:color="auto" w:fill="231F2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60" w:type="dxa"/>
            <w:vAlign w:val="bottom"/>
          </w:tcPr>
          <w:p>
            <w:pPr>
              <w:spacing w:after="0"/>
              <w:rPr>
                <w:sz w:val="18"/>
                <w:szCs w:val="18"/>
                <w:color w:val="auto"/>
              </w:rPr>
            </w:pPr>
          </w:p>
        </w:tc>
        <w:tc>
          <w:tcPr>
            <w:tcW w:w="2640" w:type="dxa"/>
            <w:vAlign w:val="bottom"/>
            <w:gridSpan w:val="3"/>
          </w:tcPr>
          <w:p>
            <w:pPr>
              <w:spacing w:after="0"/>
              <w:rPr>
                <w:sz w:val="20"/>
                <w:szCs w:val="20"/>
                <w:color w:val="auto"/>
              </w:rPr>
            </w:pPr>
            <w:r>
              <w:rPr>
                <w:rFonts w:ascii="Times New Roman" w:cs="Times New Roman" w:eastAsia="Times New Roman" w:hAnsi="Times New Roman"/>
                <w:sz w:val="15"/>
                <w:szCs w:val="15"/>
                <w:color w:val="231F20"/>
              </w:rPr>
              <w:t>Annapolis Town Center</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231F20"/>
              </w:rPr>
              <w:t>2007-2010</w:t>
            </w:r>
          </w:p>
        </w:tc>
        <w:tc>
          <w:tcPr>
            <w:tcW w:w="880" w:type="dxa"/>
            <w:vAlign w:val="bottom"/>
            <w:gridSpan w:val="2"/>
          </w:tcPr>
          <w:p>
            <w:pPr>
              <w:jc w:val="center"/>
              <w:ind w:left="24"/>
              <w:spacing w:after="0"/>
              <w:rPr>
                <w:sz w:val="20"/>
                <w:szCs w:val="20"/>
                <w:color w:val="auto"/>
              </w:rPr>
            </w:pPr>
            <w:r>
              <w:rPr>
                <w:rFonts w:ascii="Times New Roman" w:cs="Times New Roman" w:eastAsia="Times New Roman" w:hAnsi="Times New Roman"/>
                <w:sz w:val="15"/>
                <w:szCs w:val="15"/>
                <w:color w:val="231F20"/>
                <w:w w:val="99"/>
              </w:rPr>
              <w:t>2025</w:t>
            </w:r>
          </w:p>
        </w:tc>
        <w:tc>
          <w:tcPr>
            <w:tcW w:w="1100" w:type="dxa"/>
            <w:vAlign w:val="bottom"/>
            <w:gridSpan w:val="2"/>
          </w:tcPr>
          <w:p>
            <w:pPr>
              <w:jc w:val="right"/>
              <w:ind w:right="164"/>
              <w:spacing w:after="0"/>
              <w:rPr>
                <w:sz w:val="20"/>
                <w:szCs w:val="20"/>
                <w:color w:val="auto"/>
              </w:rPr>
            </w:pPr>
            <w:r>
              <w:rPr>
                <w:rFonts w:ascii="Times New Roman" w:cs="Times New Roman" w:eastAsia="Times New Roman" w:hAnsi="Times New Roman"/>
                <w:sz w:val="15"/>
                <w:szCs w:val="15"/>
                <w:color w:val="231F20"/>
              </w:rPr>
              <w:t>479,000</w:t>
            </w:r>
          </w:p>
        </w:tc>
        <w:tc>
          <w:tcPr>
            <w:tcW w:w="1100" w:type="dxa"/>
            <w:vAlign w:val="bottom"/>
            <w:gridSpan w:val="2"/>
          </w:tcPr>
          <w:p>
            <w:pPr>
              <w:jc w:val="right"/>
              <w:ind w:right="224"/>
              <w:spacing w:after="0"/>
              <w:rPr>
                <w:sz w:val="20"/>
                <w:szCs w:val="20"/>
                <w:color w:val="auto"/>
              </w:rPr>
            </w:pPr>
            <w:r>
              <w:rPr>
                <w:rFonts w:ascii="Times New Roman" w:cs="Times New Roman" w:eastAsia="Times New Roman" w:hAnsi="Times New Roman"/>
                <w:sz w:val="15"/>
                <w:szCs w:val="15"/>
                <w:color w:val="231F20"/>
              </w:rPr>
              <w:t>$34.67</w:t>
            </w:r>
          </w:p>
        </w:tc>
        <w:tc>
          <w:tcPr>
            <w:tcW w:w="900" w:type="dxa"/>
            <w:vAlign w:val="bottom"/>
            <w:gridSpan w:val="2"/>
          </w:tcPr>
          <w:p>
            <w:pPr>
              <w:jc w:val="center"/>
              <w:ind w:left="24"/>
              <w:spacing w:after="0"/>
              <w:rPr>
                <w:sz w:val="20"/>
                <w:szCs w:val="20"/>
                <w:color w:val="auto"/>
              </w:rPr>
            </w:pPr>
            <w:r>
              <w:rPr>
                <w:rFonts w:ascii="Times New Roman" w:cs="Times New Roman" w:eastAsia="Times New Roman" w:hAnsi="Times New Roman"/>
                <w:sz w:val="15"/>
                <w:szCs w:val="15"/>
                <w:color w:val="231F20"/>
              </w:rPr>
              <w:t>90%</w:t>
            </w:r>
          </w:p>
        </w:tc>
        <w:tc>
          <w:tcPr>
            <w:tcW w:w="80" w:type="dxa"/>
            <w:vAlign w:val="bottom"/>
          </w:tcPr>
          <w:p>
            <w:pPr>
              <w:spacing w:after="0"/>
              <w:rPr>
                <w:sz w:val="18"/>
                <w:szCs w:val="18"/>
                <w:color w:val="auto"/>
              </w:rPr>
            </w:pPr>
          </w:p>
        </w:tc>
        <w:tc>
          <w:tcPr>
            <w:tcW w:w="2040" w:type="dxa"/>
            <w:vAlign w:val="bottom"/>
          </w:tcPr>
          <w:p>
            <w:pPr>
              <w:ind w:left="40"/>
              <w:spacing w:after="0"/>
              <w:rPr>
                <w:sz w:val="20"/>
                <w:szCs w:val="20"/>
                <w:color w:val="auto"/>
              </w:rPr>
            </w:pPr>
            <w:r>
              <w:rPr>
                <w:rFonts w:ascii="Times New Roman" w:cs="Times New Roman" w:eastAsia="Times New Roman" w:hAnsi="Times New Roman"/>
                <w:sz w:val="15"/>
                <w:szCs w:val="15"/>
                <w:color w:val="231F20"/>
              </w:rPr>
              <w:t>Whole Foods</w:t>
            </w: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2640" w:type="dxa"/>
            <w:vAlign w:val="bottom"/>
            <w:gridSpan w:val="3"/>
          </w:tcPr>
          <w:p>
            <w:pPr>
              <w:ind w:left="100"/>
              <w:spacing w:after="0" w:line="152" w:lineRule="exact"/>
              <w:rPr>
                <w:sz w:val="20"/>
                <w:szCs w:val="20"/>
                <w:color w:val="auto"/>
              </w:rPr>
            </w:pPr>
            <w:r>
              <w:rPr>
                <w:rFonts w:ascii="Times New Roman" w:cs="Times New Roman" w:eastAsia="Times New Roman" w:hAnsi="Times New Roman"/>
                <w:sz w:val="15"/>
                <w:szCs w:val="15"/>
                <w:color w:val="231F20"/>
              </w:rPr>
              <w:t>Annapolis, MD 21401</w:t>
            </w: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ind w:left="40"/>
              <w:spacing w:after="0" w:line="152" w:lineRule="exact"/>
              <w:rPr>
                <w:sz w:val="20"/>
                <w:szCs w:val="20"/>
                <w:color w:val="auto"/>
              </w:rPr>
            </w:pPr>
            <w:r>
              <w:rPr>
                <w:rFonts w:ascii="Times New Roman" w:cs="Times New Roman" w:eastAsia="Times New Roman" w:hAnsi="Times New Roman"/>
                <w:sz w:val="15"/>
                <w:szCs w:val="15"/>
                <w:color w:val="231F20"/>
              </w:rPr>
              <w:t>Restoration Hardware</w:t>
            </w: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ind w:left="40"/>
              <w:spacing w:after="0" w:line="152" w:lineRule="exact"/>
              <w:rPr>
                <w:sz w:val="20"/>
                <w:szCs w:val="20"/>
                <w:color w:val="auto"/>
              </w:rPr>
            </w:pPr>
            <w:r>
              <w:rPr>
                <w:rFonts w:ascii="Times New Roman" w:cs="Times New Roman" w:eastAsia="Times New Roman" w:hAnsi="Times New Roman"/>
                <w:sz w:val="15"/>
                <w:szCs w:val="15"/>
                <w:color w:val="231F20"/>
              </w:rPr>
              <w:t>Pottery Barn</w:t>
            </w: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ind w:left="40"/>
              <w:spacing w:after="0" w:line="152" w:lineRule="exact"/>
              <w:rPr>
                <w:sz w:val="20"/>
                <w:szCs w:val="20"/>
                <w:color w:val="auto"/>
              </w:rPr>
            </w:pPr>
            <w:r>
              <w:rPr>
                <w:rFonts w:ascii="Times New Roman" w:cs="Times New Roman" w:eastAsia="Times New Roman" w:hAnsi="Times New Roman"/>
                <w:sz w:val="15"/>
                <w:szCs w:val="15"/>
                <w:color w:val="231F20"/>
              </w:rPr>
              <w:t>Williams Sonoma</w:t>
            </w: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ind w:left="40"/>
              <w:spacing w:after="0" w:line="152" w:lineRule="exact"/>
              <w:rPr>
                <w:sz w:val="20"/>
                <w:szCs w:val="20"/>
                <w:color w:val="auto"/>
              </w:rPr>
            </w:pPr>
            <w:r>
              <w:rPr>
                <w:rFonts w:ascii="Times New Roman" w:cs="Times New Roman" w:eastAsia="Times New Roman" w:hAnsi="Times New Roman"/>
                <w:sz w:val="15"/>
                <w:szCs w:val="15"/>
                <w:color w:val="231F20"/>
              </w:rPr>
              <w:t>Life Time Fitness</w:t>
            </w: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40" w:type="dxa"/>
            <w:vAlign w:val="bottom"/>
          </w:tcPr>
          <w:p>
            <w:pPr>
              <w:ind w:left="40"/>
              <w:spacing w:after="0"/>
              <w:rPr>
                <w:sz w:val="20"/>
                <w:szCs w:val="20"/>
                <w:color w:val="auto"/>
              </w:rPr>
            </w:pPr>
            <w:r>
              <w:rPr>
                <w:rFonts w:ascii="Times New Roman" w:cs="Times New Roman" w:eastAsia="Times New Roman" w:hAnsi="Times New Roman"/>
                <w:sz w:val="15"/>
                <w:szCs w:val="15"/>
                <w:color w:val="231F20"/>
              </w:rPr>
              <w:t>Anthropologie</w:t>
            </w:r>
          </w:p>
        </w:tc>
        <w:tc>
          <w:tcPr>
            <w:tcW w:w="0" w:type="dxa"/>
            <w:vAlign w:val="bottom"/>
          </w:tcPr>
          <w:p>
            <w:pPr>
              <w:spacing w:after="0"/>
              <w:rPr>
                <w:sz w:val="1"/>
                <w:szCs w:val="1"/>
                <w:color w:val="auto"/>
              </w:rPr>
            </w:pPr>
          </w:p>
        </w:tc>
      </w:tr>
      <w:tr>
        <w:trPr>
          <w:trHeight w:val="207"/>
        </w:trPr>
        <w:tc>
          <w:tcPr>
            <w:tcW w:w="60" w:type="dxa"/>
            <w:vAlign w:val="bottom"/>
          </w:tcPr>
          <w:p>
            <w:pPr>
              <w:spacing w:after="0"/>
              <w:rPr>
                <w:sz w:val="17"/>
                <w:szCs w:val="17"/>
                <w:color w:val="auto"/>
              </w:rPr>
            </w:pPr>
          </w:p>
        </w:tc>
        <w:tc>
          <w:tcPr>
            <w:tcW w:w="2640" w:type="dxa"/>
            <w:vAlign w:val="bottom"/>
            <w:gridSpan w:val="3"/>
          </w:tcPr>
          <w:p>
            <w:pPr>
              <w:spacing w:after="0"/>
              <w:rPr>
                <w:sz w:val="20"/>
                <w:szCs w:val="20"/>
                <w:color w:val="auto"/>
              </w:rPr>
            </w:pPr>
            <w:r>
              <w:rPr>
                <w:rFonts w:ascii="Times New Roman" w:cs="Times New Roman" w:eastAsia="Times New Roman" w:hAnsi="Times New Roman"/>
                <w:sz w:val="15"/>
                <w:szCs w:val="15"/>
                <w:color w:val="231F20"/>
              </w:rPr>
              <w:t>Bethesda Row</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231F20"/>
              </w:rPr>
              <w:t>1945-1991</w:t>
            </w:r>
          </w:p>
        </w:tc>
        <w:tc>
          <w:tcPr>
            <w:tcW w:w="880" w:type="dxa"/>
            <w:vAlign w:val="bottom"/>
            <w:gridSpan w:val="2"/>
          </w:tcPr>
          <w:p>
            <w:pPr>
              <w:jc w:val="center"/>
              <w:ind w:left="24"/>
              <w:spacing w:after="0"/>
              <w:rPr>
                <w:sz w:val="20"/>
                <w:szCs w:val="20"/>
                <w:color w:val="auto"/>
              </w:rPr>
            </w:pPr>
            <w:r>
              <w:rPr>
                <w:rFonts w:ascii="Times New Roman" w:cs="Times New Roman" w:eastAsia="Times New Roman" w:hAnsi="Times New Roman"/>
                <w:sz w:val="15"/>
                <w:szCs w:val="15"/>
                <w:color w:val="231F20"/>
              </w:rPr>
              <w:t>1993-2006/</w:t>
            </w:r>
          </w:p>
        </w:tc>
        <w:tc>
          <w:tcPr>
            <w:tcW w:w="1100" w:type="dxa"/>
            <w:vAlign w:val="bottom"/>
            <w:gridSpan w:val="2"/>
          </w:tcPr>
          <w:p>
            <w:pPr>
              <w:jc w:val="right"/>
              <w:ind w:right="164"/>
              <w:spacing w:after="0"/>
              <w:rPr>
                <w:sz w:val="20"/>
                <w:szCs w:val="20"/>
                <w:color w:val="auto"/>
              </w:rPr>
            </w:pPr>
            <w:r>
              <w:rPr>
                <w:rFonts w:ascii="Times New Roman" w:cs="Times New Roman" w:eastAsia="Times New Roman" w:hAnsi="Times New Roman"/>
                <w:sz w:val="15"/>
                <w:szCs w:val="15"/>
                <w:color w:val="231F20"/>
              </w:rPr>
              <w:t>532,000</w:t>
            </w:r>
          </w:p>
        </w:tc>
        <w:tc>
          <w:tcPr>
            <w:tcW w:w="1100" w:type="dxa"/>
            <w:vAlign w:val="bottom"/>
            <w:gridSpan w:val="2"/>
          </w:tcPr>
          <w:p>
            <w:pPr>
              <w:jc w:val="center"/>
              <w:ind w:left="44"/>
              <w:spacing w:after="0"/>
              <w:rPr>
                <w:sz w:val="20"/>
                <w:szCs w:val="20"/>
                <w:color w:val="auto"/>
              </w:rPr>
            </w:pPr>
            <w:r>
              <w:rPr>
                <w:rFonts w:ascii="Times New Roman" w:cs="Times New Roman" w:eastAsia="Times New Roman" w:hAnsi="Times New Roman"/>
                <w:sz w:val="15"/>
                <w:szCs w:val="15"/>
                <w:color w:val="231F20"/>
              </w:rPr>
              <w:t>$60.65</w:t>
            </w:r>
          </w:p>
        </w:tc>
        <w:tc>
          <w:tcPr>
            <w:tcW w:w="900" w:type="dxa"/>
            <w:vAlign w:val="bottom"/>
            <w:gridSpan w:val="2"/>
          </w:tcPr>
          <w:p>
            <w:pPr>
              <w:jc w:val="center"/>
              <w:ind w:left="24"/>
              <w:spacing w:after="0"/>
              <w:rPr>
                <w:sz w:val="20"/>
                <w:szCs w:val="20"/>
                <w:color w:val="auto"/>
              </w:rPr>
            </w:pPr>
            <w:r>
              <w:rPr>
                <w:rFonts w:ascii="Times New Roman" w:cs="Times New Roman" w:eastAsia="Times New Roman" w:hAnsi="Times New Roman"/>
                <w:sz w:val="15"/>
                <w:szCs w:val="15"/>
                <w:color w:val="231F20"/>
              </w:rPr>
              <w:t>99%</w:t>
            </w:r>
          </w:p>
        </w:tc>
        <w:tc>
          <w:tcPr>
            <w:tcW w:w="80" w:type="dxa"/>
            <w:vAlign w:val="bottom"/>
          </w:tcPr>
          <w:p>
            <w:pPr>
              <w:spacing w:after="0"/>
              <w:rPr>
                <w:sz w:val="17"/>
                <w:szCs w:val="17"/>
                <w:color w:val="auto"/>
              </w:rPr>
            </w:pPr>
          </w:p>
        </w:tc>
        <w:tc>
          <w:tcPr>
            <w:tcW w:w="2040" w:type="dxa"/>
            <w:vAlign w:val="bottom"/>
          </w:tcPr>
          <w:p>
            <w:pPr>
              <w:ind w:left="40"/>
              <w:spacing w:after="0"/>
              <w:rPr>
                <w:sz w:val="20"/>
                <w:szCs w:val="20"/>
                <w:color w:val="auto"/>
              </w:rPr>
            </w:pPr>
            <w:r>
              <w:rPr>
                <w:rFonts w:ascii="Times New Roman" w:cs="Times New Roman" w:eastAsia="Times New Roman" w:hAnsi="Times New Roman"/>
                <w:sz w:val="15"/>
                <w:szCs w:val="15"/>
                <w:color w:val="231F20"/>
              </w:rPr>
              <w:t>Giant Food</w:t>
            </w: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2640" w:type="dxa"/>
            <w:vAlign w:val="bottom"/>
            <w:gridSpan w:val="3"/>
          </w:tcPr>
          <w:p>
            <w:pPr>
              <w:ind w:left="100"/>
              <w:spacing w:after="0" w:line="152" w:lineRule="exact"/>
              <w:rPr>
                <w:sz w:val="20"/>
                <w:szCs w:val="20"/>
                <w:color w:val="auto"/>
              </w:rPr>
            </w:pPr>
            <w:r>
              <w:rPr>
                <w:rFonts w:ascii="Times New Roman" w:cs="Times New Roman" w:eastAsia="Times New Roman" w:hAnsi="Times New Roman"/>
                <w:sz w:val="15"/>
                <w:szCs w:val="15"/>
                <w:color w:val="231F20"/>
              </w:rPr>
              <w:t>Bethesda, MD 20814(6)(7)</w:t>
            </w:r>
          </w:p>
        </w:tc>
        <w:tc>
          <w:tcPr>
            <w:tcW w:w="920" w:type="dxa"/>
            <w:vAlign w:val="bottom"/>
            <w:gridSpan w:val="2"/>
          </w:tcPr>
          <w:p>
            <w:pPr>
              <w:jc w:val="center"/>
              <w:ind w:left="4"/>
              <w:spacing w:after="0" w:line="152" w:lineRule="exact"/>
              <w:rPr>
                <w:sz w:val="20"/>
                <w:szCs w:val="20"/>
                <w:color w:val="auto"/>
              </w:rPr>
            </w:pPr>
            <w:r>
              <w:rPr>
                <w:rFonts w:ascii="Times New Roman" w:cs="Times New Roman" w:eastAsia="Times New Roman" w:hAnsi="Times New Roman"/>
                <w:sz w:val="15"/>
                <w:szCs w:val="15"/>
                <w:color w:val="231F20"/>
              </w:rPr>
              <w:t>2001, 2008</w:t>
            </w:r>
          </w:p>
        </w:tc>
        <w:tc>
          <w:tcPr>
            <w:tcW w:w="880" w:type="dxa"/>
            <w:vAlign w:val="bottom"/>
            <w:gridSpan w:val="2"/>
          </w:tcPr>
          <w:p>
            <w:pPr>
              <w:jc w:val="center"/>
              <w:ind w:left="4"/>
              <w:spacing w:after="0" w:line="152" w:lineRule="exact"/>
              <w:rPr>
                <w:sz w:val="20"/>
                <w:szCs w:val="20"/>
                <w:color w:val="auto"/>
              </w:rPr>
            </w:pPr>
            <w:r>
              <w:rPr>
                <w:rFonts w:ascii="Times New Roman" w:cs="Times New Roman" w:eastAsia="Times New Roman" w:hAnsi="Times New Roman"/>
                <w:sz w:val="15"/>
                <w:szCs w:val="15"/>
                <w:color w:val="231F20"/>
                <w:w w:val="99"/>
              </w:rPr>
              <w:t>2008/2010</w:t>
            </w: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ind w:left="40"/>
              <w:spacing w:after="0" w:line="152" w:lineRule="exact"/>
              <w:rPr>
                <w:sz w:val="20"/>
                <w:szCs w:val="20"/>
                <w:color w:val="auto"/>
              </w:rPr>
            </w:pPr>
            <w:r>
              <w:rPr>
                <w:rFonts w:ascii="Times New Roman" w:cs="Times New Roman" w:eastAsia="Times New Roman" w:hAnsi="Times New Roman"/>
                <w:sz w:val="15"/>
                <w:szCs w:val="15"/>
                <w:color w:val="231F20"/>
              </w:rPr>
              <w:t>Apple</w:t>
            </w: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ind w:left="40"/>
              <w:spacing w:after="0" w:line="152" w:lineRule="exact"/>
              <w:rPr>
                <w:sz w:val="20"/>
                <w:szCs w:val="20"/>
                <w:color w:val="auto"/>
              </w:rPr>
            </w:pPr>
            <w:r>
              <w:rPr>
                <w:rFonts w:ascii="Times New Roman" w:cs="Times New Roman" w:eastAsia="Times New Roman" w:hAnsi="Times New Roman"/>
                <w:sz w:val="15"/>
                <w:szCs w:val="15"/>
                <w:color w:val="231F20"/>
              </w:rPr>
              <w:t>Anthropologie</w:t>
            </w: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ind w:left="40"/>
              <w:spacing w:after="0" w:line="152" w:lineRule="exact"/>
              <w:rPr>
                <w:sz w:val="20"/>
                <w:szCs w:val="20"/>
                <w:color w:val="auto"/>
              </w:rPr>
            </w:pPr>
            <w:r>
              <w:rPr>
                <w:rFonts w:ascii="Times New Roman" w:cs="Times New Roman" w:eastAsia="Times New Roman" w:hAnsi="Times New Roman"/>
                <w:sz w:val="15"/>
                <w:szCs w:val="15"/>
                <w:color w:val="231F20"/>
              </w:rPr>
              <w:t>Equinox</w:t>
            </w: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40" w:type="dxa"/>
            <w:vAlign w:val="bottom"/>
          </w:tcPr>
          <w:p>
            <w:pPr>
              <w:ind w:left="40"/>
              <w:spacing w:after="0"/>
              <w:rPr>
                <w:sz w:val="20"/>
                <w:szCs w:val="20"/>
                <w:color w:val="auto"/>
              </w:rPr>
            </w:pPr>
            <w:r>
              <w:rPr>
                <w:rFonts w:ascii="Times New Roman" w:cs="Times New Roman" w:eastAsia="Times New Roman" w:hAnsi="Times New Roman"/>
                <w:sz w:val="15"/>
                <w:szCs w:val="15"/>
                <w:color w:val="231F20"/>
              </w:rPr>
              <w:t>Multiple Restaurants</w:t>
            </w:r>
          </w:p>
        </w:tc>
        <w:tc>
          <w:tcPr>
            <w:tcW w:w="0" w:type="dxa"/>
            <w:vAlign w:val="bottom"/>
          </w:tcPr>
          <w:p>
            <w:pPr>
              <w:spacing w:after="0"/>
              <w:rPr>
                <w:sz w:val="1"/>
                <w:szCs w:val="1"/>
                <w:color w:val="auto"/>
              </w:rPr>
            </w:pPr>
          </w:p>
        </w:tc>
      </w:tr>
      <w:tr>
        <w:trPr>
          <w:trHeight w:val="187"/>
        </w:trPr>
        <w:tc>
          <w:tcPr>
            <w:tcW w:w="60" w:type="dxa"/>
            <w:vAlign w:val="bottom"/>
          </w:tcPr>
          <w:p>
            <w:pPr>
              <w:spacing w:after="0"/>
              <w:rPr>
                <w:sz w:val="16"/>
                <w:szCs w:val="16"/>
                <w:color w:val="auto"/>
              </w:rPr>
            </w:pPr>
          </w:p>
        </w:tc>
        <w:tc>
          <w:tcPr>
            <w:tcW w:w="2640" w:type="dxa"/>
            <w:vAlign w:val="bottom"/>
            <w:gridSpan w:val="3"/>
          </w:tcPr>
          <w:p>
            <w:pPr>
              <w:spacing w:after="0"/>
              <w:rPr>
                <w:sz w:val="20"/>
                <w:szCs w:val="20"/>
                <w:color w:val="auto"/>
              </w:rPr>
            </w:pPr>
            <w:r>
              <w:rPr>
                <w:rFonts w:ascii="Times New Roman" w:cs="Times New Roman" w:eastAsia="Times New Roman" w:hAnsi="Times New Roman"/>
                <w:sz w:val="15"/>
                <w:szCs w:val="15"/>
                <w:color w:val="231F20"/>
              </w:rPr>
              <w:t>Bethesda Row Residential</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231F20"/>
                <w:w w:val="99"/>
              </w:rPr>
              <w:t>2008</w:t>
            </w:r>
          </w:p>
        </w:tc>
        <w:tc>
          <w:tcPr>
            <w:tcW w:w="880" w:type="dxa"/>
            <w:vAlign w:val="bottom"/>
            <w:gridSpan w:val="2"/>
          </w:tcPr>
          <w:p>
            <w:pPr>
              <w:jc w:val="center"/>
              <w:ind w:left="24"/>
              <w:spacing w:after="0"/>
              <w:rPr>
                <w:sz w:val="20"/>
                <w:szCs w:val="20"/>
                <w:color w:val="auto"/>
              </w:rPr>
            </w:pPr>
            <w:r>
              <w:rPr>
                <w:rFonts w:ascii="Times New Roman" w:cs="Times New Roman" w:eastAsia="Times New Roman" w:hAnsi="Times New Roman"/>
                <w:sz w:val="15"/>
                <w:szCs w:val="15"/>
                <w:color w:val="231F20"/>
                <w:w w:val="99"/>
              </w:rPr>
              <w:t>1993</w:t>
            </w:r>
          </w:p>
        </w:tc>
        <w:tc>
          <w:tcPr>
            <w:tcW w:w="8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5"/>
                <w:szCs w:val="15"/>
                <w:color w:val="231F20"/>
              </w:rPr>
              <w:t>180 units</w:t>
            </w:r>
          </w:p>
        </w:tc>
        <w:tc>
          <w:tcPr>
            <w:tcW w:w="80" w:type="dxa"/>
            <w:vAlign w:val="bottom"/>
          </w:tcPr>
          <w:p>
            <w:pPr>
              <w:spacing w:after="0"/>
              <w:rPr>
                <w:sz w:val="16"/>
                <w:szCs w:val="16"/>
                <w:color w:val="auto"/>
              </w:rPr>
            </w:pPr>
          </w:p>
        </w:tc>
        <w:tc>
          <w:tcPr>
            <w:tcW w:w="1020" w:type="dxa"/>
            <w:vAlign w:val="bottom"/>
          </w:tcPr>
          <w:p>
            <w:pPr>
              <w:ind w:left="420"/>
              <w:spacing w:after="0"/>
              <w:rPr>
                <w:sz w:val="20"/>
                <w:szCs w:val="20"/>
                <w:color w:val="auto"/>
              </w:rPr>
            </w:pPr>
            <w:r>
              <w:rPr>
                <w:rFonts w:ascii="Times New Roman" w:cs="Times New Roman" w:eastAsia="Times New Roman" w:hAnsi="Times New Roman"/>
                <w:sz w:val="15"/>
                <w:szCs w:val="15"/>
                <w:color w:val="231F20"/>
              </w:rPr>
              <w:t>N/A</w:t>
            </w:r>
          </w:p>
        </w:tc>
        <w:tc>
          <w:tcPr>
            <w:tcW w:w="900" w:type="dxa"/>
            <w:vAlign w:val="bottom"/>
            <w:gridSpan w:val="2"/>
          </w:tcPr>
          <w:p>
            <w:pPr>
              <w:jc w:val="center"/>
              <w:ind w:left="24"/>
              <w:spacing w:after="0"/>
              <w:rPr>
                <w:sz w:val="20"/>
                <w:szCs w:val="20"/>
                <w:color w:val="auto"/>
              </w:rPr>
            </w:pPr>
            <w:r>
              <w:rPr>
                <w:rFonts w:ascii="Times New Roman" w:cs="Times New Roman" w:eastAsia="Times New Roman" w:hAnsi="Times New Roman"/>
                <w:sz w:val="15"/>
                <w:szCs w:val="15"/>
                <w:color w:val="231F20"/>
              </w:rPr>
              <w:t>92%</w:t>
            </w:r>
          </w:p>
        </w:tc>
        <w:tc>
          <w:tcPr>
            <w:tcW w:w="8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2640" w:type="dxa"/>
            <w:vAlign w:val="bottom"/>
            <w:gridSpan w:val="3"/>
          </w:tcPr>
          <w:p>
            <w:pPr>
              <w:ind w:left="100"/>
              <w:spacing w:after="0"/>
              <w:rPr>
                <w:sz w:val="20"/>
                <w:szCs w:val="20"/>
                <w:color w:val="auto"/>
              </w:rPr>
            </w:pPr>
            <w:r>
              <w:rPr>
                <w:rFonts w:ascii="Times New Roman" w:cs="Times New Roman" w:eastAsia="Times New Roman" w:hAnsi="Times New Roman"/>
                <w:sz w:val="15"/>
                <w:szCs w:val="15"/>
                <w:color w:val="231F20"/>
              </w:rPr>
              <w:t>Bethesda, MD 20814 (6)</w:t>
            </w: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60" w:type="dxa"/>
            <w:vAlign w:val="bottom"/>
          </w:tcPr>
          <w:p>
            <w:pPr>
              <w:spacing w:after="0"/>
              <w:rPr>
                <w:sz w:val="16"/>
                <w:szCs w:val="16"/>
                <w:color w:val="auto"/>
              </w:rPr>
            </w:pPr>
          </w:p>
        </w:tc>
        <w:tc>
          <w:tcPr>
            <w:tcW w:w="2640" w:type="dxa"/>
            <w:vAlign w:val="bottom"/>
            <w:gridSpan w:val="3"/>
          </w:tcPr>
          <w:p>
            <w:pPr>
              <w:spacing w:after="0"/>
              <w:rPr>
                <w:sz w:val="20"/>
                <w:szCs w:val="20"/>
                <w:color w:val="auto"/>
              </w:rPr>
            </w:pPr>
            <w:r>
              <w:rPr>
                <w:rFonts w:ascii="Times New Roman" w:cs="Times New Roman" w:eastAsia="Times New Roman" w:hAnsi="Times New Roman"/>
                <w:sz w:val="15"/>
                <w:szCs w:val="15"/>
                <w:color w:val="231F20"/>
              </w:rPr>
              <w:t>Congressional Plaza</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231F20"/>
                <w:w w:val="99"/>
              </w:rPr>
              <w:t>1965</w:t>
            </w:r>
          </w:p>
        </w:tc>
        <w:tc>
          <w:tcPr>
            <w:tcW w:w="880" w:type="dxa"/>
            <w:vAlign w:val="bottom"/>
            <w:gridSpan w:val="2"/>
          </w:tcPr>
          <w:p>
            <w:pPr>
              <w:jc w:val="center"/>
              <w:ind w:left="24"/>
              <w:spacing w:after="0"/>
              <w:rPr>
                <w:sz w:val="20"/>
                <w:szCs w:val="20"/>
                <w:color w:val="auto"/>
              </w:rPr>
            </w:pPr>
            <w:r>
              <w:rPr>
                <w:rFonts w:ascii="Times New Roman" w:cs="Times New Roman" w:eastAsia="Times New Roman" w:hAnsi="Times New Roman"/>
                <w:sz w:val="15"/>
                <w:szCs w:val="15"/>
                <w:color w:val="231F20"/>
                <w:w w:val="99"/>
              </w:rPr>
              <w:t>1965</w:t>
            </w:r>
          </w:p>
        </w:tc>
        <w:tc>
          <w:tcPr>
            <w:tcW w:w="1100" w:type="dxa"/>
            <w:vAlign w:val="bottom"/>
            <w:gridSpan w:val="2"/>
          </w:tcPr>
          <w:p>
            <w:pPr>
              <w:jc w:val="right"/>
              <w:ind w:right="164"/>
              <w:spacing w:after="0"/>
              <w:rPr>
                <w:sz w:val="20"/>
                <w:szCs w:val="20"/>
                <w:color w:val="auto"/>
              </w:rPr>
            </w:pPr>
            <w:r>
              <w:rPr>
                <w:rFonts w:ascii="Times New Roman" w:cs="Times New Roman" w:eastAsia="Times New Roman" w:hAnsi="Times New Roman"/>
                <w:sz w:val="15"/>
                <w:szCs w:val="15"/>
                <w:color w:val="231F20"/>
              </w:rPr>
              <w:t>309,000</w:t>
            </w:r>
          </w:p>
        </w:tc>
        <w:tc>
          <w:tcPr>
            <w:tcW w:w="1100" w:type="dxa"/>
            <w:vAlign w:val="bottom"/>
            <w:gridSpan w:val="2"/>
          </w:tcPr>
          <w:p>
            <w:pPr>
              <w:jc w:val="center"/>
              <w:ind w:left="44"/>
              <w:spacing w:after="0"/>
              <w:rPr>
                <w:sz w:val="20"/>
                <w:szCs w:val="20"/>
                <w:color w:val="auto"/>
              </w:rPr>
            </w:pPr>
            <w:r>
              <w:rPr>
                <w:rFonts w:ascii="Times New Roman" w:cs="Times New Roman" w:eastAsia="Times New Roman" w:hAnsi="Times New Roman"/>
                <w:sz w:val="15"/>
                <w:szCs w:val="15"/>
                <w:color w:val="231F20"/>
              </w:rPr>
              <w:t>$46.87</w:t>
            </w:r>
          </w:p>
        </w:tc>
        <w:tc>
          <w:tcPr>
            <w:tcW w:w="900" w:type="dxa"/>
            <w:vAlign w:val="bottom"/>
            <w:gridSpan w:val="2"/>
          </w:tcPr>
          <w:p>
            <w:pPr>
              <w:jc w:val="center"/>
              <w:ind w:left="24"/>
              <w:spacing w:after="0"/>
              <w:rPr>
                <w:sz w:val="20"/>
                <w:szCs w:val="20"/>
                <w:color w:val="auto"/>
              </w:rPr>
            </w:pPr>
            <w:r>
              <w:rPr>
                <w:rFonts w:ascii="Times New Roman" w:cs="Times New Roman" w:eastAsia="Times New Roman" w:hAnsi="Times New Roman"/>
                <w:sz w:val="15"/>
                <w:szCs w:val="15"/>
                <w:color w:val="231F20"/>
              </w:rPr>
              <w:t>91%</w:t>
            </w:r>
          </w:p>
        </w:tc>
        <w:tc>
          <w:tcPr>
            <w:tcW w:w="80" w:type="dxa"/>
            <w:vAlign w:val="bottom"/>
          </w:tcPr>
          <w:p>
            <w:pPr>
              <w:spacing w:after="0"/>
              <w:rPr>
                <w:sz w:val="16"/>
                <w:szCs w:val="16"/>
                <w:color w:val="auto"/>
              </w:rPr>
            </w:pPr>
          </w:p>
        </w:tc>
        <w:tc>
          <w:tcPr>
            <w:tcW w:w="2040" w:type="dxa"/>
            <w:vAlign w:val="bottom"/>
          </w:tcPr>
          <w:p>
            <w:pPr>
              <w:ind w:left="40"/>
              <w:spacing w:after="0"/>
              <w:rPr>
                <w:sz w:val="20"/>
                <w:szCs w:val="20"/>
                <w:color w:val="auto"/>
              </w:rPr>
            </w:pPr>
            <w:r>
              <w:rPr>
                <w:rFonts w:ascii="Times New Roman" w:cs="Times New Roman" w:eastAsia="Times New Roman" w:hAnsi="Times New Roman"/>
                <w:sz w:val="15"/>
                <w:szCs w:val="15"/>
                <w:color w:val="231F20"/>
              </w:rPr>
              <w:t>The Fresh Market</w:t>
            </w: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2640" w:type="dxa"/>
            <w:vAlign w:val="bottom"/>
            <w:gridSpan w:val="3"/>
          </w:tcPr>
          <w:p>
            <w:pPr>
              <w:ind w:left="100"/>
              <w:spacing w:after="0" w:line="152" w:lineRule="exact"/>
              <w:rPr>
                <w:sz w:val="20"/>
                <w:szCs w:val="20"/>
                <w:color w:val="auto"/>
              </w:rPr>
            </w:pPr>
            <w:r>
              <w:rPr>
                <w:rFonts w:ascii="Times New Roman" w:cs="Times New Roman" w:eastAsia="Times New Roman" w:hAnsi="Times New Roman"/>
                <w:sz w:val="15"/>
                <w:szCs w:val="15"/>
                <w:color w:val="231F20"/>
              </w:rPr>
              <w:t>Rockville, MD 20852(4)</w:t>
            </w: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ind w:left="40"/>
              <w:spacing w:after="0" w:line="152" w:lineRule="exact"/>
              <w:rPr>
                <w:sz w:val="20"/>
                <w:szCs w:val="20"/>
                <w:color w:val="auto"/>
              </w:rPr>
            </w:pPr>
            <w:r>
              <w:rPr>
                <w:rFonts w:ascii="Times New Roman" w:cs="Times New Roman" w:eastAsia="Times New Roman" w:hAnsi="Times New Roman"/>
                <w:sz w:val="15"/>
                <w:szCs w:val="15"/>
                <w:color w:val="231F20"/>
              </w:rPr>
              <w:t>Ulta</w:t>
            </w: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ind w:left="40"/>
              <w:spacing w:after="0" w:line="152" w:lineRule="exact"/>
              <w:rPr>
                <w:sz w:val="20"/>
                <w:szCs w:val="20"/>
                <w:color w:val="auto"/>
              </w:rPr>
            </w:pPr>
            <w:r>
              <w:rPr>
                <w:rFonts w:ascii="Times New Roman" w:cs="Times New Roman" w:eastAsia="Times New Roman" w:hAnsi="Times New Roman"/>
                <w:sz w:val="15"/>
                <w:szCs w:val="15"/>
                <w:color w:val="231F20"/>
              </w:rPr>
              <w:t>Barnes &amp; Noble</w:t>
            </w: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40" w:type="dxa"/>
            <w:vAlign w:val="bottom"/>
          </w:tcPr>
          <w:p>
            <w:pPr>
              <w:ind w:left="40"/>
              <w:spacing w:after="0"/>
              <w:rPr>
                <w:sz w:val="20"/>
                <w:szCs w:val="20"/>
                <w:color w:val="auto"/>
              </w:rPr>
            </w:pPr>
            <w:r>
              <w:rPr>
                <w:rFonts w:ascii="Times New Roman" w:cs="Times New Roman" w:eastAsia="Times New Roman" w:hAnsi="Times New Roman"/>
                <w:sz w:val="15"/>
                <w:szCs w:val="15"/>
                <w:color w:val="231F20"/>
              </w:rPr>
              <w:t>Container Store</w:t>
            </w:r>
          </w:p>
        </w:tc>
        <w:tc>
          <w:tcPr>
            <w:tcW w:w="0" w:type="dxa"/>
            <w:vAlign w:val="bottom"/>
          </w:tcPr>
          <w:p>
            <w:pPr>
              <w:spacing w:after="0"/>
              <w:rPr>
                <w:sz w:val="1"/>
                <w:szCs w:val="1"/>
                <w:color w:val="auto"/>
              </w:rPr>
            </w:pPr>
          </w:p>
        </w:tc>
      </w:tr>
      <w:tr>
        <w:trPr>
          <w:trHeight w:val="168"/>
        </w:trPr>
        <w:tc>
          <w:tcPr>
            <w:tcW w:w="60" w:type="dxa"/>
            <w:vAlign w:val="bottom"/>
          </w:tcPr>
          <w:p>
            <w:pPr>
              <w:spacing w:after="0"/>
              <w:rPr>
                <w:sz w:val="14"/>
                <w:szCs w:val="14"/>
                <w:color w:val="auto"/>
              </w:rPr>
            </w:pPr>
          </w:p>
        </w:tc>
        <w:tc>
          <w:tcPr>
            <w:tcW w:w="2640" w:type="dxa"/>
            <w:vAlign w:val="bottom"/>
            <w:gridSpan w:val="3"/>
          </w:tcPr>
          <w:p>
            <w:pPr>
              <w:spacing w:after="0" w:line="169" w:lineRule="exact"/>
              <w:rPr>
                <w:sz w:val="20"/>
                <w:szCs w:val="20"/>
                <w:color w:val="auto"/>
              </w:rPr>
            </w:pPr>
            <w:r>
              <w:rPr>
                <w:rFonts w:ascii="Times New Roman" w:cs="Times New Roman" w:eastAsia="Times New Roman" w:hAnsi="Times New Roman"/>
                <w:sz w:val="15"/>
                <w:szCs w:val="15"/>
                <w:color w:val="231F20"/>
              </w:rPr>
              <w:t>Congressional Plaza Residential</w:t>
            </w:r>
          </w:p>
        </w:tc>
        <w:tc>
          <w:tcPr>
            <w:tcW w:w="920" w:type="dxa"/>
            <w:vAlign w:val="bottom"/>
            <w:gridSpan w:val="2"/>
          </w:tcPr>
          <w:p>
            <w:pPr>
              <w:jc w:val="center"/>
              <w:ind w:left="4"/>
              <w:spacing w:after="0" w:line="169" w:lineRule="exact"/>
              <w:rPr>
                <w:sz w:val="20"/>
                <w:szCs w:val="20"/>
                <w:color w:val="auto"/>
              </w:rPr>
            </w:pPr>
            <w:r>
              <w:rPr>
                <w:rFonts w:ascii="Times New Roman" w:cs="Times New Roman" w:eastAsia="Times New Roman" w:hAnsi="Times New Roman"/>
                <w:sz w:val="15"/>
                <w:szCs w:val="15"/>
                <w:color w:val="231F20"/>
              </w:rPr>
              <w:t>2003, 2016</w:t>
            </w:r>
          </w:p>
        </w:tc>
        <w:tc>
          <w:tcPr>
            <w:tcW w:w="880" w:type="dxa"/>
            <w:vAlign w:val="bottom"/>
            <w:gridSpan w:val="2"/>
          </w:tcPr>
          <w:p>
            <w:pPr>
              <w:jc w:val="center"/>
              <w:ind w:left="24"/>
              <w:spacing w:after="0" w:line="169" w:lineRule="exact"/>
              <w:rPr>
                <w:sz w:val="20"/>
                <w:szCs w:val="20"/>
                <w:color w:val="auto"/>
              </w:rPr>
            </w:pPr>
            <w:r>
              <w:rPr>
                <w:rFonts w:ascii="Times New Roman" w:cs="Times New Roman" w:eastAsia="Times New Roman" w:hAnsi="Times New Roman"/>
                <w:sz w:val="15"/>
                <w:szCs w:val="15"/>
                <w:color w:val="231F20"/>
                <w:w w:val="99"/>
              </w:rPr>
              <w:t>1965</w:t>
            </w:r>
          </w:p>
        </w:tc>
        <w:tc>
          <w:tcPr>
            <w:tcW w:w="80" w:type="dxa"/>
            <w:vAlign w:val="bottom"/>
          </w:tcPr>
          <w:p>
            <w:pPr>
              <w:spacing w:after="0"/>
              <w:rPr>
                <w:sz w:val="14"/>
                <w:szCs w:val="14"/>
                <w:color w:val="auto"/>
              </w:rPr>
            </w:pPr>
          </w:p>
        </w:tc>
        <w:tc>
          <w:tcPr>
            <w:tcW w:w="1020" w:type="dxa"/>
            <w:vAlign w:val="bottom"/>
          </w:tcPr>
          <w:p>
            <w:pPr>
              <w:jc w:val="center"/>
              <w:spacing w:after="0" w:line="169" w:lineRule="exact"/>
              <w:rPr>
                <w:sz w:val="20"/>
                <w:szCs w:val="20"/>
                <w:color w:val="auto"/>
              </w:rPr>
            </w:pPr>
            <w:r>
              <w:rPr>
                <w:rFonts w:ascii="Times New Roman" w:cs="Times New Roman" w:eastAsia="Times New Roman" w:hAnsi="Times New Roman"/>
                <w:sz w:val="15"/>
                <w:szCs w:val="15"/>
                <w:color w:val="231F20"/>
              </w:rPr>
              <w:t>194 units</w:t>
            </w:r>
          </w:p>
        </w:tc>
        <w:tc>
          <w:tcPr>
            <w:tcW w:w="80" w:type="dxa"/>
            <w:vAlign w:val="bottom"/>
          </w:tcPr>
          <w:p>
            <w:pPr>
              <w:spacing w:after="0"/>
              <w:rPr>
                <w:sz w:val="14"/>
                <w:szCs w:val="14"/>
                <w:color w:val="auto"/>
              </w:rPr>
            </w:pPr>
          </w:p>
        </w:tc>
        <w:tc>
          <w:tcPr>
            <w:tcW w:w="1020" w:type="dxa"/>
            <w:vAlign w:val="bottom"/>
          </w:tcPr>
          <w:p>
            <w:pPr>
              <w:ind w:left="420"/>
              <w:spacing w:after="0" w:line="169" w:lineRule="exact"/>
              <w:rPr>
                <w:sz w:val="20"/>
                <w:szCs w:val="20"/>
                <w:color w:val="auto"/>
              </w:rPr>
            </w:pPr>
            <w:r>
              <w:rPr>
                <w:rFonts w:ascii="Times New Roman" w:cs="Times New Roman" w:eastAsia="Times New Roman" w:hAnsi="Times New Roman"/>
                <w:sz w:val="15"/>
                <w:szCs w:val="15"/>
                <w:color w:val="231F20"/>
              </w:rPr>
              <w:t>N/A</w:t>
            </w:r>
          </w:p>
        </w:tc>
        <w:tc>
          <w:tcPr>
            <w:tcW w:w="900" w:type="dxa"/>
            <w:vAlign w:val="bottom"/>
            <w:gridSpan w:val="2"/>
          </w:tcPr>
          <w:p>
            <w:pPr>
              <w:jc w:val="center"/>
              <w:ind w:left="24"/>
              <w:spacing w:after="0" w:line="169" w:lineRule="exact"/>
              <w:rPr>
                <w:sz w:val="20"/>
                <w:szCs w:val="20"/>
                <w:color w:val="auto"/>
              </w:rPr>
            </w:pPr>
            <w:r>
              <w:rPr>
                <w:rFonts w:ascii="Times New Roman" w:cs="Times New Roman" w:eastAsia="Times New Roman" w:hAnsi="Times New Roman"/>
                <w:sz w:val="15"/>
                <w:szCs w:val="15"/>
                <w:color w:val="231F20"/>
              </w:rPr>
              <w:t>95%</w:t>
            </w:r>
          </w:p>
        </w:tc>
        <w:tc>
          <w:tcPr>
            <w:tcW w:w="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2640" w:type="dxa"/>
            <w:vAlign w:val="bottom"/>
            <w:gridSpan w:val="3"/>
          </w:tcPr>
          <w:p>
            <w:pPr>
              <w:ind w:left="100"/>
              <w:spacing w:after="0"/>
              <w:rPr>
                <w:sz w:val="20"/>
                <w:szCs w:val="20"/>
                <w:color w:val="auto"/>
              </w:rPr>
            </w:pPr>
            <w:r>
              <w:rPr>
                <w:rFonts w:ascii="Times New Roman" w:cs="Times New Roman" w:eastAsia="Times New Roman" w:hAnsi="Times New Roman"/>
                <w:sz w:val="15"/>
                <w:szCs w:val="15"/>
                <w:color w:val="231F20"/>
              </w:rPr>
              <w:t>Rockville, MD 20852(4)</w:t>
            </w: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60" w:type="dxa"/>
            <w:vAlign w:val="bottom"/>
          </w:tcPr>
          <w:p>
            <w:pPr>
              <w:spacing w:after="0"/>
              <w:rPr>
                <w:sz w:val="16"/>
                <w:szCs w:val="16"/>
                <w:color w:val="auto"/>
              </w:rPr>
            </w:pPr>
          </w:p>
        </w:tc>
        <w:tc>
          <w:tcPr>
            <w:tcW w:w="2640" w:type="dxa"/>
            <w:vAlign w:val="bottom"/>
            <w:gridSpan w:val="3"/>
          </w:tcPr>
          <w:p>
            <w:pPr>
              <w:spacing w:after="0"/>
              <w:rPr>
                <w:sz w:val="20"/>
                <w:szCs w:val="20"/>
                <w:color w:val="auto"/>
              </w:rPr>
            </w:pPr>
            <w:r>
              <w:rPr>
                <w:rFonts w:ascii="Times New Roman" w:cs="Times New Roman" w:eastAsia="Times New Roman" w:hAnsi="Times New Roman"/>
                <w:sz w:val="15"/>
                <w:szCs w:val="15"/>
                <w:color w:val="231F20"/>
              </w:rPr>
              <w:t>Courthouse Center</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231F20"/>
                <w:w w:val="99"/>
              </w:rPr>
              <w:t>1975</w:t>
            </w:r>
          </w:p>
        </w:tc>
        <w:tc>
          <w:tcPr>
            <w:tcW w:w="880" w:type="dxa"/>
            <w:vAlign w:val="bottom"/>
            <w:gridSpan w:val="2"/>
          </w:tcPr>
          <w:p>
            <w:pPr>
              <w:jc w:val="center"/>
              <w:ind w:left="24"/>
              <w:spacing w:after="0"/>
              <w:rPr>
                <w:sz w:val="20"/>
                <w:szCs w:val="20"/>
                <w:color w:val="auto"/>
              </w:rPr>
            </w:pPr>
            <w:r>
              <w:rPr>
                <w:rFonts w:ascii="Times New Roman" w:cs="Times New Roman" w:eastAsia="Times New Roman" w:hAnsi="Times New Roman"/>
                <w:sz w:val="15"/>
                <w:szCs w:val="15"/>
                <w:color w:val="231F20"/>
                <w:w w:val="99"/>
              </w:rPr>
              <w:t>1997</w:t>
            </w:r>
          </w:p>
        </w:tc>
        <w:tc>
          <w:tcPr>
            <w:tcW w:w="1100" w:type="dxa"/>
            <w:vAlign w:val="bottom"/>
            <w:gridSpan w:val="2"/>
          </w:tcPr>
          <w:p>
            <w:pPr>
              <w:jc w:val="center"/>
              <w:ind w:left="44"/>
              <w:spacing w:after="0"/>
              <w:rPr>
                <w:sz w:val="20"/>
                <w:szCs w:val="20"/>
                <w:color w:val="auto"/>
              </w:rPr>
            </w:pPr>
            <w:r>
              <w:rPr>
                <w:rFonts w:ascii="Times New Roman" w:cs="Times New Roman" w:eastAsia="Times New Roman" w:hAnsi="Times New Roman"/>
                <w:sz w:val="15"/>
                <w:szCs w:val="15"/>
                <w:color w:val="231F20"/>
              </w:rPr>
              <w:t>33,000</w:t>
            </w:r>
          </w:p>
        </w:tc>
        <w:tc>
          <w:tcPr>
            <w:tcW w:w="1100" w:type="dxa"/>
            <w:vAlign w:val="bottom"/>
            <w:gridSpan w:val="2"/>
          </w:tcPr>
          <w:p>
            <w:pPr>
              <w:jc w:val="center"/>
              <w:ind w:left="44"/>
              <w:spacing w:after="0"/>
              <w:rPr>
                <w:sz w:val="20"/>
                <w:szCs w:val="20"/>
                <w:color w:val="auto"/>
              </w:rPr>
            </w:pPr>
            <w:r>
              <w:rPr>
                <w:rFonts w:ascii="Times New Roman" w:cs="Times New Roman" w:eastAsia="Times New Roman" w:hAnsi="Times New Roman"/>
                <w:sz w:val="15"/>
                <w:szCs w:val="15"/>
                <w:color w:val="231F20"/>
              </w:rPr>
              <w:t>$30.44</w:t>
            </w:r>
          </w:p>
        </w:tc>
        <w:tc>
          <w:tcPr>
            <w:tcW w:w="900" w:type="dxa"/>
            <w:vAlign w:val="bottom"/>
            <w:gridSpan w:val="2"/>
          </w:tcPr>
          <w:p>
            <w:pPr>
              <w:jc w:val="center"/>
              <w:ind w:left="24"/>
              <w:spacing w:after="0"/>
              <w:rPr>
                <w:sz w:val="20"/>
                <w:szCs w:val="20"/>
                <w:color w:val="auto"/>
              </w:rPr>
            </w:pPr>
            <w:r>
              <w:rPr>
                <w:rFonts w:ascii="Times New Roman" w:cs="Times New Roman" w:eastAsia="Times New Roman" w:hAnsi="Times New Roman"/>
                <w:sz w:val="15"/>
                <w:szCs w:val="15"/>
                <w:color w:val="231F20"/>
              </w:rPr>
              <w:t>81%</w:t>
            </w:r>
          </w:p>
        </w:tc>
        <w:tc>
          <w:tcPr>
            <w:tcW w:w="8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2640" w:type="dxa"/>
            <w:vAlign w:val="bottom"/>
            <w:gridSpan w:val="3"/>
          </w:tcPr>
          <w:p>
            <w:pPr>
              <w:ind w:left="100"/>
              <w:spacing w:after="0"/>
              <w:rPr>
                <w:sz w:val="20"/>
                <w:szCs w:val="20"/>
                <w:color w:val="auto"/>
              </w:rPr>
            </w:pPr>
            <w:r>
              <w:rPr>
                <w:rFonts w:ascii="Times New Roman" w:cs="Times New Roman" w:eastAsia="Times New Roman" w:hAnsi="Times New Roman"/>
                <w:sz w:val="15"/>
                <w:szCs w:val="15"/>
                <w:color w:val="231F20"/>
              </w:rPr>
              <w:t>Rockville, MD 20852</w:t>
            </w: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0" w:type="dxa"/>
            <w:vAlign w:val="bottom"/>
          </w:tcPr>
          <w:p>
            <w:pPr>
              <w:spacing w:after="0"/>
              <w:rPr>
                <w:sz w:val="17"/>
                <w:szCs w:val="17"/>
                <w:color w:val="auto"/>
              </w:rPr>
            </w:pPr>
          </w:p>
        </w:tc>
        <w:tc>
          <w:tcPr>
            <w:tcW w:w="2640" w:type="dxa"/>
            <w:vAlign w:val="bottom"/>
            <w:gridSpan w:val="3"/>
          </w:tcPr>
          <w:p>
            <w:pPr>
              <w:spacing w:after="0"/>
              <w:rPr>
                <w:sz w:val="20"/>
                <w:szCs w:val="20"/>
                <w:color w:val="auto"/>
              </w:rPr>
            </w:pPr>
            <w:r>
              <w:rPr>
                <w:rFonts w:ascii="Times New Roman" w:cs="Times New Roman" w:eastAsia="Times New Roman" w:hAnsi="Times New Roman"/>
                <w:sz w:val="15"/>
                <w:szCs w:val="15"/>
                <w:color w:val="231F20"/>
              </w:rPr>
              <w:t>Federal Plaza</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231F20"/>
                <w:w w:val="99"/>
              </w:rPr>
              <w:t>1970</w:t>
            </w:r>
          </w:p>
        </w:tc>
        <w:tc>
          <w:tcPr>
            <w:tcW w:w="880" w:type="dxa"/>
            <w:vAlign w:val="bottom"/>
            <w:gridSpan w:val="2"/>
          </w:tcPr>
          <w:p>
            <w:pPr>
              <w:jc w:val="center"/>
              <w:ind w:left="24"/>
              <w:spacing w:after="0"/>
              <w:rPr>
                <w:sz w:val="20"/>
                <w:szCs w:val="20"/>
                <w:color w:val="auto"/>
              </w:rPr>
            </w:pPr>
            <w:r>
              <w:rPr>
                <w:rFonts w:ascii="Times New Roman" w:cs="Times New Roman" w:eastAsia="Times New Roman" w:hAnsi="Times New Roman"/>
                <w:sz w:val="15"/>
                <w:szCs w:val="15"/>
                <w:color w:val="231F20"/>
                <w:w w:val="99"/>
              </w:rPr>
              <w:t>1989</w:t>
            </w:r>
          </w:p>
        </w:tc>
        <w:tc>
          <w:tcPr>
            <w:tcW w:w="1100" w:type="dxa"/>
            <w:vAlign w:val="bottom"/>
            <w:gridSpan w:val="2"/>
          </w:tcPr>
          <w:p>
            <w:pPr>
              <w:jc w:val="right"/>
              <w:ind w:right="164"/>
              <w:spacing w:after="0"/>
              <w:rPr>
                <w:sz w:val="20"/>
                <w:szCs w:val="20"/>
                <w:color w:val="auto"/>
              </w:rPr>
            </w:pPr>
            <w:r>
              <w:rPr>
                <w:rFonts w:ascii="Times New Roman" w:cs="Times New Roman" w:eastAsia="Times New Roman" w:hAnsi="Times New Roman"/>
                <w:sz w:val="15"/>
                <w:szCs w:val="15"/>
                <w:color w:val="231F20"/>
              </w:rPr>
              <w:t>249,000</w:t>
            </w:r>
          </w:p>
        </w:tc>
        <w:tc>
          <w:tcPr>
            <w:tcW w:w="1100" w:type="dxa"/>
            <w:vAlign w:val="bottom"/>
            <w:gridSpan w:val="2"/>
          </w:tcPr>
          <w:p>
            <w:pPr>
              <w:jc w:val="center"/>
              <w:ind w:left="44"/>
              <w:spacing w:after="0"/>
              <w:rPr>
                <w:sz w:val="20"/>
                <w:szCs w:val="20"/>
                <w:color w:val="auto"/>
              </w:rPr>
            </w:pPr>
            <w:r>
              <w:rPr>
                <w:rFonts w:ascii="Times New Roman" w:cs="Times New Roman" w:eastAsia="Times New Roman" w:hAnsi="Times New Roman"/>
                <w:sz w:val="15"/>
                <w:szCs w:val="15"/>
                <w:color w:val="231F20"/>
              </w:rPr>
              <w:t>$40.51</w:t>
            </w:r>
          </w:p>
        </w:tc>
        <w:tc>
          <w:tcPr>
            <w:tcW w:w="900" w:type="dxa"/>
            <w:vAlign w:val="bottom"/>
            <w:gridSpan w:val="2"/>
          </w:tcPr>
          <w:p>
            <w:pPr>
              <w:jc w:val="center"/>
              <w:ind w:left="24"/>
              <w:spacing w:after="0"/>
              <w:rPr>
                <w:sz w:val="20"/>
                <w:szCs w:val="20"/>
                <w:color w:val="auto"/>
              </w:rPr>
            </w:pPr>
            <w:r>
              <w:rPr>
                <w:rFonts w:ascii="Times New Roman" w:cs="Times New Roman" w:eastAsia="Times New Roman" w:hAnsi="Times New Roman"/>
                <w:sz w:val="15"/>
                <w:szCs w:val="15"/>
                <w:color w:val="231F20"/>
              </w:rPr>
              <w:t>96%</w:t>
            </w:r>
          </w:p>
        </w:tc>
        <w:tc>
          <w:tcPr>
            <w:tcW w:w="80" w:type="dxa"/>
            <w:vAlign w:val="bottom"/>
          </w:tcPr>
          <w:p>
            <w:pPr>
              <w:spacing w:after="0"/>
              <w:rPr>
                <w:sz w:val="17"/>
                <w:szCs w:val="17"/>
                <w:color w:val="auto"/>
              </w:rPr>
            </w:pPr>
          </w:p>
        </w:tc>
        <w:tc>
          <w:tcPr>
            <w:tcW w:w="2040" w:type="dxa"/>
            <w:vAlign w:val="bottom"/>
          </w:tcPr>
          <w:p>
            <w:pPr>
              <w:ind w:left="40"/>
              <w:spacing w:after="0"/>
              <w:rPr>
                <w:sz w:val="20"/>
                <w:szCs w:val="20"/>
                <w:color w:val="auto"/>
              </w:rPr>
            </w:pPr>
            <w:r>
              <w:rPr>
                <w:rFonts w:ascii="Times New Roman" w:cs="Times New Roman" w:eastAsia="Times New Roman" w:hAnsi="Times New Roman"/>
                <w:sz w:val="15"/>
                <w:szCs w:val="15"/>
                <w:color w:val="231F20"/>
              </w:rPr>
              <w:t>Trader Joe's</w:t>
            </w: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2640" w:type="dxa"/>
            <w:vAlign w:val="bottom"/>
            <w:gridSpan w:val="3"/>
          </w:tcPr>
          <w:p>
            <w:pPr>
              <w:ind w:left="100"/>
              <w:spacing w:after="0" w:line="152" w:lineRule="exact"/>
              <w:rPr>
                <w:sz w:val="20"/>
                <w:szCs w:val="20"/>
                <w:color w:val="auto"/>
              </w:rPr>
            </w:pPr>
            <w:r>
              <w:rPr>
                <w:rFonts w:ascii="Times New Roman" w:cs="Times New Roman" w:eastAsia="Times New Roman" w:hAnsi="Times New Roman"/>
                <w:sz w:val="15"/>
                <w:szCs w:val="15"/>
                <w:color w:val="231F20"/>
              </w:rPr>
              <w:t>Rockville, MD 20852</w:t>
            </w: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ind w:left="40"/>
              <w:spacing w:after="0" w:line="152" w:lineRule="exact"/>
              <w:rPr>
                <w:sz w:val="20"/>
                <w:szCs w:val="20"/>
                <w:color w:val="auto"/>
              </w:rPr>
            </w:pPr>
            <w:r>
              <w:rPr>
                <w:rFonts w:ascii="Times New Roman" w:cs="Times New Roman" w:eastAsia="Times New Roman" w:hAnsi="Times New Roman"/>
                <w:sz w:val="15"/>
                <w:szCs w:val="15"/>
                <w:color w:val="231F20"/>
              </w:rPr>
              <w:t>TJ Maxx</w:t>
            </w: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ind w:left="40"/>
              <w:spacing w:after="0" w:line="152" w:lineRule="exact"/>
              <w:rPr>
                <w:sz w:val="20"/>
                <w:szCs w:val="20"/>
                <w:color w:val="auto"/>
              </w:rPr>
            </w:pPr>
            <w:r>
              <w:rPr>
                <w:rFonts w:ascii="Times New Roman" w:cs="Times New Roman" w:eastAsia="Times New Roman" w:hAnsi="Times New Roman"/>
                <w:sz w:val="15"/>
                <w:szCs w:val="15"/>
                <w:color w:val="231F20"/>
              </w:rPr>
              <w:t>Micro Center</w:t>
            </w: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40" w:type="dxa"/>
            <w:vAlign w:val="bottom"/>
          </w:tcPr>
          <w:p>
            <w:pPr>
              <w:ind w:left="40"/>
              <w:spacing w:after="0"/>
              <w:rPr>
                <w:sz w:val="20"/>
                <w:szCs w:val="20"/>
                <w:color w:val="auto"/>
              </w:rPr>
            </w:pPr>
            <w:r>
              <w:rPr>
                <w:rFonts w:ascii="Times New Roman" w:cs="Times New Roman" w:eastAsia="Times New Roman" w:hAnsi="Times New Roman"/>
                <w:sz w:val="15"/>
                <w:szCs w:val="15"/>
                <w:color w:val="231F20"/>
              </w:rPr>
              <w:t>Ross Dress for Less</w:t>
            </w:r>
          </w:p>
        </w:tc>
        <w:tc>
          <w:tcPr>
            <w:tcW w:w="0" w:type="dxa"/>
            <w:vAlign w:val="bottom"/>
          </w:tcPr>
          <w:p>
            <w:pPr>
              <w:spacing w:after="0"/>
              <w:rPr>
                <w:sz w:val="1"/>
                <w:szCs w:val="1"/>
                <w:color w:val="auto"/>
              </w:rPr>
            </w:pPr>
          </w:p>
        </w:tc>
      </w:tr>
      <w:tr>
        <w:trPr>
          <w:trHeight w:val="168"/>
        </w:trPr>
        <w:tc>
          <w:tcPr>
            <w:tcW w:w="60" w:type="dxa"/>
            <w:vAlign w:val="bottom"/>
          </w:tcPr>
          <w:p>
            <w:pPr>
              <w:spacing w:after="0"/>
              <w:rPr>
                <w:sz w:val="14"/>
                <w:szCs w:val="14"/>
                <w:color w:val="auto"/>
              </w:rPr>
            </w:pPr>
          </w:p>
        </w:tc>
        <w:tc>
          <w:tcPr>
            <w:tcW w:w="2640" w:type="dxa"/>
            <w:vAlign w:val="bottom"/>
            <w:gridSpan w:val="3"/>
          </w:tcPr>
          <w:p>
            <w:pPr>
              <w:spacing w:after="0" w:line="169" w:lineRule="exact"/>
              <w:rPr>
                <w:sz w:val="20"/>
                <w:szCs w:val="20"/>
                <w:color w:val="auto"/>
              </w:rPr>
            </w:pPr>
            <w:r>
              <w:rPr>
                <w:rFonts w:ascii="Times New Roman" w:cs="Times New Roman" w:eastAsia="Times New Roman" w:hAnsi="Times New Roman"/>
                <w:sz w:val="15"/>
                <w:szCs w:val="15"/>
                <w:color w:val="231F20"/>
              </w:rPr>
              <w:t>Gaithersburg Square</w:t>
            </w:r>
          </w:p>
        </w:tc>
        <w:tc>
          <w:tcPr>
            <w:tcW w:w="920" w:type="dxa"/>
            <w:vAlign w:val="bottom"/>
            <w:gridSpan w:val="2"/>
          </w:tcPr>
          <w:p>
            <w:pPr>
              <w:jc w:val="center"/>
              <w:spacing w:after="0" w:line="169" w:lineRule="exact"/>
              <w:rPr>
                <w:sz w:val="20"/>
                <w:szCs w:val="20"/>
                <w:color w:val="auto"/>
              </w:rPr>
            </w:pPr>
            <w:r>
              <w:rPr>
                <w:rFonts w:ascii="Times New Roman" w:cs="Times New Roman" w:eastAsia="Times New Roman" w:hAnsi="Times New Roman"/>
                <w:sz w:val="15"/>
                <w:szCs w:val="15"/>
                <w:color w:val="231F20"/>
                <w:w w:val="99"/>
              </w:rPr>
              <w:t>1966</w:t>
            </w:r>
          </w:p>
        </w:tc>
        <w:tc>
          <w:tcPr>
            <w:tcW w:w="880" w:type="dxa"/>
            <w:vAlign w:val="bottom"/>
            <w:gridSpan w:val="2"/>
          </w:tcPr>
          <w:p>
            <w:pPr>
              <w:jc w:val="center"/>
              <w:ind w:left="24"/>
              <w:spacing w:after="0" w:line="169" w:lineRule="exact"/>
              <w:rPr>
                <w:sz w:val="20"/>
                <w:szCs w:val="20"/>
                <w:color w:val="auto"/>
              </w:rPr>
            </w:pPr>
            <w:r>
              <w:rPr>
                <w:rFonts w:ascii="Times New Roman" w:cs="Times New Roman" w:eastAsia="Times New Roman" w:hAnsi="Times New Roman"/>
                <w:sz w:val="15"/>
                <w:szCs w:val="15"/>
                <w:color w:val="231F20"/>
                <w:w w:val="99"/>
              </w:rPr>
              <w:t>1993</w:t>
            </w:r>
          </w:p>
        </w:tc>
        <w:tc>
          <w:tcPr>
            <w:tcW w:w="1100" w:type="dxa"/>
            <w:vAlign w:val="bottom"/>
            <w:gridSpan w:val="2"/>
          </w:tcPr>
          <w:p>
            <w:pPr>
              <w:jc w:val="right"/>
              <w:ind w:right="164"/>
              <w:spacing w:after="0" w:line="169" w:lineRule="exact"/>
              <w:rPr>
                <w:sz w:val="20"/>
                <w:szCs w:val="20"/>
                <w:color w:val="auto"/>
              </w:rPr>
            </w:pPr>
            <w:r>
              <w:rPr>
                <w:rFonts w:ascii="Times New Roman" w:cs="Times New Roman" w:eastAsia="Times New Roman" w:hAnsi="Times New Roman"/>
                <w:sz w:val="15"/>
                <w:szCs w:val="15"/>
                <w:color w:val="231F20"/>
              </w:rPr>
              <w:t>205,000</w:t>
            </w:r>
          </w:p>
        </w:tc>
        <w:tc>
          <w:tcPr>
            <w:tcW w:w="1100" w:type="dxa"/>
            <w:vAlign w:val="bottom"/>
            <w:gridSpan w:val="2"/>
          </w:tcPr>
          <w:p>
            <w:pPr>
              <w:jc w:val="center"/>
              <w:ind w:left="44"/>
              <w:spacing w:after="0" w:line="169" w:lineRule="exact"/>
              <w:rPr>
                <w:sz w:val="20"/>
                <w:szCs w:val="20"/>
                <w:color w:val="auto"/>
              </w:rPr>
            </w:pPr>
            <w:r>
              <w:rPr>
                <w:rFonts w:ascii="Times New Roman" w:cs="Times New Roman" w:eastAsia="Times New Roman" w:hAnsi="Times New Roman"/>
                <w:sz w:val="15"/>
                <w:szCs w:val="15"/>
                <w:color w:val="231F20"/>
              </w:rPr>
              <w:t>$33.44</w:t>
            </w:r>
          </w:p>
        </w:tc>
        <w:tc>
          <w:tcPr>
            <w:tcW w:w="900" w:type="dxa"/>
            <w:vAlign w:val="bottom"/>
            <w:gridSpan w:val="2"/>
          </w:tcPr>
          <w:p>
            <w:pPr>
              <w:jc w:val="center"/>
              <w:ind w:left="24"/>
              <w:spacing w:after="0" w:line="169" w:lineRule="exact"/>
              <w:rPr>
                <w:sz w:val="20"/>
                <w:szCs w:val="20"/>
                <w:color w:val="auto"/>
              </w:rPr>
            </w:pPr>
            <w:r>
              <w:rPr>
                <w:rFonts w:ascii="Times New Roman" w:cs="Times New Roman" w:eastAsia="Times New Roman" w:hAnsi="Times New Roman"/>
                <w:sz w:val="15"/>
                <w:szCs w:val="15"/>
                <w:color w:val="231F20"/>
              </w:rPr>
              <w:t>98%</w:t>
            </w:r>
          </w:p>
        </w:tc>
        <w:tc>
          <w:tcPr>
            <w:tcW w:w="80" w:type="dxa"/>
            <w:vAlign w:val="bottom"/>
          </w:tcPr>
          <w:p>
            <w:pPr>
              <w:spacing w:after="0"/>
              <w:rPr>
                <w:sz w:val="14"/>
                <w:szCs w:val="14"/>
                <w:color w:val="auto"/>
              </w:rPr>
            </w:pPr>
          </w:p>
        </w:tc>
        <w:tc>
          <w:tcPr>
            <w:tcW w:w="2040" w:type="dxa"/>
            <w:vAlign w:val="bottom"/>
          </w:tcPr>
          <w:p>
            <w:pPr>
              <w:ind w:left="40"/>
              <w:spacing w:after="0" w:line="169" w:lineRule="exact"/>
              <w:rPr>
                <w:sz w:val="20"/>
                <w:szCs w:val="20"/>
                <w:color w:val="auto"/>
              </w:rPr>
            </w:pPr>
            <w:r>
              <w:rPr>
                <w:rFonts w:ascii="Times New Roman" w:cs="Times New Roman" w:eastAsia="Times New Roman" w:hAnsi="Times New Roman"/>
                <w:sz w:val="15"/>
                <w:szCs w:val="15"/>
                <w:color w:val="231F20"/>
              </w:rPr>
              <w:t>Marshalls</w:t>
            </w: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2640" w:type="dxa"/>
            <w:vAlign w:val="bottom"/>
            <w:gridSpan w:val="3"/>
          </w:tcPr>
          <w:p>
            <w:pPr>
              <w:ind w:left="100"/>
              <w:spacing w:after="0" w:line="152" w:lineRule="exact"/>
              <w:rPr>
                <w:sz w:val="20"/>
                <w:szCs w:val="20"/>
                <w:color w:val="auto"/>
              </w:rPr>
            </w:pPr>
            <w:r>
              <w:rPr>
                <w:rFonts w:ascii="Times New Roman" w:cs="Times New Roman" w:eastAsia="Times New Roman" w:hAnsi="Times New Roman"/>
                <w:sz w:val="15"/>
                <w:szCs w:val="15"/>
                <w:color w:val="231F20"/>
              </w:rPr>
              <w:t>Gaithersburg, MD 20878</w:t>
            </w: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ind w:left="40"/>
              <w:spacing w:after="0" w:line="152" w:lineRule="exact"/>
              <w:rPr>
                <w:sz w:val="20"/>
                <w:szCs w:val="20"/>
                <w:color w:val="auto"/>
              </w:rPr>
            </w:pPr>
            <w:r>
              <w:rPr>
                <w:rFonts w:ascii="Times New Roman" w:cs="Times New Roman" w:eastAsia="Times New Roman" w:hAnsi="Times New Roman"/>
                <w:sz w:val="15"/>
                <w:szCs w:val="15"/>
                <w:color w:val="231F20"/>
              </w:rPr>
              <w:t>Ross Dress for Less</w:t>
            </w: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ind w:left="40"/>
              <w:spacing w:after="0" w:line="152" w:lineRule="exact"/>
              <w:rPr>
                <w:sz w:val="20"/>
                <w:szCs w:val="20"/>
                <w:color w:val="auto"/>
              </w:rPr>
            </w:pPr>
            <w:r>
              <w:rPr>
                <w:rFonts w:ascii="Times New Roman" w:cs="Times New Roman" w:eastAsia="Times New Roman" w:hAnsi="Times New Roman"/>
                <w:sz w:val="15"/>
                <w:szCs w:val="15"/>
                <w:color w:val="231F20"/>
              </w:rPr>
              <w:t>Ashley Furniture HomeStore</w:t>
            </w: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40" w:type="dxa"/>
            <w:vAlign w:val="bottom"/>
          </w:tcPr>
          <w:p>
            <w:pPr>
              <w:ind w:left="40"/>
              <w:spacing w:after="0"/>
              <w:rPr>
                <w:sz w:val="20"/>
                <w:szCs w:val="20"/>
                <w:color w:val="auto"/>
              </w:rPr>
            </w:pPr>
            <w:r>
              <w:rPr>
                <w:rFonts w:ascii="Times New Roman" w:cs="Times New Roman" w:eastAsia="Times New Roman" w:hAnsi="Times New Roman"/>
                <w:sz w:val="15"/>
                <w:szCs w:val="15"/>
                <w:color w:val="231F20"/>
              </w:rPr>
              <w:t>CVS</w:t>
            </w:r>
          </w:p>
        </w:tc>
        <w:tc>
          <w:tcPr>
            <w:tcW w:w="0" w:type="dxa"/>
            <w:vAlign w:val="bottom"/>
          </w:tcPr>
          <w:p>
            <w:pPr>
              <w:spacing w:after="0"/>
              <w:rPr>
                <w:sz w:val="1"/>
                <w:szCs w:val="1"/>
                <w:color w:val="auto"/>
              </w:rPr>
            </w:pPr>
          </w:p>
        </w:tc>
      </w:tr>
      <w:tr>
        <w:trPr>
          <w:trHeight w:val="168"/>
        </w:trPr>
        <w:tc>
          <w:tcPr>
            <w:tcW w:w="60" w:type="dxa"/>
            <w:vAlign w:val="bottom"/>
          </w:tcPr>
          <w:p>
            <w:pPr>
              <w:spacing w:after="0"/>
              <w:rPr>
                <w:sz w:val="14"/>
                <w:szCs w:val="14"/>
                <w:color w:val="auto"/>
              </w:rPr>
            </w:pPr>
          </w:p>
        </w:tc>
        <w:tc>
          <w:tcPr>
            <w:tcW w:w="2640" w:type="dxa"/>
            <w:vAlign w:val="bottom"/>
            <w:gridSpan w:val="3"/>
          </w:tcPr>
          <w:p>
            <w:pPr>
              <w:spacing w:after="0" w:line="169" w:lineRule="exact"/>
              <w:rPr>
                <w:sz w:val="20"/>
                <w:szCs w:val="20"/>
                <w:color w:val="auto"/>
              </w:rPr>
            </w:pPr>
            <w:r>
              <w:rPr>
                <w:rFonts w:ascii="Times New Roman" w:cs="Times New Roman" w:eastAsia="Times New Roman" w:hAnsi="Times New Roman"/>
                <w:sz w:val="15"/>
                <w:szCs w:val="15"/>
                <w:color w:val="231F20"/>
              </w:rPr>
              <w:t>Governor Plaza</w:t>
            </w:r>
          </w:p>
        </w:tc>
        <w:tc>
          <w:tcPr>
            <w:tcW w:w="920" w:type="dxa"/>
            <w:vAlign w:val="bottom"/>
            <w:gridSpan w:val="2"/>
          </w:tcPr>
          <w:p>
            <w:pPr>
              <w:jc w:val="center"/>
              <w:spacing w:after="0" w:line="169" w:lineRule="exact"/>
              <w:rPr>
                <w:sz w:val="20"/>
                <w:szCs w:val="20"/>
                <w:color w:val="auto"/>
              </w:rPr>
            </w:pPr>
            <w:r>
              <w:rPr>
                <w:rFonts w:ascii="Times New Roman" w:cs="Times New Roman" w:eastAsia="Times New Roman" w:hAnsi="Times New Roman"/>
                <w:sz w:val="15"/>
                <w:szCs w:val="15"/>
                <w:color w:val="231F20"/>
                <w:w w:val="99"/>
              </w:rPr>
              <w:t>1963</w:t>
            </w:r>
          </w:p>
        </w:tc>
        <w:tc>
          <w:tcPr>
            <w:tcW w:w="880" w:type="dxa"/>
            <w:vAlign w:val="bottom"/>
            <w:gridSpan w:val="2"/>
          </w:tcPr>
          <w:p>
            <w:pPr>
              <w:jc w:val="center"/>
              <w:ind w:left="24"/>
              <w:spacing w:after="0" w:line="169" w:lineRule="exact"/>
              <w:rPr>
                <w:sz w:val="20"/>
                <w:szCs w:val="20"/>
                <w:color w:val="auto"/>
              </w:rPr>
            </w:pPr>
            <w:r>
              <w:rPr>
                <w:rFonts w:ascii="Times New Roman" w:cs="Times New Roman" w:eastAsia="Times New Roman" w:hAnsi="Times New Roman"/>
                <w:sz w:val="15"/>
                <w:szCs w:val="15"/>
                <w:color w:val="231F20"/>
                <w:w w:val="99"/>
              </w:rPr>
              <w:t>1985</w:t>
            </w:r>
          </w:p>
        </w:tc>
        <w:tc>
          <w:tcPr>
            <w:tcW w:w="1100" w:type="dxa"/>
            <w:vAlign w:val="bottom"/>
            <w:gridSpan w:val="2"/>
          </w:tcPr>
          <w:p>
            <w:pPr>
              <w:jc w:val="right"/>
              <w:ind w:right="164"/>
              <w:spacing w:after="0" w:line="169" w:lineRule="exact"/>
              <w:rPr>
                <w:sz w:val="20"/>
                <w:szCs w:val="20"/>
                <w:color w:val="auto"/>
              </w:rPr>
            </w:pPr>
            <w:r>
              <w:rPr>
                <w:rFonts w:ascii="Times New Roman" w:cs="Times New Roman" w:eastAsia="Times New Roman" w:hAnsi="Times New Roman"/>
                <w:sz w:val="15"/>
                <w:szCs w:val="15"/>
                <w:color w:val="231F20"/>
              </w:rPr>
              <w:t>243,000</w:t>
            </w:r>
          </w:p>
        </w:tc>
        <w:tc>
          <w:tcPr>
            <w:tcW w:w="1100" w:type="dxa"/>
            <w:vAlign w:val="bottom"/>
            <w:gridSpan w:val="2"/>
          </w:tcPr>
          <w:p>
            <w:pPr>
              <w:jc w:val="center"/>
              <w:ind w:left="44"/>
              <w:spacing w:after="0" w:line="169" w:lineRule="exact"/>
              <w:rPr>
                <w:sz w:val="20"/>
                <w:szCs w:val="20"/>
                <w:color w:val="auto"/>
              </w:rPr>
            </w:pPr>
            <w:r>
              <w:rPr>
                <w:rFonts w:ascii="Times New Roman" w:cs="Times New Roman" w:eastAsia="Times New Roman" w:hAnsi="Times New Roman"/>
                <w:sz w:val="15"/>
                <w:szCs w:val="15"/>
                <w:color w:val="231F20"/>
              </w:rPr>
              <w:t>$20.62</w:t>
            </w:r>
          </w:p>
        </w:tc>
        <w:tc>
          <w:tcPr>
            <w:tcW w:w="900" w:type="dxa"/>
            <w:vAlign w:val="bottom"/>
            <w:gridSpan w:val="2"/>
          </w:tcPr>
          <w:p>
            <w:pPr>
              <w:jc w:val="center"/>
              <w:ind w:left="24"/>
              <w:spacing w:after="0" w:line="169" w:lineRule="exact"/>
              <w:rPr>
                <w:sz w:val="20"/>
                <w:szCs w:val="20"/>
                <w:color w:val="auto"/>
              </w:rPr>
            </w:pPr>
            <w:r>
              <w:rPr>
                <w:rFonts w:ascii="Times New Roman" w:cs="Times New Roman" w:eastAsia="Times New Roman" w:hAnsi="Times New Roman"/>
                <w:sz w:val="15"/>
                <w:szCs w:val="15"/>
                <w:color w:val="231F20"/>
              </w:rPr>
              <w:t>100%</w:t>
            </w:r>
          </w:p>
        </w:tc>
        <w:tc>
          <w:tcPr>
            <w:tcW w:w="80" w:type="dxa"/>
            <w:vAlign w:val="bottom"/>
          </w:tcPr>
          <w:p>
            <w:pPr>
              <w:spacing w:after="0"/>
              <w:rPr>
                <w:sz w:val="14"/>
                <w:szCs w:val="14"/>
                <w:color w:val="auto"/>
              </w:rPr>
            </w:pPr>
          </w:p>
        </w:tc>
        <w:tc>
          <w:tcPr>
            <w:tcW w:w="2040" w:type="dxa"/>
            <w:vAlign w:val="bottom"/>
          </w:tcPr>
          <w:p>
            <w:pPr>
              <w:ind w:left="40"/>
              <w:spacing w:after="0" w:line="169" w:lineRule="exact"/>
              <w:rPr>
                <w:sz w:val="20"/>
                <w:szCs w:val="20"/>
                <w:color w:val="auto"/>
              </w:rPr>
            </w:pPr>
            <w:r>
              <w:rPr>
                <w:rFonts w:ascii="Times New Roman" w:cs="Times New Roman" w:eastAsia="Times New Roman" w:hAnsi="Times New Roman"/>
                <w:sz w:val="15"/>
                <w:szCs w:val="15"/>
                <w:color w:val="231F20"/>
              </w:rPr>
              <w:t>Aldi</w:t>
            </w: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2640" w:type="dxa"/>
            <w:vAlign w:val="bottom"/>
            <w:gridSpan w:val="3"/>
          </w:tcPr>
          <w:p>
            <w:pPr>
              <w:ind w:left="100"/>
              <w:spacing w:after="0" w:line="152" w:lineRule="exact"/>
              <w:rPr>
                <w:sz w:val="20"/>
                <w:szCs w:val="20"/>
                <w:color w:val="auto"/>
              </w:rPr>
            </w:pPr>
            <w:r>
              <w:rPr>
                <w:rFonts w:ascii="Times New Roman" w:cs="Times New Roman" w:eastAsia="Times New Roman" w:hAnsi="Times New Roman"/>
                <w:sz w:val="15"/>
                <w:szCs w:val="15"/>
                <w:color w:val="231F20"/>
              </w:rPr>
              <w:t>Glen Burnie, MD 21961</w:t>
            </w: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ind w:left="40"/>
              <w:spacing w:after="0" w:line="152" w:lineRule="exact"/>
              <w:rPr>
                <w:sz w:val="20"/>
                <w:szCs w:val="20"/>
                <w:color w:val="auto"/>
              </w:rPr>
            </w:pPr>
            <w:r>
              <w:rPr>
                <w:rFonts w:ascii="Times New Roman" w:cs="Times New Roman" w:eastAsia="Times New Roman" w:hAnsi="Times New Roman"/>
                <w:sz w:val="15"/>
                <w:szCs w:val="15"/>
                <w:color w:val="231F20"/>
              </w:rPr>
              <w:t>Dick's Sporting Goods</w:t>
            </w: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ind w:left="40"/>
              <w:spacing w:after="0" w:line="152" w:lineRule="exact"/>
              <w:rPr>
                <w:sz w:val="20"/>
                <w:szCs w:val="20"/>
                <w:color w:val="auto"/>
              </w:rPr>
            </w:pPr>
            <w:r>
              <w:rPr>
                <w:rFonts w:ascii="Times New Roman" w:cs="Times New Roman" w:eastAsia="Times New Roman" w:hAnsi="Times New Roman"/>
                <w:sz w:val="15"/>
                <w:szCs w:val="15"/>
                <w:color w:val="231F20"/>
              </w:rPr>
              <w:t>Ross Dress for Less</w:t>
            </w: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ind w:left="40"/>
              <w:spacing w:after="0" w:line="152" w:lineRule="exact"/>
              <w:rPr>
                <w:sz w:val="20"/>
                <w:szCs w:val="20"/>
                <w:color w:val="auto"/>
              </w:rPr>
            </w:pPr>
            <w:r>
              <w:rPr>
                <w:rFonts w:ascii="Times New Roman" w:cs="Times New Roman" w:eastAsia="Times New Roman" w:hAnsi="Times New Roman"/>
                <w:sz w:val="15"/>
                <w:szCs w:val="15"/>
                <w:color w:val="231F20"/>
              </w:rPr>
              <w:t>Petco</w:t>
            </w: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40" w:type="dxa"/>
            <w:vAlign w:val="bottom"/>
          </w:tcPr>
          <w:p>
            <w:pPr>
              <w:ind w:left="40"/>
              <w:spacing w:after="0"/>
              <w:rPr>
                <w:sz w:val="20"/>
                <w:szCs w:val="20"/>
                <w:color w:val="auto"/>
              </w:rPr>
            </w:pPr>
            <w:r>
              <w:rPr>
                <w:rFonts w:ascii="Times New Roman" w:cs="Times New Roman" w:eastAsia="Times New Roman" w:hAnsi="Times New Roman"/>
                <w:sz w:val="15"/>
                <w:szCs w:val="15"/>
                <w:color w:val="231F20"/>
              </w:rPr>
              <w:t>Bob's Discount Furniture</w:t>
            </w:r>
          </w:p>
        </w:tc>
        <w:tc>
          <w:tcPr>
            <w:tcW w:w="0" w:type="dxa"/>
            <w:vAlign w:val="bottom"/>
          </w:tcPr>
          <w:p>
            <w:pPr>
              <w:spacing w:after="0"/>
              <w:rPr>
                <w:sz w:val="1"/>
                <w:szCs w:val="1"/>
                <w:color w:val="auto"/>
              </w:rPr>
            </w:pPr>
          </w:p>
        </w:tc>
      </w:tr>
      <w:tr>
        <w:trPr>
          <w:trHeight w:val="202"/>
        </w:trPr>
        <w:tc>
          <w:tcPr>
            <w:tcW w:w="60" w:type="dxa"/>
            <w:vAlign w:val="bottom"/>
          </w:tcPr>
          <w:p>
            <w:pPr>
              <w:spacing w:after="0"/>
              <w:rPr>
                <w:sz w:val="17"/>
                <w:szCs w:val="17"/>
                <w:color w:val="auto"/>
              </w:rPr>
            </w:pPr>
          </w:p>
        </w:tc>
        <w:tc>
          <w:tcPr>
            <w:tcW w:w="2640" w:type="dxa"/>
            <w:vAlign w:val="bottom"/>
            <w:gridSpan w:val="3"/>
          </w:tcPr>
          <w:p>
            <w:pPr>
              <w:spacing w:after="0"/>
              <w:rPr>
                <w:sz w:val="20"/>
                <w:szCs w:val="20"/>
                <w:color w:val="auto"/>
              </w:rPr>
            </w:pPr>
            <w:r>
              <w:rPr>
                <w:rFonts w:ascii="Times New Roman" w:cs="Times New Roman" w:eastAsia="Times New Roman" w:hAnsi="Times New Roman"/>
                <w:sz w:val="15"/>
                <w:szCs w:val="15"/>
                <w:color w:val="231F20"/>
              </w:rPr>
              <w:t>Laurel</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231F20"/>
                <w:w w:val="99"/>
              </w:rPr>
              <w:t>1956</w:t>
            </w:r>
          </w:p>
        </w:tc>
        <w:tc>
          <w:tcPr>
            <w:tcW w:w="880" w:type="dxa"/>
            <w:vAlign w:val="bottom"/>
            <w:gridSpan w:val="2"/>
          </w:tcPr>
          <w:p>
            <w:pPr>
              <w:jc w:val="center"/>
              <w:ind w:left="24"/>
              <w:spacing w:after="0"/>
              <w:rPr>
                <w:sz w:val="20"/>
                <w:szCs w:val="20"/>
                <w:color w:val="auto"/>
              </w:rPr>
            </w:pPr>
            <w:r>
              <w:rPr>
                <w:rFonts w:ascii="Times New Roman" w:cs="Times New Roman" w:eastAsia="Times New Roman" w:hAnsi="Times New Roman"/>
                <w:sz w:val="15"/>
                <w:szCs w:val="15"/>
                <w:color w:val="231F20"/>
                <w:w w:val="99"/>
              </w:rPr>
              <w:t>1986</w:t>
            </w:r>
          </w:p>
        </w:tc>
        <w:tc>
          <w:tcPr>
            <w:tcW w:w="1100" w:type="dxa"/>
            <w:vAlign w:val="bottom"/>
            <w:gridSpan w:val="2"/>
          </w:tcPr>
          <w:p>
            <w:pPr>
              <w:jc w:val="right"/>
              <w:ind w:right="164"/>
              <w:spacing w:after="0"/>
              <w:rPr>
                <w:sz w:val="20"/>
                <w:szCs w:val="20"/>
                <w:color w:val="auto"/>
              </w:rPr>
            </w:pPr>
            <w:r>
              <w:rPr>
                <w:rFonts w:ascii="Times New Roman" w:cs="Times New Roman" w:eastAsia="Times New Roman" w:hAnsi="Times New Roman"/>
                <w:sz w:val="15"/>
                <w:szCs w:val="15"/>
                <w:color w:val="231F20"/>
              </w:rPr>
              <w:t>367,000</w:t>
            </w:r>
          </w:p>
        </w:tc>
        <w:tc>
          <w:tcPr>
            <w:tcW w:w="1100" w:type="dxa"/>
            <w:vAlign w:val="bottom"/>
            <w:gridSpan w:val="2"/>
          </w:tcPr>
          <w:p>
            <w:pPr>
              <w:jc w:val="center"/>
              <w:ind w:left="44"/>
              <w:spacing w:after="0"/>
              <w:rPr>
                <w:sz w:val="20"/>
                <w:szCs w:val="20"/>
                <w:color w:val="auto"/>
              </w:rPr>
            </w:pPr>
            <w:r>
              <w:rPr>
                <w:rFonts w:ascii="Times New Roman" w:cs="Times New Roman" w:eastAsia="Times New Roman" w:hAnsi="Times New Roman"/>
                <w:sz w:val="15"/>
                <w:szCs w:val="15"/>
                <w:color w:val="231F20"/>
              </w:rPr>
              <w:t>$25.27</w:t>
            </w:r>
          </w:p>
        </w:tc>
        <w:tc>
          <w:tcPr>
            <w:tcW w:w="900" w:type="dxa"/>
            <w:vAlign w:val="bottom"/>
            <w:gridSpan w:val="2"/>
          </w:tcPr>
          <w:p>
            <w:pPr>
              <w:jc w:val="center"/>
              <w:ind w:left="24"/>
              <w:spacing w:after="0"/>
              <w:rPr>
                <w:sz w:val="20"/>
                <w:szCs w:val="20"/>
                <w:color w:val="auto"/>
              </w:rPr>
            </w:pPr>
            <w:r>
              <w:rPr>
                <w:rFonts w:ascii="Times New Roman" w:cs="Times New Roman" w:eastAsia="Times New Roman" w:hAnsi="Times New Roman"/>
                <w:sz w:val="15"/>
                <w:szCs w:val="15"/>
                <w:color w:val="231F20"/>
              </w:rPr>
              <w:t>96%</w:t>
            </w:r>
          </w:p>
        </w:tc>
        <w:tc>
          <w:tcPr>
            <w:tcW w:w="80" w:type="dxa"/>
            <w:vAlign w:val="bottom"/>
          </w:tcPr>
          <w:p>
            <w:pPr>
              <w:spacing w:after="0"/>
              <w:rPr>
                <w:sz w:val="17"/>
                <w:szCs w:val="17"/>
                <w:color w:val="auto"/>
              </w:rPr>
            </w:pPr>
          </w:p>
        </w:tc>
        <w:tc>
          <w:tcPr>
            <w:tcW w:w="2040" w:type="dxa"/>
            <w:vAlign w:val="bottom"/>
          </w:tcPr>
          <w:p>
            <w:pPr>
              <w:ind w:left="40"/>
              <w:spacing w:after="0"/>
              <w:rPr>
                <w:sz w:val="20"/>
                <w:szCs w:val="20"/>
                <w:color w:val="auto"/>
              </w:rPr>
            </w:pPr>
            <w:r>
              <w:rPr>
                <w:rFonts w:ascii="Times New Roman" w:cs="Times New Roman" w:eastAsia="Times New Roman" w:hAnsi="Times New Roman"/>
                <w:sz w:val="15"/>
                <w:szCs w:val="15"/>
                <w:color w:val="231F20"/>
              </w:rPr>
              <w:t>Giant Food</w:t>
            </w: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2640" w:type="dxa"/>
            <w:vAlign w:val="bottom"/>
            <w:gridSpan w:val="3"/>
          </w:tcPr>
          <w:p>
            <w:pPr>
              <w:ind w:left="100"/>
              <w:spacing w:after="0" w:line="152" w:lineRule="exact"/>
              <w:rPr>
                <w:sz w:val="20"/>
                <w:szCs w:val="20"/>
                <w:color w:val="auto"/>
              </w:rPr>
            </w:pPr>
            <w:r>
              <w:rPr>
                <w:rFonts w:ascii="Times New Roman" w:cs="Times New Roman" w:eastAsia="Times New Roman" w:hAnsi="Times New Roman"/>
                <w:sz w:val="15"/>
                <w:szCs w:val="15"/>
                <w:color w:val="231F20"/>
              </w:rPr>
              <w:t>Laurel, MD 20707</w:t>
            </w: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ind w:left="40"/>
              <w:spacing w:after="0" w:line="152" w:lineRule="exact"/>
              <w:rPr>
                <w:sz w:val="20"/>
                <w:szCs w:val="20"/>
                <w:color w:val="auto"/>
              </w:rPr>
            </w:pPr>
            <w:r>
              <w:rPr>
                <w:rFonts w:ascii="Times New Roman" w:cs="Times New Roman" w:eastAsia="Times New Roman" w:hAnsi="Times New Roman"/>
                <w:sz w:val="15"/>
                <w:szCs w:val="15"/>
                <w:color w:val="231F20"/>
              </w:rPr>
              <w:t>Marshalls</w:t>
            </w: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ind w:left="40"/>
              <w:spacing w:after="0" w:line="152" w:lineRule="exact"/>
              <w:rPr>
                <w:sz w:val="20"/>
                <w:szCs w:val="20"/>
                <w:color w:val="auto"/>
              </w:rPr>
            </w:pPr>
            <w:r>
              <w:rPr>
                <w:rFonts w:ascii="Times New Roman" w:cs="Times New Roman" w:eastAsia="Times New Roman" w:hAnsi="Times New Roman"/>
                <w:sz w:val="15"/>
                <w:szCs w:val="15"/>
                <w:color w:val="231F20"/>
              </w:rPr>
              <w:t>L.A. Fitness</w:t>
            </w: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40" w:type="dxa"/>
            <w:vAlign w:val="bottom"/>
          </w:tcPr>
          <w:p>
            <w:pPr>
              <w:ind w:left="40"/>
              <w:spacing w:after="0"/>
              <w:rPr>
                <w:sz w:val="20"/>
                <w:szCs w:val="20"/>
                <w:color w:val="auto"/>
              </w:rPr>
            </w:pPr>
            <w:r>
              <w:rPr>
                <w:rFonts w:ascii="Times New Roman" w:cs="Times New Roman" w:eastAsia="Times New Roman" w:hAnsi="Times New Roman"/>
                <w:sz w:val="15"/>
                <w:szCs w:val="15"/>
                <w:color w:val="231F20"/>
              </w:rPr>
              <w:t>HomeGoods</w:t>
            </w:r>
          </w:p>
        </w:tc>
        <w:tc>
          <w:tcPr>
            <w:tcW w:w="0" w:type="dxa"/>
            <w:vAlign w:val="bottom"/>
          </w:tcPr>
          <w:p>
            <w:pPr>
              <w:spacing w:after="0"/>
              <w:rPr>
                <w:sz w:val="1"/>
                <w:szCs w:val="1"/>
                <w:color w:val="auto"/>
              </w:rPr>
            </w:pPr>
          </w:p>
        </w:tc>
      </w:tr>
      <w:tr>
        <w:trPr>
          <w:trHeight w:val="183"/>
        </w:trPr>
        <w:tc>
          <w:tcPr>
            <w:tcW w:w="60" w:type="dxa"/>
            <w:vAlign w:val="bottom"/>
          </w:tcPr>
          <w:p>
            <w:pPr>
              <w:spacing w:after="0"/>
              <w:rPr>
                <w:sz w:val="15"/>
                <w:szCs w:val="15"/>
                <w:color w:val="auto"/>
              </w:rPr>
            </w:pPr>
          </w:p>
        </w:tc>
        <w:tc>
          <w:tcPr>
            <w:tcW w:w="2640" w:type="dxa"/>
            <w:vAlign w:val="bottom"/>
            <w:gridSpan w:val="3"/>
          </w:tcPr>
          <w:p>
            <w:pPr>
              <w:spacing w:after="0"/>
              <w:rPr>
                <w:sz w:val="20"/>
                <w:szCs w:val="20"/>
                <w:color w:val="auto"/>
              </w:rPr>
            </w:pPr>
            <w:r>
              <w:rPr>
                <w:rFonts w:ascii="Times New Roman" w:cs="Times New Roman" w:eastAsia="Times New Roman" w:hAnsi="Times New Roman"/>
                <w:sz w:val="15"/>
                <w:szCs w:val="15"/>
                <w:color w:val="231F20"/>
              </w:rPr>
              <w:t>Montrose Crossing</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231F20"/>
              </w:rPr>
              <w:t>1960-1979,</w:t>
            </w:r>
          </w:p>
        </w:tc>
        <w:tc>
          <w:tcPr>
            <w:tcW w:w="880" w:type="dxa"/>
            <w:vAlign w:val="bottom"/>
            <w:gridSpan w:val="2"/>
          </w:tcPr>
          <w:p>
            <w:pPr>
              <w:jc w:val="center"/>
              <w:ind w:left="4"/>
              <w:spacing w:after="0"/>
              <w:rPr>
                <w:sz w:val="20"/>
                <w:szCs w:val="20"/>
                <w:color w:val="auto"/>
              </w:rPr>
            </w:pPr>
            <w:r>
              <w:rPr>
                <w:rFonts w:ascii="Times New Roman" w:cs="Times New Roman" w:eastAsia="Times New Roman" w:hAnsi="Times New Roman"/>
                <w:sz w:val="15"/>
                <w:szCs w:val="15"/>
                <w:color w:val="231F20"/>
                <w:w w:val="99"/>
              </w:rPr>
              <w:t>2011/2013</w:t>
            </w:r>
          </w:p>
        </w:tc>
        <w:tc>
          <w:tcPr>
            <w:tcW w:w="1100" w:type="dxa"/>
            <w:vAlign w:val="bottom"/>
            <w:gridSpan w:val="2"/>
          </w:tcPr>
          <w:p>
            <w:pPr>
              <w:jc w:val="right"/>
              <w:ind w:right="164"/>
              <w:spacing w:after="0"/>
              <w:rPr>
                <w:sz w:val="20"/>
                <w:szCs w:val="20"/>
                <w:color w:val="auto"/>
              </w:rPr>
            </w:pPr>
            <w:r>
              <w:rPr>
                <w:rFonts w:ascii="Times New Roman" w:cs="Times New Roman" w:eastAsia="Times New Roman" w:hAnsi="Times New Roman"/>
                <w:sz w:val="15"/>
                <w:szCs w:val="15"/>
                <w:color w:val="231F20"/>
              </w:rPr>
              <w:t>369,000</w:t>
            </w:r>
          </w:p>
        </w:tc>
        <w:tc>
          <w:tcPr>
            <w:tcW w:w="1100" w:type="dxa"/>
            <w:vAlign w:val="bottom"/>
            <w:gridSpan w:val="2"/>
          </w:tcPr>
          <w:p>
            <w:pPr>
              <w:jc w:val="center"/>
              <w:ind w:left="44"/>
              <w:spacing w:after="0"/>
              <w:rPr>
                <w:sz w:val="20"/>
                <w:szCs w:val="20"/>
                <w:color w:val="auto"/>
              </w:rPr>
            </w:pPr>
            <w:r>
              <w:rPr>
                <w:rFonts w:ascii="Times New Roman" w:cs="Times New Roman" w:eastAsia="Times New Roman" w:hAnsi="Times New Roman"/>
                <w:sz w:val="15"/>
                <w:szCs w:val="15"/>
                <w:color w:val="231F20"/>
              </w:rPr>
              <w:t>$35.06</w:t>
            </w:r>
          </w:p>
        </w:tc>
        <w:tc>
          <w:tcPr>
            <w:tcW w:w="900" w:type="dxa"/>
            <w:vAlign w:val="bottom"/>
            <w:gridSpan w:val="2"/>
          </w:tcPr>
          <w:p>
            <w:pPr>
              <w:jc w:val="center"/>
              <w:ind w:left="24"/>
              <w:spacing w:after="0"/>
              <w:rPr>
                <w:sz w:val="20"/>
                <w:szCs w:val="20"/>
                <w:color w:val="auto"/>
              </w:rPr>
            </w:pPr>
            <w:r>
              <w:rPr>
                <w:rFonts w:ascii="Times New Roman" w:cs="Times New Roman" w:eastAsia="Times New Roman" w:hAnsi="Times New Roman"/>
                <w:sz w:val="15"/>
                <w:szCs w:val="15"/>
                <w:color w:val="231F20"/>
              </w:rPr>
              <w:t>98%</w:t>
            </w:r>
          </w:p>
        </w:tc>
        <w:tc>
          <w:tcPr>
            <w:tcW w:w="80" w:type="dxa"/>
            <w:vAlign w:val="bottom"/>
          </w:tcPr>
          <w:p>
            <w:pPr>
              <w:spacing w:after="0"/>
              <w:rPr>
                <w:sz w:val="15"/>
                <w:szCs w:val="15"/>
                <w:color w:val="auto"/>
              </w:rPr>
            </w:pPr>
          </w:p>
        </w:tc>
        <w:tc>
          <w:tcPr>
            <w:tcW w:w="2040" w:type="dxa"/>
            <w:vAlign w:val="bottom"/>
          </w:tcPr>
          <w:p>
            <w:pPr>
              <w:ind w:left="40"/>
              <w:spacing w:after="0"/>
              <w:rPr>
                <w:sz w:val="20"/>
                <w:szCs w:val="20"/>
                <w:color w:val="auto"/>
              </w:rPr>
            </w:pPr>
            <w:r>
              <w:rPr>
                <w:rFonts w:ascii="Times New Roman" w:cs="Times New Roman" w:eastAsia="Times New Roman" w:hAnsi="Times New Roman"/>
                <w:sz w:val="15"/>
                <w:szCs w:val="15"/>
                <w:color w:val="231F20"/>
              </w:rPr>
              <w:t>Giant Food</w:t>
            </w: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2640" w:type="dxa"/>
            <w:vAlign w:val="bottom"/>
            <w:gridSpan w:val="3"/>
          </w:tcPr>
          <w:p>
            <w:pPr>
              <w:ind w:left="100"/>
              <w:spacing w:after="0" w:line="152" w:lineRule="exact"/>
              <w:rPr>
                <w:sz w:val="20"/>
                <w:szCs w:val="20"/>
                <w:color w:val="auto"/>
              </w:rPr>
            </w:pPr>
            <w:r>
              <w:rPr>
                <w:rFonts w:ascii="Times New Roman" w:cs="Times New Roman" w:eastAsia="Times New Roman" w:hAnsi="Times New Roman"/>
                <w:sz w:val="15"/>
                <w:szCs w:val="15"/>
                <w:color w:val="231F20"/>
              </w:rPr>
              <w:t>Rockville, MD 20852</w:t>
            </w:r>
          </w:p>
        </w:tc>
        <w:tc>
          <w:tcPr>
            <w:tcW w:w="920" w:type="dxa"/>
            <w:vAlign w:val="bottom"/>
            <w:gridSpan w:val="2"/>
          </w:tcPr>
          <w:p>
            <w:pPr>
              <w:jc w:val="center"/>
              <w:ind w:left="4"/>
              <w:spacing w:after="0" w:line="152" w:lineRule="exact"/>
              <w:rPr>
                <w:sz w:val="20"/>
                <w:szCs w:val="20"/>
                <w:color w:val="auto"/>
              </w:rPr>
            </w:pPr>
            <w:r>
              <w:rPr>
                <w:rFonts w:ascii="Times New Roman" w:cs="Times New Roman" w:eastAsia="Times New Roman" w:hAnsi="Times New Roman"/>
                <w:sz w:val="15"/>
                <w:szCs w:val="15"/>
                <w:color w:val="231F20"/>
              </w:rPr>
              <w:t>1996, 2011</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ind w:left="40"/>
              <w:spacing w:after="0" w:line="152" w:lineRule="exact"/>
              <w:rPr>
                <w:sz w:val="20"/>
                <w:szCs w:val="20"/>
                <w:color w:val="auto"/>
              </w:rPr>
            </w:pPr>
            <w:r>
              <w:rPr>
                <w:rFonts w:ascii="Times New Roman" w:cs="Times New Roman" w:eastAsia="Times New Roman" w:hAnsi="Times New Roman"/>
                <w:sz w:val="15"/>
                <w:szCs w:val="15"/>
                <w:color w:val="231F20"/>
              </w:rPr>
              <w:t>Marshalls</w:t>
            </w: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ind w:left="40"/>
              <w:spacing w:after="0" w:line="152" w:lineRule="exact"/>
              <w:rPr>
                <w:sz w:val="20"/>
                <w:szCs w:val="20"/>
                <w:color w:val="auto"/>
              </w:rPr>
            </w:pPr>
            <w:r>
              <w:rPr>
                <w:rFonts w:ascii="Times New Roman" w:cs="Times New Roman" w:eastAsia="Times New Roman" w:hAnsi="Times New Roman"/>
                <w:sz w:val="15"/>
                <w:szCs w:val="15"/>
                <w:color w:val="231F20"/>
              </w:rPr>
              <w:t>Home Depot Design Center</w:t>
            </w: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ind w:left="40"/>
              <w:spacing w:after="0" w:line="152" w:lineRule="exact"/>
              <w:rPr>
                <w:sz w:val="20"/>
                <w:szCs w:val="20"/>
                <w:color w:val="auto"/>
              </w:rPr>
            </w:pPr>
            <w:r>
              <w:rPr>
                <w:rFonts w:ascii="Times New Roman" w:cs="Times New Roman" w:eastAsia="Times New Roman" w:hAnsi="Times New Roman"/>
                <w:sz w:val="15"/>
                <w:szCs w:val="15"/>
                <w:color w:val="231F20"/>
              </w:rPr>
              <w:t>Old Navy</w:t>
            </w: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40" w:type="dxa"/>
            <w:vAlign w:val="bottom"/>
          </w:tcPr>
          <w:p>
            <w:pPr>
              <w:ind w:left="40"/>
              <w:spacing w:after="0"/>
              <w:rPr>
                <w:sz w:val="20"/>
                <w:szCs w:val="20"/>
                <w:color w:val="auto"/>
              </w:rPr>
            </w:pPr>
            <w:r>
              <w:rPr>
                <w:rFonts w:ascii="Times New Roman" w:cs="Times New Roman" w:eastAsia="Times New Roman" w:hAnsi="Times New Roman"/>
                <w:sz w:val="15"/>
                <w:szCs w:val="15"/>
                <w:color w:val="231F20"/>
              </w:rPr>
              <w:t>Burlington</w:t>
            </w:r>
          </w:p>
        </w:tc>
        <w:tc>
          <w:tcPr>
            <w:tcW w:w="0" w:type="dxa"/>
            <w:vAlign w:val="bottom"/>
          </w:tcPr>
          <w:p>
            <w:pPr>
              <w:spacing w:after="0"/>
              <w:rPr>
                <w:sz w:val="1"/>
                <w:szCs w:val="1"/>
                <w:color w:val="auto"/>
              </w:rPr>
            </w:pPr>
          </w:p>
        </w:tc>
      </w:tr>
      <w:tr>
        <w:trPr>
          <w:trHeight w:val="159"/>
        </w:trPr>
        <w:tc>
          <w:tcPr>
            <w:tcW w:w="60" w:type="dxa"/>
            <w:vAlign w:val="bottom"/>
          </w:tcPr>
          <w:p>
            <w:pPr>
              <w:spacing w:after="0"/>
              <w:rPr>
                <w:sz w:val="13"/>
                <w:szCs w:val="13"/>
                <w:color w:val="auto"/>
              </w:rPr>
            </w:pPr>
          </w:p>
        </w:tc>
        <w:tc>
          <w:tcPr>
            <w:tcW w:w="2640" w:type="dxa"/>
            <w:vAlign w:val="bottom"/>
            <w:gridSpan w:val="3"/>
          </w:tcPr>
          <w:p>
            <w:pPr>
              <w:spacing w:after="0" w:line="159" w:lineRule="exact"/>
              <w:rPr>
                <w:sz w:val="20"/>
                <w:szCs w:val="20"/>
                <w:color w:val="auto"/>
              </w:rPr>
            </w:pPr>
            <w:r>
              <w:rPr>
                <w:rFonts w:ascii="Times New Roman" w:cs="Times New Roman" w:eastAsia="Times New Roman" w:hAnsi="Times New Roman"/>
                <w:sz w:val="15"/>
                <w:szCs w:val="15"/>
                <w:color w:val="231F20"/>
              </w:rPr>
              <w:t>Perring Plaza</w:t>
            </w:r>
          </w:p>
        </w:tc>
        <w:tc>
          <w:tcPr>
            <w:tcW w:w="920" w:type="dxa"/>
            <w:vAlign w:val="bottom"/>
            <w:gridSpan w:val="2"/>
          </w:tcPr>
          <w:p>
            <w:pPr>
              <w:jc w:val="center"/>
              <w:spacing w:after="0" w:line="159" w:lineRule="exact"/>
              <w:rPr>
                <w:sz w:val="20"/>
                <w:szCs w:val="20"/>
                <w:color w:val="auto"/>
              </w:rPr>
            </w:pPr>
            <w:r>
              <w:rPr>
                <w:rFonts w:ascii="Times New Roman" w:cs="Times New Roman" w:eastAsia="Times New Roman" w:hAnsi="Times New Roman"/>
                <w:sz w:val="15"/>
                <w:szCs w:val="15"/>
                <w:color w:val="231F20"/>
                <w:w w:val="99"/>
              </w:rPr>
              <w:t>1963</w:t>
            </w:r>
          </w:p>
        </w:tc>
        <w:tc>
          <w:tcPr>
            <w:tcW w:w="880" w:type="dxa"/>
            <w:vAlign w:val="bottom"/>
            <w:gridSpan w:val="2"/>
          </w:tcPr>
          <w:p>
            <w:pPr>
              <w:jc w:val="center"/>
              <w:ind w:left="24"/>
              <w:spacing w:after="0" w:line="159" w:lineRule="exact"/>
              <w:rPr>
                <w:sz w:val="20"/>
                <w:szCs w:val="20"/>
                <w:color w:val="auto"/>
              </w:rPr>
            </w:pPr>
            <w:r>
              <w:rPr>
                <w:rFonts w:ascii="Times New Roman" w:cs="Times New Roman" w:eastAsia="Times New Roman" w:hAnsi="Times New Roman"/>
                <w:sz w:val="15"/>
                <w:szCs w:val="15"/>
                <w:color w:val="231F20"/>
                <w:w w:val="99"/>
              </w:rPr>
              <w:t>1985</w:t>
            </w:r>
          </w:p>
        </w:tc>
        <w:tc>
          <w:tcPr>
            <w:tcW w:w="1100" w:type="dxa"/>
            <w:vAlign w:val="bottom"/>
            <w:gridSpan w:val="2"/>
          </w:tcPr>
          <w:p>
            <w:pPr>
              <w:jc w:val="right"/>
              <w:ind w:right="164"/>
              <w:spacing w:after="0" w:line="159" w:lineRule="exact"/>
              <w:rPr>
                <w:sz w:val="20"/>
                <w:szCs w:val="20"/>
                <w:color w:val="auto"/>
              </w:rPr>
            </w:pPr>
            <w:r>
              <w:rPr>
                <w:rFonts w:ascii="Times New Roman" w:cs="Times New Roman" w:eastAsia="Times New Roman" w:hAnsi="Times New Roman"/>
                <w:sz w:val="15"/>
                <w:szCs w:val="15"/>
                <w:color w:val="231F20"/>
              </w:rPr>
              <w:t>398,000</w:t>
            </w:r>
          </w:p>
        </w:tc>
        <w:tc>
          <w:tcPr>
            <w:tcW w:w="1100" w:type="dxa"/>
            <w:vAlign w:val="bottom"/>
            <w:gridSpan w:val="2"/>
          </w:tcPr>
          <w:p>
            <w:pPr>
              <w:jc w:val="center"/>
              <w:ind w:left="44"/>
              <w:spacing w:after="0" w:line="159" w:lineRule="exact"/>
              <w:rPr>
                <w:sz w:val="20"/>
                <w:szCs w:val="20"/>
                <w:color w:val="auto"/>
              </w:rPr>
            </w:pPr>
            <w:r>
              <w:rPr>
                <w:rFonts w:ascii="Times New Roman" w:cs="Times New Roman" w:eastAsia="Times New Roman" w:hAnsi="Times New Roman"/>
                <w:sz w:val="15"/>
                <w:szCs w:val="15"/>
                <w:color w:val="231F20"/>
              </w:rPr>
              <w:t>$17.07</w:t>
            </w:r>
          </w:p>
        </w:tc>
        <w:tc>
          <w:tcPr>
            <w:tcW w:w="900" w:type="dxa"/>
            <w:vAlign w:val="bottom"/>
            <w:gridSpan w:val="2"/>
          </w:tcPr>
          <w:p>
            <w:pPr>
              <w:jc w:val="center"/>
              <w:ind w:left="24"/>
              <w:spacing w:after="0" w:line="159" w:lineRule="exact"/>
              <w:rPr>
                <w:sz w:val="20"/>
                <w:szCs w:val="20"/>
                <w:color w:val="auto"/>
              </w:rPr>
            </w:pPr>
            <w:r>
              <w:rPr>
                <w:rFonts w:ascii="Times New Roman" w:cs="Times New Roman" w:eastAsia="Times New Roman" w:hAnsi="Times New Roman"/>
                <w:sz w:val="15"/>
                <w:szCs w:val="15"/>
                <w:color w:val="231F20"/>
              </w:rPr>
              <w:t>91%</w:t>
            </w:r>
          </w:p>
        </w:tc>
        <w:tc>
          <w:tcPr>
            <w:tcW w:w="80" w:type="dxa"/>
            <w:vAlign w:val="bottom"/>
          </w:tcPr>
          <w:p>
            <w:pPr>
              <w:spacing w:after="0"/>
              <w:rPr>
                <w:sz w:val="13"/>
                <w:szCs w:val="13"/>
                <w:color w:val="auto"/>
              </w:rPr>
            </w:pPr>
          </w:p>
        </w:tc>
        <w:tc>
          <w:tcPr>
            <w:tcW w:w="2040" w:type="dxa"/>
            <w:vAlign w:val="bottom"/>
          </w:tcPr>
          <w:p>
            <w:pPr>
              <w:ind w:left="40"/>
              <w:spacing w:after="0" w:line="159" w:lineRule="exact"/>
              <w:rPr>
                <w:sz w:val="20"/>
                <w:szCs w:val="20"/>
                <w:color w:val="auto"/>
              </w:rPr>
            </w:pPr>
            <w:r>
              <w:rPr>
                <w:rFonts w:ascii="Times New Roman" w:cs="Times New Roman" w:eastAsia="Times New Roman" w:hAnsi="Times New Roman"/>
                <w:sz w:val="15"/>
                <w:szCs w:val="15"/>
                <w:color w:val="231F20"/>
              </w:rPr>
              <w:t>Giant Food</w:t>
            </w: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2640" w:type="dxa"/>
            <w:vAlign w:val="bottom"/>
            <w:gridSpan w:val="3"/>
          </w:tcPr>
          <w:p>
            <w:pPr>
              <w:ind w:left="100"/>
              <w:spacing w:after="0" w:line="152" w:lineRule="exact"/>
              <w:rPr>
                <w:sz w:val="20"/>
                <w:szCs w:val="20"/>
                <w:color w:val="auto"/>
              </w:rPr>
            </w:pPr>
            <w:r>
              <w:rPr>
                <w:rFonts w:ascii="Times New Roman" w:cs="Times New Roman" w:eastAsia="Times New Roman" w:hAnsi="Times New Roman"/>
                <w:sz w:val="15"/>
                <w:szCs w:val="15"/>
                <w:color w:val="231F20"/>
              </w:rPr>
              <w:t>Baltimore, MD 21134</w:t>
            </w: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ind w:left="40"/>
              <w:spacing w:after="0" w:line="152" w:lineRule="exact"/>
              <w:rPr>
                <w:sz w:val="20"/>
                <w:szCs w:val="20"/>
                <w:color w:val="auto"/>
              </w:rPr>
            </w:pPr>
            <w:r>
              <w:rPr>
                <w:rFonts w:ascii="Times New Roman" w:cs="Times New Roman" w:eastAsia="Times New Roman" w:hAnsi="Times New Roman"/>
                <w:sz w:val="15"/>
                <w:szCs w:val="15"/>
                <w:color w:val="231F20"/>
              </w:rPr>
              <w:t>Home Depot</w:t>
            </w: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ind w:left="40"/>
              <w:spacing w:after="0" w:line="152" w:lineRule="exact"/>
              <w:rPr>
                <w:sz w:val="20"/>
                <w:szCs w:val="20"/>
                <w:color w:val="auto"/>
              </w:rPr>
            </w:pPr>
            <w:r>
              <w:rPr>
                <w:rFonts w:ascii="Times New Roman" w:cs="Times New Roman" w:eastAsia="Times New Roman" w:hAnsi="Times New Roman"/>
                <w:sz w:val="15"/>
                <w:szCs w:val="15"/>
                <w:color w:val="231F20"/>
              </w:rPr>
              <w:t>Dick's Sporting Goods</w:t>
            </w: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ind w:left="40"/>
              <w:spacing w:after="0" w:line="152" w:lineRule="exact"/>
              <w:rPr>
                <w:sz w:val="20"/>
                <w:szCs w:val="20"/>
                <w:color w:val="auto"/>
              </w:rPr>
            </w:pPr>
            <w:r>
              <w:rPr>
                <w:rFonts w:ascii="Times New Roman" w:cs="Times New Roman" w:eastAsia="Times New Roman" w:hAnsi="Times New Roman"/>
                <w:sz w:val="15"/>
                <w:szCs w:val="15"/>
                <w:color w:val="231F20"/>
              </w:rPr>
              <w:t>Micro Center</w:t>
            </w: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40" w:type="dxa"/>
            <w:vAlign w:val="bottom"/>
          </w:tcPr>
          <w:p>
            <w:pPr>
              <w:ind w:left="40"/>
              <w:spacing w:after="0"/>
              <w:rPr>
                <w:sz w:val="20"/>
                <w:szCs w:val="20"/>
                <w:color w:val="auto"/>
              </w:rPr>
            </w:pPr>
            <w:r>
              <w:rPr>
                <w:rFonts w:ascii="Times New Roman" w:cs="Times New Roman" w:eastAsia="Times New Roman" w:hAnsi="Times New Roman"/>
                <w:sz w:val="15"/>
                <w:szCs w:val="15"/>
                <w:color w:val="231F20"/>
              </w:rPr>
              <w:t>Burlington</w:t>
            </w:r>
          </w:p>
        </w:tc>
        <w:tc>
          <w:tcPr>
            <w:tcW w:w="0" w:type="dxa"/>
            <w:vAlign w:val="bottom"/>
          </w:tcPr>
          <w:p>
            <w:pPr>
              <w:spacing w:after="0"/>
              <w:rPr>
                <w:sz w:val="1"/>
                <w:szCs w:val="1"/>
                <w:color w:val="auto"/>
              </w:rPr>
            </w:pPr>
          </w:p>
        </w:tc>
      </w:tr>
      <w:tr>
        <w:trPr>
          <w:trHeight w:val="159"/>
        </w:trPr>
        <w:tc>
          <w:tcPr>
            <w:tcW w:w="60" w:type="dxa"/>
            <w:vAlign w:val="bottom"/>
          </w:tcPr>
          <w:p>
            <w:pPr>
              <w:spacing w:after="0"/>
              <w:rPr>
                <w:sz w:val="13"/>
                <w:szCs w:val="13"/>
                <w:color w:val="auto"/>
              </w:rPr>
            </w:pPr>
          </w:p>
        </w:tc>
        <w:tc>
          <w:tcPr>
            <w:tcW w:w="2640" w:type="dxa"/>
            <w:vAlign w:val="bottom"/>
            <w:gridSpan w:val="3"/>
          </w:tcPr>
          <w:p>
            <w:pPr>
              <w:spacing w:after="0" w:line="159" w:lineRule="exact"/>
              <w:rPr>
                <w:sz w:val="20"/>
                <w:szCs w:val="20"/>
                <w:color w:val="auto"/>
              </w:rPr>
            </w:pPr>
            <w:r>
              <w:rPr>
                <w:rFonts w:ascii="Times New Roman" w:cs="Times New Roman" w:eastAsia="Times New Roman" w:hAnsi="Times New Roman"/>
                <w:sz w:val="15"/>
                <w:szCs w:val="15"/>
                <w:color w:val="231F20"/>
              </w:rPr>
              <w:t>Pike &amp; Rose</w:t>
            </w:r>
          </w:p>
        </w:tc>
        <w:tc>
          <w:tcPr>
            <w:tcW w:w="920" w:type="dxa"/>
            <w:vAlign w:val="bottom"/>
            <w:gridSpan w:val="2"/>
          </w:tcPr>
          <w:p>
            <w:pPr>
              <w:jc w:val="center"/>
              <w:ind w:left="4"/>
              <w:spacing w:after="0" w:line="159" w:lineRule="exact"/>
              <w:rPr>
                <w:sz w:val="20"/>
                <w:szCs w:val="20"/>
                <w:color w:val="auto"/>
              </w:rPr>
            </w:pPr>
            <w:r>
              <w:rPr>
                <w:rFonts w:ascii="Times New Roman" w:cs="Times New Roman" w:eastAsia="Times New Roman" w:hAnsi="Times New Roman"/>
                <w:sz w:val="15"/>
                <w:szCs w:val="15"/>
                <w:color w:val="231F20"/>
              </w:rPr>
              <w:t>1963, 2014,</w:t>
            </w:r>
          </w:p>
        </w:tc>
        <w:tc>
          <w:tcPr>
            <w:tcW w:w="880" w:type="dxa"/>
            <w:vAlign w:val="bottom"/>
            <w:gridSpan w:val="2"/>
          </w:tcPr>
          <w:p>
            <w:pPr>
              <w:jc w:val="center"/>
              <w:ind w:left="4"/>
              <w:spacing w:after="0" w:line="159" w:lineRule="exact"/>
              <w:rPr>
                <w:sz w:val="20"/>
                <w:szCs w:val="20"/>
                <w:color w:val="auto"/>
              </w:rPr>
            </w:pPr>
            <w:r>
              <w:rPr>
                <w:rFonts w:ascii="Times New Roman" w:cs="Times New Roman" w:eastAsia="Times New Roman" w:hAnsi="Times New Roman"/>
                <w:sz w:val="15"/>
                <w:szCs w:val="15"/>
                <w:color w:val="231F20"/>
                <w:w w:val="99"/>
              </w:rPr>
              <w:t>1982/2007/</w:t>
            </w:r>
          </w:p>
        </w:tc>
        <w:tc>
          <w:tcPr>
            <w:tcW w:w="1100" w:type="dxa"/>
            <w:vAlign w:val="bottom"/>
            <w:gridSpan w:val="2"/>
          </w:tcPr>
          <w:p>
            <w:pPr>
              <w:jc w:val="right"/>
              <w:ind w:right="164"/>
              <w:spacing w:after="0" w:line="159" w:lineRule="exact"/>
              <w:rPr>
                <w:sz w:val="20"/>
                <w:szCs w:val="20"/>
                <w:color w:val="auto"/>
              </w:rPr>
            </w:pPr>
            <w:r>
              <w:rPr>
                <w:rFonts w:ascii="Times New Roman" w:cs="Times New Roman" w:eastAsia="Times New Roman" w:hAnsi="Times New Roman"/>
                <w:sz w:val="15"/>
                <w:szCs w:val="15"/>
                <w:color w:val="231F20"/>
              </w:rPr>
              <w:t>955,000</w:t>
            </w:r>
          </w:p>
        </w:tc>
        <w:tc>
          <w:tcPr>
            <w:tcW w:w="1100" w:type="dxa"/>
            <w:vAlign w:val="bottom"/>
            <w:gridSpan w:val="2"/>
          </w:tcPr>
          <w:p>
            <w:pPr>
              <w:jc w:val="center"/>
              <w:ind w:left="44"/>
              <w:spacing w:after="0" w:line="159" w:lineRule="exact"/>
              <w:rPr>
                <w:sz w:val="20"/>
                <w:szCs w:val="20"/>
                <w:color w:val="auto"/>
              </w:rPr>
            </w:pPr>
            <w:r>
              <w:rPr>
                <w:rFonts w:ascii="Times New Roman" w:cs="Times New Roman" w:eastAsia="Times New Roman" w:hAnsi="Times New Roman"/>
                <w:sz w:val="15"/>
                <w:szCs w:val="15"/>
                <w:color w:val="231F20"/>
              </w:rPr>
              <w:t>$47.31</w:t>
            </w:r>
          </w:p>
        </w:tc>
        <w:tc>
          <w:tcPr>
            <w:tcW w:w="900" w:type="dxa"/>
            <w:vAlign w:val="bottom"/>
            <w:gridSpan w:val="2"/>
          </w:tcPr>
          <w:p>
            <w:pPr>
              <w:jc w:val="center"/>
              <w:ind w:left="24"/>
              <w:spacing w:after="0" w:line="159" w:lineRule="exact"/>
              <w:rPr>
                <w:sz w:val="20"/>
                <w:szCs w:val="20"/>
                <w:color w:val="auto"/>
              </w:rPr>
            </w:pPr>
            <w:r>
              <w:rPr>
                <w:rFonts w:ascii="Times New Roman" w:cs="Times New Roman" w:eastAsia="Times New Roman" w:hAnsi="Times New Roman"/>
                <w:sz w:val="15"/>
                <w:szCs w:val="15"/>
                <w:color w:val="231F20"/>
              </w:rPr>
              <w:t>100%</w:t>
            </w:r>
          </w:p>
        </w:tc>
        <w:tc>
          <w:tcPr>
            <w:tcW w:w="80" w:type="dxa"/>
            <w:vAlign w:val="bottom"/>
          </w:tcPr>
          <w:p>
            <w:pPr>
              <w:spacing w:after="0"/>
              <w:rPr>
                <w:sz w:val="13"/>
                <w:szCs w:val="13"/>
                <w:color w:val="auto"/>
              </w:rPr>
            </w:pPr>
          </w:p>
        </w:tc>
        <w:tc>
          <w:tcPr>
            <w:tcW w:w="2040" w:type="dxa"/>
            <w:vAlign w:val="bottom"/>
          </w:tcPr>
          <w:p>
            <w:pPr>
              <w:ind w:left="40"/>
              <w:spacing w:after="0" w:line="159" w:lineRule="exact"/>
              <w:rPr>
                <w:sz w:val="20"/>
                <w:szCs w:val="20"/>
                <w:color w:val="auto"/>
              </w:rPr>
            </w:pPr>
            <w:r>
              <w:rPr>
                <w:rFonts w:ascii="Times New Roman" w:cs="Times New Roman" w:eastAsia="Times New Roman" w:hAnsi="Times New Roman"/>
                <w:sz w:val="15"/>
                <w:szCs w:val="15"/>
                <w:color w:val="231F20"/>
              </w:rPr>
              <w:t>Porsche</w:t>
            </w: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2640" w:type="dxa"/>
            <w:vAlign w:val="bottom"/>
            <w:gridSpan w:val="3"/>
          </w:tcPr>
          <w:p>
            <w:pPr>
              <w:ind w:left="100"/>
              <w:spacing w:after="0" w:line="152" w:lineRule="exact"/>
              <w:rPr>
                <w:sz w:val="20"/>
                <w:szCs w:val="20"/>
                <w:color w:val="auto"/>
              </w:rPr>
            </w:pPr>
            <w:r>
              <w:rPr>
                <w:rFonts w:ascii="Times New Roman" w:cs="Times New Roman" w:eastAsia="Times New Roman" w:hAnsi="Times New Roman"/>
                <w:sz w:val="15"/>
                <w:szCs w:val="15"/>
                <w:color w:val="231F20"/>
              </w:rPr>
              <w:t>North Bethesda, MD 20852(10)</w:t>
            </w:r>
          </w:p>
        </w:tc>
        <w:tc>
          <w:tcPr>
            <w:tcW w:w="920" w:type="dxa"/>
            <w:vAlign w:val="bottom"/>
            <w:gridSpan w:val="2"/>
          </w:tcPr>
          <w:p>
            <w:pPr>
              <w:jc w:val="center"/>
              <w:ind w:left="4"/>
              <w:spacing w:after="0" w:line="152" w:lineRule="exact"/>
              <w:rPr>
                <w:sz w:val="20"/>
                <w:szCs w:val="20"/>
                <w:color w:val="auto"/>
              </w:rPr>
            </w:pPr>
            <w:r>
              <w:rPr>
                <w:rFonts w:ascii="Times New Roman" w:cs="Times New Roman" w:eastAsia="Times New Roman" w:hAnsi="Times New Roman"/>
                <w:sz w:val="15"/>
                <w:szCs w:val="15"/>
                <w:color w:val="231F20"/>
              </w:rPr>
              <w:t>2018, 2020,</w:t>
            </w:r>
          </w:p>
        </w:tc>
        <w:tc>
          <w:tcPr>
            <w:tcW w:w="880" w:type="dxa"/>
            <w:vAlign w:val="bottom"/>
            <w:gridSpan w:val="2"/>
          </w:tcPr>
          <w:p>
            <w:pPr>
              <w:jc w:val="center"/>
              <w:ind w:left="24"/>
              <w:spacing w:after="0" w:line="152" w:lineRule="exact"/>
              <w:rPr>
                <w:sz w:val="20"/>
                <w:szCs w:val="20"/>
                <w:color w:val="auto"/>
              </w:rPr>
            </w:pPr>
            <w:r>
              <w:rPr>
                <w:rFonts w:ascii="Times New Roman" w:cs="Times New Roman" w:eastAsia="Times New Roman" w:hAnsi="Times New Roman"/>
                <w:sz w:val="15"/>
                <w:szCs w:val="15"/>
                <w:color w:val="231F20"/>
                <w:w w:val="99"/>
              </w:rPr>
              <w:t>2012</w:t>
            </w: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ind w:left="40"/>
              <w:spacing w:after="0" w:line="152" w:lineRule="exact"/>
              <w:rPr>
                <w:sz w:val="20"/>
                <w:szCs w:val="20"/>
                <w:color w:val="auto"/>
              </w:rPr>
            </w:pPr>
            <w:r>
              <w:rPr>
                <w:rFonts w:ascii="Times New Roman" w:cs="Times New Roman" w:eastAsia="Times New Roman" w:hAnsi="Times New Roman"/>
                <w:sz w:val="15"/>
                <w:szCs w:val="15"/>
                <w:color w:val="231F20"/>
              </w:rPr>
              <w:t>Uniqlo</w:t>
            </w: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920" w:type="dxa"/>
            <w:vAlign w:val="bottom"/>
            <w:gridSpan w:val="2"/>
          </w:tcPr>
          <w:p>
            <w:pPr>
              <w:jc w:val="center"/>
              <w:spacing w:after="0" w:line="152" w:lineRule="exact"/>
              <w:rPr>
                <w:sz w:val="20"/>
                <w:szCs w:val="20"/>
                <w:color w:val="auto"/>
              </w:rPr>
            </w:pPr>
            <w:r>
              <w:rPr>
                <w:rFonts w:ascii="Times New Roman" w:cs="Times New Roman" w:eastAsia="Times New Roman" w:hAnsi="Times New Roman"/>
                <w:sz w:val="15"/>
                <w:szCs w:val="15"/>
                <w:color w:val="231F20"/>
                <w:w w:val="99"/>
              </w:rPr>
              <w:t>2025</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ind w:left="40"/>
              <w:spacing w:after="0" w:line="152" w:lineRule="exact"/>
              <w:rPr>
                <w:sz w:val="20"/>
                <w:szCs w:val="20"/>
                <w:color w:val="auto"/>
              </w:rPr>
            </w:pPr>
            <w:r>
              <w:rPr>
                <w:rFonts w:ascii="Times New Roman" w:cs="Times New Roman" w:eastAsia="Times New Roman" w:hAnsi="Times New Roman"/>
                <w:sz w:val="15"/>
                <w:szCs w:val="15"/>
                <w:color w:val="231F20"/>
              </w:rPr>
              <w:t>REI</w:t>
            </w:r>
          </w:p>
        </w:tc>
        <w:tc>
          <w:tcPr>
            <w:tcW w:w="0" w:type="dxa"/>
            <w:vAlign w:val="bottom"/>
          </w:tcPr>
          <w:p>
            <w:pPr>
              <w:spacing w:after="0"/>
              <w:rPr>
                <w:sz w:val="1"/>
                <w:szCs w:val="1"/>
                <w:color w:val="auto"/>
              </w:rPr>
            </w:pPr>
          </w:p>
        </w:tc>
      </w:tr>
      <w:tr>
        <w:trPr>
          <w:trHeight w:val="168"/>
        </w:trPr>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40" w:type="dxa"/>
            <w:vAlign w:val="bottom"/>
          </w:tcPr>
          <w:p>
            <w:pPr>
              <w:ind w:left="40"/>
              <w:spacing w:after="0" w:line="168" w:lineRule="exact"/>
              <w:rPr>
                <w:sz w:val="20"/>
                <w:szCs w:val="20"/>
                <w:color w:val="auto"/>
              </w:rPr>
            </w:pPr>
            <w:r>
              <w:rPr>
                <w:rFonts w:ascii="Times New Roman" w:cs="Times New Roman" w:eastAsia="Times New Roman" w:hAnsi="Times New Roman"/>
                <w:sz w:val="15"/>
                <w:szCs w:val="15"/>
                <w:color w:val="231F20"/>
              </w:rPr>
              <w:t>H&amp;M</w:t>
            </w:r>
          </w:p>
        </w:tc>
        <w:tc>
          <w:tcPr>
            <w:tcW w:w="0" w:type="dxa"/>
            <w:vAlign w:val="bottom"/>
          </w:tcPr>
          <w:p>
            <w:pPr>
              <w:spacing w:after="0"/>
              <w:rPr>
                <w:sz w:val="1"/>
                <w:szCs w:val="1"/>
                <w:color w:val="auto"/>
              </w:rPr>
            </w:pPr>
          </w:p>
        </w:tc>
      </w:tr>
    </w:tbl>
    <w:p>
      <w:pPr>
        <w:ind w:left="7720"/>
        <w:spacing w:after="0" w:line="211" w:lineRule="auto"/>
        <w:rPr>
          <w:sz w:val="20"/>
          <w:szCs w:val="20"/>
          <w:color w:val="auto"/>
        </w:rPr>
      </w:pPr>
      <w:r>
        <w:rPr>
          <w:rFonts w:ascii="Times New Roman" w:cs="Times New Roman" w:eastAsia="Times New Roman" w:hAnsi="Times New Roman"/>
          <w:sz w:val="15"/>
          <w:szCs w:val="15"/>
          <w:color w:val="231F20"/>
        </w:rPr>
        <w:t>L.L. Bean</w:t>
      </w:r>
    </w:p>
    <w:p>
      <w:pPr>
        <w:ind w:left="7720"/>
        <w:spacing w:after="0" w:line="212" w:lineRule="auto"/>
        <w:rPr>
          <w:sz w:val="20"/>
          <w:szCs w:val="20"/>
          <w:color w:val="auto"/>
        </w:rPr>
      </w:pPr>
      <w:r>
        <w:rPr>
          <w:rFonts w:ascii="Times New Roman" w:cs="Times New Roman" w:eastAsia="Times New Roman" w:hAnsi="Times New Roman"/>
          <w:sz w:val="15"/>
          <w:szCs w:val="15"/>
          <w:color w:val="231F20"/>
        </w:rPr>
        <w:t>Choice Hotels</w:t>
      </w:r>
    </w:p>
    <w:p>
      <w:pPr>
        <w:ind w:left="7720"/>
        <w:spacing w:after="0"/>
        <w:rPr>
          <w:sz w:val="20"/>
          <w:szCs w:val="20"/>
          <w:color w:val="auto"/>
        </w:rPr>
      </w:pPr>
      <w:r>
        <w:rPr>
          <w:rFonts w:ascii="Times New Roman" w:cs="Times New Roman" w:eastAsia="Times New Roman" w:hAnsi="Times New Roman"/>
          <w:sz w:val="15"/>
          <w:szCs w:val="15"/>
          <w:color w:val="231F20"/>
        </w:rPr>
        <w:t>Multiple Restaurants</w:t>
      </w:r>
    </w:p>
    <w:p>
      <w:pPr>
        <w:sectPr>
          <w:pgSz w:w="11880" w:h="15480" w:orient="portrait"/>
          <w:cols w:equalWidth="0" w:num="1">
            <w:col w:w="9720"/>
          </w:cols>
          <w:pgMar w:left="1060" w:top="1003" w:right="11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231F20"/>
        </w:rPr>
        <w:t>24</w:t>
      </w:r>
    </w:p>
    <w:p>
      <w:pPr>
        <w:sectPr>
          <w:pgSz w:w="11880" w:h="15480" w:orient="portrait"/>
          <w:cols w:equalWidth="0" w:num="1">
            <w:col w:w="9720"/>
          </w:cols>
          <w:pgMar w:left="1060" w:top="1003" w:right="1100" w:bottom="0" w:gutter="0" w:footer="0" w:header="0"/>
          <w:type w:val="continuous"/>
        </w:sectPr>
      </w:pPr>
    </w:p>
    <w:bookmarkStart w:id="32" w:name="page33"/>
    <w:bookmarkEnd w:id="32"/>
    <w:tbl>
      <w:tblPr>
        <w:tblLayout w:type="fixed"/>
        <w:tblInd w:w="0" w:type="dxa"/>
        <w:tblCellMar>
          <w:top w:w="0" w:type="dxa"/>
          <w:left w:w="0" w:type="dxa"/>
          <w:bottom w:w="0" w:type="dxa"/>
          <w:right w:w="0" w:type="dxa"/>
        </w:tblCellMar>
      </w:tblPr>
      <w:tr>
        <w:trPr>
          <w:trHeight w:val="172"/>
        </w:trPr>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231F20"/>
              </w:rPr>
              <w:t>Square</w:t>
            </w:r>
          </w:p>
        </w:tc>
        <w:tc>
          <w:tcPr>
            <w:tcW w:w="8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231F20"/>
              </w:rPr>
              <w:t>Average Base</w:t>
            </w: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231F20"/>
              </w:rPr>
              <w:t>Year</w:t>
            </w:r>
          </w:p>
        </w:tc>
        <w:tc>
          <w:tcPr>
            <w:tcW w:w="80" w:type="dxa"/>
            <w:vAlign w:val="bottom"/>
          </w:tcPr>
          <w:p>
            <w:pPr>
              <w:spacing w:after="0"/>
              <w:rPr>
                <w:sz w:val="13"/>
                <w:szCs w:val="13"/>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231F20"/>
              </w:rPr>
              <w:t>Year</w:t>
            </w:r>
          </w:p>
        </w:tc>
        <w:tc>
          <w:tcPr>
            <w:tcW w:w="80" w:type="dxa"/>
            <w:vAlign w:val="bottom"/>
          </w:tcPr>
          <w:p>
            <w:pPr>
              <w:spacing w:after="0"/>
              <w:rPr>
                <w:sz w:val="13"/>
                <w:szCs w:val="13"/>
                <w:color w:val="auto"/>
              </w:rPr>
            </w:pPr>
          </w:p>
        </w:tc>
        <w:tc>
          <w:tcPr>
            <w:tcW w:w="1020" w:type="dxa"/>
            <w:vAlign w:val="bottom"/>
          </w:tcPr>
          <w:p>
            <w:pPr>
              <w:jc w:val="center"/>
              <w:spacing w:after="0" w:line="152" w:lineRule="exact"/>
              <w:rPr>
                <w:sz w:val="20"/>
                <w:szCs w:val="20"/>
                <w:color w:val="auto"/>
              </w:rPr>
            </w:pPr>
            <w:r>
              <w:rPr>
                <w:rFonts w:ascii="Times New Roman" w:cs="Times New Roman" w:eastAsia="Times New Roman" w:hAnsi="Times New Roman"/>
                <w:sz w:val="15"/>
                <w:szCs w:val="15"/>
                <w:b w:val="1"/>
                <w:bCs w:val="1"/>
                <w:color w:val="231F20"/>
              </w:rPr>
              <w:t>Feet(1) /</w:t>
            </w:r>
          </w:p>
        </w:tc>
        <w:tc>
          <w:tcPr>
            <w:tcW w:w="80" w:type="dxa"/>
            <w:vAlign w:val="bottom"/>
          </w:tcPr>
          <w:p>
            <w:pPr>
              <w:spacing w:after="0"/>
              <w:rPr>
                <w:sz w:val="13"/>
                <w:szCs w:val="13"/>
                <w:color w:val="auto"/>
              </w:rPr>
            </w:pPr>
          </w:p>
        </w:tc>
        <w:tc>
          <w:tcPr>
            <w:tcW w:w="1020" w:type="dxa"/>
            <w:vAlign w:val="bottom"/>
          </w:tcPr>
          <w:p>
            <w:pPr>
              <w:jc w:val="center"/>
              <w:spacing w:after="0" w:line="152" w:lineRule="exact"/>
              <w:rPr>
                <w:sz w:val="20"/>
                <w:szCs w:val="20"/>
                <w:color w:val="auto"/>
              </w:rPr>
            </w:pPr>
            <w:r>
              <w:rPr>
                <w:rFonts w:ascii="Times New Roman" w:cs="Times New Roman" w:eastAsia="Times New Roman" w:hAnsi="Times New Roman"/>
                <w:sz w:val="15"/>
                <w:szCs w:val="15"/>
                <w:b w:val="1"/>
                <w:bCs w:val="1"/>
                <w:color w:val="231F20"/>
              </w:rPr>
              <w:t>Rent Per</w:t>
            </w:r>
          </w:p>
        </w:tc>
        <w:tc>
          <w:tcPr>
            <w:tcW w:w="60" w:type="dxa"/>
            <w:vAlign w:val="bottom"/>
          </w:tcPr>
          <w:p>
            <w:pPr>
              <w:spacing w:after="0"/>
              <w:rPr>
                <w:sz w:val="13"/>
                <w:szCs w:val="13"/>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231F20"/>
              </w:rPr>
              <w:t>Percentage</w:t>
            </w:r>
          </w:p>
        </w:tc>
        <w:tc>
          <w:tcPr>
            <w:tcW w:w="8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2640" w:type="dxa"/>
            <w:vAlign w:val="bottom"/>
            <w:gridSpan w:val="4"/>
            <w:vMerge w:val="restart"/>
          </w:tcPr>
          <w:p>
            <w:pPr>
              <w:spacing w:after="0"/>
              <w:rPr>
                <w:sz w:val="20"/>
                <w:szCs w:val="20"/>
                <w:color w:val="auto"/>
              </w:rPr>
            </w:pPr>
            <w:r>
              <w:rPr>
                <w:rFonts w:ascii="Times New Roman" w:cs="Times New Roman" w:eastAsia="Times New Roman" w:hAnsi="Times New Roman"/>
                <w:sz w:val="15"/>
                <w:szCs w:val="15"/>
                <w:b w:val="1"/>
                <w:bCs w:val="1"/>
                <w:color w:val="231F20"/>
              </w:rPr>
              <w:t>Property, City, State, Zip Code</w:t>
            </w:r>
          </w:p>
        </w:tc>
        <w:tc>
          <w:tcPr>
            <w:tcW w:w="6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jc w:val="center"/>
              <w:spacing w:after="0" w:line="152" w:lineRule="exact"/>
              <w:rPr>
                <w:sz w:val="20"/>
                <w:szCs w:val="20"/>
                <w:color w:val="auto"/>
              </w:rPr>
            </w:pPr>
            <w:r>
              <w:rPr>
                <w:rFonts w:ascii="Times New Roman" w:cs="Times New Roman" w:eastAsia="Times New Roman" w:hAnsi="Times New Roman"/>
                <w:sz w:val="15"/>
                <w:szCs w:val="15"/>
                <w:b w:val="1"/>
                <w:bCs w:val="1"/>
                <w:color w:val="231F20"/>
              </w:rPr>
              <w:t>Apartment</w:t>
            </w:r>
          </w:p>
        </w:tc>
        <w:tc>
          <w:tcPr>
            <w:tcW w:w="80" w:type="dxa"/>
            <w:vAlign w:val="bottom"/>
          </w:tcPr>
          <w:p>
            <w:pPr>
              <w:spacing w:after="0"/>
              <w:rPr>
                <w:sz w:val="13"/>
                <w:szCs w:val="13"/>
                <w:color w:val="auto"/>
              </w:rPr>
            </w:pPr>
          </w:p>
        </w:tc>
        <w:tc>
          <w:tcPr>
            <w:tcW w:w="1020" w:type="dxa"/>
            <w:vAlign w:val="bottom"/>
          </w:tcPr>
          <w:p>
            <w:pPr>
              <w:jc w:val="center"/>
              <w:spacing w:after="0" w:line="152" w:lineRule="exact"/>
              <w:rPr>
                <w:sz w:val="20"/>
                <w:szCs w:val="20"/>
                <w:color w:val="auto"/>
              </w:rPr>
            </w:pPr>
            <w:r>
              <w:rPr>
                <w:rFonts w:ascii="Times New Roman" w:cs="Times New Roman" w:eastAsia="Times New Roman" w:hAnsi="Times New Roman"/>
                <w:sz w:val="15"/>
                <w:szCs w:val="15"/>
                <w:b w:val="1"/>
                <w:bCs w:val="1"/>
                <w:color w:val="231F20"/>
              </w:rPr>
              <w:t>Square</w:t>
            </w:r>
          </w:p>
        </w:tc>
        <w:tc>
          <w:tcPr>
            <w:tcW w:w="6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vMerge w:val="restart"/>
          </w:tcPr>
          <w:p>
            <w:pPr>
              <w:ind w:left="380"/>
              <w:spacing w:after="0"/>
              <w:rPr>
                <w:sz w:val="20"/>
                <w:szCs w:val="20"/>
                <w:color w:val="auto"/>
              </w:rPr>
            </w:pPr>
            <w:r>
              <w:rPr>
                <w:rFonts w:ascii="Times New Roman" w:cs="Times New Roman" w:eastAsia="Times New Roman" w:hAnsi="Times New Roman"/>
                <w:sz w:val="15"/>
                <w:szCs w:val="15"/>
                <w:b w:val="1"/>
                <w:bCs w:val="1"/>
                <w:color w:val="231F20"/>
              </w:rPr>
              <w:t>Principal Tenant(s)</w:t>
            </w:r>
          </w:p>
        </w:tc>
        <w:tc>
          <w:tcPr>
            <w:tcW w:w="0" w:type="dxa"/>
            <w:vAlign w:val="bottom"/>
          </w:tcPr>
          <w:p>
            <w:pPr>
              <w:spacing w:after="0"/>
              <w:rPr>
                <w:sz w:val="1"/>
                <w:szCs w:val="1"/>
                <w:color w:val="auto"/>
              </w:rPr>
            </w:pPr>
          </w:p>
        </w:tc>
      </w:tr>
      <w:tr>
        <w:trPr>
          <w:trHeight w:val="203"/>
        </w:trPr>
        <w:tc>
          <w:tcPr>
            <w:tcW w:w="60" w:type="dxa"/>
            <w:vAlign w:val="bottom"/>
            <w:tcBorders>
              <w:bottom w:val="single" w:sz="8" w:color="231F20"/>
            </w:tcBorders>
          </w:tcPr>
          <w:p>
            <w:pPr>
              <w:spacing w:after="0"/>
              <w:rPr>
                <w:sz w:val="17"/>
                <w:szCs w:val="17"/>
                <w:color w:val="auto"/>
              </w:rPr>
            </w:pPr>
          </w:p>
        </w:tc>
        <w:tc>
          <w:tcPr>
            <w:tcW w:w="2640" w:type="dxa"/>
            <w:vAlign w:val="bottom"/>
            <w:tcBorders>
              <w:bottom w:val="single" w:sz="8" w:color="231F20"/>
            </w:tcBorders>
            <w:gridSpan w:val="4"/>
            <w:vMerge w:val="continue"/>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5"/>
                <w:szCs w:val="15"/>
                <w:b w:val="1"/>
                <w:bCs w:val="1"/>
                <w:color w:val="231F20"/>
              </w:rPr>
              <w:t>Completed</w:t>
            </w:r>
          </w:p>
        </w:tc>
        <w:tc>
          <w:tcPr>
            <w:tcW w:w="80" w:type="dxa"/>
            <w:vAlign w:val="bottom"/>
          </w:tcPr>
          <w:p>
            <w:pPr>
              <w:spacing w:after="0"/>
              <w:rPr>
                <w:sz w:val="17"/>
                <w:szCs w:val="17"/>
                <w:color w:val="auto"/>
              </w:rPr>
            </w:pPr>
          </w:p>
        </w:tc>
        <w:tc>
          <w:tcPr>
            <w:tcW w:w="80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5"/>
                <w:szCs w:val="15"/>
                <w:b w:val="1"/>
                <w:bCs w:val="1"/>
                <w:color w:val="231F20"/>
                <w:w w:val="99"/>
              </w:rPr>
              <w:t>Acquired</w:t>
            </w:r>
          </w:p>
        </w:tc>
        <w:tc>
          <w:tcPr>
            <w:tcW w:w="80" w:type="dxa"/>
            <w:vAlign w:val="bottom"/>
          </w:tcPr>
          <w:p>
            <w:pPr>
              <w:spacing w:after="0"/>
              <w:rPr>
                <w:sz w:val="17"/>
                <w:szCs w:val="17"/>
                <w:color w:val="auto"/>
              </w:rPr>
            </w:pPr>
          </w:p>
        </w:tc>
        <w:tc>
          <w:tcPr>
            <w:tcW w:w="102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5"/>
                <w:szCs w:val="15"/>
                <w:b w:val="1"/>
                <w:bCs w:val="1"/>
                <w:color w:val="231F20"/>
                <w:w w:val="99"/>
              </w:rPr>
              <w:t>Units</w:t>
            </w:r>
          </w:p>
        </w:tc>
        <w:tc>
          <w:tcPr>
            <w:tcW w:w="80" w:type="dxa"/>
            <w:vAlign w:val="bottom"/>
          </w:tcPr>
          <w:p>
            <w:pPr>
              <w:spacing w:after="0"/>
              <w:rPr>
                <w:sz w:val="17"/>
                <w:szCs w:val="17"/>
                <w:color w:val="auto"/>
              </w:rPr>
            </w:pPr>
          </w:p>
        </w:tc>
        <w:tc>
          <w:tcPr>
            <w:tcW w:w="102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5"/>
                <w:szCs w:val="15"/>
                <w:b w:val="1"/>
                <w:bCs w:val="1"/>
                <w:color w:val="231F20"/>
              </w:rPr>
              <w:t>Foot(2)</w:t>
            </w:r>
          </w:p>
        </w:tc>
        <w:tc>
          <w:tcPr>
            <w:tcW w:w="60" w:type="dxa"/>
            <w:vAlign w:val="bottom"/>
          </w:tcPr>
          <w:p>
            <w:pPr>
              <w:spacing w:after="0"/>
              <w:rPr>
                <w:sz w:val="17"/>
                <w:szCs w:val="17"/>
                <w:color w:val="auto"/>
              </w:rPr>
            </w:pPr>
          </w:p>
        </w:tc>
        <w:tc>
          <w:tcPr>
            <w:tcW w:w="84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5"/>
                <w:szCs w:val="15"/>
                <w:b w:val="1"/>
                <w:bCs w:val="1"/>
                <w:color w:val="231F20"/>
              </w:rPr>
              <w:t>Leased(3)</w:t>
            </w:r>
          </w:p>
        </w:tc>
        <w:tc>
          <w:tcPr>
            <w:tcW w:w="80" w:type="dxa"/>
            <w:vAlign w:val="bottom"/>
          </w:tcPr>
          <w:p>
            <w:pPr>
              <w:spacing w:after="0"/>
              <w:rPr>
                <w:sz w:val="17"/>
                <w:szCs w:val="17"/>
                <w:color w:val="auto"/>
              </w:rPr>
            </w:pPr>
          </w:p>
        </w:tc>
        <w:tc>
          <w:tcPr>
            <w:tcW w:w="2040" w:type="dxa"/>
            <w:vAlign w:val="bottom"/>
            <w:tcBorders>
              <w:bottom w:val="single" w:sz="8" w:color="231F20"/>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60" w:type="dxa"/>
            <w:vAlign w:val="bottom"/>
          </w:tcPr>
          <w:p>
            <w:pPr>
              <w:spacing w:after="0"/>
              <w:rPr>
                <w:sz w:val="12"/>
                <w:szCs w:val="12"/>
                <w:color w:val="auto"/>
              </w:rPr>
            </w:pPr>
          </w:p>
        </w:tc>
        <w:tc>
          <w:tcPr>
            <w:tcW w:w="2640" w:type="dxa"/>
            <w:vAlign w:val="bottom"/>
            <w:gridSpan w:val="4"/>
          </w:tcPr>
          <w:p>
            <w:pPr>
              <w:spacing w:after="0" w:line="146" w:lineRule="exact"/>
              <w:rPr>
                <w:sz w:val="20"/>
                <w:szCs w:val="20"/>
                <w:color w:val="auto"/>
              </w:rPr>
            </w:pPr>
            <w:r>
              <w:rPr>
                <w:rFonts w:ascii="Times New Roman" w:cs="Times New Roman" w:eastAsia="Times New Roman" w:hAnsi="Times New Roman"/>
                <w:sz w:val="15"/>
                <w:szCs w:val="15"/>
                <w:color w:val="231F20"/>
              </w:rPr>
              <w:t>Pike &amp; Rose Residential</w:t>
            </w:r>
          </w:p>
        </w:tc>
        <w:tc>
          <w:tcPr>
            <w:tcW w:w="60" w:type="dxa"/>
            <w:vAlign w:val="bottom"/>
          </w:tcPr>
          <w:p>
            <w:pPr>
              <w:spacing w:after="0"/>
              <w:rPr>
                <w:sz w:val="12"/>
                <w:szCs w:val="12"/>
                <w:color w:val="auto"/>
              </w:rPr>
            </w:pPr>
          </w:p>
        </w:tc>
        <w:tc>
          <w:tcPr>
            <w:tcW w:w="860" w:type="dxa"/>
            <w:vAlign w:val="bottom"/>
          </w:tcPr>
          <w:p>
            <w:pPr>
              <w:jc w:val="center"/>
              <w:spacing w:after="0" w:line="146" w:lineRule="exact"/>
              <w:rPr>
                <w:sz w:val="20"/>
                <w:szCs w:val="20"/>
                <w:color w:val="auto"/>
              </w:rPr>
            </w:pPr>
            <w:r>
              <w:rPr>
                <w:rFonts w:ascii="Times New Roman" w:cs="Times New Roman" w:eastAsia="Times New Roman" w:hAnsi="Times New Roman"/>
                <w:sz w:val="15"/>
                <w:szCs w:val="15"/>
                <w:color w:val="231F20"/>
              </w:rPr>
              <w:t>2014, 2018</w:t>
            </w:r>
          </w:p>
        </w:tc>
        <w:tc>
          <w:tcPr>
            <w:tcW w:w="80" w:type="dxa"/>
            <w:vAlign w:val="bottom"/>
          </w:tcPr>
          <w:p>
            <w:pPr>
              <w:spacing w:after="0"/>
              <w:rPr>
                <w:sz w:val="12"/>
                <w:szCs w:val="12"/>
                <w:color w:val="auto"/>
              </w:rPr>
            </w:pPr>
          </w:p>
        </w:tc>
        <w:tc>
          <w:tcPr>
            <w:tcW w:w="800" w:type="dxa"/>
            <w:vAlign w:val="bottom"/>
          </w:tcPr>
          <w:p>
            <w:pPr>
              <w:jc w:val="center"/>
              <w:spacing w:after="0" w:line="146" w:lineRule="exact"/>
              <w:rPr>
                <w:sz w:val="20"/>
                <w:szCs w:val="20"/>
                <w:color w:val="auto"/>
              </w:rPr>
            </w:pPr>
            <w:r>
              <w:rPr>
                <w:rFonts w:ascii="Times New Roman" w:cs="Times New Roman" w:eastAsia="Times New Roman" w:hAnsi="Times New Roman"/>
                <w:sz w:val="15"/>
                <w:szCs w:val="15"/>
                <w:color w:val="231F20"/>
                <w:w w:val="99"/>
              </w:rPr>
              <w:t>1982/2007</w:t>
            </w:r>
          </w:p>
        </w:tc>
        <w:tc>
          <w:tcPr>
            <w:tcW w:w="80" w:type="dxa"/>
            <w:vAlign w:val="bottom"/>
          </w:tcPr>
          <w:p>
            <w:pPr>
              <w:spacing w:after="0"/>
              <w:rPr>
                <w:sz w:val="12"/>
                <w:szCs w:val="12"/>
                <w:color w:val="auto"/>
              </w:rPr>
            </w:pPr>
          </w:p>
        </w:tc>
        <w:tc>
          <w:tcPr>
            <w:tcW w:w="1020" w:type="dxa"/>
            <w:vAlign w:val="bottom"/>
          </w:tcPr>
          <w:p>
            <w:pPr>
              <w:jc w:val="center"/>
              <w:spacing w:after="0" w:line="146" w:lineRule="exact"/>
              <w:rPr>
                <w:sz w:val="20"/>
                <w:szCs w:val="20"/>
                <w:color w:val="auto"/>
              </w:rPr>
            </w:pPr>
            <w:r>
              <w:rPr>
                <w:rFonts w:ascii="Times New Roman" w:cs="Times New Roman" w:eastAsia="Times New Roman" w:hAnsi="Times New Roman"/>
                <w:sz w:val="15"/>
                <w:szCs w:val="15"/>
                <w:color w:val="231F20"/>
              </w:rPr>
              <w:t>447 units</w:t>
            </w:r>
          </w:p>
        </w:tc>
        <w:tc>
          <w:tcPr>
            <w:tcW w:w="80" w:type="dxa"/>
            <w:vAlign w:val="bottom"/>
          </w:tcPr>
          <w:p>
            <w:pPr>
              <w:spacing w:after="0"/>
              <w:rPr>
                <w:sz w:val="12"/>
                <w:szCs w:val="12"/>
                <w:color w:val="auto"/>
              </w:rPr>
            </w:pPr>
          </w:p>
        </w:tc>
        <w:tc>
          <w:tcPr>
            <w:tcW w:w="1020" w:type="dxa"/>
            <w:vAlign w:val="bottom"/>
          </w:tcPr>
          <w:p>
            <w:pPr>
              <w:ind w:left="420"/>
              <w:spacing w:after="0" w:line="146" w:lineRule="exact"/>
              <w:rPr>
                <w:sz w:val="20"/>
                <w:szCs w:val="20"/>
                <w:color w:val="auto"/>
              </w:rPr>
            </w:pPr>
            <w:r>
              <w:rPr>
                <w:rFonts w:ascii="Times New Roman" w:cs="Times New Roman" w:eastAsia="Times New Roman" w:hAnsi="Times New Roman"/>
                <w:sz w:val="15"/>
                <w:szCs w:val="15"/>
                <w:color w:val="231F20"/>
              </w:rPr>
              <w:t>N/A</w:t>
            </w:r>
          </w:p>
        </w:tc>
        <w:tc>
          <w:tcPr>
            <w:tcW w:w="60" w:type="dxa"/>
            <w:vAlign w:val="bottom"/>
          </w:tcPr>
          <w:p>
            <w:pPr>
              <w:spacing w:after="0"/>
              <w:rPr>
                <w:sz w:val="12"/>
                <w:szCs w:val="12"/>
                <w:color w:val="auto"/>
              </w:rPr>
            </w:pPr>
          </w:p>
        </w:tc>
        <w:tc>
          <w:tcPr>
            <w:tcW w:w="840" w:type="dxa"/>
            <w:vAlign w:val="bottom"/>
          </w:tcPr>
          <w:p>
            <w:pPr>
              <w:jc w:val="center"/>
              <w:spacing w:after="0" w:line="146" w:lineRule="exact"/>
              <w:rPr>
                <w:sz w:val="20"/>
                <w:szCs w:val="20"/>
                <w:color w:val="auto"/>
              </w:rPr>
            </w:pPr>
            <w:r>
              <w:rPr>
                <w:rFonts w:ascii="Times New Roman" w:cs="Times New Roman" w:eastAsia="Times New Roman" w:hAnsi="Times New Roman"/>
                <w:sz w:val="15"/>
                <w:szCs w:val="15"/>
                <w:color w:val="231F20"/>
              </w:rPr>
              <w:t>94%</w:t>
            </w:r>
          </w:p>
        </w:tc>
        <w:tc>
          <w:tcPr>
            <w:tcW w:w="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2640" w:type="dxa"/>
            <w:vAlign w:val="bottom"/>
            <w:gridSpan w:val="4"/>
          </w:tcPr>
          <w:p>
            <w:pPr>
              <w:ind w:left="100"/>
              <w:spacing w:after="0"/>
              <w:rPr>
                <w:sz w:val="20"/>
                <w:szCs w:val="20"/>
                <w:color w:val="auto"/>
              </w:rPr>
            </w:pPr>
            <w:r>
              <w:rPr>
                <w:rFonts w:ascii="Times New Roman" w:cs="Times New Roman" w:eastAsia="Times New Roman" w:hAnsi="Times New Roman"/>
                <w:sz w:val="15"/>
                <w:szCs w:val="15"/>
                <w:color w:val="231F20"/>
              </w:rPr>
              <w:t>North Bethesda, MD 20852</w:t>
            </w: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60" w:type="dxa"/>
            <w:vAlign w:val="bottom"/>
          </w:tcPr>
          <w:p>
            <w:pPr>
              <w:spacing w:after="0"/>
              <w:rPr>
                <w:sz w:val="16"/>
                <w:szCs w:val="16"/>
                <w:color w:val="auto"/>
              </w:rPr>
            </w:pPr>
          </w:p>
        </w:tc>
        <w:tc>
          <w:tcPr>
            <w:tcW w:w="2640" w:type="dxa"/>
            <w:vAlign w:val="bottom"/>
            <w:gridSpan w:val="4"/>
          </w:tcPr>
          <w:p>
            <w:pPr>
              <w:spacing w:after="0"/>
              <w:rPr>
                <w:sz w:val="20"/>
                <w:szCs w:val="20"/>
                <w:color w:val="auto"/>
              </w:rPr>
            </w:pPr>
            <w:r>
              <w:rPr>
                <w:rFonts w:ascii="Times New Roman" w:cs="Times New Roman" w:eastAsia="Times New Roman" w:hAnsi="Times New Roman"/>
                <w:sz w:val="15"/>
                <w:szCs w:val="15"/>
                <w:color w:val="231F20"/>
              </w:rPr>
              <w:t>Plaza Del Mercado</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231F20"/>
                <w:w w:val="99"/>
              </w:rPr>
              <w:t>1969</w:t>
            </w:r>
          </w:p>
        </w:tc>
        <w:tc>
          <w:tcPr>
            <w:tcW w:w="880" w:type="dxa"/>
            <w:vAlign w:val="bottom"/>
            <w:gridSpan w:val="2"/>
          </w:tcPr>
          <w:p>
            <w:pPr>
              <w:jc w:val="center"/>
              <w:ind w:left="24"/>
              <w:spacing w:after="0"/>
              <w:rPr>
                <w:sz w:val="20"/>
                <w:szCs w:val="20"/>
                <w:color w:val="auto"/>
              </w:rPr>
            </w:pPr>
            <w:r>
              <w:rPr>
                <w:rFonts w:ascii="Times New Roman" w:cs="Times New Roman" w:eastAsia="Times New Roman" w:hAnsi="Times New Roman"/>
                <w:sz w:val="15"/>
                <w:szCs w:val="15"/>
                <w:color w:val="231F20"/>
                <w:w w:val="99"/>
              </w:rPr>
              <w:t>2004</w:t>
            </w:r>
          </w:p>
        </w:tc>
        <w:tc>
          <w:tcPr>
            <w:tcW w:w="1100" w:type="dxa"/>
            <w:vAlign w:val="bottom"/>
            <w:gridSpan w:val="2"/>
          </w:tcPr>
          <w:p>
            <w:pPr>
              <w:jc w:val="center"/>
              <w:ind w:left="44"/>
              <w:spacing w:after="0"/>
              <w:rPr>
                <w:sz w:val="20"/>
                <w:szCs w:val="20"/>
                <w:color w:val="auto"/>
              </w:rPr>
            </w:pPr>
            <w:r>
              <w:rPr>
                <w:rFonts w:ascii="Times New Roman" w:cs="Times New Roman" w:eastAsia="Times New Roman" w:hAnsi="Times New Roman"/>
                <w:sz w:val="15"/>
                <w:szCs w:val="15"/>
                <w:color w:val="231F20"/>
              </w:rPr>
              <w:t>116,000</w:t>
            </w:r>
          </w:p>
        </w:tc>
        <w:tc>
          <w:tcPr>
            <w:tcW w:w="1100" w:type="dxa"/>
            <w:vAlign w:val="bottom"/>
            <w:gridSpan w:val="2"/>
          </w:tcPr>
          <w:p>
            <w:pPr>
              <w:jc w:val="center"/>
              <w:ind w:left="44"/>
              <w:spacing w:after="0"/>
              <w:rPr>
                <w:sz w:val="20"/>
                <w:szCs w:val="20"/>
                <w:color w:val="auto"/>
              </w:rPr>
            </w:pPr>
            <w:r>
              <w:rPr>
                <w:rFonts w:ascii="Times New Roman" w:cs="Times New Roman" w:eastAsia="Times New Roman" w:hAnsi="Times New Roman"/>
                <w:sz w:val="15"/>
                <w:szCs w:val="15"/>
                <w:color w:val="231F20"/>
              </w:rPr>
              <w:t>$35.01</w:t>
            </w:r>
          </w:p>
        </w:tc>
        <w:tc>
          <w:tcPr>
            <w:tcW w:w="900" w:type="dxa"/>
            <w:vAlign w:val="bottom"/>
            <w:gridSpan w:val="2"/>
          </w:tcPr>
          <w:p>
            <w:pPr>
              <w:jc w:val="center"/>
              <w:ind w:left="24"/>
              <w:spacing w:after="0"/>
              <w:rPr>
                <w:sz w:val="20"/>
                <w:szCs w:val="20"/>
                <w:color w:val="auto"/>
              </w:rPr>
            </w:pPr>
            <w:r>
              <w:rPr>
                <w:rFonts w:ascii="Times New Roman" w:cs="Times New Roman" w:eastAsia="Times New Roman" w:hAnsi="Times New Roman"/>
                <w:sz w:val="15"/>
                <w:szCs w:val="15"/>
                <w:color w:val="231F20"/>
              </w:rPr>
              <w:t>97%</w:t>
            </w:r>
          </w:p>
        </w:tc>
        <w:tc>
          <w:tcPr>
            <w:tcW w:w="80" w:type="dxa"/>
            <w:vAlign w:val="bottom"/>
          </w:tcPr>
          <w:p>
            <w:pPr>
              <w:spacing w:after="0"/>
              <w:rPr>
                <w:sz w:val="16"/>
                <w:szCs w:val="16"/>
                <w:color w:val="auto"/>
              </w:rPr>
            </w:pPr>
          </w:p>
        </w:tc>
        <w:tc>
          <w:tcPr>
            <w:tcW w:w="2040" w:type="dxa"/>
            <w:vAlign w:val="bottom"/>
          </w:tcPr>
          <w:p>
            <w:pPr>
              <w:ind w:left="40"/>
              <w:spacing w:after="0"/>
              <w:rPr>
                <w:sz w:val="20"/>
                <w:szCs w:val="20"/>
                <w:color w:val="auto"/>
              </w:rPr>
            </w:pPr>
            <w:r>
              <w:rPr>
                <w:rFonts w:ascii="Times New Roman" w:cs="Times New Roman" w:eastAsia="Times New Roman" w:hAnsi="Times New Roman"/>
                <w:sz w:val="15"/>
                <w:szCs w:val="15"/>
                <w:color w:val="231F20"/>
              </w:rPr>
              <w:t>Aldi</w:t>
            </w: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2640" w:type="dxa"/>
            <w:vAlign w:val="bottom"/>
            <w:gridSpan w:val="4"/>
          </w:tcPr>
          <w:p>
            <w:pPr>
              <w:ind w:left="100"/>
              <w:spacing w:after="0" w:line="152" w:lineRule="exact"/>
              <w:rPr>
                <w:sz w:val="20"/>
                <w:szCs w:val="20"/>
                <w:color w:val="auto"/>
              </w:rPr>
            </w:pPr>
            <w:r>
              <w:rPr>
                <w:rFonts w:ascii="Times New Roman" w:cs="Times New Roman" w:eastAsia="Times New Roman" w:hAnsi="Times New Roman"/>
                <w:sz w:val="15"/>
                <w:szCs w:val="15"/>
                <w:color w:val="231F20"/>
              </w:rPr>
              <w:t>Silver Spring, MD 20906</w:t>
            </w: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ind w:left="40"/>
              <w:spacing w:after="0" w:line="152" w:lineRule="exact"/>
              <w:rPr>
                <w:sz w:val="20"/>
                <w:szCs w:val="20"/>
                <w:color w:val="auto"/>
              </w:rPr>
            </w:pPr>
            <w:r>
              <w:rPr>
                <w:rFonts w:ascii="Times New Roman" w:cs="Times New Roman" w:eastAsia="Times New Roman" w:hAnsi="Times New Roman"/>
                <w:sz w:val="15"/>
                <w:szCs w:val="15"/>
                <w:color w:val="231F20"/>
              </w:rPr>
              <w:t>CVS</w:t>
            </w: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40" w:type="dxa"/>
            <w:vAlign w:val="bottom"/>
          </w:tcPr>
          <w:p>
            <w:pPr>
              <w:ind w:left="40"/>
              <w:spacing w:after="0"/>
              <w:rPr>
                <w:sz w:val="20"/>
                <w:szCs w:val="20"/>
                <w:color w:val="auto"/>
              </w:rPr>
            </w:pPr>
            <w:r>
              <w:rPr>
                <w:rFonts w:ascii="Times New Roman" w:cs="Times New Roman" w:eastAsia="Times New Roman" w:hAnsi="Times New Roman"/>
                <w:sz w:val="15"/>
                <w:szCs w:val="15"/>
                <w:color w:val="231F20"/>
              </w:rPr>
              <w:t>L.A. Fitness</w:t>
            </w:r>
          </w:p>
        </w:tc>
        <w:tc>
          <w:tcPr>
            <w:tcW w:w="0" w:type="dxa"/>
            <w:vAlign w:val="bottom"/>
          </w:tcPr>
          <w:p>
            <w:pPr>
              <w:spacing w:after="0"/>
              <w:rPr>
                <w:sz w:val="1"/>
                <w:szCs w:val="1"/>
                <w:color w:val="auto"/>
              </w:rPr>
            </w:pPr>
          </w:p>
        </w:tc>
      </w:tr>
      <w:tr>
        <w:trPr>
          <w:trHeight w:val="164"/>
        </w:trPr>
        <w:tc>
          <w:tcPr>
            <w:tcW w:w="60" w:type="dxa"/>
            <w:vAlign w:val="bottom"/>
          </w:tcPr>
          <w:p>
            <w:pPr>
              <w:spacing w:after="0"/>
              <w:rPr>
                <w:sz w:val="14"/>
                <w:szCs w:val="14"/>
                <w:color w:val="auto"/>
              </w:rPr>
            </w:pPr>
          </w:p>
        </w:tc>
        <w:tc>
          <w:tcPr>
            <w:tcW w:w="2640" w:type="dxa"/>
            <w:vAlign w:val="bottom"/>
            <w:gridSpan w:val="4"/>
          </w:tcPr>
          <w:p>
            <w:pPr>
              <w:spacing w:after="0" w:line="164" w:lineRule="exact"/>
              <w:rPr>
                <w:sz w:val="20"/>
                <w:szCs w:val="20"/>
                <w:color w:val="auto"/>
              </w:rPr>
            </w:pPr>
            <w:r>
              <w:rPr>
                <w:rFonts w:ascii="Times New Roman" w:cs="Times New Roman" w:eastAsia="Times New Roman" w:hAnsi="Times New Roman"/>
                <w:sz w:val="15"/>
                <w:szCs w:val="15"/>
                <w:color w:val="231F20"/>
              </w:rPr>
              <w:t>Quince Orchard</w:t>
            </w:r>
          </w:p>
        </w:tc>
        <w:tc>
          <w:tcPr>
            <w:tcW w:w="920" w:type="dxa"/>
            <w:vAlign w:val="bottom"/>
            <w:gridSpan w:val="2"/>
          </w:tcPr>
          <w:p>
            <w:pPr>
              <w:jc w:val="center"/>
              <w:spacing w:after="0" w:line="164" w:lineRule="exact"/>
              <w:rPr>
                <w:sz w:val="20"/>
                <w:szCs w:val="20"/>
                <w:color w:val="auto"/>
              </w:rPr>
            </w:pPr>
            <w:r>
              <w:rPr>
                <w:rFonts w:ascii="Times New Roman" w:cs="Times New Roman" w:eastAsia="Times New Roman" w:hAnsi="Times New Roman"/>
                <w:sz w:val="15"/>
                <w:szCs w:val="15"/>
                <w:color w:val="231F20"/>
                <w:w w:val="99"/>
              </w:rPr>
              <w:t>1975</w:t>
            </w:r>
          </w:p>
        </w:tc>
        <w:tc>
          <w:tcPr>
            <w:tcW w:w="880" w:type="dxa"/>
            <w:vAlign w:val="bottom"/>
            <w:gridSpan w:val="2"/>
          </w:tcPr>
          <w:p>
            <w:pPr>
              <w:jc w:val="center"/>
              <w:ind w:left="24"/>
              <w:spacing w:after="0" w:line="164" w:lineRule="exact"/>
              <w:rPr>
                <w:sz w:val="20"/>
                <w:szCs w:val="20"/>
                <w:color w:val="auto"/>
              </w:rPr>
            </w:pPr>
            <w:r>
              <w:rPr>
                <w:rFonts w:ascii="Times New Roman" w:cs="Times New Roman" w:eastAsia="Times New Roman" w:hAnsi="Times New Roman"/>
                <w:sz w:val="15"/>
                <w:szCs w:val="15"/>
                <w:color w:val="231F20"/>
                <w:w w:val="99"/>
              </w:rPr>
              <w:t>1993</w:t>
            </w:r>
          </w:p>
        </w:tc>
        <w:tc>
          <w:tcPr>
            <w:tcW w:w="1100" w:type="dxa"/>
            <w:vAlign w:val="bottom"/>
            <w:gridSpan w:val="2"/>
          </w:tcPr>
          <w:p>
            <w:pPr>
              <w:jc w:val="center"/>
              <w:ind w:left="44"/>
              <w:spacing w:after="0" w:line="164" w:lineRule="exact"/>
              <w:rPr>
                <w:sz w:val="20"/>
                <w:szCs w:val="20"/>
                <w:color w:val="auto"/>
              </w:rPr>
            </w:pPr>
            <w:r>
              <w:rPr>
                <w:rFonts w:ascii="Times New Roman" w:cs="Times New Roman" w:eastAsia="Times New Roman" w:hAnsi="Times New Roman"/>
                <w:sz w:val="15"/>
                <w:szCs w:val="15"/>
                <w:color w:val="231F20"/>
              </w:rPr>
              <w:t>271,000</w:t>
            </w:r>
          </w:p>
        </w:tc>
        <w:tc>
          <w:tcPr>
            <w:tcW w:w="1100" w:type="dxa"/>
            <w:vAlign w:val="bottom"/>
            <w:gridSpan w:val="2"/>
          </w:tcPr>
          <w:p>
            <w:pPr>
              <w:jc w:val="center"/>
              <w:ind w:left="44"/>
              <w:spacing w:after="0" w:line="164" w:lineRule="exact"/>
              <w:rPr>
                <w:sz w:val="20"/>
                <w:szCs w:val="20"/>
                <w:color w:val="auto"/>
              </w:rPr>
            </w:pPr>
            <w:r>
              <w:rPr>
                <w:rFonts w:ascii="Times New Roman" w:cs="Times New Roman" w:eastAsia="Times New Roman" w:hAnsi="Times New Roman"/>
                <w:sz w:val="15"/>
                <w:szCs w:val="15"/>
                <w:color w:val="231F20"/>
              </w:rPr>
              <w:t>$26.17</w:t>
            </w:r>
          </w:p>
        </w:tc>
        <w:tc>
          <w:tcPr>
            <w:tcW w:w="900" w:type="dxa"/>
            <w:vAlign w:val="bottom"/>
            <w:gridSpan w:val="2"/>
          </w:tcPr>
          <w:p>
            <w:pPr>
              <w:jc w:val="center"/>
              <w:ind w:left="24"/>
              <w:spacing w:after="0" w:line="164" w:lineRule="exact"/>
              <w:rPr>
                <w:sz w:val="20"/>
                <w:szCs w:val="20"/>
                <w:color w:val="auto"/>
              </w:rPr>
            </w:pPr>
            <w:r>
              <w:rPr>
                <w:rFonts w:ascii="Times New Roman" w:cs="Times New Roman" w:eastAsia="Times New Roman" w:hAnsi="Times New Roman"/>
                <w:sz w:val="15"/>
                <w:szCs w:val="15"/>
                <w:color w:val="231F20"/>
              </w:rPr>
              <w:t>87%</w:t>
            </w:r>
          </w:p>
        </w:tc>
        <w:tc>
          <w:tcPr>
            <w:tcW w:w="80" w:type="dxa"/>
            <w:vAlign w:val="bottom"/>
          </w:tcPr>
          <w:p>
            <w:pPr>
              <w:spacing w:after="0"/>
              <w:rPr>
                <w:sz w:val="14"/>
                <w:szCs w:val="14"/>
                <w:color w:val="auto"/>
              </w:rPr>
            </w:pPr>
          </w:p>
        </w:tc>
        <w:tc>
          <w:tcPr>
            <w:tcW w:w="2040" w:type="dxa"/>
            <w:vAlign w:val="bottom"/>
          </w:tcPr>
          <w:p>
            <w:pPr>
              <w:ind w:left="40"/>
              <w:spacing w:after="0" w:line="164" w:lineRule="exact"/>
              <w:rPr>
                <w:sz w:val="20"/>
                <w:szCs w:val="20"/>
                <w:color w:val="auto"/>
              </w:rPr>
            </w:pPr>
            <w:r>
              <w:rPr>
                <w:rFonts w:ascii="Times New Roman" w:cs="Times New Roman" w:eastAsia="Times New Roman" w:hAnsi="Times New Roman"/>
                <w:sz w:val="15"/>
                <w:szCs w:val="15"/>
                <w:color w:val="231F20"/>
              </w:rPr>
              <w:t>Aldi</w:t>
            </w: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2640" w:type="dxa"/>
            <w:vAlign w:val="bottom"/>
            <w:gridSpan w:val="4"/>
          </w:tcPr>
          <w:p>
            <w:pPr>
              <w:ind w:left="100"/>
              <w:spacing w:after="0" w:line="152" w:lineRule="exact"/>
              <w:rPr>
                <w:sz w:val="20"/>
                <w:szCs w:val="20"/>
                <w:color w:val="auto"/>
              </w:rPr>
            </w:pPr>
            <w:r>
              <w:rPr>
                <w:rFonts w:ascii="Times New Roman" w:cs="Times New Roman" w:eastAsia="Times New Roman" w:hAnsi="Times New Roman"/>
                <w:sz w:val="15"/>
                <w:szCs w:val="15"/>
                <w:color w:val="231F20"/>
              </w:rPr>
              <w:t>Gaithersburg, MD 20877(7)</w:t>
            </w: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ind w:left="40"/>
              <w:spacing w:after="0" w:line="152" w:lineRule="exact"/>
              <w:rPr>
                <w:sz w:val="20"/>
                <w:szCs w:val="20"/>
                <w:color w:val="auto"/>
              </w:rPr>
            </w:pPr>
            <w:r>
              <w:rPr>
                <w:rFonts w:ascii="Times New Roman" w:cs="Times New Roman" w:eastAsia="Times New Roman" w:hAnsi="Times New Roman"/>
                <w:sz w:val="15"/>
                <w:szCs w:val="15"/>
                <w:color w:val="231F20"/>
              </w:rPr>
              <w:t>HomeGoods</w:t>
            </w: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ind w:left="40"/>
              <w:spacing w:after="0" w:line="152" w:lineRule="exact"/>
              <w:rPr>
                <w:sz w:val="20"/>
                <w:szCs w:val="20"/>
                <w:color w:val="auto"/>
              </w:rPr>
            </w:pPr>
            <w:r>
              <w:rPr>
                <w:rFonts w:ascii="Times New Roman" w:cs="Times New Roman" w:eastAsia="Times New Roman" w:hAnsi="Times New Roman"/>
                <w:sz w:val="15"/>
                <w:szCs w:val="15"/>
                <w:color w:val="231F20"/>
              </w:rPr>
              <w:t>L.A. Fitness</w:t>
            </w: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40" w:type="dxa"/>
            <w:vAlign w:val="bottom"/>
          </w:tcPr>
          <w:p>
            <w:pPr>
              <w:ind w:left="40"/>
              <w:spacing w:after="0"/>
              <w:rPr>
                <w:sz w:val="20"/>
                <w:szCs w:val="20"/>
                <w:color w:val="auto"/>
              </w:rPr>
            </w:pPr>
            <w:r>
              <w:rPr>
                <w:rFonts w:ascii="Times New Roman" w:cs="Times New Roman" w:eastAsia="Times New Roman" w:hAnsi="Times New Roman"/>
                <w:sz w:val="15"/>
                <w:szCs w:val="15"/>
                <w:color w:val="231F20"/>
              </w:rPr>
              <w:t>Staples</w:t>
            </w:r>
          </w:p>
        </w:tc>
        <w:tc>
          <w:tcPr>
            <w:tcW w:w="0" w:type="dxa"/>
            <w:vAlign w:val="bottom"/>
          </w:tcPr>
          <w:p>
            <w:pPr>
              <w:spacing w:after="0"/>
              <w:rPr>
                <w:sz w:val="1"/>
                <w:szCs w:val="1"/>
                <w:color w:val="auto"/>
              </w:rPr>
            </w:pPr>
          </w:p>
        </w:tc>
      </w:tr>
      <w:tr>
        <w:trPr>
          <w:trHeight w:val="169"/>
        </w:trPr>
        <w:tc>
          <w:tcPr>
            <w:tcW w:w="60" w:type="dxa"/>
            <w:vAlign w:val="bottom"/>
          </w:tcPr>
          <w:p>
            <w:pPr>
              <w:spacing w:after="0"/>
              <w:rPr>
                <w:sz w:val="14"/>
                <w:szCs w:val="14"/>
                <w:color w:val="auto"/>
              </w:rPr>
            </w:pPr>
          </w:p>
        </w:tc>
        <w:tc>
          <w:tcPr>
            <w:tcW w:w="2640" w:type="dxa"/>
            <w:vAlign w:val="bottom"/>
            <w:gridSpan w:val="4"/>
          </w:tcPr>
          <w:p>
            <w:pPr>
              <w:spacing w:after="0" w:line="169" w:lineRule="exact"/>
              <w:rPr>
                <w:sz w:val="20"/>
                <w:szCs w:val="20"/>
                <w:color w:val="auto"/>
              </w:rPr>
            </w:pPr>
            <w:r>
              <w:rPr>
                <w:rFonts w:ascii="Times New Roman" w:cs="Times New Roman" w:eastAsia="Times New Roman" w:hAnsi="Times New Roman"/>
                <w:sz w:val="15"/>
                <w:szCs w:val="15"/>
                <w:color w:val="231F20"/>
              </w:rPr>
              <w:t>THE AVENUE at White Marsh</w:t>
            </w:r>
          </w:p>
        </w:tc>
        <w:tc>
          <w:tcPr>
            <w:tcW w:w="920" w:type="dxa"/>
            <w:vAlign w:val="bottom"/>
            <w:gridSpan w:val="2"/>
          </w:tcPr>
          <w:p>
            <w:pPr>
              <w:jc w:val="center"/>
              <w:spacing w:after="0" w:line="169" w:lineRule="exact"/>
              <w:rPr>
                <w:sz w:val="20"/>
                <w:szCs w:val="20"/>
                <w:color w:val="auto"/>
              </w:rPr>
            </w:pPr>
            <w:r>
              <w:rPr>
                <w:rFonts w:ascii="Times New Roman" w:cs="Times New Roman" w:eastAsia="Times New Roman" w:hAnsi="Times New Roman"/>
                <w:sz w:val="15"/>
                <w:szCs w:val="15"/>
                <w:color w:val="231F20"/>
                <w:w w:val="99"/>
              </w:rPr>
              <w:t>1997</w:t>
            </w:r>
          </w:p>
        </w:tc>
        <w:tc>
          <w:tcPr>
            <w:tcW w:w="880" w:type="dxa"/>
            <w:vAlign w:val="bottom"/>
            <w:gridSpan w:val="2"/>
          </w:tcPr>
          <w:p>
            <w:pPr>
              <w:jc w:val="center"/>
              <w:ind w:left="24"/>
              <w:spacing w:after="0" w:line="169" w:lineRule="exact"/>
              <w:rPr>
                <w:sz w:val="20"/>
                <w:szCs w:val="20"/>
                <w:color w:val="auto"/>
              </w:rPr>
            </w:pPr>
            <w:r>
              <w:rPr>
                <w:rFonts w:ascii="Times New Roman" w:cs="Times New Roman" w:eastAsia="Times New Roman" w:hAnsi="Times New Roman"/>
                <w:sz w:val="15"/>
                <w:szCs w:val="15"/>
                <w:color w:val="231F20"/>
                <w:w w:val="99"/>
              </w:rPr>
              <w:t>2007</w:t>
            </w:r>
          </w:p>
        </w:tc>
        <w:tc>
          <w:tcPr>
            <w:tcW w:w="1100" w:type="dxa"/>
            <w:vAlign w:val="bottom"/>
            <w:gridSpan w:val="2"/>
          </w:tcPr>
          <w:p>
            <w:pPr>
              <w:jc w:val="center"/>
              <w:ind w:left="44"/>
              <w:spacing w:after="0" w:line="169" w:lineRule="exact"/>
              <w:rPr>
                <w:sz w:val="20"/>
                <w:szCs w:val="20"/>
                <w:color w:val="auto"/>
              </w:rPr>
            </w:pPr>
            <w:r>
              <w:rPr>
                <w:rFonts w:ascii="Times New Roman" w:cs="Times New Roman" w:eastAsia="Times New Roman" w:hAnsi="Times New Roman"/>
                <w:sz w:val="15"/>
                <w:szCs w:val="15"/>
                <w:color w:val="231F20"/>
              </w:rPr>
              <w:t>315,000</w:t>
            </w:r>
          </w:p>
        </w:tc>
        <w:tc>
          <w:tcPr>
            <w:tcW w:w="1100" w:type="dxa"/>
            <w:vAlign w:val="bottom"/>
            <w:gridSpan w:val="2"/>
          </w:tcPr>
          <w:p>
            <w:pPr>
              <w:jc w:val="center"/>
              <w:ind w:left="44"/>
              <w:spacing w:after="0" w:line="169" w:lineRule="exact"/>
              <w:rPr>
                <w:sz w:val="20"/>
                <w:szCs w:val="20"/>
                <w:color w:val="auto"/>
              </w:rPr>
            </w:pPr>
            <w:r>
              <w:rPr>
                <w:rFonts w:ascii="Times New Roman" w:cs="Times New Roman" w:eastAsia="Times New Roman" w:hAnsi="Times New Roman"/>
                <w:sz w:val="15"/>
                <w:szCs w:val="15"/>
                <w:color w:val="231F20"/>
              </w:rPr>
              <w:t>$29.05</w:t>
            </w:r>
          </w:p>
        </w:tc>
        <w:tc>
          <w:tcPr>
            <w:tcW w:w="900" w:type="dxa"/>
            <w:vAlign w:val="bottom"/>
            <w:gridSpan w:val="2"/>
          </w:tcPr>
          <w:p>
            <w:pPr>
              <w:jc w:val="center"/>
              <w:ind w:left="24"/>
              <w:spacing w:after="0" w:line="169" w:lineRule="exact"/>
              <w:rPr>
                <w:sz w:val="20"/>
                <w:szCs w:val="20"/>
                <w:color w:val="auto"/>
              </w:rPr>
            </w:pPr>
            <w:r>
              <w:rPr>
                <w:rFonts w:ascii="Times New Roman" w:cs="Times New Roman" w:eastAsia="Times New Roman" w:hAnsi="Times New Roman"/>
                <w:sz w:val="15"/>
                <w:szCs w:val="15"/>
                <w:color w:val="231F20"/>
              </w:rPr>
              <w:t>100%</w:t>
            </w:r>
          </w:p>
        </w:tc>
        <w:tc>
          <w:tcPr>
            <w:tcW w:w="80" w:type="dxa"/>
            <w:vAlign w:val="bottom"/>
          </w:tcPr>
          <w:p>
            <w:pPr>
              <w:spacing w:after="0"/>
              <w:rPr>
                <w:sz w:val="14"/>
                <w:szCs w:val="14"/>
                <w:color w:val="auto"/>
              </w:rPr>
            </w:pPr>
          </w:p>
        </w:tc>
        <w:tc>
          <w:tcPr>
            <w:tcW w:w="2040" w:type="dxa"/>
            <w:vAlign w:val="bottom"/>
          </w:tcPr>
          <w:p>
            <w:pPr>
              <w:ind w:left="40"/>
              <w:spacing w:after="0" w:line="169" w:lineRule="exact"/>
              <w:rPr>
                <w:sz w:val="20"/>
                <w:szCs w:val="20"/>
                <w:color w:val="auto"/>
              </w:rPr>
            </w:pPr>
            <w:r>
              <w:rPr>
                <w:rFonts w:ascii="Times New Roman" w:cs="Times New Roman" w:eastAsia="Times New Roman" w:hAnsi="Times New Roman"/>
                <w:sz w:val="15"/>
                <w:szCs w:val="15"/>
                <w:color w:val="231F20"/>
              </w:rPr>
              <w:t>AMC</w:t>
            </w: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2640" w:type="dxa"/>
            <w:vAlign w:val="bottom"/>
            <w:gridSpan w:val="4"/>
          </w:tcPr>
          <w:p>
            <w:pPr>
              <w:ind w:left="100"/>
              <w:spacing w:after="0" w:line="152" w:lineRule="exact"/>
              <w:rPr>
                <w:sz w:val="20"/>
                <w:szCs w:val="20"/>
                <w:color w:val="auto"/>
              </w:rPr>
            </w:pPr>
            <w:r>
              <w:rPr>
                <w:rFonts w:ascii="Times New Roman" w:cs="Times New Roman" w:eastAsia="Times New Roman" w:hAnsi="Times New Roman"/>
                <w:sz w:val="15"/>
                <w:szCs w:val="15"/>
                <w:color w:val="231F20"/>
              </w:rPr>
              <w:t>Baltimore, MD 21236(8)</w:t>
            </w: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ind w:left="40"/>
              <w:spacing w:after="0" w:line="152" w:lineRule="exact"/>
              <w:rPr>
                <w:sz w:val="20"/>
                <w:szCs w:val="20"/>
                <w:color w:val="auto"/>
              </w:rPr>
            </w:pPr>
            <w:r>
              <w:rPr>
                <w:rFonts w:ascii="Times New Roman" w:cs="Times New Roman" w:eastAsia="Times New Roman" w:hAnsi="Times New Roman"/>
                <w:sz w:val="15"/>
                <w:szCs w:val="15"/>
                <w:color w:val="231F20"/>
              </w:rPr>
              <w:t>Ulta</w:t>
            </w: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ind w:left="40"/>
              <w:spacing w:after="0" w:line="152" w:lineRule="exact"/>
              <w:rPr>
                <w:sz w:val="20"/>
                <w:szCs w:val="20"/>
                <w:color w:val="auto"/>
              </w:rPr>
            </w:pPr>
            <w:r>
              <w:rPr>
                <w:rFonts w:ascii="Times New Roman" w:cs="Times New Roman" w:eastAsia="Times New Roman" w:hAnsi="Times New Roman"/>
                <w:sz w:val="15"/>
                <w:szCs w:val="15"/>
                <w:color w:val="231F20"/>
              </w:rPr>
              <w:t>Old Navy</w:t>
            </w: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40" w:type="dxa"/>
            <w:vAlign w:val="bottom"/>
          </w:tcPr>
          <w:p>
            <w:pPr>
              <w:ind w:left="40"/>
              <w:spacing w:after="0"/>
              <w:rPr>
                <w:sz w:val="20"/>
                <w:szCs w:val="20"/>
                <w:color w:val="auto"/>
              </w:rPr>
            </w:pPr>
            <w:r>
              <w:rPr>
                <w:rFonts w:ascii="Times New Roman" w:cs="Times New Roman" w:eastAsia="Times New Roman" w:hAnsi="Times New Roman"/>
                <w:sz w:val="15"/>
                <w:szCs w:val="15"/>
                <w:color w:val="231F20"/>
              </w:rPr>
              <w:t>Nike</w:t>
            </w:r>
          </w:p>
        </w:tc>
        <w:tc>
          <w:tcPr>
            <w:tcW w:w="0" w:type="dxa"/>
            <w:vAlign w:val="bottom"/>
          </w:tcPr>
          <w:p>
            <w:pPr>
              <w:spacing w:after="0"/>
              <w:rPr>
                <w:sz w:val="1"/>
                <w:szCs w:val="1"/>
                <w:color w:val="auto"/>
              </w:rPr>
            </w:pPr>
          </w:p>
        </w:tc>
      </w:tr>
      <w:tr>
        <w:trPr>
          <w:trHeight w:val="168"/>
        </w:trPr>
        <w:tc>
          <w:tcPr>
            <w:tcW w:w="60" w:type="dxa"/>
            <w:vAlign w:val="bottom"/>
          </w:tcPr>
          <w:p>
            <w:pPr>
              <w:spacing w:after="0"/>
              <w:rPr>
                <w:sz w:val="14"/>
                <w:szCs w:val="14"/>
                <w:color w:val="auto"/>
              </w:rPr>
            </w:pPr>
          </w:p>
        </w:tc>
        <w:tc>
          <w:tcPr>
            <w:tcW w:w="2640" w:type="dxa"/>
            <w:vAlign w:val="bottom"/>
            <w:gridSpan w:val="4"/>
          </w:tcPr>
          <w:p>
            <w:pPr>
              <w:spacing w:after="0" w:line="169" w:lineRule="exact"/>
              <w:rPr>
                <w:sz w:val="20"/>
                <w:szCs w:val="20"/>
                <w:color w:val="auto"/>
              </w:rPr>
            </w:pPr>
            <w:r>
              <w:rPr>
                <w:rFonts w:ascii="Times New Roman" w:cs="Times New Roman" w:eastAsia="Times New Roman" w:hAnsi="Times New Roman"/>
                <w:sz w:val="15"/>
                <w:szCs w:val="15"/>
                <w:color w:val="231F20"/>
              </w:rPr>
              <w:t>The Shoppes at Nottingham Square</w:t>
            </w:r>
          </w:p>
        </w:tc>
        <w:tc>
          <w:tcPr>
            <w:tcW w:w="920" w:type="dxa"/>
            <w:vAlign w:val="bottom"/>
            <w:gridSpan w:val="2"/>
          </w:tcPr>
          <w:p>
            <w:pPr>
              <w:jc w:val="center"/>
              <w:spacing w:after="0" w:line="169" w:lineRule="exact"/>
              <w:rPr>
                <w:sz w:val="20"/>
                <w:szCs w:val="20"/>
                <w:color w:val="auto"/>
              </w:rPr>
            </w:pPr>
            <w:r>
              <w:rPr>
                <w:rFonts w:ascii="Times New Roman" w:cs="Times New Roman" w:eastAsia="Times New Roman" w:hAnsi="Times New Roman"/>
                <w:sz w:val="15"/>
                <w:szCs w:val="15"/>
                <w:color w:val="231F20"/>
              </w:rPr>
              <w:t>2005-2006</w:t>
            </w:r>
          </w:p>
        </w:tc>
        <w:tc>
          <w:tcPr>
            <w:tcW w:w="880" w:type="dxa"/>
            <w:vAlign w:val="bottom"/>
            <w:gridSpan w:val="2"/>
          </w:tcPr>
          <w:p>
            <w:pPr>
              <w:jc w:val="center"/>
              <w:ind w:left="24"/>
              <w:spacing w:after="0" w:line="169" w:lineRule="exact"/>
              <w:rPr>
                <w:sz w:val="20"/>
                <w:szCs w:val="20"/>
                <w:color w:val="auto"/>
              </w:rPr>
            </w:pPr>
            <w:r>
              <w:rPr>
                <w:rFonts w:ascii="Times New Roman" w:cs="Times New Roman" w:eastAsia="Times New Roman" w:hAnsi="Times New Roman"/>
                <w:sz w:val="15"/>
                <w:szCs w:val="15"/>
                <w:color w:val="231F20"/>
                <w:w w:val="99"/>
              </w:rPr>
              <w:t>2007</w:t>
            </w:r>
          </w:p>
        </w:tc>
        <w:tc>
          <w:tcPr>
            <w:tcW w:w="1100" w:type="dxa"/>
            <w:vAlign w:val="bottom"/>
            <w:gridSpan w:val="2"/>
          </w:tcPr>
          <w:p>
            <w:pPr>
              <w:jc w:val="center"/>
              <w:ind w:left="44"/>
              <w:spacing w:after="0" w:line="169" w:lineRule="exact"/>
              <w:rPr>
                <w:sz w:val="20"/>
                <w:szCs w:val="20"/>
                <w:color w:val="auto"/>
              </w:rPr>
            </w:pPr>
            <w:r>
              <w:rPr>
                <w:rFonts w:ascii="Times New Roman" w:cs="Times New Roman" w:eastAsia="Times New Roman" w:hAnsi="Times New Roman"/>
                <w:sz w:val="15"/>
                <w:szCs w:val="15"/>
                <w:color w:val="231F20"/>
              </w:rPr>
              <w:t>33,000</w:t>
            </w:r>
          </w:p>
        </w:tc>
        <w:tc>
          <w:tcPr>
            <w:tcW w:w="1100" w:type="dxa"/>
            <w:vAlign w:val="bottom"/>
            <w:gridSpan w:val="2"/>
          </w:tcPr>
          <w:p>
            <w:pPr>
              <w:jc w:val="center"/>
              <w:ind w:left="44"/>
              <w:spacing w:after="0" w:line="169" w:lineRule="exact"/>
              <w:rPr>
                <w:sz w:val="20"/>
                <w:szCs w:val="20"/>
                <w:color w:val="auto"/>
              </w:rPr>
            </w:pPr>
            <w:r>
              <w:rPr>
                <w:rFonts w:ascii="Times New Roman" w:cs="Times New Roman" w:eastAsia="Times New Roman" w:hAnsi="Times New Roman"/>
                <w:sz w:val="15"/>
                <w:szCs w:val="15"/>
                <w:color w:val="231F20"/>
              </w:rPr>
              <w:t>$55.48</w:t>
            </w:r>
          </w:p>
        </w:tc>
        <w:tc>
          <w:tcPr>
            <w:tcW w:w="900" w:type="dxa"/>
            <w:vAlign w:val="bottom"/>
            <w:gridSpan w:val="2"/>
          </w:tcPr>
          <w:p>
            <w:pPr>
              <w:jc w:val="center"/>
              <w:ind w:left="24"/>
              <w:spacing w:after="0" w:line="169" w:lineRule="exact"/>
              <w:rPr>
                <w:sz w:val="20"/>
                <w:szCs w:val="20"/>
                <w:color w:val="auto"/>
              </w:rPr>
            </w:pPr>
            <w:r>
              <w:rPr>
                <w:rFonts w:ascii="Times New Roman" w:cs="Times New Roman" w:eastAsia="Times New Roman" w:hAnsi="Times New Roman"/>
                <w:sz w:val="15"/>
                <w:szCs w:val="15"/>
                <w:color w:val="231F20"/>
              </w:rPr>
              <w:t>100%</w:t>
            </w:r>
          </w:p>
        </w:tc>
        <w:tc>
          <w:tcPr>
            <w:tcW w:w="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2640" w:type="dxa"/>
            <w:vAlign w:val="bottom"/>
            <w:gridSpan w:val="4"/>
          </w:tcPr>
          <w:p>
            <w:pPr>
              <w:ind w:left="100"/>
              <w:spacing w:after="0"/>
              <w:rPr>
                <w:sz w:val="20"/>
                <w:szCs w:val="20"/>
                <w:color w:val="auto"/>
              </w:rPr>
            </w:pPr>
            <w:r>
              <w:rPr>
                <w:rFonts w:ascii="Times New Roman" w:cs="Times New Roman" w:eastAsia="Times New Roman" w:hAnsi="Times New Roman"/>
                <w:sz w:val="15"/>
                <w:szCs w:val="15"/>
                <w:color w:val="231F20"/>
              </w:rPr>
              <w:t>Baltimore, MD 21236</w:t>
            </w: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60" w:type="dxa"/>
            <w:vAlign w:val="bottom"/>
          </w:tcPr>
          <w:p>
            <w:pPr>
              <w:spacing w:after="0"/>
              <w:rPr>
                <w:sz w:val="16"/>
                <w:szCs w:val="16"/>
                <w:color w:val="auto"/>
              </w:rPr>
            </w:pPr>
          </w:p>
        </w:tc>
        <w:tc>
          <w:tcPr>
            <w:tcW w:w="2640" w:type="dxa"/>
            <w:vAlign w:val="bottom"/>
            <w:gridSpan w:val="4"/>
          </w:tcPr>
          <w:p>
            <w:pPr>
              <w:spacing w:after="0"/>
              <w:rPr>
                <w:sz w:val="20"/>
                <w:szCs w:val="20"/>
                <w:color w:val="auto"/>
              </w:rPr>
            </w:pPr>
            <w:r>
              <w:rPr>
                <w:rFonts w:ascii="Times New Roman" w:cs="Times New Roman" w:eastAsia="Times New Roman" w:hAnsi="Times New Roman"/>
                <w:sz w:val="15"/>
                <w:szCs w:val="15"/>
                <w:color w:val="231F20"/>
              </w:rPr>
              <w:t>White Marsh Other</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231F20"/>
                <w:w w:val="99"/>
              </w:rPr>
              <w:t>1985</w:t>
            </w:r>
          </w:p>
        </w:tc>
        <w:tc>
          <w:tcPr>
            <w:tcW w:w="880" w:type="dxa"/>
            <w:vAlign w:val="bottom"/>
            <w:gridSpan w:val="2"/>
          </w:tcPr>
          <w:p>
            <w:pPr>
              <w:jc w:val="center"/>
              <w:ind w:left="24"/>
              <w:spacing w:after="0"/>
              <w:rPr>
                <w:sz w:val="20"/>
                <w:szCs w:val="20"/>
                <w:color w:val="auto"/>
              </w:rPr>
            </w:pPr>
            <w:r>
              <w:rPr>
                <w:rFonts w:ascii="Times New Roman" w:cs="Times New Roman" w:eastAsia="Times New Roman" w:hAnsi="Times New Roman"/>
                <w:sz w:val="15"/>
                <w:szCs w:val="15"/>
                <w:color w:val="231F20"/>
                <w:w w:val="99"/>
              </w:rPr>
              <w:t>2007</w:t>
            </w:r>
          </w:p>
        </w:tc>
        <w:tc>
          <w:tcPr>
            <w:tcW w:w="1100" w:type="dxa"/>
            <w:vAlign w:val="bottom"/>
            <w:gridSpan w:val="2"/>
          </w:tcPr>
          <w:p>
            <w:pPr>
              <w:jc w:val="center"/>
              <w:ind w:left="44"/>
              <w:spacing w:after="0"/>
              <w:rPr>
                <w:sz w:val="20"/>
                <w:szCs w:val="20"/>
                <w:color w:val="auto"/>
              </w:rPr>
            </w:pPr>
            <w:r>
              <w:rPr>
                <w:rFonts w:ascii="Times New Roman" w:cs="Times New Roman" w:eastAsia="Times New Roman" w:hAnsi="Times New Roman"/>
                <w:sz w:val="15"/>
                <w:szCs w:val="15"/>
                <w:color w:val="231F20"/>
              </w:rPr>
              <w:t>43,000</w:t>
            </w:r>
          </w:p>
        </w:tc>
        <w:tc>
          <w:tcPr>
            <w:tcW w:w="1100" w:type="dxa"/>
            <w:vAlign w:val="bottom"/>
            <w:gridSpan w:val="2"/>
          </w:tcPr>
          <w:p>
            <w:pPr>
              <w:jc w:val="center"/>
              <w:ind w:left="44"/>
              <w:spacing w:after="0"/>
              <w:rPr>
                <w:sz w:val="20"/>
                <w:szCs w:val="20"/>
                <w:color w:val="auto"/>
              </w:rPr>
            </w:pPr>
            <w:r>
              <w:rPr>
                <w:rFonts w:ascii="Times New Roman" w:cs="Times New Roman" w:eastAsia="Times New Roman" w:hAnsi="Times New Roman"/>
                <w:sz w:val="15"/>
                <w:szCs w:val="15"/>
                <w:color w:val="231F20"/>
              </w:rPr>
              <w:t>$47.89</w:t>
            </w:r>
          </w:p>
        </w:tc>
        <w:tc>
          <w:tcPr>
            <w:tcW w:w="900" w:type="dxa"/>
            <w:vAlign w:val="bottom"/>
            <w:gridSpan w:val="2"/>
          </w:tcPr>
          <w:p>
            <w:pPr>
              <w:jc w:val="center"/>
              <w:ind w:left="24"/>
              <w:spacing w:after="0"/>
              <w:rPr>
                <w:sz w:val="20"/>
                <w:szCs w:val="20"/>
                <w:color w:val="auto"/>
              </w:rPr>
            </w:pPr>
            <w:r>
              <w:rPr>
                <w:rFonts w:ascii="Times New Roman" w:cs="Times New Roman" w:eastAsia="Times New Roman" w:hAnsi="Times New Roman"/>
                <w:sz w:val="15"/>
                <w:szCs w:val="15"/>
                <w:color w:val="231F20"/>
              </w:rPr>
              <w:t>100%</w:t>
            </w:r>
          </w:p>
        </w:tc>
        <w:tc>
          <w:tcPr>
            <w:tcW w:w="8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2640" w:type="dxa"/>
            <w:vAlign w:val="bottom"/>
            <w:gridSpan w:val="4"/>
          </w:tcPr>
          <w:p>
            <w:pPr>
              <w:ind w:left="100"/>
              <w:spacing w:after="0"/>
              <w:rPr>
                <w:sz w:val="20"/>
                <w:szCs w:val="20"/>
                <w:color w:val="auto"/>
              </w:rPr>
            </w:pPr>
            <w:r>
              <w:rPr>
                <w:rFonts w:ascii="Times New Roman" w:cs="Times New Roman" w:eastAsia="Times New Roman" w:hAnsi="Times New Roman"/>
                <w:sz w:val="15"/>
                <w:szCs w:val="15"/>
                <w:color w:val="231F20"/>
              </w:rPr>
              <w:t>Baltimore, MD 21236</w:t>
            </w: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0" w:type="dxa"/>
            <w:vAlign w:val="bottom"/>
          </w:tcPr>
          <w:p>
            <w:pPr>
              <w:spacing w:after="0"/>
              <w:rPr>
                <w:sz w:val="17"/>
                <w:szCs w:val="17"/>
                <w:color w:val="auto"/>
              </w:rPr>
            </w:pPr>
          </w:p>
        </w:tc>
        <w:tc>
          <w:tcPr>
            <w:tcW w:w="2640" w:type="dxa"/>
            <w:vAlign w:val="bottom"/>
            <w:gridSpan w:val="4"/>
          </w:tcPr>
          <w:p>
            <w:pPr>
              <w:spacing w:after="0"/>
              <w:rPr>
                <w:sz w:val="20"/>
                <w:szCs w:val="20"/>
                <w:color w:val="auto"/>
              </w:rPr>
            </w:pPr>
            <w:r>
              <w:rPr>
                <w:rFonts w:ascii="Times New Roman" w:cs="Times New Roman" w:eastAsia="Times New Roman" w:hAnsi="Times New Roman"/>
                <w:sz w:val="15"/>
                <w:szCs w:val="15"/>
                <w:color w:val="231F20"/>
              </w:rPr>
              <w:t>White Marsh Plaza</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231F20"/>
                <w:w w:val="99"/>
              </w:rPr>
              <w:t>1987</w:t>
            </w:r>
          </w:p>
        </w:tc>
        <w:tc>
          <w:tcPr>
            <w:tcW w:w="880" w:type="dxa"/>
            <w:vAlign w:val="bottom"/>
            <w:gridSpan w:val="2"/>
          </w:tcPr>
          <w:p>
            <w:pPr>
              <w:jc w:val="center"/>
              <w:ind w:left="24"/>
              <w:spacing w:after="0"/>
              <w:rPr>
                <w:sz w:val="20"/>
                <w:szCs w:val="20"/>
                <w:color w:val="auto"/>
              </w:rPr>
            </w:pPr>
            <w:r>
              <w:rPr>
                <w:rFonts w:ascii="Times New Roman" w:cs="Times New Roman" w:eastAsia="Times New Roman" w:hAnsi="Times New Roman"/>
                <w:sz w:val="15"/>
                <w:szCs w:val="15"/>
                <w:color w:val="231F20"/>
                <w:w w:val="99"/>
              </w:rPr>
              <w:t>2007</w:t>
            </w:r>
          </w:p>
        </w:tc>
        <w:tc>
          <w:tcPr>
            <w:tcW w:w="1100" w:type="dxa"/>
            <w:vAlign w:val="bottom"/>
            <w:gridSpan w:val="2"/>
          </w:tcPr>
          <w:p>
            <w:pPr>
              <w:jc w:val="center"/>
              <w:ind w:left="44"/>
              <w:spacing w:after="0"/>
              <w:rPr>
                <w:sz w:val="20"/>
                <w:szCs w:val="20"/>
                <w:color w:val="auto"/>
              </w:rPr>
            </w:pPr>
            <w:r>
              <w:rPr>
                <w:rFonts w:ascii="Times New Roman" w:cs="Times New Roman" w:eastAsia="Times New Roman" w:hAnsi="Times New Roman"/>
                <w:sz w:val="15"/>
                <w:szCs w:val="15"/>
                <w:color w:val="231F20"/>
              </w:rPr>
              <w:t>80,000</w:t>
            </w:r>
          </w:p>
        </w:tc>
        <w:tc>
          <w:tcPr>
            <w:tcW w:w="1100" w:type="dxa"/>
            <w:vAlign w:val="bottom"/>
            <w:gridSpan w:val="2"/>
          </w:tcPr>
          <w:p>
            <w:pPr>
              <w:jc w:val="center"/>
              <w:ind w:left="44"/>
              <w:spacing w:after="0"/>
              <w:rPr>
                <w:sz w:val="20"/>
                <w:szCs w:val="20"/>
                <w:color w:val="auto"/>
              </w:rPr>
            </w:pPr>
            <w:r>
              <w:rPr>
                <w:rFonts w:ascii="Times New Roman" w:cs="Times New Roman" w:eastAsia="Times New Roman" w:hAnsi="Times New Roman"/>
                <w:sz w:val="15"/>
                <w:szCs w:val="15"/>
                <w:color w:val="231F20"/>
              </w:rPr>
              <w:t>$24.55</w:t>
            </w:r>
          </w:p>
        </w:tc>
        <w:tc>
          <w:tcPr>
            <w:tcW w:w="900" w:type="dxa"/>
            <w:vAlign w:val="bottom"/>
            <w:gridSpan w:val="2"/>
          </w:tcPr>
          <w:p>
            <w:pPr>
              <w:jc w:val="center"/>
              <w:ind w:left="24"/>
              <w:spacing w:after="0"/>
              <w:rPr>
                <w:sz w:val="20"/>
                <w:szCs w:val="20"/>
                <w:color w:val="auto"/>
              </w:rPr>
            </w:pPr>
            <w:r>
              <w:rPr>
                <w:rFonts w:ascii="Times New Roman" w:cs="Times New Roman" w:eastAsia="Times New Roman" w:hAnsi="Times New Roman"/>
                <w:sz w:val="15"/>
                <w:szCs w:val="15"/>
                <w:color w:val="231F20"/>
              </w:rPr>
              <w:t>98%</w:t>
            </w:r>
          </w:p>
        </w:tc>
        <w:tc>
          <w:tcPr>
            <w:tcW w:w="80" w:type="dxa"/>
            <w:vAlign w:val="bottom"/>
          </w:tcPr>
          <w:p>
            <w:pPr>
              <w:spacing w:after="0"/>
              <w:rPr>
                <w:sz w:val="17"/>
                <w:szCs w:val="17"/>
                <w:color w:val="auto"/>
              </w:rPr>
            </w:pPr>
          </w:p>
        </w:tc>
        <w:tc>
          <w:tcPr>
            <w:tcW w:w="2040" w:type="dxa"/>
            <w:vAlign w:val="bottom"/>
          </w:tcPr>
          <w:p>
            <w:pPr>
              <w:ind w:left="40"/>
              <w:spacing w:after="0"/>
              <w:rPr>
                <w:sz w:val="20"/>
                <w:szCs w:val="20"/>
                <w:color w:val="auto"/>
              </w:rPr>
            </w:pPr>
            <w:r>
              <w:rPr>
                <w:rFonts w:ascii="Times New Roman" w:cs="Times New Roman" w:eastAsia="Times New Roman" w:hAnsi="Times New Roman"/>
                <w:sz w:val="15"/>
                <w:szCs w:val="15"/>
                <w:color w:val="231F20"/>
              </w:rPr>
              <w:t>Giant Food</w:t>
            </w: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2640" w:type="dxa"/>
            <w:vAlign w:val="bottom"/>
            <w:gridSpan w:val="4"/>
          </w:tcPr>
          <w:p>
            <w:pPr>
              <w:ind w:left="100"/>
              <w:spacing w:after="0"/>
              <w:rPr>
                <w:sz w:val="20"/>
                <w:szCs w:val="20"/>
                <w:color w:val="auto"/>
              </w:rPr>
            </w:pPr>
            <w:r>
              <w:rPr>
                <w:rFonts w:ascii="Times New Roman" w:cs="Times New Roman" w:eastAsia="Times New Roman" w:hAnsi="Times New Roman"/>
                <w:sz w:val="15"/>
                <w:szCs w:val="15"/>
                <w:color w:val="231F20"/>
              </w:rPr>
              <w:t>Baltimore, MD 21236</w:t>
            </w: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60" w:type="dxa"/>
            <w:vAlign w:val="bottom"/>
          </w:tcPr>
          <w:p>
            <w:pPr>
              <w:spacing w:after="0"/>
              <w:rPr>
                <w:sz w:val="16"/>
                <w:szCs w:val="16"/>
                <w:color w:val="auto"/>
              </w:rPr>
            </w:pPr>
          </w:p>
        </w:tc>
        <w:tc>
          <w:tcPr>
            <w:tcW w:w="2640" w:type="dxa"/>
            <w:vAlign w:val="bottom"/>
            <w:gridSpan w:val="4"/>
          </w:tcPr>
          <w:p>
            <w:pPr>
              <w:spacing w:after="0"/>
              <w:rPr>
                <w:sz w:val="20"/>
                <w:szCs w:val="20"/>
                <w:color w:val="auto"/>
              </w:rPr>
            </w:pPr>
            <w:r>
              <w:rPr>
                <w:rFonts w:ascii="Times New Roman" w:cs="Times New Roman" w:eastAsia="Times New Roman" w:hAnsi="Times New Roman"/>
                <w:sz w:val="15"/>
                <w:szCs w:val="15"/>
                <w:color w:val="231F20"/>
              </w:rPr>
              <w:t>Wildwood</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231F20"/>
                <w:w w:val="99"/>
              </w:rPr>
              <w:t>1958</w:t>
            </w:r>
          </w:p>
        </w:tc>
        <w:tc>
          <w:tcPr>
            <w:tcW w:w="880" w:type="dxa"/>
            <w:vAlign w:val="bottom"/>
            <w:gridSpan w:val="2"/>
          </w:tcPr>
          <w:p>
            <w:pPr>
              <w:jc w:val="center"/>
              <w:ind w:left="24"/>
              <w:spacing w:after="0"/>
              <w:rPr>
                <w:sz w:val="20"/>
                <w:szCs w:val="20"/>
                <w:color w:val="auto"/>
              </w:rPr>
            </w:pPr>
            <w:r>
              <w:rPr>
                <w:rFonts w:ascii="Times New Roman" w:cs="Times New Roman" w:eastAsia="Times New Roman" w:hAnsi="Times New Roman"/>
                <w:sz w:val="15"/>
                <w:szCs w:val="15"/>
                <w:color w:val="231F20"/>
                <w:w w:val="99"/>
              </w:rPr>
              <w:t>1969</w:t>
            </w:r>
          </w:p>
        </w:tc>
        <w:tc>
          <w:tcPr>
            <w:tcW w:w="1100" w:type="dxa"/>
            <w:vAlign w:val="bottom"/>
            <w:gridSpan w:val="2"/>
          </w:tcPr>
          <w:p>
            <w:pPr>
              <w:jc w:val="center"/>
              <w:ind w:left="44"/>
              <w:spacing w:after="0"/>
              <w:rPr>
                <w:sz w:val="20"/>
                <w:szCs w:val="20"/>
                <w:color w:val="auto"/>
              </w:rPr>
            </w:pPr>
            <w:r>
              <w:rPr>
                <w:rFonts w:ascii="Times New Roman" w:cs="Times New Roman" w:eastAsia="Times New Roman" w:hAnsi="Times New Roman"/>
                <w:sz w:val="15"/>
                <w:szCs w:val="15"/>
                <w:color w:val="231F20"/>
              </w:rPr>
              <w:t>88,000</w:t>
            </w:r>
          </w:p>
        </w:tc>
        <w:tc>
          <w:tcPr>
            <w:tcW w:w="1100" w:type="dxa"/>
            <w:vAlign w:val="bottom"/>
            <w:gridSpan w:val="2"/>
          </w:tcPr>
          <w:p>
            <w:pPr>
              <w:jc w:val="center"/>
              <w:ind w:left="24"/>
              <w:spacing w:after="0"/>
              <w:rPr>
                <w:sz w:val="20"/>
                <w:szCs w:val="20"/>
                <w:color w:val="auto"/>
              </w:rPr>
            </w:pPr>
            <w:r>
              <w:rPr>
                <w:rFonts w:ascii="Times New Roman" w:cs="Times New Roman" w:eastAsia="Times New Roman" w:hAnsi="Times New Roman"/>
                <w:sz w:val="15"/>
                <w:szCs w:val="15"/>
                <w:color w:val="231F20"/>
                <w:w w:val="98"/>
              </w:rPr>
              <w:t>$114.79</w:t>
            </w:r>
          </w:p>
        </w:tc>
        <w:tc>
          <w:tcPr>
            <w:tcW w:w="900" w:type="dxa"/>
            <w:vAlign w:val="bottom"/>
            <w:gridSpan w:val="2"/>
          </w:tcPr>
          <w:p>
            <w:pPr>
              <w:jc w:val="center"/>
              <w:ind w:left="24"/>
              <w:spacing w:after="0"/>
              <w:rPr>
                <w:sz w:val="20"/>
                <w:szCs w:val="20"/>
                <w:color w:val="auto"/>
              </w:rPr>
            </w:pPr>
            <w:r>
              <w:rPr>
                <w:rFonts w:ascii="Times New Roman" w:cs="Times New Roman" w:eastAsia="Times New Roman" w:hAnsi="Times New Roman"/>
                <w:sz w:val="15"/>
                <w:szCs w:val="15"/>
                <w:color w:val="231F20"/>
              </w:rPr>
              <w:t>100%</w:t>
            </w:r>
          </w:p>
        </w:tc>
        <w:tc>
          <w:tcPr>
            <w:tcW w:w="80" w:type="dxa"/>
            <w:vAlign w:val="bottom"/>
          </w:tcPr>
          <w:p>
            <w:pPr>
              <w:spacing w:after="0"/>
              <w:rPr>
                <w:sz w:val="16"/>
                <w:szCs w:val="16"/>
                <w:color w:val="auto"/>
              </w:rPr>
            </w:pPr>
          </w:p>
        </w:tc>
        <w:tc>
          <w:tcPr>
            <w:tcW w:w="2040" w:type="dxa"/>
            <w:vAlign w:val="bottom"/>
          </w:tcPr>
          <w:p>
            <w:pPr>
              <w:ind w:left="40"/>
              <w:spacing w:after="0"/>
              <w:rPr>
                <w:sz w:val="20"/>
                <w:szCs w:val="20"/>
                <w:color w:val="auto"/>
              </w:rPr>
            </w:pPr>
            <w:r>
              <w:rPr>
                <w:rFonts w:ascii="Times New Roman" w:cs="Times New Roman" w:eastAsia="Times New Roman" w:hAnsi="Times New Roman"/>
                <w:sz w:val="15"/>
                <w:szCs w:val="15"/>
                <w:color w:val="231F20"/>
              </w:rPr>
              <w:t>Balducci's</w:t>
            </w: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2640" w:type="dxa"/>
            <w:vAlign w:val="bottom"/>
            <w:gridSpan w:val="4"/>
          </w:tcPr>
          <w:p>
            <w:pPr>
              <w:ind w:left="100"/>
              <w:spacing w:after="0" w:line="152" w:lineRule="exact"/>
              <w:rPr>
                <w:sz w:val="20"/>
                <w:szCs w:val="20"/>
                <w:color w:val="auto"/>
              </w:rPr>
            </w:pPr>
            <w:r>
              <w:rPr>
                <w:rFonts w:ascii="Times New Roman" w:cs="Times New Roman" w:eastAsia="Times New Roman" w:hAnsi="Times New Roman"/>
                <w:sz w:val="15"/>
                <w:szCs w:val="15"/>
                <w:color w:val="231F20"/>
              </w:rPr>
              <w:t>Bethesda, MD 20814</w:t>
            </w: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ind w:left="40"/>
              <w:spacing w:after="0" w:line="152" w:lineRule="exact"/>
              <w:rPr>
                <w:sz w:val="20"/>
                <w:szCs w:val="20"/>
                <w:color w:val="auto"/>
              </w:rPr>
            </w:pPr>
            <w:r>
              <w:rPr>
                <w:rFonts w:ascii="Times New Roman" w:cs="Times New Roman" w:eastAsia="Times New Roman" w:hAnsi="Times New Roman"/>
                <w:sz w:val="15"/>
                <w:szCs w:val="15"/>
                <w:color w:val="231F20"/>
              </w:rPr>
              <w:t>CVS</w:t>
            </w: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40" w:type="dxa"/>
            <w:vAlign w:val="bottom"/>
          </w:tcPr>
          <w:p>
            <w:pPr>
              <w:ind w:left="40"/>
              <w:spacing w:after="0"/>
              <w:rPr>
                <w:sz w:val="20"/>
                <w:szCs w:val="20"/>
                <w:color w:val="auto"/>
              </w:rPr>
            </w:pPr>
            <w:r>
              <w:rPr>
                <w:rFonts w:ascii="Times New Roman" w:cs="Times New Roman" w:eastAsia="Times New Roman" w:hAnsi="Times New Roman"/>
                <w:sz w:val="15"/>
                <w:szCs w:val="15"/>
                <w:color w:val="231F20"/>
              </w:rPr>
              <w:t>Multiple Restaurants</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940" w:type="dxa"/>
            <w:vAlign w:val="bottom"/>
            <w:tcBorders>
              <w:bottom w:val="single" w:sz="8" w:color="231F20"/>
            </w:tcBorders>
            <w:gridSpan w:val="3"/>
          </w:tcPr>
          <w:p>
            <w:pPr>
              <w:spacing w:after="0"/>
              <w:rPr>
                <w:sz w:val="20"/>
                <w:szCs w:val="20"/>
                <w:color w:val="auto"/>
              </w:rPr>
            </w:pPr>
            <w:r>
              <w:rPr>
                <w:rFonts w:ascii="Times New Roman" w:cs="Times New Roman" w:eastAsia="Times New Roman" w:hAnsi="Times New Roman"/>
                <w:sz w:val="15"/>
                <w:szCs w:val="15"/>
                <w:b w:val="1"/>
                <w:bCs w:val="1"/>
                <w:color w:val="231F20"/>
                <w:w w:val="99"/>
              </w:rPr>
              <w:t>Massachusetts</w:t>
            </w:r>
          </w:p>
        </w:tc>
        <w:tc>
          <w:tcPr>
            <w:tcW w:w="1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60" w:type="dxa"/>
            <w:vAlign w:val="bottom"/>
          </w:tcPr>
          <w:p>
            <w:pPr>
              <w:spacing w:after="0"/>
              <w:rPr>
                <w:sz w:val="16"/>
                <w:szCs w:val="16"/>
                <w:color w:val="auto"/>
              </w:rPr>
            </w:pPr>
          </w:p>
        </w:tc>
        <w:tc>
          <w:tcPr>
            <w:tcW w:w="2640" w:type="dxa"/>
            <w:vAlign w:val="bottom"/>
            <w:gridSpan w:val="4"/>
          </w:tcPr>
          <w:p>
            <w:pPr>
              <w:spacing w:after="0"/>
              <w:rPr>
                <w:sz w:val="20"/>
                <w:szCs w:val="20"/>
                <w:color w:val="auto"/>
              </w:rPr>
            </w:pPr>
            <w:r>
              <w:rPr>
                <w:rFonts w:ascii="Times New Roman" w:cs="Times New Roman" w:eastAsia="Times New Roman" w:hAnsi="Times New Roman"/>
                <w:sz w:val="15"/>
                <w:szCs w:val="15"/>
                <w:color w:val="231F20"/>
              </w:rPr>
              <w:t>Assembly Row/</w:t>
            </w:r>
          </w:p>
        </w:tc>
        <w:tc>
          <w:tcPr>
            <w:tcW w:w="920" w:type="dxa"/>
            <w:vAlign w:val="bottom"/>
            <w:gridSpan w:val="2"/>
          </w:tcPr>
          <w:p>
            <w:pPr>
              <w:jc w:val="center"/>
              <w:ind w:left="4"/>
              <w:spacing w:after="0"/>
              <w:rPr>
                <w:sz w:val="20"/>
                <w:szCs w:val="20"/>
                <w:color w:val="auto"/>
              </w:rPr>
            </w:pPr>
            <w:r>
              <w:rPr>
                <w:rFonts w:ascii="Times New Roman" w:cs="Times New Roman" w:eastAsia="Times New Roman" w:hAnsi="Times New Roman"/>
                <w:sz w:val="15"/>
                <w:szCs w:val="15"/>
                <w:color w:val="231F20"/>
              </w:rPr>
              <w:t>2005, 2014,</w:t>
            </w:r>
          </w:p>
        </w:tc>
        <w:tc>
          <w:tcPr>
            <w:tcW w:w="880" w:type="dxa"/>
            <w:vAlign w:val="bottom"/>
            <w:gridSpan w:val="2"/>
          </w:tcPr>
          <w:p>
            <w:pPr>
              <w:jc w:val="center"/>
              <w:ind w:left="24"/>
              <w:spacing w:after="0"/>
              <w:rPr>
                <w:sz w:val="20"/>
                <w:szCs w:val="20"/>
                <w:color w:val="auto"/>
              </w:rPr>
            </w:pPr>
            <w:r>
              <w:rPr>
                <w:rFonts w:ascii="Times New Roman" w:cs="Times New Roman" w:eastAsia="Times New Roman" w:hAnsi="Times New Roman"/>
                <w:sz w:val="15"/>
                <w:szCs w:val="15"/>
                <w:color w:val="231F20"/>
              </w:rPr>
              <w:t>2005-2011/</w:t>
            </w:r>
          </w:p>
        </w:tc>
        <w:tc>
          <w:tcPr>
            <w:tcW w:w="1100" w:type="dxa"/>
            <w:vAlign w:val="bottom"/>
            <w:gridSpan w:val="2"/>
          </w:tcPr>
          <w:p>
            <w:pPr>
              <w:jc w:val="center"/>
              <w:ind w:left="44"/>
              <w:spacing w:after="0"/>
              <w:rPr>
                <w:sz w:val="20"/>
                <w:szCs w:val="20"/>
                <w:color w:val="auto"/>
              </w:rPr>
            </w:pPr>
            <w:r>
              <w:rPr>
                <w:rFonts w:ascii="Times New Roman" w:cs="Times New Roman" w:eastAsia="Times New Roman" w:hAnsi="Times New Roman"/>
                <w:sz w:val="15"/>
                <w:szCs w:val="15"/>
                <w:color w:val="231F20"/>
              </w:rPr>
              <w:t>1,230,000</w:t>
            </w:r>
          </w:p>
        </w:tc>
        <w:tc>
          <w:tcPr>
            <w:tcW w:w="1100" w:type="dxa"/>
            <w:vAlign w:val="bottom"/>
            <w:gridSpan w:val="2"/>
          </w:tcPr>
          <w:p>
            <w:pPr>
              <w:jc w:val="center"/>
              <w:ind w:left="44"/>
              <w:spacing w:after="0"/>
              <w:rPr>
                <w:sz w:val="20"/>
                <w:szCs w:val="20"/>
                <w:color w:val="auto"/>
              </w:rPr>
            </w:pPr>
            <w:r>
              <w:rPr>
                <w:rFonts w:ascii="Times New Roman" w:cs="Times New Roman" w:eastAsia="Times New Roman" w:hAnsi="Times New Roman"/>
                <w:sz w:val="15"/>
                <w:szCs w:val="15"/>
                <w:color w:val="231F20"/>
              </w:rPr>
              <w:t>$41.61</w:t>
            </w:r>
          </w:p>
        </w:tc>
        <w:tc>
          <w:tcPr>
            <w:tcW w:w="900" w:type="dxa"/>
            <w:vAlign w:val="bottom"/>
            <w:gridSpan w:val="2"/>
          </w:tcPr>
          <w:p>
            <w:pPr>
              <w:jc w:val="center"/>
              <w:ind w:left="24"/>
              <w:spacing w:after="0"/>
              <w:rPr>
                <w:sz w:val="20"/>
                <w:szCs w:val="20"/>
                <w:color w:val="auto"/>
              </w:rPr>
            </w:pPr>
            <w:r>
              <w:rPr>
                <w:rFonts w:ascii="Times New Roman" w:cs="Times New Roman" w:eastAsia="Times New Roman" w:hAnsi="Times New Roman"/>
                <w:sz w:val="15"/>
                <w:szCs w:val="15"/>
                <w:color w:val="231F20"/>
              </w:rPr>
              <w:t>98%</w:t>
            </w:r>
          </w:p>
        </w:tc>
        <w:tc>
          <w:tcPr>
            <w:tcW w:w="80" w:type="dxa"/>
            <w:vAlign w:val="bottom"/>
          </w:tcPr>
          <w:p>
            <w:pPr>
              <w:spacing w:after="0"/>
              <w:rPr>
                <w:sz w:val="16"/>
                <w:szCs w:val="16"/>
                <w:color w:val="auto"/>
              </w:rPr>
            </w:pPr>
          </w:p>
        </w:tc>
        <w:tc>
          <w:tcPr>
            <w:tcW w:w="2040" w:type="dxa"/>
            <w:vAlign w:val="bottom"/>
          </w:tcPr>
          <w:p>
            <w:pPr>
              <w:ind w:left="40"/>
              <w:spacing w:after="0"/>
              <w:rPr>
                <w:sz w:val="20"/>
                <w:szCs w:val="20"/>
                <w:color w:val="auto"/>
              </w:rPr>
            </w:pPr>
            <w:r>
              <w:rPr>
                <w:rFonts w:ascii="Times New Roman" w:cs="Times New Roman" w:eastAsia="Times New Roman" w:hAnsi="Times New Roman"/>
                <w:sz w:val="15"/>
                <w:szCs w:val="15"/>
                <w:color w:val="231F20"/>
              </w:rPr>
              <w:t>Trader Joe's</w:t>
            </w: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2640" w:type="dxa"/>
            <w:vAlign w:val="bottom"/>
            <w:gridSpan w:val="4"/>
          </w:tcPr>
          <w:p>
            <w:pPr>
              <w:spacing w:after="0" w:line="152" w:lineRule="exact"/>
              <w:rPr>
                <w:sz w:val="20"/>
                <w:szCs w:val="20"/>
                <w:color w:val="auto"/>
              </w:rPr>
            </w:pPr>
            <w:r>
              <w:rPr>
                <w:rFonts w:ascii="Times New Roman" w:cs="Times New Roman" w:eastAsia="Times New Roman" w:hAnsi="Times New Roman"/>
                <w:sz w:val="15"/>
                <w:szCs w:val="15"/>
                <w:color w:val="231F20"/>
              </w:rPr>
              <w:t>Assembly Square Marketplace</w:t>
            </w:r>
          </w:p>
        </w:tc>
        <w:tc>
          <w:tcPr>
            <w:tcW w:w="920" w:type="dxa"/>
            <w:vAlign w:val="bottom"/>
            <w:gridSpan w:val="2"/>
          </w:tcPr>
          <w:p>
            <w:pPr>
              <w:jc w:val="center"/>
              <w:ind w:left="4"/>
              <w:spacing w:after="0" w:line="152" w:lineRule="exact"/>
              <w:rPr>
                <w:sz w:val="20"/>
                <w:szCs w:val="20"/>
                <w:color w:val="auto"/>
              </w:rPr>
            </w:pPr>
            <w:r>
              <w:rPr>
                <w:rFonts w:ascii="Times New Roman" w:cs="Times New Roman" w:eastAsia="Times New Roman" w:hAnsi="Times New Roman"/>
                <w:sz w:val="15"/>
                <w:szCs w:val="15"/>
                <w:color w:val="231F20"/>
              </w:rPr>
              <w:t>2018, 2021</w:t>
            </w:r>
          </w:p>
        </w:tc>
        <w:tc>
          <w:tcPr>
            <w:tcW w:w="880" w:type="dxa"/>
            <w:vAlign w:val="bottom"/>
            <w:gridSpan w:val="2"/>
          </w:tcPr>
          <w:p>
            <w:pPr>
              <w:jc w:val="center"/>
              <w:ind w:left="24"/>
              <w:spacing w:after="0" w:line="152" w:lineRule="exact"/>
              <w:rPr>
                <w:sz w:val="20"/>
                <w:szCs w:val="20"/>
                <w:color w:val="auto"/>
              </w:rPr>
            </w:pPr>
            <w:r>
              <w:rPr>
                <w:rFonts w:ascii="Times New Roman" w:cs="Times New Roman" w:eastAsia="Times New Roman" w:hAnsi="Times New Roman"/>
                <w:sz w:val="15"/>
                <w:szCs w:val="15"/>
                <w:color w:val="231F20"/>
                <w:w w:val="99"/>
              </w:rPr>
              <w:t>2013</w:t>
            </w: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ind w:left="40"/>
              <w:spacing w:after="0" w:line="152" w:lineRule="exact"/>
              <w:rPr>
                <w:sz w:val="20"/>
                <w:szCs w:val="20"/>
                <w:color w:val="auto"/>
              </w:rPr>
            </w:pPr>
            <w:r>
              <w:rPr>
                <w:rFonts w:ascii="Times New Roman" w:cs="Times New Roman" w:eastAsia="Times New Roman" w:hAnsi="Times New Roman"/>
                <w:sz w:val="15"/>
                <w:szCs w:val="15"/>
                <w:color w:val="231F20"/>
              </w:rPr>
              <w:t>TJ Maxx</w:t>
            </w: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2640" w:type="dxa"/>
            <w:vAlign w:val="bottom"/>
            <w:gridSpan w:val="4"/>
          </w:tcPr>
          <w:p>
            <w:pPr>
              <w:ind w:left="100"/>
              <w:spacing w:after="0" w:line="152" w:lineRule="exact"/>
              <w:rPr>
                <w:sz w:val="20"/>
                <w:szCs w:val="20"/>
                <w:color w:val="auto"/>
              </w:rPr>
            </w:pPr>
            <w:r>
              <w:rPr>
                <w:rFonts w:ascii="Times New Roman" w:cs="Times New Roman" w:eastAsia="Times New Roman" w:hAnsi="Times New Roman"/>
                <w:sz w:val="15"/>
                <w:szCs w:val="15"/>
                <w:color w:val="231F20"/>
              </w:rPr>
              <w:t>Somerville, MA 02145(10)</w:t>
            </w: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ind w:left="40"/>
              <w:spacing w:after="0" w:line="152" w:lineRule="exact"/>
              <w:rPr>
                <w:sz w:val="20"/>
                <w:szCs w:val="20"/>
                <w:color w:val="auto"/>
              </w:rPr>
            </w:pPr>
            <w:r>
              <w:rPr>
                <w:rFonts w:ascii="Times New Roman" w:cs="Times New Roman" w:eastAsia="Times New Roman" w:hAnsi="Times New Roman"/>
                <w:sz w:val="15"/>
                <w:szCs w:val="15"/>
                <w:color w:val="231F20"/>
              </w:rPr>
              <w:t>AMC</w:t>
            </w: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ind w:left="40"/>
              <w:spacing w:after="0" w:line="152" w:lineRule="exact"/>
              <w:rPr>
                <w:sz w:val="20"/>
                <w:szCs w:val="20"/>
                <w:color w:val="auto"/>
              </w:rPr>
            </w:pPr>
            <w:r>
              <w:rPr>
                <w:rFonts w:ascii="Times New Roman" w:cs="Times New Roman" w:eastAsia="Times New Roman" w:hAnsi="Times New Roman"/>
                <w:sz w:val="15"/>
                <w:szCs w:val="15"/>
                <w:color w:val="231F20"/>
              </w:rPr>
              <w:t>Nike</w:t>
            </w: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ind w:left="40"/>
              <w:spacing w:after="0" w:line="152" w:lineRule="exact"/>
              <w:rPr>
                <w:sz w:val="20"/>
                <w:szCs w:val="20"/>
                <w:color w:val="auto"/>
              </w:rPr>
            </w:pPr>
            <w:r>
              <w:rPr>
                <w:rFonts w:ascii="Times New Roman" w:cs="Times New Roman" w:eastAsia="Times New Roman" w:hAnsi="Times New Roman"/>
                <w:sz w:val="15"/>
                <w:szCs w:val="15"/>
                <w:color w:val="231F20"/>
              </w:rPr>
              <w:t>Burlington</w:t>
            </w: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ind w:left="40"/>
              <w:spacing w:after="0" w:line="152" w:lineRule="exact"/>
              <w:rPr>
                <w:sz w:val="20"/>
                <w:szCs w:val="20"/>
                <w:color w:val="auto"/>
              </w:rPr>
            </w:pPr>
            <w:r>
              <w:rPr>
                <w:rFonts w:ascii="Times New Roman" w:cs="Times New Roman" w:eastAsia="Times New Roman" w:hAnsi="Times New Roman"/>
                <w:sz w:val="15"/>
                <w:szCs w:val="15"/>
                <w:color w:val="231F20"/>
              </w:rPr>
              <w:t>World Market</w:t>
            </w: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ind w:left="40"/>
              <w:spacing w:after="0" w:line="152" w:lineRule="exact"/>
              <w:rPr>
                <w:sz w:val="20"/>
                <w:szCs w:val="20"/>
                <w:color w:val="auto"/>
              </w:rPr>
            </w:pPr>
            <w:r>
              <w:rPr>
                <w:rFonts w:ascii="Times New Roman" w:cs="Times New Roman" w:eastAsia="Times New Roman" w:hAnsi="Times New Roman"/>
                <w:sz w:val="15"/>
                <w:szCs w:val="15"/>
                <w:color w:val="231F20"/>
              </w:rPr>
              <w:t>PUMA</w:t>
            </w: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40" w:type="dxa"/>
            <w:vAlign w:val="bottom"/>
          </w:tcPr>
          <w:p>
            <w:pPr>
              <w:ind w:left="40"/>
              <w:spacing w:after="0"/>
              <w:rPr>
                <w:sz w:val="20"/>
                <w:szCs w:val="20"/>
                <w:color w:val="auto"/>
              </w:rPr>
            </w:pPr>
            <w:r>
              <w:rPr>
                <w:rFonts w:ascii="Times New Roman" w:cs="Times New Roman" w:eastAsia="Times New Roman" w:hAnsi="Times New Roman"/>
                <w:sz w:val="15"/>
                <w:szCs w:val="15"/>
                <w:color w:val="231F20"/>
              </w:rPr>
              <w:t>Multiple Restaurants</w:t>
            </w:r>
          </w:p>
        </w:tc>
        <w:tc>
          <w:tcPr>
            <w:tcW w:w="0" w:type="dxa"/>
            <w:vAlign w:val="bottom"/>
          </w:tcPr>
          <w:p>
            <w:pPr>
              <w:spacing w:after="0"/>
              <w:rPr>
                <w:sz w:val="1"/>
                <w:szCs w:val="1"/>
                <w:color w:val="auto"/>
              </w:rPr>
            </w:pPr>
          </w:p>
        </w:tc>
      </w:tr>
      <w:tr>
        <w:trPr>
          <w:trHeight w:val="188"/>
        </w:trPr>
        <w:tc>
          <w:tcPr>
            <w:tcW w:w="60" w:type="dxa"/>
            <w:vAlign w:val="bottom"/>
          </w:tcPr>
          <w:p>
            <w:pPr>
              <w:spacing w:after="0"/>
              <w:rPr>
                <w:sz w:val="16"/>
                <w:szCs w:val="16"/>
                <w:color w:val="auto"/>
              </w:rPr>
            </w:pPr>
          </w:p>
        </w:tc>
        <w:tc>
          <w:tcPr>
            <w:tcW w:w="2640" w:type="dxa"/>
            <w:vAlign w:val="bottom"/>
            <w:gridSpan w:val="4"/>
          </w:tcPr>
          <w:p>
            <w:pPr>
              <w:spacing w:after="0"/>
              <w:rPr>
                <w:sz w:val="20"/>
                <w:szCs w:val="20"/>
                <w:color w:val="auto"/>
              </w:rPr>
            </w:pPr>
            <w:r>
              <w:rPr>
                <w:rFonts w:ascii="Times New Roman" w:cs="Times New Roman" w:eastAsia="Times New Roman" w:hAnsi="Times New Roman"/>
                <w:sz w:val="15"/>
                <w:szCs w:val="15"/>
                <w:color w:val="231F20"/>
              </w:rPr>
              <w:t>Assembly Row Residential</w:t>
            </w:r>
          </w:p>
        </w:tc>
        <w:tc>
          <w:tcPr>
            <w:tcW w:w="920" w:type="dxa"/>
            <w:vAlign w:val="bottom"/>
            <w:gridSpan w:val="2"/>
          </w:tcPr>
          <w:p>
            <w:pPr>
              <w:jc w:val="center"/>
              <w:ind w:left="4"/>
              <w:spacing w:after="0"/>
              <w:rPr>
                <w:sz w:val="20"/>
                <w:szCs w:val="20"/>
                <w:color w:val="auto"/>
              </w:rPr>
            </w:pPr>
            <w:r>
              <w:rPr>
                <w:rFonts w:ascii="Times New Roman" w:cs="Times New Roman" w:eastAsia="Times New Roman" w:hAnsi="Times New Roman"/>
                <w:sz w:val="15"/>
                <w:szCs w:val="15"/>
                <w:color w:val="231F20"/>
              </w:rPr>
              <w:t>2018, 2021</w:t>
            </w:r>
          </w:p>
        </w:tc>
        <w:tc>
          <w:tcPr>
            <w:tcW w:w="880" w:type="dxa"/>
            <w:vAlign w:val="bottom"/>
            <w:gridSpan w:val="2"/>
          </w:tcPr>
          <w:p>
            <w:pPr>
              <w:jc w:val="center"/>
              <w:ind w:left="24"/>
              <w:spacing w:after="0"/>
              <w:rPr>
                <w:sz w:val="20"/>
                <w:szCs w:val="20"/>
                <w:color w:val="auto"/>
              </w:rPr>
            </w:pPr>
            <w:r>
              <w:rPr>
                <w:rFonts w:ascii="Times New Roman" w:cs="Times New Roman" w:eastAsia="Times New Roman" w:hAnsi="Times New Roman"/>
                <w:sz w:val="15"/>
                <w:szCs w:val="15"/>
                <w:color w:val="231F20"/>
              </w:rPr>
              <w:t>2005-2011</w:t>
            </w:r>
          </w:p>
        </w:tc>
        <w:tc>
          <w:tcPr>
            <w:tcW w:w="8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5"/>
                <w:szCs w:val="15"/>
                <w:color w:val="231F20"/>
              </w:rPr>
              <w:t>947 units</w:t>
            </w:r>
          </w:p>
        </w:tc>
        <w:tc>
          <w:tcPr>
            <w:tcW w:w="80" w:type="dxa"/>
            <w:vAlign w:val="bottom"/>
          </w:tcPr>
          <w:p>
            <w:pPr>
              <w:spacing w:after="0"/>
              <w:rPr>
                <w:sz w:val="16"/>
                <w:szCs w:val="16"/>
                <w:color w:val="auto"/>
              </w:rPr>
            </w:pPr>
          </w:p>
        </w:tc>
        <w:tc>
          <w:tcPr>
            <w:tcW w:w="1020" w:type="dxa"/>
            <w:vAlign w:val="bottom"/>
          </w:tcPr>
          <w:p>
            <w:pPr>
              <w:ind w:left="420"/>
              <w:spacing w:after="0"/>
              <w:rPr>
                <w:sz w:val="20"/>
                <w:szCs w:val="20"/>
                <w:color w:val="auto"/>
              </w:rPr>
            </w:pPr>
            <w:r>
              <w:rPr>
                <w:rFonts w:ascii="Times New Roman" w:cs="Times New Roman" w:eastAsia="Times New Roman" w:hAnsi="Times New Roman"/>
                <w:sz w:val="15"/>
                <w:szCs w:val="15"/>
                <w:color w:val="231F20"/>
              </w:rPr>
              <w:t>N/A</w:t>
            </w:r>
          </w:p>
        </w:tc>
        <w:tc>
          <w:tcPr>
            <w:tcW w:w="900" w:type="dxa"/>
            <w:vAlign w:val="bottom"/>
            <w:gridSpan w:val="2"/>
          </w:tcPr>
          <w:p>
            <w:pPr>
              <w:jc w:val="center"/>
              <w:ind w:left="24"/>
              <w:spacing w:after="0"/>
              <w:rPr>
                <w:sz w:val="20"/>
                <w:szCs w:val="20"/>
                <w:color w:val="auto"/>
              </w:rPr>
            </w:pPr>
            <w:r>
              <w:rPr>
                <w:rFonts w:ascii="Times New Roman" w:cs="Times New Roman" w:eastAsia="Times New Roman" w:hAnsi="Times New Roman"/>
                <w:sz w:val="15"/>
                <w:szCs w:val="15"/>
                <w:color w:val="231F20"/>
              </w:rPr>
              <w:t>94%</w:t>
            </w:r>
          </w:p>
        </w:tc>
        <w:tc>
          <w:tcPr>
            <w:tcW w:w="8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2640" w:type="dxa"/>
            <w:vAlign w:val="bottom"/>
            <w:gridSpan w:val="4"/>
          </w:tcPr>
          <w:p>
            <w:pPr>
              <w:ind w:left="100"/>
              <w:spacing w:after="0"/>
              <w:rPr>
                <w:sz w:val="20"/>
                <w:szCs w:val="20"/>
                <w:color w:val="auto"/>
              </w:rPr>
            </w:pPr>
            <w:r>
              <w:rPr>
                <w:rFonts w:ascii="Times New Roman" w:cs="Times New Roman" w:eastAsia="Times New Roman" w:hAnsi="Times New Roman"/>
                <w:sz w:val="15"/>
                <w:szCs w:val="15"/>
                <w:color w:val="231F20"/>
              </w:rPr>
              <w:t>Somerville, MA 02145</w:t>
            </w: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60" w:type="dxa"/>
            <w:vAlign w:val="bottom"/>
          </w:tcPr>
          <w:p>
            <w:pPr>
              <w:spacing w:after="0"/>
              <w:rPr>
                <w:sz w:val="16"/>
                <w:szCs w:val="16"/>
                <w:color w:val="auto"/>
              </w:rPr>
            </w:pPr>
          </w:p>
        </w:tc>
        <w:tc>
          <w:tcPr>
            <w:tcW w:w="2640" w:type="dxa"/>
            <w:vAlign w:val="bottom"/>
            <w:gridSpan w:val="4"/>
          </w:tcPr>
          <w:p>
            <w:pPr>
              <w:spacing w:after="0"/>
              <w:rPr>
                <w:sz w:val="20"/>
                <w:szCs w:val="20"/>
                <w:color w:val="auto"/>
              </w:rPr>
            </w:pPr>
            <w:r>
              <w:rPr>
                <w:rFonts w:ascii="Times New Roman" w:cs="Times New Roman" w:eastAsia="Times New Roman" w:hAnsi="Times New Roman"/>
                <w:sz w:val="15"/>
                <w:szCs w:val="15"/>
                <w:color w:val="231F20"/>
              </w:rPr>
              <w:t>Campus Plaza</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231F20"/>
                <w:w w:val="99"/>
              </w:rPr>
              <w:t>1970</w:t>
            </w:r>
          </w:p>
        </w:tc>
        <w:tc>
          <w:tcPr>
            <w:tcW w:w="880" w:type="dxa"/>
            <w:vAlign w:val="bottom"/>
            <w:gridSpan w:val="2"/>
          </w:tcPr>
          <w:p>
            <w:pPr>
              <w:jc w:val="center"/>
              <w:ind w:left="24"/>
              <w:spacing w:after="0"/>
              <w:rPr>
                <w:sz w:val="20"/>
                <w:szCs w:val="20"/>
                <w:color w:val="auto"/>
              </w:rPr>
            </w:pPr>
            <w:r>
              <w:rPr>
                <w:rFonts w:ascii="Times New Roman" w:cs="Times New Roman" w:eastAsia="Times New Roman" w:hAnsi="Times New Roman"/>
                <w:sz w:val="15"/>
                <w:szCs w:val="15"/>
                <w:color w:val="231F20"/>
                <w:w w:val="99"/>
              </w:rPr>
              <w:t>2004</w:t>
            </w:r>
          </w:p>
        </w:tc>
        <w:tc>
          <w:tcPr>
            <w:tcW w:w="1100" w:type="dxa"/>
            <w:vAlign w:val="bottom"/>
            <w:gridSpan w:val="2"/>
          </w:tcPr>
          <w:p>
            <w:pPr>
              <w:jc w:val="center"/>
              <w:ind w:left="44"/>
              <w:spacing w:after="0"/>
              <w:rPr>
                <w:sz w:val="20"/>
                <w:szCs w:val="20"/>
                <w:color w:val="auto"/>
              </w:rPr>
            </w:pPr>
            <w:r>
              <w:rPr>
                <w:rFonts w:ascii="Times New Roman" w:cs="Times New Roman" w:eastAsia="Times New Roman" w:hAnsi="Times New Roman"/>
                <w:sz w:val="15"/>
                <w:szCs w:val="15"/>
                <w:color w:val="231F20"/>
              </w:rPr>
              <w:t>113,000</w:t>
            </w:r>
          </w:p>
        </w:tc>
        <w:tc>
          <w:tcPr>
            <w:tcW w:w="1100" w:type="dxa"/>
            <w:vAlign w:val="bottom"/>
            <w:gridSpan w:val="2"/>
          </w:tcPr>
          <w:p>
            <w:pPr>
              <w:jc w:val="center"/>
              <w:ind w:left="44"/>
              <w:spacing w:after="0"/>
              <w:rPr>
                <w:sz w:val="20"/>
                <w:szCs w:val="20"/>
                <w:color w:val="auto"/>
              </w:rPr>
            </w:pPr>
            <w:r>
              <w:rPr>
                <w:rFonts w:ascii="Times New Roman" w:cs="Times New Roman" w:eastAsia="Times New Roman" w:hAnsi="Times New Roman"/>
                <w:sz w:val="15"/>
                <w:szCs w:val="15"/>
                <w:color w:val="231F20"/>
              </w:rPr>
              <w:t>$20.28</w:t>
            </w:r>
          </w:p>
        </w:tc>
        <w:tc>
          <w:tcPr>
            <w:tcW w:w="900" w:type="dxa"/>
            <w:vAlign w:val="bottom"/>
            <w:gridSpan w:val="2"/>
          </w:tcPr>
          <w:p>
            <w:pPr>
              <w:jc w:val="center"/>
              <w:ind w:left="24"/>
              <w:spacing w:after="0"/>
              <w:rPr>
                <w:sz w:val="20"/>
                <w:szCs w:val="20"/>
                <w:color w:val="auto"/>
              </w:rPr>
            </w:pPr>
            <w:r>
              <w:rPr>
                <w:rFonts w:ascii="Times New Roman" w:cs="Times New Roman" w:eastAsia="Times New Roman" w:hAnsi="Times New Roman"/>
                <w:sz w:val="15"/>
                <w:szCs w:val="15"/>
                <w:color w:val="231F20"/>
              </w:rPr>
              <w:t>100%</w:t>
            </w:r>
          </w:p>
        </w:tc>
        <w:tc>
          <w:tcPr>
            <w:tcW w:w="80" w:type="dxa"/>
            <w:vAlign w:val="bottom"/>
          </w:tcPr>
          <w:p>
            <w:pPr>
              <w:spacing w:after="0"/>
              <w:rPr>
                <w:sz w:val="16"/>
                <w:szCs w:val="16"/>
                <w:color w:val="auto"/>
              </w:rPr>
            </w:pPr>
          </w:p>
        </w:tc>
        <w:tc>
          <w:tcPr>
            <w:tcW w:w="2040" w:type="dxa"/>
            <w:vAlign w:val="bottom"/>
          </w:tcPr>
          <w:p>
            <w:pPr>
              <w:ind w:left="40"/>
              <w:spacing w:after="0"/>
              <w:rPr>
                <w:sz w:val="20"/>
                <w:szCs w:val="20"/>
                <w:color w:val="auto"/>
              </w:rPr>
            </w:pPr>
            <w:r>
              <w:rPr>
                <w:rFonts w:ascii="Times New Roman" w:cs="Times New Roman" w:eastAsia="Times New Roman" w:hAnsi="Times New Roman"/>
                <w:sz w:val="15"/>
                <w:szCs w:val="15"/>
                <w:color w:val="231F20"/>
              </w:rPr>
              <w:t>Roche Bros.</w:t>
            </w: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2640" w:type="dxa"/>
            <w:vAlign w:val="bottom"/>
            <w:gridSpan w:val="4"/>
          </w:tcPr>
          <w:p>
            <w:pPr>
              <w:ind w:left="100"/>
              <w:spacing w:after="0" w:line="152" w:lineRule="exact"/>
              <w:rPr>
                <w:sz w:val="20"/>
                <w:szCs w:val="20"/>
                <w:color w:val="auto"/>
              </w:rPr>
            </w:pPr>
            <w:r>
              <w:rPr>
                <w:rFonts w:ascii="Times New Roman" w:cs="Times New Roman" w:eastAsia="Times New Roman" w:hAnsi="Times New Roman"/>
                <w:sz w:val="15"/>
                <w:szCs w:val="15"/>
                <w:color w:val="231F20"/>
              </w:rPr>
              <w:t>Bridgewater, MA 02324</w:t>
            </w: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ind w:left="40"/>
              <w:spacing w:after="0" w:line="152" w:lineRule="exact"/>
              <w:rPr>
                <w:sz w:val="20"/>
                <w:szCs w:val="20"/>
                <w:color w:val="auto"/>
              </w:rPr>
            </w:pPr>
            <w:r>
              <w:rPr>
                <w:rFonts w:ascii="Times New Roman" w:cs="Times New Roman" w:eastAsia="Times New Roman" w:hAnsi="Times New Roman"/>
                <w:sz w:val="15"/>
                <w:szCs w:val="15"/>
                <w:color w:val="231F20"/>
              </w:rPr>
              <w:t>Burlington</w:t>
            </w: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40" w:type="dxa"/>
            <w:vAlign w:val="bottom"/>
          </w:tcPr>
          <w:p>
            <w:pPr>
              <w:ind w:left="40"/>
              <w:spacing w:after="0"/>
              <w:rPr>
                <w:sz w:val="20"/>
                <w:szCs w:val="20"/>
                <w:color w:val="auto"/>
              </w:rPr>
            </w:pPr>
            <w:r>
              <w:rPr>
                <w:rFonts w:ascii="Times New Roman" w:cs="Times New Roman" w:eastAsia="Times New Roman" w:hAnsi="Times New Roman"/>
                <w:sz w:val="15"/>
                <w:szCs w:val="15"/>
                <w:color w:val="231F20"/>
              </w:rPr>
              <w:t>Five Below</w:t>
            </w:r>
          </w:p>
        </w:tc>
        <w:tc>
          <w:tcPr>
            <w:tcW w:w="0" w:type="dxa"/>
            <w:vAlign w:val="bottom"/>
          </w:tcPr>
          <w:p>
            <w:pPr>
              <w:spacing w:after="0"/>
              <w:rPr>
                <w:sz w:val="1"/>
                <w:szCs w:val="1"/>
                <w:color w:val="auto"/>
              </w:rPr>
            </w:pPr>
          </w:p>
        </w:tc>
      </w:tr>
      <w:tr>
        <w:trPr>
          <w:trHeight w:val="207"/>
        </w:trPr>
        <w:tc>
          <w:tcPr>
            <w:tcW w:w="60" w:type="dxa"/>
            <w:vAlign w:val="bottom"/>
          </w:tcPr>
          <w:p>
            <w:pPr>
              <w:spacing w:after="0"/>
              <w:rPr>
                <w:sz w:val="17"/>
                <w:szCs w:val="17"/>
                <w:color w:val="auto"/>
              </w:rPr>
            </w:pPr>
          </w:p>
        </w:tc>
        <w:tc>
          <w:tcPr>
            <w:tcW w:w="2640" w:type="dxa"/>
            <w:vAlign w:val="bottom"/>
            <w:gridSpan w:val="4"/>
          </w:tcPr>
          <w:p>
            <w:pPr>
              <w:spacing w:after="0"/>
              <w:rPr>
                <w:sz w:val="20"/>
                <w:szCs w:val="20"/>
                <w:color w:val="auto"/>
              </w:rPr>
            </w:pPr>
            <w:r>
              <w:rPr>
                <w:rFonts w:ascii="Times New Roman" w:cs="Times New Roman" w:eastAsia="Times New Roman" w:hAnsi="Times New Roman"/>
                <w:sz w:val="15"/>
                <w:szCs w:val="15"/>
                <w:color w:val="231F20"/>
              </w:rPr>
              <w:t>Chelsea Commons</w:t>
            </w:r>
          </w:p>
        </w:tc>
        <w:tc>
          <w:tcPr>
            <w:tcW w:w="920" w:type="dxa"/>
            <w:vAlign w:val="bottom"/>
            <w:gridSpan w:val="2"/>
          </w:tcPr>
          <w:p>
            <w:pPr>
              <w:jc w:val="center"/>
              <w:ind w:left="4"/>
              <w:spacing w:after="0"/>
              <w:rPr>
                <w:sz w:val="20"/>
                <w:szCs w:val="20"/>
                <w:color w:val="auto"/>
              </w:rPr>
            </w:pPr>
            <w:r>
              <w:rPr>
                <w:rFonts w:ascii="Times New Roman" w:cs="Times New Roman" w:eastAsia="Times New Roman" w:hAnsi="Times New Roman"/>
                <w:sz w:val="15"/>
                <w:szCs w:val="15"/>
                <w:color w:val="231F20"/>
              </w:rPr>
              <w:t>1962,1969,</w:t>
            </w:r>
          </w:p>
        </w:tc>
        <w:tc>
          <w:tcPr>
            <w:tcW w:w="880" w:type="dxa"/>
            <w:vAlign w:val="bottom"/>
            <w:gridSpan w:val="2"/>
          </w:tcPr>
          <w:p>
            <w:pPr>
              <w:jc w:val="center"/>
              <w:ind w:left="24"/>
              <w:spacing w:after="0"/>
              <w:rPr>
                <w:sz w:val="20"/>
                <w:szCs w:val="20"/>
                <w:color w:val="auto"/>
              </w:rPr>
            </w:pPr>
            <w:r>
              <w:rPr>
                <w:rFonts w:ascii="Times New Roman" w:cs="Times New Roman" w:eastAsia="Times New Roman" w:hAnsi="Times New Roman"/>
                <w:sz w:val="15"/>
                <w:szCs w:val="15"/>
                <w:color w:val="231F20"/>
              </w:rPr>
              <w:t>2006-2008</w:t>
            </w:r>
          </w:p>
        </w:tc>
        <w:tc>
          <w:tcPr>
            <w:tcW w:w="1100" w:type="dxa"/>
            <w:vAlign w:val="bottom"/>
            <w:gridSpan w:val="2"/>
          </w:tcPr>
          <w:p>
            <w:pPr>
              <w:jc w:val="center"/>
              <w:ind w:left="44"/>
              <w:spacing w:after="0"/>
              <w:rPr>
                <w:sz w:val="20"/>
                <w:szCs w:val="20"/>
                <w:color w:val="auto"/>
              </w:rPr>
            </w:pPr>
            <w:r>
              <w:rPr>
                <w:rFonts w:ascii="Times New Roman" w:cs="Times New Roman" w:eastAsia="Times New Roman" w:hAnsi="Times New Roman"/>
                <w:sz w:val="15"/>
                <w:szCs w:val="15"/>
                <w:color w:val="231F20"/>
              </w:rPr>
              <w:t>233,000</w:t>
            </w:r>
          </w:p>
        </w:tc>
        <w:tc>
          <w:tcPr>
            <w:tcW w:w="1100" w:type="dxa"/>
            <w:vAlign w:val="bottom"/>
            <w:gridSpan w:val="2"/>
          </w:tcPr>
          <w:p>
            <w:pPr>
              <w:jc w:val="center"/>
              <w:ind w:left="44"/>
              <w:spacing w:after="0"/>
              <w:rPr>
                <w:sz w:val="20"/>
                <w:szCs w:val="20"/>
                <w:color w:val="auto"/>
              </w:rPr>
            </w:pPr>
            <w:r>
              <w:rPr>
                <w:rFonts w:ascii="Times New Roman" w:cs="Times New Roman" w:eastAsia="Times New Roman" w:hAnsi="Times New Roman"/>
                <w:sz w:val="15"/>
                <w:szCs w:val="15"/>
                <w:color w:val="231F20"/>
              </w:rPr>
              <w:t>$15.88</w:t>
            </w:r>
          </w:p>
        </w:tc>
        <w:tc>
          <w:tcPr>
            <w:tcW w:w="900" w:type="dxa"/>
            <w:vAlign w:val="bottom"/>
            <w:gridSpan w:val="2"/>
          </w:tcPr>
          <w:p>
            <w:pPr>
              <w:jc w:val="center"/>
              <w:ind w:left="24"/>
              <w:spacing w:after="0"/>
              <w:rPr>
                <w:sz w:val="20"/>
                <w:szCs w:val="20"/>
                <w:color w:val="auto"/>
              </w:rPr>
            </w:pPr>
            <w:r>
              <w:rPr>
                <w:rFonts w:ascii="Times New Roman" w:cs="Times New Roman" w:eastAsia="Times New Roman" w:hAnsi="Times New Roman"/>
                <w:sz w:val="15"/>
                <w:szCs w:val="15"/>
                <w:color w:val="231F20"/>
              </w:rPr>
              <w:t>99%</w:t>
            </w:r>
          </w:p>
        </w:tc>
        <w:tc>
          <w:tcPr>
            <w:tcW w:w="80" w:type="dxa"/>
            <w:vAlign w:val="bottom"/>
          </w:tcPr>
          <w:p>
            <w:pPr>
              <w:spacing w:after="0"/>
              <w:rPr>
                <w:sz w:val="17"/>
                <w:szCs w:val="17"/>
                <w:color w:val="auto"/>
              </w:rPr>
            </w:pPr>
          </w:p>
        </w:tc>
        <w:tc>
          <w:tcPr>
            <w:tcW w:w="2040" w:type="dxa"/>
            <w:vAlign w:val="bottom"/>
          </w:tcPr>
          <w:p>
            <w:pPr>
              <w:ind w:left="40"/>
              <w:spacing w:after="0"/>
              <w:rPr>
                <w:sz w:val="20"/>
                <w:szCs w:val="20"/>
                <w:color w:val="auto"/>
              </w:rPr>
            </w:pPr>
            <w:r>
              <w:rPr>
                <w:rFonts w:ascii="Times New Roman" w:cs="Times New Roman" w:eastAsia="Times New Roman" w:hAnsi="Times New Roman"/>
                <w:sz w:val="15"/>
                <w:szCs w:val="15"/>
                <w:color w:val="231F20"/>
              </w:rPr>
              <w:t>Home Depot</w:t>
            </w: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2640" w:type="dxa"/>
            <w:vAlign w:val="bottom"/>
            <w:gridSpan w:val="4"/>
          </w:tcPr>
          <w:p>
            <w:pPr>
              <w:ind w:left="100"/>
              <w:spacing w:after="0" w:line="152" w:lineRule="exact"/>
              <w:rPr>
                <w:sz w:val="20"/>
                <w:szCs w:val="20"/>
                <w:color w:val="auto"/>
              </w:rPr>
            </w:pPr>
            <w:r>
              <w:rPr>
                <w:rFonts w:ascii="Times New Roman" w:cs="Times New Roman" w:eastAsia="Times New Roman" w:hAnsi="Times New Roman"/>
                <w:sz w:val="15"/>
                <w:szCs w:val="15"/>
                <w:color w:val="231F20"/>
              </w:rPr>
              <w:t>Chelsea, MA 02150(6)</w:t>
            </w:r>
          </w:p>
        </w:tc>
        <w:tc>
          <w:tcPr>
            <w:tcW w:w="920" w:type="dxa"/>
            <w:vAlign w:val="bottom"/>
            <w:gridSpan w:val="2"/>
          </w:tcPr>
          <w:p>
            <w:pPr>
              <w:jc w:val="center"/>
              <w:spacing w:after="0" w:line="152" w:lineRule="exact"/>
              <w:rPr>
                <w:sz w:val="20"/>
                <w:szCs w:val="20"/>
                <w:color w:val="auto"/>
              </w:rPr>
            </w:pPr>
            <w:r>
              <w:rPr>
                <w:rFonts w:ascii="Times New Roman" w:cs="Times New Roman" w:eastAsia="Times New Roman" w:hAnsi="Times New Roman"/>
                <w:sz w:val="15"/>
                <w:szCs w:val="15"/>
                <w:color w:val="231F20"/>
                <w:w w:val="99"/>
              </w:rPr>
              <w:t>2008</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ind w:left="40"/>
              <w:spacing w:after="0" w:line="152" w:lineRule="exact"/>
              <w:rPr>
                <w:sz w:val="20"/>
                <w:szCs w:val="20"/>
                <w:color w:val="auto"/>
              </w:rPr>
            </w:pPr>
            <w:r>
              <w:rPr>
                <w:rFonts w:ascii="Times New Roman" w:cs="Times New Roman" w:eastAsia="Times New Roman" w:hAnsi="Times New Roman"/>
                <w:sz w:val="15"/>
                <w:szCs w:val="15"/>
                <w:color w:val="231F20"/>
              </w:rPr>
              <w:t>Planet Fitness</w:t>
            </w: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ind w:left="40"/>
              <w:spacing w:after="0" w:line="152" w:lineRule="exact"/>
              <w:rPr>
                <w:sz w:val="20"/>
                <w:szCs w:val="20"/>
                <w:color w:val="auto"/>
              </w:rPr>
            </w:pPr>
            <w:r>
              <w:rPr>
                <w:rFonts w:ascii="Times New Roman" w:cs="Times New Roman" w:eastAsia="Times New Roman" w:hAnsi="Times New Roman"/>
                <w:sz w:val="15"/>
                <w:szCs w:val="15"/>
                <w:color w:val="231F20"/>
              </w:rPr>
              <w:t>CVS</w:t>
            </w: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40" w:type="dxa"/>
            <w:vAlign w:val="bottom"/>
          </w:tcPr>
          <w:p>
            <w:pPr>
              <w:ind w:left="40"/>
              <w:spacing w:after="0"/>
              <w:rPr>
                <w:sz w:val="20"/>
                <w:szCs w:val="20"/>
                <w:color w:val="auto"/>
              </w:rPr>
            </w:pPr>
            <w:r>
              <w:rPr>
                <w:rFonts w:ascii="Times New Roman" w:cs="Times New Roman" w:eastAsia="Times New Roman" w:hAnsi="Times New Roman"/>
                <w:sz w:val="15"/>
                <w:szCs w:val="15"/>
                <w:color w:val="231F20"/>
              </w:rPr>
              <w:t>Burlington</w:t>
            </w:r>
          </w:p>
        </w:tc>
        <w:tc>
          <w:tcPr>
            <w:tcW w:w="0" w:type="dxa"/>
            <w:vAlign w:val="bottom"/>
          </w:tcPr>
          <w:p>
            <w:pPr>
              <w:spacing w:after="0"/>
              <w:rPr>
                <w:sz w:val="1"/>
                <w:szCs w:val="1"/>
                <w:color w:val="auto"/>
              </w:rPr>
            </w:pPr>
          </w:p>
        </w:tc>
      </w:tr>
      <w:tr>
        <w:trPr>
          <w:trHeight w:val="168"/>
        </w:trPr>
        <w:tc>
          <w:tcPr>
            <w:tcW w:w="2700" w:type="dxa"/>
            <w:vAlign w:val="bottom"/>
            <w:gridSpan w:val="5"/>
          </w:tcPr>
          <w:p>
            <w:pPr>
              <w:ind w:left="60"/>
              <w:spacing w:after="0" w:line="169" w:lineRule="exact"/>
              <w:rPr>
                <w:sz w:val="20"/>
                <w:szCs w:val="20"/>
                <w:color w:val="auto"/>
              </w:rPr>
            </w:pPr>
            <w:r>
              <w:rPr>
                <w:rFonts w:ascii="Times New Roman" w:cs="Times New Roman" w:eastAsia="Times New Roman" w:hAnsi="Times New Roman"/>
                <w:sz w:val="15"/>
                <w:szCs w:val="15"/>
                <w:color w:val="231F20"/>
              </w:rPr>
              <w:t>Dedham Plaza</w:t>
            </w:r>
          </w:p>
        </w:tc>
        <w:tc>
          <w:tcPr>
            <w:tcW w:w="920" w:type="dxa"/>
            <w:vAlign w:val="bottom"/>
            <w:gridSpan w:val="2"/>
          </w:tcPr>
          <w:p>
            <w:pPr>
              <w:jc w:val="center"/>
              <w:spacing w:after="0" w:line="169" w:lineRule="exact"/>
              <w:rPr>
                <w:sz w:val="20"/>
                <w:szCs w:val="20"/>
                <w:color w:val="auto"/>
              </w:rPr>
            </w:pPr>
            <w:r>
              <w:rPr>
                <w:rFonts w:ascii="Times New Roman" w:cs="Times New Roman" w:eastAsia="Times New Roman" w:hAnsi="Times New Roman"/>
                <w:sz w:val="15"/>
                <w:szCs w:val="15"/>
                <w:color w:val="231F20"/>
                <w:w w:val="99"/>
              </w:rPr>
              <w:t>1959</w:t>
            </w:r>
          </w:p>
        </w:tc>
        <w:tc>
          <w:tcPr>
            <w:tcW w:w="880" w:type="dxa"/>
            <w:vAlign w:val="bottom"/>
            <w:gridSpan w:val="2"/>
          </w:tcPr>
          <w:p>
            <w:pPr>
              <w:jc w:val="center"/>
              <w:ind w:left="4"/>
              <w:spacing w:after="0" w:line="169" w:lineRule="exact"/>
              <w:rPr>
                <w:sz w:val="20"/>
                <w:szCs w:val="20"/>
                <w:color w:val="auto"/>
              </w:rPr>
            </w:pPr>
            <w:r>
              <w:rPr>
                <w:rFonts w:ascii="Times New Roman" w:cs="Times New Roman" w:eastAsia="Times New Roman" w:hAnsi="Times New Roman"/>
                <w:sz w:val="15"/>
                <w:szCs w:val="15"/>
                <w:color w:val="231F20"/>
                <w:w w:val="99"/>
              </w:rPr>
              <w:t>1993/2016/</w:t>
            </w:r>
          </w:p>
        </w:tc>
        <w:tc>
          <w:tcPr>
            <w:tcW w:w="1100" w:type="dxa"/>
            <w:vAlign w:val="bottom"/>
            <w:gridSpan w:val="2"/>
          </w:tcPr>
          <w:p>
            <w:pPr>
              <w:jc w:val="center"/>
              <w:ind w:left="44"/>
              <w:spacing w:after="0" w:line="169" w:lineRule="exact"/>
              <w:rPr>
                <w:sz w:val="20"/>
                <w:szCs w:val="20"/>
                <w:color w:val="auto"/>
              </w:rPr>
            </w:pPr>
            <w:r>
              <w:rPr>
                <w:rFonts w:ascii="Times New Roman" w:cs="Times New Roman" w:eastAsia="Times New Roman" w:hAnsi="Times New Roman"/>
                <w:sz w:val="15"/>
                <w:szCs w:val="15"/>
                <w:color w:val="231F20"/>
              </w:rPr>
              <w:t>253,000</w:t>
            </w:r>
          </w:p>
        </w:tc>
        <w:tc>
          <w:tcPr>
            <w:tcW w:w="1100" w:type="dxa"/>
            <w:vAlign w:val="bottom"/>
            <w:gridSpan w:val="2"/>
          </w:tcPr>
          <w:p>
            <w:pPr>
              <w:jc w:val="center"/>
              <w:ind w:left="44"/>
              <w:spacing w:after="0" w:line="169" w:lineRule="exact"/>
              <w:rPr>
                <w:sz w:val="20"/>
                <w:szCs w:val="20"/>
                <w:color w:val="auto"/>
              </w:rPr>
            </w:pPr>
            <w:r>
              <w:rPr>
                <w:rFonts w:ascii="Times New Roman" w:cs="Times New Roman" w:eastAsia="Times New Roman" w:hAnsi="Times New Roman"/>
                <w:sz w:val="15"/>
                <w:szCs w:val="15"/>
                <w:color w:val="231F20"/>
              </w:rPr>
              <w:t>$24.15</w:t>
            </w:r>
          </w:p>
        </w:tc>
        <w:tc>
          <w:tcPr>
            <w:tcW w:w="900" w:type="dxa"/>
            <w:vAlign w:val="bottom"/>
            <w:gridSpan w:val="2"/>
          </w:tcPr>
          <w:p>
            <w:pPr>
              <w:jc w:val="center"/>
              <w:ind w:left="24"/>
              <w:spacing w:after="0" w:line="169" w:lineRule="exact"/>
              <w:rPr>
                <w:sz w:val="20"/>
                <w:szCs w:val="20"/>
                <w:color w:val="auto"/>
              </w:rPr>
            </w:pPr>
            <w:r>
              <w:rPr>
                <w:rFonts w:ascii="Times New Roman" w:cs="Times New Roman" w:eastAsia="Times New Roman" w:hAnsi="Times New Roman"/>
                <w:sz w:val="15"/>
                <w:szCs w:val="15"/>
                <w:color w:val="231F20"/>
              </w:rPr>
              <w:t>97%</w:t>
            </w:r>
          </w:p>
        </w:tc>
        <w:tc>
          <w:tcPr>
            <w:tcW w:w="80" w:type="dxa"/>
            <w:vAlign w:val="bottom"/>
          </w:tcPr>
          <w:p>
            <w:pPr>
              <w:spacing w:after="0"/>
              <w:rPr>
                <w:sz w:val="14"/>
                <w:szCs w:val="14"/>
                <w:color w:val="auto"/>
              </w:rPr>
            </w:pPr>
          </w:p>
        </w:tc>
        <w:tc>
          <w:tcPr>
            <w:tcW w:w="2040" w:type="dxa"/>
            <w:vAlign w:val="bottom"/>
          </w:tcPr>
          <w:p>
            <w:pPr>
              <w:ind w:left="40"/>
              <w:spacing w:after="0" w:line="169" w:lineRule="exact"/>
              <w:rPr>
                <w:sz w:val="20"/>
                <w:szCs w:val="20"/>
                <w:color w:val="auto"/>
              </w:rPr>
            </w:pPr>
            <w:r>
              <w:rPr>
                <w:rFonts w:ascii="Times New Roman" w:cs="Times New Roman" w:eastAsia="Times New Roman" w:hAnsi="Times New Roman"/>
                <w:sz w:val="15"/>
                <w:szCs w:val="15"/>
                <w:color w:val="231F20"/>
              </w:rPr>
              <w:t>Star Market</w:t>
            </w: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2640" w:type="dxa"/>
            <w:vAlign w:val="bottom"/>
            <w:gridSpan w:val="4"/>
          </w:tcPr>
          <w:p>
            <w:pPr>
              <w:ind w:left="100"/>
              <w:spacing w:after="0"/>
              <w:rPr>
                <w:sz w:val="20"/>
                <w:szCs w:val="20"/>
                <w:color w:val="auto"/>
              </w:rPr>
            </w:pPr>
            <w:r>
              <w:rPr>
                <w:rFonts w:ascii="Times New Roman" w:cs="Times New Roman" w:eastAsia="Times New Roman" w:hAnsi="Times New Roman"/>
                <w:sz w:val="15"/>
                <w:szCs w:val="15"/>
                <w:color w:val="231F20"/>
              </w:rPr>
              <w:t>Dedham, MA 02026</w:t>
            </w: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80" w:type="dxa"/>
            <w:vAlign w:val="bottom"/>
            <w:gridSpan w:val="2"/>
          </w:tcPr>
          <w:p>
            <w:pPr>
              <w:jc w:val="center"/>
              <w:ind w:left="24"/>
              <w:spacing w:after="0"/>
              <w:rPr>
                <w:sz w:val="20"/>
                <w:szCs w:val="20"/>
                <w:color w:val="auto"/>
              </w:rPr>
            </w:pPr>
            <w:r>
              <w:rPr>
                <w:rFonts w:ascii="Times New Roman" w:cs="Times New Roman" w:eastAsia="Times New Roman" w:hAnsi="Times New Roman"/>
                <w:sz w:val="15"/>
                <w:szCs w:val="15"/>
                <w:color w:val="231F20"/>
                <w:w w:val="99"/>
              </w:rPr>
              <w:t>2019</w:t>
            </w: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40" w:type="dxa"/>
            <w:vAlign w:val="bottom"/>
          </w:tcPr>
          <w:p>
            <w:pPr>
              <w:ind w:left="40"/>
              <w:spacing w:after="0"/>
              <w:rPr>
                <w:sz w:val="20"/>
                <w:szCs w:val="20"/>
                <w:color w:val="auto"/>
              </w:rPr>
            </w:pPr>
            <w:r>
              <w:rPr>
                <w:rFonts w:ascii="Times New Roman" w:cs="Times New Roman" w:eastAsia="Times New Roman" w:hAnsi="Times New Roman"/>
                <w:sz w:val="15"/>
                <w:szCs w:val="15"/>
                <w:color w:val="231F20"/>
              </w:rPr>
              <w:t>Planet Fitness</w:t>
            </w:r>
          </w:p>
        </w:tc>
        <w:tc>
          <w:tcPr>
            <w:tcW w:w="0" w:type="dxa"/>
            <w:vAlign w:val="bottom"/>
          </w:tcPr>
          <w:p>
            <w:pPr>
              <w:spacing w:after="0"/>
              <w:rPr>
                <w:sz w:val="1"/>
                <w:szCs w:val="1"/>
                <w:color w:val="auto"/>
              </w:rPr>
            </w:pPr>
          </w:p>
        </w:tc>
      </w:tr>
      <w:tr>
        <w:trPr>
          <w:trHeight w:val="202"/>
        </w:trPr>
        <w:tc>
          <w:tcPr>
            <w:tcW w:w="2700" w:type="dxa"/>
            <w:vAlign w:val="bottom"/>
            <w:gridSpan w:val="5"/>
          </w:tcPr>
          <w:p>
            <w:pPr>
              <w:ind w:left="60"/>
              <w:spacing w:after="0"/>
              <w:rPr>
                <w:sz w:val="20"/>
                <w:szCs w:val="20"/>
                <w:color w:val="auto"/>
              </w:rPr>
            </w:pPr>
            <w:r>
              <w:rPr>
                <w:rFonts w:ascii="Times New Roman" w:cs="Times New Roman" w:eastAsia="Times New Roman" w:hAnsi="Times New Roman"/>
                <w:sz w:val="15"/>
                <w:szCs w:val="15"/>
                <w:color w:val="231F20"/>
              </w:rPr>
              <w:t>Linden Square</w:t>
            </w:r>
          </w:p>
        </w:tc>
        <w:tc>
          <w:tcPr>
            <w:tcW w:w="920" w:type="dxa"/>
            <w:vAlign w:val="bottom"/>
            <w:gridSpan w:val="2"/>
          </w:tcPr>
          <w:p>
            <w:pPr>
              <w:jc w:val="center"/>
              <w:ind w:left="4"/>
              <w:spacing w:after="0"/>
              <w:rPr>
                <w:sz w:val="20"/>
                <w:szCs w:val="20"/>
                <w:color w:val="auto"/>
              </w:rPr>
            </w:pPr>
            <w:r>
              <w:rPr>
                <w:rFonts w:ascii="Times New Roman" w:cs="Times New Roman" w:eastAsia="Times New Roman" w:hAnsi="Times New Roman"/>
                <w:sz w:val="15"/>
                <w:szCs w:val="15"/>
                <w:color w:val="231F20"/>
              </w:rPr>
              <w:t>1960, 2008</w:t>
            </w:r>
          </w:p>
        </w:tc>
        <w:tc>
          <w:tcPr>
            <w:tcW w:w="880" w:type="dxa"/>
            <w:vAlign w:val="bottom"/>
            <w:gridSpan w:val="2"/>
          </w:tcPr>
          <w:p>
            <w:pPr>
              <w:jc w:val="center"/>
              <w:ind w:left="24"/>
              <w:spacing w:after="0"/>
              <w:rPr>
                <w:sz w:val="20"/>
                <w:szCs w:val="20"/>
                <w:color w:val="auto"/>
              </w:rPr>
            </w:pPr>
            <w:r>
              <w:rPr>
                <w:rFonts w:ascii="Times New Roman" w:cs="Times New Roman" w:eastAsia="Times New Roman" w:hAnsi="Times New Roman"/>
                <w:sz w:val="15"/>
                <w:szCs w:val="15"/>
                <w:color w:val="231F20"/>
                <w:w w:val="99"/>
              </w:rPr>
              <w:t>2006</w:t>
            </w:r>
          </w:p>
        </w:tc>
        <w:tc>
          <w:tcPr>
            <w:tcW w:w="1100" w:type="dxa"/>
            <w:vAlign w:val="bottom"/>
            <w:gridSpan w:val="2"/>
          </w:tcPr>
          <w:p>
            <w:pPr>
              <w:jc w:val="center"/>
              <w:ind w:left="44"/>
              <w:spacing w:after="0"/>
              <w:rPr>
                <w:sz w:val="20"/>
                <w:szCs w:val="20"/>
                <w:color w:val="auto"/>
              </w:rPr>
            </w:pPr>
            <w:r>
              <w:rPr>
                <w:rFonts w:ascii="Times New Roman" w:cs="Times New Roman" w:eastAsia="Times New Roman" w:hAnsi="Times New Roman"/>
                <w:sz w:val="15"/>
                <w:szCs w:val="15"/>
                <w:color w:val="231F20"/>
              </w:rPr>
              <w:t>223,000</w:t>
            </w:r>
          </w:p>
        </w:tc>
        <w:tc>
          <w:tcPr>
            <w:tcW w:w="1100" w:type="dxa"/>
            <w:vAlign w:val="bottom"/>
            <w:gridSpan w:val="2"/>
          </w:tcPr>
          <w:p>
            <w:pPr>
              <w:jc w:val="center"/>
              <w:ind w:left="44"/>
              <w:spacing w:after="0"/>
              <w:rPr>
                <w:sz w:val="20"/>
                <w:szCs w:val="20"/>
                <w:color w:val="auto"/>
              </w:rPr>
            </w:pPr>
            <w:r>
              <w:rPr>
                <w:rFonts w:ascii="Times New Roman" w:cs="Times New Roman" w:eastAsia="Times New Roman" w:hAnsi="Times New Roman"/>
                <w:sz w:val="15"/>
                <w:szCs w:val="15"/>
                <w:color w:val="231F20"/>
              </w:rPr>
              <w:t>$53.28</w:t>
            </w:r>
          </w:p>
        </w:tc>
        <w:tc>
          <w:tcPr>
            <w:tcW w:w="900" w:type="dxa"/>
            <w:vAlign w:val="bottom"/>
            <w:gridSpan w:val="2"/>
          </w:tcPr>
          <w:p>
            <w:pPr>
              <w:jc w:val="center"/>
              <w:ind w:left="24"/>
              <w:spacing w:after="0"/>
              <w:rPr>
                <w:sz w:val="20"/>
                <w:szCs w:val="20"/>
                <w:color w:val="auto"/>
              </w:rPr>
            </w:pPr>
            <w:r>
              <w:rPr>
                <w:rFonts w:ascii="Times New Roman" w:cs="Times New Roman" w:eastAsia="Times New Roman" w:hAnsi="Times New Roman"/>
                <w:sz w:val="15"/>
                <w:szCs w:val="15"/>
                <w:color w:val="231F20"/>
              </w:rPr>
              <w:t>97%</w:t>
            </w:r>
          </w:p>
        </w:tc>
        <w:tc>
          <w:tcPr>
            <w:tcW w:w="80" w:type="dxa"/>
            <w:vAlign w:val="bottom"/>
          </w:tcPr>
          <w:p>
            <w:pPr>
              <w:spacing w:after="0"/>
              <w:rPr>
                <w:sz w:val="17"/>
                <w:szCs w:val="17"/>
                <w:color w:val="auto"/>
              </w:rPr>
            </w:pPr>
          </w:p>
        </w:tc>
        <w:tc>
          <w:tcPr>
            <w:tcW w:w="2040" w:type="dxa"/>
            <w:vAlign w:val="bottom"/>
          </w:tcPr>
          <w:p>
            <w:pPr>
              <w:ind w:left="40"/>
              <w:spacing w:after="0"/>
              <w:rPr>
                <w:sz w:val="20"/>
                <w:szCs w:val="20"/>
                <w:color w:val="auto"/>
              </w:rPr>
            </w:pPr>
            <w:r>
              <w:rPr>
                <w:rFonts w:ascii="Times New Roman" w:cs="Times New Roman" w:eastAsia="Times New Roman" w:hAnsi="Times New Roman"/>
                <w:sz w:val="15"/>
                <w:szCs w:val="15"/>
                <w:color w:val="231F20"/>
              </w:rPr>
              <w:t>Roche Bros.</w:t>
            </w: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2640" w:type="dxa"/>
            <w:vAlign w:val="bottom"/>
            <w:gridSpan w:val="4"/>
          </w:tcPr>
          <w:p>
            <w:pPr>
              <w:ind w:left="100"/>
              <w:spacing w:after="0" w:line="152" w:lineRule="exact"/>
              <w:rPr>
                <w:sz w:val="20"/>
                <w:szCs w:val="20"/>
                <w:color w:val="auto"/>
              </w:rPr>
            </w:pPr>
            <w:r>
              <w:rPr>
                <w:rFonts w:ascii="Times New Roman" w:cs="Times New Roman" w:eastAsia="Times New Roman" w:hAnsi="Times New Roman"/>
                <w:sz w:val="15"/>
                <w:szCs w:val="15"/>
                <w:color w:val="231F20"/>
              </w:rPr>
              <w:t>Wellesley, MA 02481</w:t>
            </w: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231F20"/>
              </w:rPr>
              <w:t>7 units</w:t>
            </w:r>
          </w:p>
        </w:tc>
        <w:tc>
          <w:tcPr>
            <w:tcW w:w="80" w:type="dxa"/>
            <w:vAlign w:val="bottom"/>
          </w:tcPr>
          <w:p>
            <w:pPr>
              <w:spacing w:after="0"/>
              <w:rPr>
                <w:sz w:val="13"/>
                <w:szCs w:val="13"/>
                <w:color w:val="auto"/>
              </w:rPr>
            </w:pPr>
          </w:p>
        </w:tc>
        <w:tc>
          <w:tcPr>
            <w:tcW w:w="1020" w:type="dxa"/>
            <w:vAlign w:val="bottom"/>
            <w:vMerge w:val="restart"/>
          </w:tcPr>
          <w:p>
            <w:pPr>
              <w:ind w:left="420"/>
              <w:spacing w:after="0"/>
              <w:rPr>
                <w:sz w:val="20"/>
                <w:szCs w:val="20"/>
                <w:color w:val="auto"/>
              </w:rPr>
            </w:pPr>
            <w:r>
              <w:rPr>
                <w:rFonts w:ascii="Times New Roman" w:cs="Times New Roman" w:eastAsia="Times New Roman" w:hAnsi="Times New Roman"/>
                <w:sz w:val="15"/>
                <w:szCs w:val="15"/>
                <w:color w:val="231F20"/>
              </w:rPr>
              <w:t>N/A</w:t>
            </w:r>
          </w:p>
        </w:tc>
        <w:tc>
          <w:tcPr>
            <w:tcW w:w="900" w:type="dxa"/>
            <w:vAlign w:val="bottom"/>
            <w:gridSpan w:val="2"/>
            <w:vMerge w:val="restart"/>
          </w:tcPr>
          <w:p>
            <w:pPr>
              <w:jc w:val="center"/>
              <w:ind w:left="24"/>
              <w:spacing w:after="0"/>
              <w:rPr>
                <w:sz w:val="20"/>
                <w:szCs w:val="20"/>
                <w:color w:val="auto"/>
              </w:rPr>
            </w:pPr>
            <w:r>
              <w:rPr>
                <w:rFonts w:ascii="Times New Roman" w:cs="Times New Roman" w:eastAsia="Times New Roman" w:hAnsi="Times New Roman"/>
                <w:sz w:val="15"/>
                <w:szCs w:val="15"/>
                <w:color w:val="231F20"/>
              </w:rPr>
              <w:t>100%</w:t>
            </w:r>
          </w:p>
        </w:tc>
        <w:tc>
          <w:tcPr>
            <w:tcW w:w="80" w:type="dxa"/>
            <w:vAlign w:val="bottom"/>
          </w:tcPr>
          <w:p>
            <w:pPr>
              <w:spacing w:after="0"/>
              <w:rPr>
                <w:sz w:val="13"/>
                <w:szCs w:val="13"/>
                <w:color w:val="auto"/>
              </w:rPr>
            </w:pPr>
          </w:p>
        </w:tc>
        <w:tc>
          <w:tcPr>
            <w:tcW w:w="2040" w:type="dxa"/>
            <w:vAlign w:val="bottom"/>
          </w:tcPr>
          <w:p>
            <w:pPr>
              <w:ind w:left="40"/>
              <w:spacing w:after="0" w:line="152" w:lineRule="exact"/>
              <w:rPr>
                <w:sz w:val="20"/>
                <w:szCs w:val="20"/>
                <w:color w:val="auto"/>
              </w:rPr>
            </w:pPr>
            <w:r>
              <w:rPr>
                <w:rFonts w:ascii="Times New Roman" w:cs="Times New Roman" w:eastAsia="Times New Roman" w:hAnsi="Times New Roman"/>
                <w:sz w:val="15"/>
                <w:szCs w:val="15"/>
                <w:color w:val="231F20"/>
              </w:rPr>
              <w:t>CVS</w:t>
            </w:r>
          </w:p>
        </w:tc>
        <w:tc>
          <w:tcPr>
            <w:tcW w:w="0" w:type="dxa"/>
            <w:vAlign w:val="bottom"/>
          </w:tcPr>
          <w:p>
            <w:pPr>
              <w:spacing w:after="0"/>
              <w:rPr>
                <w:sz w:val="1"/>
                <w:szCs w:val="1"/>
                <w:color w:val="auto"/>
              </w:rPr>
            </w:pPr>
          </w:p>
        </w:tc>
      </w:tr>
      <w:tr>
        <w:trPr>
          <w:trHeight w:val="107"/>
        </w:trPr>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700" w:type="dxa"/>
            <w:vAlign w:val="bottom"/>
          </w:tcPr>
          <w:p>
            <w:pPr>
              <w:spacing w:after="0"/>
              <w:rPr>
                <w:sz w:val="9"/>
                <w:szCs w:val="9"/>
                <w:color w:val="auto"/>
              </w:rPr>
            </w:pPr>
          </w:p>
        </w:tc>
        <w:tc>
          <w:tcPr>
            <w:tcW w:w="6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204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231F20"/>
              </w:rPr>
              <w:t>Multiple Restaurants</w:t>
            </w:r>
          </w:p>
        </w:tc>
        <w:tc>
          <w:tcPr>
            <w:tcW w:w="0" w:type="dxa"/>
            <w:vAlign w:val="bottom"/>
          </w:tcPr>
          <w:p>
            <w:pPr>
              <w:spacing w:after="0"/>
              <w:rPr>
                <w:sz w:val="1"/>
                <w:szCs w:val="1"/>
                <w:color w:val="auto"/>
              </w:rPr>
            </w:pPr>
          </w:p>
        </w:tc>
      </w:tr>
      <w:tr>
        <w:trPr>
          <w:trHeight w:val="90"/>
        </w:trPr>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700" w:type="dxa"/>
            <w:vAlign w:val="bottom"/>
          </w:tcPr>
          <w:p>
            <w:pPr>
              <w:spacing w:after="0"/>
              <w:rPr>
                <w:sz w:val="7"/>
                <w:szCs w:val="7"/>
                <w:color w:val="auto"/>
              </w:rPr>
            </w:pPr>
          </w:p>
        </w:tc>
        <w:tc>
          <w:tcPr>
            <w:tcW w:w="60" w:type="dxa"/>
            <w:vAlign w:val="bottom"/>
          </w:tcPr>
          <w:p>
            <w:pPr>
              <w:spacing w:after="0"/>
              <w:rPr>
                <w:sz w:val="7"/>
                <w:szCs w:val="7"/>
                <w:color w:val="auto"/>
              </w:rPr>
            </w:pPr>
          </w:p>
        </w:tc>
        <w:tc>
          <w:tcPr>
            <w:tcW w:w="8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6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2700" w:type="dxa"/>
            <w:vAlign w:val="bottom"/>
            <w:gridSpan w:val="5"/>
          </w:tcPr>
          <w:p>
            <w:pPr>
              <w:ind w:left="60"/>
              <w:spacing w:after="0" w:line="164" w:lineRule="exact"/>
              <w:rPr>
                <w:sz w:val="20"/>
                <w:szCs w:val="20"/>
                <w:color w:val="auto"/>
              </w:rPr>
            </w:pPr>
            <w:r>
              <w:rPr>
                <w:rFonts w:ascii="Times New Roman" w:cs="Times New Roman" w:eastAsia="Times New Roman" w:hAnsi="Times New Roman"/>
                <w:sz w:val="15"/>
                <w:szCs w:val="15"/>
                <w:color w:val="231F20"/>
              </w:rPr>
              <w:t>North Dartmouth</w:t>
            </w:r>
          </w:p>
        </w:tc>
        <w:tc>
          <w:tcPr>
            <w:tcW w:w="920" w:type="dxa"/>
            <w:vAlign w:val="bottom"/>
            <w:gridSpan w:val="2"/>
          </w:tcPr>
          <w:p>
            <w:pPr>
              <w:jc w:val="center"/>
              <w:spacing w:after="0" w:line="164" w:lineRule="exact"/>
              <w:rPr>
                <w:sz w:val="20"/>
                <w:szCs w:val="20"/>
                <w:color w:val="auto"/>
              </w:rPr>
            </w:pPr>
            <w:r>
              <w:rPr>
                <w:rFonts w:ascii="Times New Roman" w:cs="Times New Roman" w:eastAsia="Times New Roman" w:hAnsi="Times New Roman"/>
                <w:sz w:val="15"/>
                <w:szCs w:val="15"/>
                <w:color w:val="231F20"/>
                <w:w w:val="99"/>
              </w:rPr>
              <w:t>2004</w:t>
            </w:r>
          </w:p>
        </w:tc>
        <w:tc>
          <w:tcPr>
            <w:tcW w:w="880" w:type="dxa"/>
            <w:vAlign w:val="bottom"/>
            <w:gridSpan w:val="2"/>
          </w:tcPr>
          <w:p>
            <w:pPr>
              <w:jc w:val="center"/>
              <w:ind w:left="24"/>
              <w:spacing w:after="0" w:line="164" w:lineRule="exact"/>
              <w:rPr>
                <w:sz w:val="20"/>
                <w:szCs w:val="20"/>
                <w:color w:val="auto"/>
              </w:rPr>
            </w:pPr>
            <w:r>
              <w:rPr>
                <w:rFonts w:ascii="Times New Roman" w:cs="Times New Roman" w:eastAsia="Times New Roman" w:hAnsi="Times New Roman"/>
                <w:sz w:val="15"/>
                <w:szCs w:val="15"/>
                <w:color w:val="231F20"/>
                <w:w w:val="99"/>
              </w:rPr>
              <w:t>2006</w:t>
            </w:r>
          </w:p>
        </w:tc>
        <w:tc>
          <w:tcPr>
            <w:tcW w:w="1100" w:type="dxa"/>
            <w:vAlign w:val="bottom"/>
            <w:gridSpan w:val="2"/>
          </w:tcPr>
          <w:p>
            <w:pPr>
              <w:jc w:val="center"/>
              <w:ind w:left="44"/>
              <w:spacing w:after="0" w:line="164" w:lineRule="exact"/>
              <w:rPr>
                <w:sz w:val="20"/>
                <w:szCs w:val="20"/>
                <w:color w:val="auto"/>
              </w:rPr>
            </w:pPr>
            <w:r>
              <w:rPr>
                <w:rFonts w:ascii="Times New Roman" w:cs="Times New Roman" w:eastAsia="Times New Roman" w:hAnsi="Times New Roman"/>
                <w:sz w:val="15"/>
                <w:szCs w:val="15"/>
                <w:color w:val="231F20"/>
              </w:rPr>
              <w:t>48,000</w:t>
            </w:r>
          </w:p>
        </w:tc>
        <w:tc>
          <w:tcPr>
            <w:tcW w:w="1100" w:type="dxa"/>
            <w:vAlign w:val="bottom"/>
            <w:gridSpan w:val="2"/>
          </w:tcPr>
          <w:p>
            <w:pPr>
              <w:jc w:val="center"/>
              <w:ind w:left="44"/>
              <w:spacing w:after="0" w:line="164" w:lineRule="exact"/>
              <w:rPr>
                <w:sz w:val="20"/>
                <w:szCs w:val="20"/>
                <w:color w:val="auto"/>
              </w:rPr>
            </w:pPr>
            <w:r>
              <w:rPr>
                <w:rFonts w:ascii="Times New Roman" w:cs="Times New Roman" w:eastAsia="Times New Roman" w:hAnsi="Times New Roman"/>
                <w:sz w:val="15"/>
                <w:szCs w:val="15"/>
                <w:color w:val="231F20"/>
              </w:rPr>
              <w:t>$17.22</w:t>
            </w:r>
          </w:p>
        </w:tc>
        <w:tc>
          <w:tcPr>
            <w:tcW w:w="900" w:type="dxa"/>
            <w:vAlign w:val="bottom"/>
            <w:gridSpan w:val="2"/>
          </w:tcPr>
          <w:p>
            <w:pPr>
              <w:jc w:val="center"/>
              <w:ind w:left="24"/>
              <w:spacing w:after="0" w:line="164" w:lineRule="exact"/>
              <w:rPr>
                <w:sz w:val="20"/>
                <w:szCs w:val="20"/>
                <w:color w:val="auto"/>
              </w:rPr>
            </w:pPr>
            <w:r>
              <w:rPr>
                <w:rFonts w:ascii="Times New Roman" w:cs="Times New Roman" w:eastAsia="Times New Roman" w:hAnsi="Times New Roman"/>
                <w:sz w:val="15"/>
                <w:szCs w:val="15"/>
                <w:color w:val="231F20"/>
              </w:rPr>
              <w:t>100%</w:t>
            </w:r>
          </w:p>
        </w:tc>
        <w:tc>
          <w:tcPr>
            <w:tcW w:w="80" w:type="dxa"/>
            <w:vAlign w:val="bottom"/>
          </w:tcPr>
          <w:p>
            <w:pPr>
              <w:spacing w:after="0"/>
              <w:rPr>
                <w:sz w:val="14"/>
                <w:szCs w:val="14"/>
                <w:color w:val="auto"/>
              </w:rPr>
            </w:pPr>
          </w:p>
        </w:tc>
        <w:tc>
          <w:tcPr>
            <w:tcW w:w="2040" w:type="dxa"/>
            <w:vAlign w:val="bottom"/>
          </w:tcPr>
          <w:p>
            <w:pPr>
              <w:ind w:left="40"/>
              <w:spacing w:after="0" w:line="164" w:lineRule="exact"/>
              <w:rPr>
                <w:sz w:val="20"/>
                <w:szCs w:val="20"/>
                <w:color w:val="auto"/>
              </w:rPr>
            </w:pPr>
            <w:r>
              <w:rPr>
                <w:rFonts w:ascii="Times New Roman" w:cs="Times New Roman" w:eastAsia="Times New Roman" w:hAnsi="Times New Roman"/>
                <w:sz w:val="15"/>
                <w:szCs w:val="15"/>
                <w:color w:val="231F20"/>
              </w:rPr>
              <w:t>Stop &amp; Shop</w:t>
            </w: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2640" w:type="dxa"/>
            <w:vAlign w:val="bottom"/>
            <w:gridSpan w:val="4"/>
          </w:tcPr>
          <w:p>
            <w:pPr>
              <w:ind w:left="100"/>
              <w:spacing w:after="0"/>
              <w:rPr>
                <w:sz w:val="20"/>
                <w:szCs w:val="20"/>
                <w:color w:val="auto"/>
              </w:rPr>
            </w:pPr>
            <w:r>
              <w:rPr>
                <w:rFonts w:ascii="Times New Roman" w:cs="Times New Roman" w:eastAsia="Times New Roman" w:hAnsi="Times New Roman"/>
                <w:sz w:val="15"/>
                <w:szCs w:val="15"/>
                <w:color w:val="231F20"/>
              </w:rPr>
              <w:t>North Dartmouth, MA 02747</w:t>
            </w: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700" w:type="dxa"/>
            <w:vAlign w:val="bottom"/>
            <w:gridSpan w:val="5"/>
          </w:tcPr>
          <w:p>
            <w:pPr>
              <w:ind w:left="60"/>
              <w:spacing w:after="0"/>
              <w:rPr>
                <w:sz w:val="20"/>
                <w:szCs w:val="20"/>
                <w:color w:val="auto"/>
              </w:rPr>
            </w:pPr>
            <w:r>
              <w:rPr>
                <w:rFonts w:ascii="Times New Roman" w:cs="Times New Roman" w:eastAsia="Times New Roman" w:hAnsi="Times New Roman"/>
                <w:sz w:val="15"/>
                <w:szCs w:val="15"/>
                <w:color w:val="231F20"/>
              </w:rPr>
              <w:t>Queen Anne Plaza</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231F20"/>
                <w:w w:val="99"/>
              </w:rPr>
              <w:t>1967</w:t>
            </w:r>
          </w:p>
        </w:tc>
        <w:tc>
          <w:tcPr>
            <w:tcW w:w="880" w:type="dxa"/>
            <w:vAlign w:val="bottom"/>
            <w:gridSpan w:val="2"/>
          </w:tcPr>
          <w:p>
            <w:pPr>
              <w:jc w:val="center"/>
              <w:ind w:left="24"/>
              <w:spacing w:after="0"/>
              <w:rPr>
                <w:sz w:val="20"/>
                <w:szCs w:val="20"/>
                <w:color w:val="auto"/>
              </w:rPr>
            </w:pPr>
            <w:r>
              <w:rPr>
                <w:rFonts w:ascii="Times New Roman" w:cs="Times New Roman" w:eastAsia="Times New Roman" w:hAnsi="Times New Roman"/>
                <w:sz w:val="15"/>
                <w:szCs w:val="15"/>
                <w:color w:val="231F20"/>
                <w:w w:val="99"/>
              </w:rPr>
              <w:t>1994</w:t>
            </w:r>
          </w:p>
        </w:tc>
        <w:tc>
          <w:tcPr>
            <w:tcW w:w="1100" w:type="dxa"/>
            <w:vAlign w:val="bottom"/>
            <w:gridSpan w:val="2"/>
          </w:tcPr>
          <w:p>
            <w:pPr>
              <w:jc w:val="center"/>
              <w:ind w:left="44"/>
              <w:spacing w:after="0"/>
              <w:rPr>
                <w:sz w:val="20"/>
                <w:szCs w:val="20"/>
                <w:color w:val="auto"/>
              </w:rPr>
            </w:pPr>
            <w:r>
              <w:rPr>
                <w:rFonts w:ascii="Times New Roman" w:cs="Times New Roman" w:eastAsia="Times New Roman" w:hAnsi="Times New Roman"/>
                <w:sz w:val="15"/>
                <w:szCs w:val="15"/>
                <w:color w:val="231F20"/>
              </w:rPr>
              <w:t>149,000</w:t>
            </w:r>
          </w:p>
        </w:tc>
        <w:tc>
          <w:tcPr>
            <w:tcW w:w="1100" w:type="dxa"/>
            <w:vAlign w:val="bottom"/>
            <w:gridSpan w:val="2"/>
          </w:tcPr>
          <w:p>
            <w:pPr>
              <w:jc w:val="center"/>
              <w:ind w:left="44"/>
              <w:spacing w:after="0"/>
              <w:rPr>
                <w:sz w:val="20"/>
                <w:szCs w:val="20"/>
                <w:color w:val="auto"/>
              </w:rPr>
            </w:pPr>
            <w:r>
              <w:rPr>
                <w:rFonts w:ascii="Times New Roman" w:cs="Times New Roman" w:eastAsia="Times New Roman" w:hAnsi="Times New Roman"/>
                <w:sz w:val="15"/>
                <w:szCs w:val="15"/>
                <w:color w:val="231F20"/>
              </w:rPr>
              <w:t>$21.65</w:t>
            </w:r>
          </w:p>
        </w:tc>
        <w:tc>
          <w:tcPr>
            <w:tcW w:w="900" w:type="dxa"/>
            <w:vAlign w:val="bottom"/>
            <w:gridSpan w:val="2"/>
          </w:tcPr>
          <w:p>
            <w:pPr>
              <w:jc w:val="center"/>
              <w:ind w:left="24"/>
              <w:spacing w:after="0"/>
              <w:rPr>
                <w:sz w:val="20"/>
                <w:szCs w:val="20"/>
                <w:color w:val="auto"/>
              </w:rPr>
            </w:pPr>
            <w:r>
              <w:rPr>
                <w:rFonts w:ascii="Times New Roman" w:cs="Times New Roman" w:eastAsia="Times New Roman" w:hAnsi="Times New Roman"/>
                <w:sz w:val="15"/>
                <w:szCs w:val="15"/>
                <w:color w:val="231F20"/>
              </w:rPr>
              <w:t>99%</w:t>
            </w:r>
          </w:p>
        </w:tc>
        <w:tc>
          <w:tcPr>
            <w:tcW w:w="80" w:type="dxa"/>
            <w:vAlign w:val="bottom"/>
          </w:tcPr>
          <w:p>
            <w:pPr>
              <w:spacing w:after="0"/>
              <w:rPr>
                <w:sz w:val="17"/>
                <w:szCs w:val="17"/>
                <w:color w:val="auto"/>
              </w:rPr>
            </w:pPr>
          </w:p>
        </w:tc>
        <w:tc>
          <w:tcPr>
            <w:tcW w:w="2040" w:type="dxa"/>
            <w:vAlign w:val="bottom"/>
          </w:tcPr>
          <w:p>
            <w:pPr>
              <w:ind w:left="40"/>
              <w:spacing w:after="0"/>
              <w:rPr>
                <w:sz w:val="20"/>
                <w:szCs w:val="20"/>
                <w:color w:val="auto"/>
              </w:rPr>
            </w:pPr>
            <w:r>
              <w:rPr>
                <w:rFonts w:ascii="Times New Roman" w:cs="Times New Roman" w:eastAsia="Times New Roman" w:hAnsi="Times New Roman"/>
                <w:sz w:val="15"/>
                <w:szCs w:val="15"/>
                <w:color w:val="231F20"/>
              </w:rPr>
              <w:t>Big Y Foods</w:t>
            </w: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2640" w:type="dxa"/>
            <w:vAlign w:val="bottom"/>
            <w:gridSpan w:val="4"/>
          </w:tcPr>
          <w:p>
            <w:pPr>
              <w:ind w:left="100"/>
              <w:spacing w:after="0" w:line="152" w:lineRule="exact"/>
              <w:rPr>
                <w:sz w:val="20"/>
                <w:szCs w:val="20"/>
                <w:color w:val="auto"/>
              </w:rPr>
            </w:pPr>
            <w:r>
              <w:rPr>
                <w:rFonts w:ascii="Times New Roman" w:cs="Times New Roman" w:eastAsia="Times New Roman" w:hAnsi="Times New Roman"/>
                <w:sz w:val="15"/>
                <w:szCs w:val="15"/>
                <w:color w:val="231F20"/>
              </w:rPr>
              <w:t>Norwell, MA 02061</w:t>
            </w: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ind w:left="40"/>
              <w:spacing w:after="0" w:line="152" w:lineRule="exact"/>
              <w:rPr>
                <w:sz w:val="20"/>
                <w:szCs w:val="20"/>
                <w:color w:val="auto"/>
              </w:rPr>
            </w:pPr>
            <w:r>
              <w:rPr>
                <w:rFonts w:ascii="Times New Roman" w:cs="Times New Roman" w:eastAsia="Times New Roman" w:hAnsi="Times New Roman"/>
                <w:sz w:val="15"/>
                <w:szCs w:val="15"/>
                <w:color w:val="231F20"/>
              </w:rPr>
              <w:t>TJ Maxx</w:t>
            </w: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40" w:type="dxa"/>
            <w:vAlign w:val="bottom"/>
          </w:tcPr>
          <w:p>
            <w:pPr>
              <w:ind w:left="40"/>
              <w:spacing w:after="0"/>
              <w:rPr>
                <w:sz w:val="20"/>
                <w:szCs w:val="20"/>
                <w:color w:val="auto"/>
              </w:rPr>
            </w:pPr>
            <w:r>
              <w:rPr>
                <w:rFonts w:ascii="Times New Roman" w:cs="Times New Roman" w:eastAsia="Times New Roman" w:hAnsi="Times New Roman"/>
                <w:sz w:val="15"/>
                <w:szCs w:val="15"/>
                <w:color w:val="231F20"/>
              </w:rPr>
              <w:t>HomeGoods</w:t>
            </w:r>
          </w:p>
        </w:tc>
        <w:tc>
          <w:tcPr>
            <w:tcW w:w="0" w:type="dxa"/>
            <w:vAlign w:val="bottom"/>
          </w:tcPr>
          <w:p>
            <w:pPr>
              <w:spacing w:after="0"/>
              <w:rPr>
                <w:sz w:val="1"/>
                <w:szCs w:val="1"/>
                <w:color w:val="auto"/>
              </w:rPr>
            </w:pPr>
          </w:p>
        </w:tc>
      </w:tr>
      <w:tr>
        <w:trPr>
          <w:trHeight w:val="173"/>
        </w:trPr>
        <w:tc>
          <w:tcPr>
            <w:tcW w:w="2700" w:type="dxa"/>
            <w:vAlign w:val="bottom"/>
            <w:gridSpan w:val="5"/>
          </w:tcPr>
          <w:p>
            <w:pPr>
              <w:ind w:left="60"/>
              <w:spacing w:after="0"/>
              <w:rPr>
                <w:sz w:val="20"/>
                <w:szCs w:val="20"/>
                <w:color w:val="auto"/>
              </w:rPr>
            </w:pPr>
            <w:r>
              <w:rPr>
                <w:rFonts w:ascii="Times New Roman" w:cs="Times New Roman" w:eastAsia="Times New Roman" w:hAnsi="Times New Roman"/>
                <w:sz w:val="15"/>
                <w:szCs w:val="15"/>
                <w:b w:val="1"/>
                <w:bCs w:val="1"/>
                <w:color w:val="231F20"/>
              </w:rPr>
              <w:t>Michigan</w:t>
            </w:r>
          </w:p>
        </w:tc>
        <w:tc>
          <w:tcPr>
            <w:tcW w:w="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20" w:type="dxa"/>
            <w:vAlign w:val="bottom"/>
            <w:shd w:val="clear" w:color="auto" w:fill="231F2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60" w:type="dxa"/>
            <w:vAlign w:val="bottom"/>
          </w:tcPr>
          <w:p>
            <w:pPr>
              <w:spacing w:after="0"/>
              <w:rPr>
                <w:sz w:val="18"/>
                <w:szCs w:val="18"/>
                <w:color w:val="auto"/>
              </w:rPr>
            </w:pPr>
          </w:p>
        </w:tc>
        <w:tc>
          <w:tcPr>
            <w:tcW w:w="2640" w:type="dxa"/>
            <w:vAlign w:val="bottom"/>
            <w:gridSpan w:val="4"/>
          </w:tcPr>
          <w:p>
            <w:pPr>
              <w:spacing w:after="0"/>
              <w:rPr>
                <w:sz w:val="20"/>
                <w:szCs w:val="20"/>
                <w:color w:val="auto"/>
              </w:rPr>
            </w:pPr>
            <w:r>
              <w:rPr>
                <w:rFonts w:ascii="Times New Roman" w:cs="Times New Roman" w:eastAsia="Times New Roman" w:hAnsi="Times New Roman"/>
                <w:sz w:val="15"/>
                <w:szCs w:val="15"/>
                <w:color w:val="231F20"/>
              </w:rPr>
              <w:t>Gratiot Plaza</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231F20"/>
                <w:w w:val="99"/>
              </w:rPr>
              <w:t>1964</w:t>
            </w:r>
          </w:p>
        </w:tc>
        <w:tc>
          <w:tcPr>
            <w:tcW w:w="880" w:type="dxa"/>
            <w:vAlign w:val="bottom"/>
            <w:gridSpan w:val="2"/>
          </w:tcPr>
          <w:p>
            <w:pPr>
              <w:jc w:val="center"/>
              <w:ind w:left="24"/>
              <w:spacing w:after="0"/>
              <w:rPr>
                <w:sz w:val="20"/>
                <w:szCs w:val="20"/>
                <w:color w:val="auto"/>
              </w:rPr>
            </w:pPr>
            <w:r>
              <w:rPr>
                <w:rFonts w:ascii="Times New Roman" w:cs="Times New Roman" w:eastAsia="Times New Roman" w:hAnsi="Times New Roman"/>
                <w:sz w:val="15"/>
                <w:szCs w:val="15"/>
                <w:color w:val="231F20"/>
                <w:w w:val="99"/>
              </w:rPr>
              <w:t>1973</w:t>
            </w:r>
          </w:p>
        </w:tc>
        <w:tc>
          <w:tcPr>
            <w:tcW w:w="1100" w:type="dxa"/>
            <w:vAlign w:val="bottom"/>
            <w:gridSpan w:val="2"/>
          </w:tcPr>
          <w:p>
            <w:pPr>
              <w:jc w:val="center"/>
              <w:ind w:left="44"/>
              <w:spacing w:after="0"/>
              <w:rPr>
                <w:sz w:val="20"/>
                <w:szCs w:val="20"/>
                <w:color w:val="auto"/>
              </w:rPr>
            </w:pPr>
            <w:r>
              <w:rPr>
                <w:rFonts w:ascii="Times New Roman" w:cs="Times New Roman" w:eastAsia="Times New Roman" w:hAnsi="Times New Roman"/>
                <w:sz w:val="15"/>
                <w:szCs w:val="15"/>
                <w:color w:val="231F20"/>
              </w:rPr>
              <w:t>205,000</w:t>
            </w:r>
          </w:p>
        </w:tc>
        <w:tc>
          <w:tcPr>
            <w:tcW w:w="1100" w:type="dxa"/>
            <w:vAlign w:val="bottom"/>
            <w:gridSpan w:val="2"/>
          </w:tcPr>
          <w:p>
            <w:pPr>
              <w:jc w:val="center"/>
              <w:ind w:left="44"/>
              <w:spacing w:after="0"/>
              <w:rPr>
                <w:sz w:val="20"/>
                <w:szCs w:val="20"/>
                <w:color w:val="auto"/>
              </w:rPr>
            </w:pPr>
            <w:r>
              <w:rPr>
                <w:rFonts w:ascii="Times New Roman" w:cs="Times New Roman" w:eastAsia="Times New Roman" w:hAnsi="Times New Roman"/>
                <w:sz w:val="15"/>
                <w:szCs w:val="15"/>
                <w:color w:val="231F20"/>
              </w:rPr>
              <w:t>$14.68</w:t>
            </w:r>
          </w:p>
        </w:tc>
        <w:tc>
          <w:tcPr>
            <w:tcW w:w="900" w:type="dxa"/>
            <w:vAlign w:val="bottom"/>
            <w:gridSpan w:val="2"/>
          </w:tcPr>
          <w:p>
            <w:pPr>
              <w:jc w:val="center"/>
              <w:ind w:left="24"/>
              <w:spacing w:after="0"/>
              <w:rPr>
                <w:sz w:val="20"/>
                <w:szCs w:val="20"/>
                <w:color w:val="auto"/>
              </w:rPr>
            </w:pPr>
            <w:r>
              <w:rPr>
                <w:rFonts w:ascii="Times New Roman" w:cs="Times New Roman" w:eastAsia="Times New Roman" w:hAnsi="Times New Roman"/>
                <w:sz w:val="15"/>
                <w:szCs w:val="15"/>
                <w:color w:val="231F20"/>
              </w:rPr>
              <w:t>85%</w:t>
            </w:r>
          </w:p>
        </w:tc>
        <w:tc>
          <w:tcPr>
            <w:tcW w:w="80" w:type="dxa"/>
            <w:vAlign w:val="bottom"/>
          </w:tcPr>
          <w:p>
            <w:pPr>
              <w:spacing w:after="0"/>
              <w:rPr>
                <w:sz w:val="18"/>
                <w:szCs w:val="18"/>
                <w:color w:val="auto"/>
              </w:rPr>
            </w:pPr>
          </w:p>
        </w:tc>
        <w:tc>
          <w:tcPr>
            <w:tcW w:w="2040" w:type="dxa"/>
            <w:vAlign w:val="bottom"/>
          </w:tcPr>
          <w:p>
            <w:pPr>
              <w:ind w:left="40"/>
              <w:spacing w:after="0"/>
              <w:rPr>
                <w:sz w:val="20"/>
                <w:szCs w:val="20"/>
                <w:color w:val="auto"/>
              </w:rPr>
            </w:pPr>
            <w:r>
              <w:rPr>
                <w:rFonts w:ascii="Times New Roman" w:cs="Times New Roman" w:eastAsia="Times New Roman" w:hAnsi="Times New Roman"/>
                <w:sz w:val="15"/>
                <w:szCs w:val="15"/>
                <w:color w:val="231F20"/>
              </w:rPr>
              <w:t>Kroger</w:t>
            </w: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2640" w:type="dxa"/>
            <w:vAlign w:val="bottom"/>
            <w:gridSpan w:val="4"/>
          </w:tcPr>
          <w:p>
            <w:pPr>
              <w:ind w:left="100"/>
              <w:spacing w:after="0" w:line="152" w:lineRule="exact"/>
              <w:rPr>
                <w:sz w:val="20"/>
                <w:szCs w:val="20"/>
                <w:color w:val="auto"/>
              </w:rPr>
            </w:pPr>
            <w:r>
              <w:rPr>
                <w:rFonts w:ascii="Times New Roman" w:cs="Times New Roman" w:eastAsia="Times New Roman" w:hAnsi="Times New Roman"/>
                <w:sz w:val="15"/>
                <w:szCs w:val="15"/>
                <w:color w:val="231F20"/>
              </w:rPr>
              <w:t>Roseville, MI 48066</w:t>
            </w: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ind w:left="40"/>
              <w:spacing w:after="0" w:line="152" w:lineRule="exact"/>
              <w:rPr>
                <w:sz w:val="20"/>
                <w:szCs w:val="20"/>
                <w:color w:val="auto"/>
              </w:rPr>
            </w:pPr>
            <w:r>
              <w:rPr>
                <w:rFonts w:ascii="Times New Roman" w:cs="Times New Roman" w:eastAsia="Times New Roman" w:hAnsi="Times New Roman"/>
                <w:sz w:val="15"/>
                <w:szCs w:val="15"/>
                <w:color w:val="231F20"/>
              </w:rPr>
              <w:t>Best Buy</w:t>
            </w: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40" w:type="dxa"/>
            <w:vAlign w:val="bottom"/>
          </w:tcPr>
          <w:p>
            <w:pPr>
              <w:ind w:left="40"/>
              <w:spacing w:after="0"/>
              <w:rPr>
                <w:sz w:val="20"/>
                <w:szCs w:val="20"/>
                <w:color w:val="auto"/>
              </w:rPr>
            </w:pPr>
            <w:r>
              <w:rPr>
                <w:rFonts w:ascii="Times New Roman" w:cs="Times New Roman" w:eastAsia="Times New Roman" w:hAnsi="Times New Roman"/>
                <w:sz w:val="15"/>
                <w:szCs w:val="15"/>
                <w:color w:val="231F20"/>
              </w:rPr>
              <w:t>Bob's Discount Furniture</w:t>
            </w:r>
          </w:p>
        </w:tc>
        <w:tc>
          <w:tcPr>
            <w:tcW w:w="0" w:type="dxa"/>
            <w:vAlign w:val="bottom"/>
          </w:tcPr>
          <w:p>
            <w:pPr>
              <w:spacing w:after="0"/>
              <w:rPr>
                <w:sz w:val="1"/>
                <w:szCs w:val="1"/>
                <w:color w:val="auto"/>
              </w:rPr>
            </w:pPr>
          </w:p>
        </w:tc>
      </w:tr>
      <w:tr>
        <w:trPr>
          <w:trHeight w:val="188"/>
        </w:trPr>
        <w:tc>
          <w:tcPr>
            <w:tcW w:w="60" w:type="dxa"/>
            <w:vAlign w:val="bottom"/>
          </w:tcPr>
          <w:p>
            <w:pPr>
              <w:spacing w:after="0"/>
              <w:rPr>
                <w:sz w:val="16"/>
                <w:szCs w:val="16"/>
                <w:color w:val="auto"/>
              </w:rPr>
            </w:pPr>
          </w:p>
        </w:tc>
        <w:tc>
          <w:tcPr>
            <w:tcW w:w="620" w:type="dxa"/>
            <w:vAlign w:val="bottom"/>
            <w:tcBorders>
              <w:bottom w:val="single" w:sz="8" w:color="231F20"/>
            </w:tcBorders>
          </w:tcPr>
          <w:p>
            <w:pPr>
              <w:spacing w:after="0"/>
              <w:rPr>
                <w:sz w:val="20"/>
                <w:szCs w:val="20"/>
                <w:color w:val="auto"/>
              </w:rPr>
            </w:pPr>
            <w:r>
              <w:rPr>
                <w:rFonts w:ascii="Times New Roman" w:cs="Times New Roman" w:eastAsia="Times New Roman" w:hAnsi="Times New Roman"/>
                <w:sz w:val="15"/>
                <w:szCs w:val="15"/>
                <w:b w:val="1"/>
                <w:bCs w:val="1"/>
                <w:color w:val="231F20"/>
                <w:w w:val="97"/>
              </w:rPr>
              <w:t>Nebraska</w:t>
            </w:r>
          </w:p>
        </w:tc>
        <w:tc>
          <w:tcPr>
            <w:tcW w:w="2020" w:type="dxa"/>
            <w:vAlign w:val="bottom"/>
            <w:gridSpan w:val="3"/>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60" w:type="dxa"/>
            <w:vAlign w:val="bottom"/>
          </w:tcPr>
          <w:p>
            <w:pPr>
              <w:spacing w:after="0"/>
              <w:rPr>
                <w:sz w:val="17"/>
                <w:szCs w:val="17"/>
                <w:color w:val="auto"/>
              </w:rPr>
            </w:pPr>
          </w:p>
        </w:tc>
        <w:tc>
          <w:tcPr>
            <w:tcW w:w="2640" w:type="dxa"/>
            <w:vAlign w:val="bottom"/>
            <w:gridSpan w:val="4"/>
          </w:tcPr>
          <w:p>
            <w:pPr>
              <w:spacing w:after="0"/>
              <w:rPr>
                <w:sz w:val="20"/>
                <w:szCs w:val="20"/>
                <w:color w:val="auto"/>
              </w:rPr>
            </w:pPr>
            <w:r>
              <w:rPr>
                <w:rFonts w:ascii="Times New Roman" w:cs="Times New Roman" w:eastAsia="Times New Roman" w:hAnsi="Times New Roman"/>
                <w:sz w:val="15"/>
                <w:szCs w:val="15"/>
                <w:color w:val="231F20"/>
              </w:rPr>
              <w:t>Village Pointe</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231F20"/>
                <w:w w:val="99"/>
              </w:rPr>
              <w:t>2004</w:t>
            </w:r>
          </w:p>
        </w:tc>
        <w:tc>
          <w:tcPr>
            <w:tcW w:w="880" w:type="dxa"/>
            <w:vAlign w:val="bottom"/>
            <w:gridSpan w:val="2"/>
          </w:tcPr>
          <w:p>
            <w:pPr>
              <w:jc w:val="center"/>
              <w:ind w:left="24"/>
              <w:spacing w:after="0"/>
              <w:rPr>
                <w:sz w:val="20"/>
                <w:szCs w:val="20"/>
                <w:color w:val="auto"/>
              </w:rPr>
            </w:pPr>
            <w:r>
              <w:rPr>
                <w:rFonts w:ascii="Times New Roman" w:cs="Times New Roman" w:eastAsia="Times New Roman" w:hAnsi="Times New Roman"/>
                <w:sz w:val="15"/>
                <w:szCs w:val="15"/>
                <w:color w:val="231F20"/>
                <w:w w:val="99"/>
              </w:rPr>
              <w:t>2025</w:t>
            </w:r>
          </w:p>
        </w:tc>
        <w:tc>
          <w:tcPr>
            <w:tcW w:w="1100" w:type="dxa"/>
            <w:vAlign w:val="bottom"/>
            <w:gridSpan w:val="2"/>
          </w:tcPr>
          <w:p>
            <w:pPr>
              <w:jc w:val="center"/>
              <w:ind w:left="44"/>
              <w:spacing w:after="0"/>
              <w:rPr>
                <w:sz w:val="20"/>
                <w:szCs w:val="20"/>
                <w:color w:val="auto"/>
              </w:rPr>
            </w:pPr>
            <w:r>
              <w:rPr>
                <w:rFonts w:ascii="Times New Roman" w:cs="Times New Roman" w:eastAsia="Times New Roman" w:hAnsi="Times New Roman"/>
                <w:sz w:val="15"/>
                <w:szCs w:val="15"/>
                <w:color w:val="231F20"/>
              </w:rPr>
              <w:t>452,000</w:t>
            </w:r>
          </w:p>
        </w:tc>
        <w:tc>
          <w:tcPr>
            <w:tcW w:w="1100" w:type="dxa"/>
            <w:vAlign w:val="bottom"/>
            <w:gridSpan w:val="2"/>
          </w:tcPr>
          <w:p>
            <w:pPr>
              <w:jc w:val="center"/>
              <w:ind w:left="44"/>
              <w:spacing w:after="0"/>
              <w:rPr>
                <w:sz w:val="20"/>
                <w:szCs w:val="20"/>
                <w:color w:val="auto"/>
              </w:rPr>
            </w:pPr>
            <w:r>
              <w:rPr>
                <w:rFonts w:ascii="Times New Roman" w:cs="Times New Roman" w:eastAsia="Times New Roman" w:hAnsi="Times New Roman"/>
                <w:sz w:val="15"/>
                <w:szCs w:val="15"/>
                <w:color w:val="231F20"/>
              </w:rPr>
              <w:t>$26.43</w:t>
            </w:r>
          </w:p>
        </w:tc>
        <w:tc>
          <w:tcPr>
            <w:tcW w:w="900" w:type="dxa"/>
            <w:vAlign w:val="bottom"/>
            <w:gridSpan w:val="2"/>
          </w:tcPr>
          <w:p>
            <w:pPr>
              <w:jc w:val="center"/>
              <w:ind w:left="24"/>
              <w:spacing w:after="0"/>
              <w:rPr>
                <w:sz w:val="20"/>
                <w:szCs w:val="20"/>
                <w:color w:val="auto"/>
              </w:rPr>
            </w:pPr>
            <w:r>
              <w:rPr>
                <w:rFonts w:ascii="Times New Roman" w:cs="Times New Roman" w:eastAsia="Times New Roman" w:hAnsi="Times New Roman"/>
                <w:sz w:val="15"/>
                <w:szCs w:val="15"/>
                <w:color w:val="231F20"/>
              </w:rPr>
              <w:t>96%</w:t>
            </w:r>
          </w:p>
        </w:tc>
        <w:tc>
          <w:tcPr>
            <w:tcW w:w="80" w:type="dxa"/>
            <w:vAlign w:val="bottom"/>
          </w:tcPr>
          <w:p>
            <w:pPr>
              <w:spacing w:after="0"/>
              <w:rPr>
                <w:sz w:val="17"/>
                <w:szCs w:val="17"/>
                <w:color w:val="auto"/>
              </w:rPr>
            </w:pPr>
          </w:p>
        </w:tc>
        <w:tc>
          <w:tcPr>
            <w:tcW w:w="2040" w:type="dxa"/>
            <w:vAlign w:val="bottom"/>
          </w:tcPr>
          <w:p>
            <w:pPr>
              <w:ind w:left="40"/>
              <w:spacing w:after="0"/>
              <w:rPr>
                <w:sz w:val="20"/>
                <w:szCs w:val="20"/>
                <w:color w:val="auto"/>
              </w:rPr>
            </w:pPr>
            <w:r>
              <w:rPr>
                <w:rFonts w:ascii="Times New Roman" w:cs="Times New Roman" w:eastAsia="Times New Roman" w:hAnsi="Times New Roman"/>
                <w:sz w:val="15"/>
                <w:szCs w:val="15"/>
                <w:color w:val="231F20"/>
              </w:rPr>
              <w:t>Nordstrom Rack</w:t>
            </w: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2640" w:type="dxa"/>
            <w:vAlign w:val="bottom"/>
            <w:gridSpan w:val="4"/>
          </w:tcPr>
          <w:p>
            <w:pPr>
              <w:ind w:left="100"/>
              <w:spacing w:after="0" w:line="152" w:lineRule="exact"/>
              <w:rPr>
                <w:sz w:val="20"/>
                <w:szCs w:val="20"/>
                <w:color w:val="auto"/>
              </w:rPr>
            </w:pPr>
            <w:r>
              <w:rPr>
                <w:rFonts w:ascii="Times New Roman" w:cs="Times New Roman" w:eastAsia="Times New Roman" w:hAnsi="Times New Roman"/>
                <w:sz w:val="15"/>
                <w:szCs w:val="15"/>
                <w:color w:val="231F20"/>
              </w:rPr>
              <w:t>Omaha, NE 68118</w:t>
            </w: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ind w:left="40"/>
              <w:spacing w:after="0" w:line="152" w:lineRule="exact"/>
              <w:rPr>
                <w:sz w:val="20"/>
                <w:szCs w:val="20"/>
                <w:color w:val="auto"/>
              </w:rPr>
            </w:pPr>
            <w:r>
              <w:rPr>
                <w:rFonts w:ascii="Times New Roman" w:cs="Times New Roman" w:eastAsia="Times New Roman" w:hAnsi="Times New Roman"/>
                <w:sz w:val="15"/>
                <w:szCs w:val="15"/>
                <w:color w:val="231F20"/>
              </w:rPr>
              <w:t>Best Buy</w:t>
            </w: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ind w:left="40"/>
              <w:spacing w:after="0" w:line="152" w:lineRule="exact"/>
              <w:rPr>
                <w:sz w:val="20"/>
                <w:szCs w:val="20"/>
                <w:color w:val="auto"/>
              </w:rPr>
            </w:pPr>
            <w:r>
              <w:rPr>
                <w:rFonts w:ascii="Times New Roman" w:cs="Times New Roman" w:eastAsia="Times New Roman" w:hAnsi="Times New Roman"/>
                <w:sz w:val="15"/>
                <w:szCs w:val="15"/>
                <w:color w:val="231F20"/>
              </w:rPr>
              <w:t>Apple</w:t>
            </w: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ind w:left="40"/>
              <w:spacing w:after="0" w:line="152" w:lineRule="exact"/>
              <w:rPr>
                <w:sz w:val="20"/>
                <w:szCs w:val="20"/>
                <w:color w:val="auto"/>
              </w:rPr>
            </w:pPr>
            <w:r>
              <w:rPr>
                <w:rFonts w:ascii="Times New Roman" w:cs="Times New Roman" w:eastAsia="Times New Roman" w:hAnsi="Times New Roman"/>
                <w:sz w:val="15"/>
                <w:szCs w:val="15"/>
                <w:color w:val="231F20"/>
              </w:rPr>
              <w:t>Sephora</w:t>
            </w: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74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b w:val="1"/>
                <w:bCs w:val="1"/>
                <w:color w:val="231F20"/>
                <w:w w:val="98"/>
              </w:rPr>
              <w:t>New Jersey</w:t>
            </w:r>
          </w:p>
        </w:tc>
        <w:tc>
          <w:tcPr>
            <w:tcW w:w="1900" w:type="dxa"/>
            <w:vAlign w:val="bottom"/>
            <w:gridSpan w:val="2"/>
            <w:vMerge w:val="restart"/>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40" w:type="dxa"/>
            <w:vAlign w:val="bottom"/>
          </w:tcPr>
          <w:p>
            <w:pPr>
              <w:ind w:left="40"/>
              <w:spacing w:after="0"/>
              <w:rPr>
                <w:sz w:val="20"/>
                <w:szCs w:val="20"/>
                <w:color w:val="auto"/>
              </w:rPr>
            </w:pPr>
            <w:r>
              <w:rPr>
                <w:rFonts w:ascii="Times New Roman" w:cs="Times New Roman" w:eastAsia="Times New Roman" w:hAnsi="Times New Roman"/>
                <w:sz w:val="15"/>
                <w:szCs w:val="15"/>
                <w:color w:val="231F20"/>
              </w:rPr>
              <w:t>lululemon</w:t>
            </w:r>
          </w:p>
        </w:tc>
        <w:tc>
          <w:tcPr>
            <w:tcW w:w="0" w:type="dxa"/>
            <w:vAlign w:val="bottom"/>
          </w:tcPr>
          <w:p>
            <w:pPr>
              <w:spacing w:after="0"/>
              <w:rPr>
                <w:sz w:val="1"/>
                <w:szCs w:val="1"/>
                <w:color w:val="auto"/>
              </w:rPr>
            </w:pPr>
          </w:p>
        </w:tc>
      </w:tr>
      <w:tr>
        <w:trPr>
          <w:trHeight w:val="159"/>
        </w:trPr>
        <w:tc>
          <w:tcPr>
            <w:tcW w:w="60" w:type="dxa"/>
            <w:vAlign w:val="bottom"/>
          </w:tcPr>
          <w:p>
            <w:pPr>
              <w:spacing w:after="0"/>
              <w:rPr>
                <w:sz w:val="13"/>
                <w:szCs w:val="13"/>
                <w:color w:val="auto"/>
              </w:rPr>
            </w:pPr>
          </w:p>
        </w:tc>
        <w:tc>
          <w:tcPr>
            <w:tcW w:w="740" w:type="dxa"/>
            <w:vAlign w:val="bottom"/>
            <w:tcBorders>
              <w:bottom w:val="single" w:sz="8" w:color="231F20"/>
            </w:tcBorders>
            <w:gridSpan w:val="2"/>
            <w:vMerge w:val="continue"/>
          </w:tcPr>
          <w:p>
            <w:pPr>
              <w:spacing w:after="0"/>
              <w:rPr>
                <w:sz w:val="13"/>
                <w:szCs w:val="13"/>
                <w:color w:val="auto"/>
              </w:rPr>
            </w:pPr>
          </w:p>
        </w:tc>
        <w:tc>
          <w:tcPr>
            <w:tcW w:w="190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60" w:type="dxa"/>
            <w:vAlign w:val="bottom"/>
          </w:tcPr>
          <w:p>
            <w:pPr>
              <w:spacing w:after="0"/>
              <w:rPr>
                <w:sz w:val="17"/>
                <w:szCs w:val="17"/>
                <w:color w:val="auto"/>
              </w:rPr>
            </w:pPr>
          </w:p>
        </w:tc>
        <w:tc>
          <w:tcPr>
            <w:tcW w:w="2640" w:type="dxa"/>
            <w:vAlign w:val="bottom"/>
            <w:gridSpan w:val="4"/>
          </w:tcPr>
          <w:p>
            <w:pPr>
              <w:spacing w:after="0"/>
              <w:rPr>
                <w:sz w:val="20"/>
                <w:szCs w:val="20"/>
                <w:color w:val="auto"/>
              </w:rPr>
            </w:pPr>
            <w:r>
              <w:rPr>
                <w:rFonts w:ascii="Times New Roman" w:cs="Times New Roman" w:eastAsia="Times New Roman" w:hAnsi="Times New Roman"/>
                <w:sz w:val="15"/>
                <w:szCs w:val="15"/>
                <w:color w:val="231F20"/>
              </w:rPr>
              <w:t>Brick Plaza</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231F20"/>
                <w:w w:val="99"/>
              </w:rPr>
              <w:t>1958</w:t>
            </w:r>
          </w:p>
        </w:tc>
        <w:tc>
          <w:tcPr>
            <w:tcW w:w="880" w:type="dxa"/>
            <w:vAlign w:val="bottom"/>
            <w:gridSpan w:val="2"/>
          </w:tcPr>
          <w:p>
            <w:pPr>
              <w:jc w:val="center"/>
              <w:ind w:left="24"/>
              <w:spacing w:after="0"/>
              <w:rPr>
                <w:sz w:val="20"/>
                <w:szCs w:val="20"/>
                <w:color w:val="auto"/>
              </w:rPr>
            </w:pPr>
            <w:r>
              <w:rPr>
                <w:rFonts w:ascii="Times New Roman" w:cs="Times New Roman" w:eastAsia="Times New Roman" w:hAnsi="Times New Roman"/>
                <w:sz w:val="15"/>
                <w:szCs w:val="15"/>
                <w:color w:val="231F20"/>
                <w:w w:val="99"/>
              </w:rPr>
              <w:t>1989</w:t>
            </w:r>
          </w:p>
        </w:tc>
        <w:tc>
          <w:tcPr>
            <w:tcW w:w="1100" w:type="dxa"/>
            <w:vAlign w:val="bottom"/>
            <w:gridSpan w:val="2"/>
          </w:tcPr>
          <w:p>
            <w:pPr>
              <w:jc w:val="center"/>
              <w:ind w:left="44"/>
              <w:spacing w:after="0"/>
              <w:rPr>
                <w:sz w:val="20"/>
                <w:szCs w:val="20"/>
                <w:color w:val="auto"/>
              </w:rPr>
            </w:pPr>
            <w:r>
              <w:rPr>
                <w:rFonts w:ascii="Times New Roman" w:cs="Times New Roman" w:eastAsia="Times New Roman" w:hAnsi="Times New Roman"/>
                <w:sz w:val="15"/>
                <w:szCs w:val="15"/>
                <w:color w:val="231F20"/>
              </w:rPr>
              <w:t>405,000</w:t>
            </w:r>
          </w:p>
        </w:tc>
        <w:tc>
          <w:tcPr>
            <w:tcW w:w="1100" w:type="dxa"/>
            <w:vAlign w:val="bottom"/>
            <w:gridSpan w:val="2"/>
          </w:tcPr>
          <w:p>
            <w:pPr>
              <w:jc w:val="center"/>
              <w:ind w:left="44"/>
              <w:spacing w:after="0"/>
              <w:rPr>
                <w:sz w:val="20"/>
                <w:szCs w:val="20"/>
                <w:color w:val="auto"/>
              </w:rPr>
            </w:pPr>
            <w:r>
              <w:rPr>
                <w:rFonts w:ascii="Times New Roman" w:cs="Times New Roman" w:eastAsia="Times New Roman" w:hAnsi="Times New Roman"/>
                <w:sz w:val="15"/>
                <w:szCs w:val="15"/>
                <w:color w:val="231F20"/>
              </w:rPr>
              <w:t>$23.66</w:t>
            </w:r>
          </w:p>
        </w:tc>
        <w:tc>
          <w:tcPr>
            <w:tcW w:w="900" w:type="dxa"/>
            <w:vAlign w:val="bottom"/>
            <w:gridSpan w:val="2"/>
          </w:tcPr>
          <w:p>
            <w:pPr>
              <w:jc w:val="center"/>
              <w:ind w:left="24"/>
              <w:spacing w:after="0"/>
              <w:rPr>
                <w:sz w:val="20"/>
                <w:szCs w:val="20"/>
                <w:color w:val="auto"/>
              </w:rPr>
            </w:pPr>
            <w:r>
              <w:rPr>
                <w:rFonts w:ascii="Times New Roman" w:cs="Times New Roman" w:eastAsia="Times New Roman" w:hAnsi="Times New Roman"/>
                <w:sz w:val="15"/>
                <w:szCs w:val="15"/>
                <w:color w:val="231F20"/>
              </w:rPr>
              <w:t>97%</w:t>
            </w:r>
          </w:p>
        </w:tc>
        <w:tc>
          <w:tcPr>
            <w:tcW w:w="80" w:type="dxa"/>
            <w:vAlign w:val="bottom"/>
          </w:tcPr>
          <w:p>
            <w:pPr>
              <w:spacing w:after="0"/>
              <w:rPr>
                <w:sz w:val="17"/>
                <w:szCs w:val="17"/>
                <w:color w:val="auto"/>
              </w:rPr>
            </w:pPr>
          </w:p>
        </w:tc>
        <w:tc>
          <w:tcPr>
            <w:tcW w:w="2040" w:type="dxa"/>
            <w:vAlign w:val="bottom"/>
          </w:tcPr>
          <w:p>
            <w:pPr>
              <w:ind w:left="40"/>
              <w:spacing w:after="0"/>
              <w:rPr>
                <w:sz w:val="20"/>
                <w:szCs w:val="20"/>
                <w:color w:val="auto"/>
              </w:rPr>
            </w:pPr>
            <w:r>
              <w:rPr>
                <w:rFonts w:ascii="Times New Roman" w:cs="Times New Roman" w:eastAsia="Times New Roman" w:hAnsi="Times New Roman"/>
                <w:sz w:val="15"/>
                <w:szCs w:val="15"/>
                <w:color w:val="231F20"/>
              </w:rPr>
              <w:t>Trader Joe's</w:t>
            </w: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2640" w:type="dxa"/>
            <w:vAlign w:val="bottom"/>
            <w:gridSpan w:val="4"/>
          </w:tcPr>
          <w:p>
            <w:pPr>
              <w:ind w:left="100"/>
              <w:spacing w:after="0" w:line="152" w:lineRule="exact"/>
              <w:rPr>
                <w:sz w:val="20"/>
                <w:szCs w:val="20"/>
                <w:color w:val="auto"/>
              </w:rPr>
            </w:pPr>
            <w:r>
              <w:rPr>
                <w:rFonts w:ascii="Times New Roman" w:cs="Times New Roman" w:eastAsia="Times New Roman" w:hAnsi="Times New Roman"/>
                <w:sz w:val="15"/>
                <w:szCs w:val="15"/>
                <w:color w:val="231F20"/>
              </w:rPr>
              <w:t>Brick Township, NJ 08723(7)</w:t>
            </w: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ind w:left="40"/>
              <w:spacing w:after="0" w:line="152" w:lineRule="exact"/>
              <w:rPr>
                <w:sz w:val="20"/>
                <w:szCs w:val="20"/>
                <w:color w:val="auto"/>
              </w:rPr>
            </w:pPr>
            <w:r>
              <w:rPr>
                <w:rFonts w:ascii="Times New Roman" w:cs="Times New Roman" w:eastAsia="Times New Roman" w:hAnsi="Times New Roman"/>
                <w:sz w:val="15"/>
                <w:szCs w:val="15"/>
                <w:color w:val="231F20"/>
              </w:rPr>
              <w:t>L.A. Fitness</w:t>
            </w: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ind w:left="40"/>
              <w:spacing w:after="0" w:line="152" w:lineRule="exact"/>
              <w:rPr>
                <w:sz w:val="20"/>
                <w:szCs w:val="20"/>
                <w:color w:val="auto"/>
              </w:rPr>
            </w:pPr>
            <w:r>
              <w:rPr>
                <w:rFonts w:ascii="Times New Roman" w:cs="Times New Roman" w:eastAsia="Times New Roman" w:hAnsi="Times New Roman"/>
                <w:sz w:val="15"/>
                <w:szCs w:val="15"/>
                <w:color w:val="231F20"/>
              </w:rPr>
              <w:t>HomeGoods</w:t>
            </w: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ind w:left="40"/>
              <w:spacing w:after="0" w:line="152" w:lineRule="exact"/>
              <w:rPr>
                <w:sz w:val="20"/>
                <w:szCs w:val="20"/>
                <w:color w:val="auto"/>
              </w:rPr>
            </w:pPr>
            <w:r>
              <w:rPr>
                <w:rFonts w:ascii="Times New Roman" w:cs="Times New Roman" w:eastAsia="Times New Roman" w:hAnsi="Times New Roman"/>
                <w:sz w:val="15"/>
                <w:szCs w:val="15"/>
                <w:color w:val="231F20"/>
              </w:rPr>
              <w:t>Ulta</w:t>
            </w: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40" w:type="dxa"/>
            <w:vAlign w:val="bottom"/>
          </w:tcPr>
          <w:p>
            <w:pPr>
              <w:ind w:left="40"/>
              <w:spacing w:after="0"/>
              <w:rPr>
                <w:sz w:val="20"/>
                <w:szCs w:val="20"/>
                <w:color w:val="auto"/>
              </w:rPr>
            </w:pPr>
            <w:r>
              <w:rPr>
                <w:rFonts w:ascii="Times New Roman" w:cs="Times New Roman" w:eastAsia="Times New Roman" w:hAnsi="Times New Roman"/>
                <w:sz w:val="15"/>
                <w:szCs w:val="15"/>
                <w:color w:val="231F20"/>
              </w:rPr>
              <w:t>Burlington</w:t>
            </w:r>
          </w:p>
        </w:tc>
        <w:tc>
          <w:tcPr>
            <w:tcW w:w="0" w:type="dxa"/>
            <w:vAlign w:val="bottom"/>
          </w:tcPr>
          <w:p>
            <w:pPr>
              <w:spacing w:after="0"/>
              <w:rPr>
                <w:sz w:val="1"/>
                <w:szCs w:val="1"/>
                <w:color w:val="auto"/>
              </w:rPr>
            </w:pPr>
          </w:p>
        </w:tc>
      </w:tr>
      <w:tr>
        <w:trPr>
          <w:trHeight w:val="159"/>
        </w:trPr>
        <w:tc>
          <w:tcPr>
            <w:tcW w:w="60" w:type="dxa"/>
            <w:vAlign w:val="bottom"/>
          </w:tcPr>
          <w:p>
            <w:pPr>
              <w:spacing w:after="0"/>
              <w:rPr>
                <w:sz w:val="13"/>
                <w:szCs w:val="13"/>
                <w:color w:val="auto"/>
              </w:rPr>
            </w:pPr>
          </w:p>
        </w:tc>
        <w:tc>
          <w:tcPr>
            <w:tcW w:w="2640" w:type="dxa"/>
            <w:vAlign w:val="bottom"/>
            <w:gridSpan w:val="4"/>
          </w:tcPr>
          <w:p>
            <w:pPr>
              <w:spacing w:after="0" w:line="159" w:lineRule="exact"/>
              <w:rPr>
                <w:sz w:val="20"/>
                <w:szCs w:val="20"/>
                <w:color w:val="auto"/>
              </w:rPr>
            </w:pPr>
            <w:r>
              <w:rPr>
                <w:rFonts w:ascii="Times New Roman" w:cs="Times New Roman" w:eastAsia="Times New Roman" w:hAnsi="Times New Roman"/>
                <w:sz w:val="15"/>
                <w:szCs w:val="15"/>
                <w:color w:val="231F20"/>
              </w:rPr>
              <w:t>Brook 35</w:t>
            </w:r>
          </w:p>
        </w:tc>
        <w:tc>
          <w:tcPr>
            <w:tcW w:w="920" w:type="dxa"/>
            <w:vAlign w:val="bottom"/>
            <w:gridSpan w:val="2"/>
          </w:tcPr>
          <w:p>
            <w:pPr>
              <w:jc w:val="center"/>
              <w:ind w:left="4"/>
              <w:spacing w:after="0" w:line="159" w:lineRule="exact"/>
              <w:rPr>
                <w:sz w:val="20"/>
                <w:szCs w:val="20"/>
                <w:color w:val="auto"/>
              </w:rPr>
            </w:pPr>
            <w:r>
              <w:rPr>
                <w:rFonts w:ascii="Times New Roman" w:cs="Times New Roman" w:eastAsia="Times New Roman" w:hAnsi="Times New Roman"/>
                <w:sz w:val="15"/>
                <w:szCs w:val="15"/>
                <w:color w:val="231F20"/>
              </w:rPr>
              <w:t>1986, 2004</w:t>
            </w:r>
          </w:p>
        </w:tc>
        <w:tc>
          <w:tcPr>
            <w:tcW w:w="880" w:type="dxa"/>
            <w:vAlign w:val="bottom"/>
            <w:gridSpan w:val="2"/>
          </w:tcPr>
          <w:p>
            <w:pPr>
              <w:jc w:val="center"/>
              <w:ind w:left="24"/>
              <w:spacing w:after="0" w:line="159" w:lineRule="exact"/>
              <w:rPr>
                <w:sz w:val="20"/>
                <w:szCs w:val="20"/>
                <w:color w:val="auto"/>
              </w:rPr>
            </w:pPr>
            <w:r>
              <w:rPr>
                <w:rFonts w:ascii="Times New Roman" w:cs="Times New Roman" w:eastAsia="Times New Roman" w:hAnsi="Times New Roman"/>
                <w:sz w:val="15"/>
                <w:szCs w:val="15"/>
                <w:color w:val="231F20"/>
                <w:w w:val="99"/>
              </w:rPr>
              <w:t>2014</w:t>
            </w:r>
          </w:p>
        </w:tc>
        <w:tc>
          <w:tcPr>
            <w:tcW w:w="1100" w:type="dxa"/>
            <w:vAlign w:val="bottom"/>
            <w:gridSpan w:val="2"/>
          </w:tcPr>
          <w:p>
            <w:pPr>
              <w:jc w:val="center"/>
              <w:ind w:left="44"/>
              <w:spacing w:after="0" w:line="159" w:lineRule="exact"/>
              <w:rPr>
                <w:sz w:val="20"/>
                <w:szCs w:val="20"/>
                <w:color w:val="auto"/>
              </w:rPr>
            </w:pPr>
            <w:r>
              <w:rPr>
                <w:rFonts w:ascii="Times New Roman" w:cs="Times New Roman" w:eastAsia="Times New Roman" w:hAnsi="Times New Roman"/>
                <w:sz w:val="15"/>
                <w:szCs w:val="15"/>
                <w:color w:val="231F20"/>
              </w:rPr>
              <w:t>97,000</w:t>
            </w:r>
          </w:p>
        </w:tc>
        <w:tc>
          <w:tcPr>
            <w:tcW w:w="1100" w:type="dxa"/>
            <w:vAlign w:val="bottom"/>
            <w:gridSpan w:val="2"/>
          </w:tcPr>
          <w:p>
            <w:pPr>
              <w:jc w:val="center"/>
              <w:ind w:left="44"/>
              <w:spacing w:after="0" w:line="159" w:lineRule="exact"/>
              <w:rPr>
                <w:sz w:val="20"/>
                <w:szCs w:val="20"/>
                <w:color w:val="auto"/>
              </w:rPr>
            </w:pPr>
            <w:r>
              <w:rPr>
                <w:rFonts w:ascii="Times New Roman" w:cs="Times New Roman" w:eastAsia="Times New Roman" w:hAnsi="Times New Roman"/>
                <w:sz w:val="15"/>
                <w:szCs w:val="15"/>
                <w:color w:val="231F20"/>
              </w:rPr>
              <w:t>$42.96</w:t>
            </w:r>
          </w:p>
        </w:tc>
        <w:tc>
          <w:tcPr>
            <w:tcW w:w="900" w:type="dxa"/>
            <w:vAlign w:val="bottom"/>
            <w:gridSpan w:val="2"/>
          </w:tcPr>
          <w:p>
            <w:pPr>
              <w:jc w:val="center"/>
              <w:ind w:left="24"/>
              <w:spacing w:after="0" w:line="159" w:lineRule="exact"/>
              <w:rPr>
                <w:sz w:val="20"/>
                <w:szCs w:val="20"/>
                <w:color w:val="auto"/>
              </w:rPr>
            </w:pPr>
            <w:r>
              <w:rPr>
                <w:rFonts w:ascii="Times New Roman" w:cs="Times New Roman" w:eastAsia="Times New Roman" w:hAnsi="Times New Roman"/>
                <w:sz w:val="15"/>
                <w:szCs w:val="15"/>
                <w:color w:val="231F20"/>
              </w:rPr>
              <w:t>100%</w:t>
            </w:r>
          </w:p>
        </w:tc>
        <w:tc>
          <w:tcPr>
            <w:tcW w:w="80" w:type="dxa"/>
            <w:vAlign w:val="bottom"/>
          </w:tcPr>
          <w:p>
            <w:pPr>
              <w:spacing w:after="0"/>
              <w:rPr>
                <w:sz w:val="13"/>
                <w:szCs w:val="13"/>
                <w:color w:val="auto"/>
              </w:rPr>
            </w:pPr>
          </w:p>
        </w:tc>
        <w:tc>
          <w:tcPr>
            <w:tcW w:w="2040" w:type="dxa"/>
            <w:vAlign w:val="bottom"/>
          </w:tcPr>
          <w:p>
            <w:pPr>
              <w:ind w:left="40"/>
              <w:spacing w:after="0" w:line="159" w:lineRule="exact"/>
              <w:rPr>
                <w:sz w:val="20"/>
                <w:szCs w:val="20"/>
                <w:color w:val="auto"/>
              </w:rPr>
            </w:pPr>
            <w:r>
              <w:rPr>
                <w:rFonts w:ascii="Times New Roman" w:cs="Times New Roman" w:eastAsia="Times New Roman" w:hAnsi="Times New Roman"/>
                <w:sz w:val="15"/>
                <w:szCs w:val="15"/>
                <w:color w:val="231F20"/>
              </w:rPr>
              <w:t>Banana Republic</w:t>
            </w: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2640" w:type="dxa"/>
            <w:vAlign w:val="bottom"/>
            <w:gridSpan w:val="4"/>
          </w:tcPr>
          <w:p>
            <w:pPr>
              <w:ind w:left="100"/>
              <w:spacing w:after="0" w:line="152" w:lineRule="exact"/>
              <w:rPr>
                <w:sz w:val="20"/>
                <w:szCs w:val="20"/>
                <w:color w:val="auto"/>
              </w:rPr>
            </w:pPr>
            <w:r>
              <w:rPr>
                <w:rFonts w:ascii="Times New Roman" w:cs="Times New Roman" w:eastAsia="Times New Roman" w:hAnsi="Times New Roman"/>
                <w:sz w:val="15"/>
                <w:szCs w:val="15"/>
                <w:color w:val="231F20"/>
              </w:rPr>
              <w:t>Sea Grit, NJ 08750(4)(6)(8)</w:t>
            </w: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ind w:left="40"/>
              <w:spacing w:after="0" w:line="152" w:lineRule="exact"/>
              <w:rPr>
                <w:sz w:val="20"/>
                <w:szCs w:val="20"/>
                <w:color w:val="auto"/>
              </w:rPr>
            </w:pPr>
            <w:r>
              <w:rPr>
                <w:rFonts w:ascii="Times New Roman" w:cs="Times New Roman" w:eastAsia="Times New Roman" w:hAnsi="Times New Roman"/>
                <w:sz w:val="15"/>
                <w:szCs w:val="15"/>
                <w:color w:val="231F20"/>
              </w:rPr>
              <w:t>Gap</w:t>
            </w: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40" w:type="dxa"/>
            <w:vAlign w:val="bottom"/>
          </w:tcPr>
          <w:p>
            <w:pPr>
              <w:ind w:left="40"/>
              <w:spacing w:after="0"/>
              <w:rPr>
                <w:sz w:val="20"/>
                <w:szCs w:val="20"/>
                <w:color w:val="auto"/>
              </w:rPr>
            </w:pPr>
            <w:r>
              <w:rPr>
                <w:rFonts w:ascii="Times New Roman" w:cs="Times New Roman" w:eastAsia="Times New Roman" w:hAnsi="Times New Roman"/>
                <w:sz w:val="15"/>
                <w:szCs w:val="15"/>
                <w:color w:val="231F20"/>
              </w:rPr>
              <w:t>Tommy's Tavern + Tap</w:t>
            </w:r>
          </w:p>
        </w:tc>
        <w:tc>
          <w:tcPr>
            <w:tcW w:w="0" w:type="dxa"/>
            <w:vAlign w:val="bottom"/>
          </w:tcPr>
          <w:p>
            <w:pPr>
              <w:spacing w:after="0"/>
              <w:rPr>
                <w:sz w:val="1"/>
                <w:szCs w:val="1"/>
                <w:color w:val="auto"/>
              </w:rPr>
            </w:pPr>
          </w:p>
        </w:tc>
      </w:tr>
      <w:tr>
        <w:trPr>
          <w:trHeight w:val="164"/>
        </w:trPr>
        <w:tc>
          <w:tcPr>
            <w:tcW w:w="60" w:type="dxa"/>
            <w:vAlign w:val="bottom"/>
          </w:tcPr>
          <w:p>
            <w:pPr>
              <w:spacing w:after="0"/>
              <w:rPr>
                <w:sz w:val="14"/>
                <w:szCs w:val="14"/>
                <w:color w:val="auto"/>
              </w:rPr>
            </w:pPr>
          </w:p>
        </w:tc>
        <w:tc>
          <w:tcPr>
            <w:tcW w:w="2640" w:type="dxa"/>
            <w:vAlign w:val="bottom"/>
            <w:gridSpan w:val="4"/>
          </w:tcPr>
          <w:p>
            <w:pPr>
              <w:spacing w:after="0" w:line="164" w:lineRule="exact"/>
              <w:rPr>
                <w:sz w:val="20"/>
                <w:szCs w:val="20"/>
                <w:color w:val="auto"/>
              </w:rPr>
            </w:pPr>
            <w:r>
              <w:rPr>
                <w:rFonts w:ascii="Times New Roman" w:cs="Times New Roman" w:eastAsia="Times New Roman" w:hAnsi="Times New Roman"/>
                <w:sz w:val="15"/>
                <w:szCs w:val="15"/>
                <w:color w:val="231F20"/>
              </w:rPr>
              <w:t>Ellisburg</w:t>
            </w:r>
          </w:p>
        </w:tc>
        <w:tc>
          <w:tcPr>
            <w:tcW w:w="920" w:type="dxa"/>
            <w:vAlign w:val="bottom"/>
            <w:gridSpan w:val="2"/>
          </w:tcPr>
          <w:p>
            <w:pPr>
              <w:jc w:val="center"/>
              <w:spacing w:after="0" w:line="164" w:lineRule="exact"/>
              <w:rPr>
                <w:sz w:val="20"/>
                <w:szCs w:val="20"/>
                <w:color w:val="auto"/>
              </w:rPr>
            </w:pPr>
            <w:r>
              <w:rPr>
                <w:rFonts w:ascii="Times New Roman" w:cs="Times New Roman" w:eastAsia="Times New Roman" w:hAnsi="Times New Roman"/>
                <w:sz w:val="15"/>
                <w:szCs w:val="15"/>
                <w:color w:val="231F20"/>
                <w:w w:val="99"/>
              </w:rPr>
              <w:t>1959</w:t>
            </w:r>
          </w:p>
        </w:tc>
        <w:tc>
          <w:tcPr>
            <w:tcW w:w="880" w:type="dxa"/>
            <w:vAlign w:val="bottom"/>
            <w:gridSpan w:val="2"/>
          </w:tcPr>
          <w:p>
            <w:pPr>
              <w:jc w:val="center"/>
              <w:ind w:left="24"/>
              <w:spacing w:after="0" w:line="164" w:lineRule="exact"/>
              <w:rPr>
                <w:sz w:val="20"/>
                <w:szCs w:val="20"/>
                <w:color w:val="auto"/>
              </w:rPr>
            </w:pPr>
            <w:r>
              <w:rPr>
                <w:rFonts w:ascii="Times New Roman" w:cs="Times New Roman" w:eastAsia="Times New Roman" w:hAnsi="Times New Roman"/>
                <w:sz w:val="15"/>
                <w:szCs w:val="15"/>
                <w:color w:val="231F20"/>
                <w:w w:val="99"/>
              </w:rPr>
              <w:t>1992</w:t>
            </w:r>
          </w:p>
        </w:tc>
        <w:tc>
          <w:tcPr>
            <w:tcW w:w="1100" w:type="dxa"/>
            <w:vAlign w:val="bottom"/>
            <w:gridSpan w:val="2"/>
          </w:tcPr>
          <w:p>
            <w:pPr>
              <w:jc w:val="center"/>
              <w:ind w:left="44"/>
              <w:spacing w:after="0" w:line="164" w:lineRule="exact"/>
              <w:rPr>
                <w:sz w:val="20"/>
                <w:szCs w:val="20"/>
                <w:color w:val="auto"/>
              </w:rPr>
            </w:pPr>
            <w:r>
              <w:rPr>
                <w:rFonts w:ascii="Times New Roman" w:cs="Times New Roman" w:eastAsia="Times New Roman" w:hAnsi="Times New Roman"/>
                <w:sz w:val="15"/>
                <w:szCs w:val="15"/>
                <w:color w:val="231F20"/>
              </w:rPr>
              <w:t>260,000</w:t>
            </w:r>
          </w:p>
        </w:tc>
        <w:tc>
          <w:tcPr>
            <w:tcW w:w="1100" w:type="dxa"/>
            <w:vAlign w:val="bottom"/>
            <w:gridSpan w:val="2"/>
          </w:tcPr>
          <w:p>
            <w:pPr>
              <w:jc w:val="center"/>
              <w:ind w:left="44"/>
              <w:spacing w:after="0" w:line="164" w:lineRule="exact"/>
              <w:rPr>
                <w:sz w:val="20"/>
                <w:szCs w:val="20"/>
                <w:color w:val="auto"/>
              </w:rPr>
            </w:pPr>
            <w:r>
              <w:rPr>
                <w:rFonts w:ascii="Times New Roman" w:cs="Times New Roman" w:eastAsia="Times New Roman" w:hAnsi="Times New Roman"/>
                <w:sz w:val="15"/>
                <w:szCs w:val="15"/>
                <w:color w:val="231F20"/>
              </w:rPr>
              <w:t>$21.18</w:t>
            </w:r>
          </w:p>
        </w:tc>
        <w:tc>
          <w:tcPr>
            <w:tcW w:w="900" w:type="dxa"/>
            <w:vAlign w:val="bottom"/>
            <w:gridSpan w:val="2"/>
          </w:tcPr>
          <w:p>
            <w:pPr>
              <w:jc w:val="center"/>
              <w:ind w:left="24"/>
              <w:spacing w:after="0" w:line="164" w:lineRule="exact"/>
              <w:rPr>
                <w:sz w:val="20"/>
                <w:szCs w:val="20"/>
                <w:color w:val="auto"/>
              </w:rPr>
            </w:pPr>
            <w:r>
              <w:rPr>
                <w:rFonts w:ascii="Times New Roman" w:cs="Times New Roman" w:eastAsia="Times New Roman" w:hAnsi="Times New Roman"/>
                <w:sz w:val="15"/>
                <w:szCs w:val="15"/>
                <w:color w:val="231F20"/>
              </w:rPr>
              <w:t>100%</w:t>
            </w:r>
          </w:p>
        </w:tc>
        <w:tc>
          <w:tcPr>
            <w:tcW w:w="80" w:type="dxa"/>
            <w:vAlign w:val="bottom"/>
          </w:tcPr>
          <w:p>
            <w:pPr>
              <w:spacing w:after="0"/>
              <w:rPr>
                <w:sz w:val="14"/>
                <w:szCs w:val="14"/>
                <w:color w:val="auto"/>
              </w:rPr>
            </w:pPr>
          </w:p>
        </w:tc>
        <w:tc>
          <w:tcPr>
            <w:tcW w:w="2040" w:type="dxa"/>
            <w:vAlign w:val="bottom"/>
          </w:tcPr>
          <w:p>
            <w:pPr>
              <w:ind w:left="40"/>
              <w:spacing w:after="0" w:line="164" w:lineRule="exact"/>
              <w:rPr>
                <w:sz w:val="20"/>
                <w:szCs w:val="20"/>
                <w:color w:val="auto"/>
              </w:rPr>
            </w:pPr>
            <w:r>
              <w:rPr>
                <w:rFonts w:ascii="Times New Roman" w:cs="Times New Roman" w:eastAsia="Times New Roman" w:hAnsi="Times New Roman"/>
                <w:sz w:val="15"/>
                <w:szCs w:val="15"/>
                <w:color w:val="231F20"/>
              </w:rPr>
              <w:t>Whole Foods</w:t>
            </w: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2640" w:type="dxa"/>
            <w:vAlign w:val="bottom"/>
            <w:gridSpan w:val="4"/>
          </w:tcPr>
          <w:p>
            <w:pPr>
              <w:ind w:left="100"/>
              <w:spacing w:after="0" w:line="152" w:lineRule="exact"/>
              <w:rPr>
                <w:sz w:val="20"/>
                <w:szCs w:val="20"/>
                <w:color w:val="auto"/>
              </w:rPr>
            </w:pPr>
            <w:r>
              <w:rPr>
                <w:rFonts w:ascii="Times New Roman" w:cs="Times New Roman" w:eastAsia="Times New Roman" w:hAnsi="Times New Roman"/>
                <w:sz w:val="15"/>
                <w:szCs w:val="15"/>
                <w:color w:val="231F20"/>
              </w:rPr>
              <w:t>Cherry Hill, NJ 08034</w:t>
            </w: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ind w:left="40"/>
              <w:spacing w:after="0" w:line="152" w:lineRule="exact"/>
              <w:rPr>
                <w:sz w:val="20"/>
                <w:szCs w:val="20"/>
                <w:color w:val="auto"/>
              </w:rPr>
            </w:pPr>
            <w:r>
              <w:rPr>
                <w:rFonts w:ascii="Times New Roman" w:cs="Times New Roman" w:eastAsia="Times New Roman" w:hAnsi="Times New Roman"/>
                <w:sz w:val="15"/>
                <w:szCs w:val="15"/>
                <w:color w:val="231F20"/>
              </w:rPr>
              <w:t>Five Below</w:t>
            </w: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40" w:type="dxa"/>
            <w:vAlign w:val="bottom"/>
          </w:tcPr>
          <w:p>
            <w:pPr>
              <w:ind w:left="40"/>
              <w:spacing w:after="0"/>
              <w:rPr>
                <w:sz w:val="20"/>
                <w:szCs w:val="20"/>
                <w:color w:val="auto"/>
              </w:rPr>
            </w:pPr>
            <w:r>
              <w:rPr>
                <w:rFonts w:ascii="Times New Roman" w:cs="Times New Roman" w:eastAsia="Times New Roman" w:hAnsi="Times New Roman"/>
                <w:sz w:val="15"/>
                <w:szCs w:val="15"/>
                <w:color w:val="231F20"/>
              </w:rPr>
              <w:t>RH Outlet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9720"/>
          </w:cols>
          <w:pgMar w:left="1060" w:top="1003" w:right="1100" w:bottom="0" w:gutter="0" w:footer="0" w:header="0"/>
        </w:sectPr>
      </w:pP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231F20"/>
        </w:rPr>
        <w:t>25</w:t>
      </w:r>
    </w:p>
    <w:p>
      <w:pPr>
        <w:sectPr>
          <w:pgSz w:w="11880" w:h="15480" w:orient="portrait"/>
          <w:cols w:equalWidth="0" w:num="1">
            <w:col w:w="9720"/>
          </w:cols>
          <w:pgMar w:left="1060" w:top="1003" w:right="1100" w:bottom="0" w:gutter="0" w:footer="0" w:header="0"/>
          <w:type w:val="continuous"/>
        </w:sectPr>
      </w:pPr>
    </w:p>
    <w:bookmarkStart w:id="33" w:name="page34"/>
    <w:bookmarkEnd w:id="33"/>
    <w:tbl>
      <w:tblPr>
        <w:tblLayout w:type="fixed"/>
        <w:tblInd w:w="0" w:type="dxa"/>
        <w:tblCellMar>
          <w:top w:w="0" w:type="dxa"/>
          <w:left w:w="0" w:type="dxa"/>
          <w:bottom w:w="0" w:type="dxa"/>
          <w:right w:w="0" w:type="dxa"/>
        </w:tblCellMar>
      </w:tblPr>
      <w:tr>
        <w:trPr>
          <w:trHeight w:val="172"/>
        </w:trPr>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231F20"/>
              </w:rPr>
              <w:t>Square</w:t>
            </w:r>
          </w:p>
        </w:tc>
        <w:tc>
          <w:tcPr>
            <w:tcW w:w="8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231F20"/>
              </w:rPr>
              <w:t>Average Base</w:t>
            </w: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231F20"/>
              </w:rPr>
              <w:t>Year</w:t>
            </w:r>
          </w:p>
        </w:tc>
        <w:tc>
          <w:tcPr>
            <w:tcW w:w="80" w:type="dxa"/>
            <w:vAlign w:val="bottom"/>
          </w:tcPr>
          <w:p>
            <w:pPr>
              <w:spacing w:after="0"/>
              <w:rPr>
                <w:sz w:val="13"/>
                <w:szCs w:val="13"/>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231F20"/>
              </w:rPr>
              <w:t>Year</w:t>
            </w:r>
          </w:p>
        </w:tc>
        <w:tc>
          <w:tcPr>
            <w:tcW w:w="80" w:type="dxa"/>
            <w:vAlign w:val="bottom"/>
          </w:tcPr>
          <w:p>
            <w:pPr>
              <w:spacing w:after="0"/>
              <w:rPr>
                <w:sz w:val="13"/>
                <w:szCs w:val="13"/>
                <w:color w:val="auto"/>
              </w:rPr>
            </w:pPr>
          </w:p>
        </w:tc>
        <w:tc>
          <w:tcPr>
            <w:tcW w:w="1020" w:type="dxa"/>
            <w:vAlign w:val="bottom"/>
          </w:tcPr>
          <w:p>
            <w:pPr>
              <w:jc w:val="right"/>
              <w:ind w:right="164"/>
              <w:spacing w:after="0" w:line="152" w:lineRule="exact"/>
              <w:rPr>
                <w:sz w:val="20"/>
                <w:szCs w:val="20"/>
                <w:color w:val="auto"/>
              </w:rPr>
            </w:pPr>
            <w:r>
              <w:rPr>
                <w:rFonts w:ascii="Times New Roman" w:cs="Times New Roman" w:eastAsia="Times New Roman" w:hAnsi="Times New Roman"/>
                <w:sz w:val="15"/>
                <w:szCs w:val="15"/>
                <w:b w:val="1"/>
                <w:bCs w:val="1"/>
                <w:color w:val="231F20"/>
              </w:rPr>
              <w:t>Feet(1) /</w:t>
            </w:r>
          </w:p>
        </w:tc>
        <w:tc>
          <w:tcPr>
            <w:tcW w:w="80" w:type="dxa"/>
            <w:vAlign w:val="bottom"/>
          </w:tcPr>
          <w:p>
            <w:pPr>
              <w:spacing w:after="0"/>
              <w:rPr>
                <w:sz w:val="13"/>
                <w:szCs w:val="13"/>
                <w:color w:val="auto"/>
              </w:rPr>
            </w:pPr>
          </w:p>
        </w:tc>
        <w:tc>
          <w:tcPr>
            <w:tcW w:w="1020" w:type="dxa"/>
            <w:vAlign w:val="bottom"/>
          </w:tcPr>
          <w:p>
            <w:pPr>
              <w:jc w:val="center"/>
              <w:spacing w:after="0" w:line="152" w:lineRule="exact"/>
              <w:rPr>
                <w:sz w:val="20"/>
                <w:szCs w:val="20"/>
                <w:color w:val="auto"/>
              </w:rPr>
            </w:pPr>
            <w:r>
              <w:rPr>
                <w:rFonts w:ascii="Times New Roman" w:cs="Times New Roman" w:eastAsia="Times New Roman" w:hAnsi="Times New Roman"/>
                <w:sz w:val="15"/>
                <w:szCs w:val="15"/>
                <w:b w:val="1"/>
                <w:bCs w:val="1"/>
                <w:color w:val="231F20"/>
              </w:rPr>
              <w:t>Rent Per</w:t>
            </w:r>
          </w:p>
        </w:tc>
        <w:tc>
          <w:tcPr>
            <w:tcW w:w="60" w:type="dxa"/>
            <w:vAlign w:val="bottom"/>
          </w:tcPr>
          <w:p>
            <w:pPr>
              <w:spacing w:after="0"/>
              <w:rPr>
                <w:sz w:val="13"/>
                <w:szCs w:val="13"/>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231F20"/>
              </w:rPr>
              <w:t>Percentage</w:t>
            </w:r>
          </w:p>
        </w:tc>
        <w:tc>
          <w:tcPr>
            <w:tcW w:w="8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2640" w:type="dxa"/>
            <w:vAlign w:val="bottom"/>
            <w:gridSpan w:val="3"/>
            <w:vMerge w:val="restart"/>
          </w:tcPr>
          <w:p>
            <w:pPr>
              <w:spacing w:after="0"/>
              <w:rPr>
                <w:sz w:val="20"/>
                <w:szCs w:val="20"/>
                <w:color w:val="auto"/>
              </w:rPr>
            </w:pPr>
            <w:r>
              <w:rPr>
                <w:rFonts w:ascii="Times New Roman" w:cs="Times New Roman" w:eastAsia="Times New Roman" w:hAnsi="Times New Roman"/>
                <w:sz w:val="15"/>
                <w:szCs w:val="15"/>
                <w:b w:val="1"/>
                <w:bCs w:val="1"/>
                <w:color w:val="231F20"/>
              </w:rPr>
              <w:t>Property, City, State, Zip Code</w:t>
            </w:r>
          </w:p>
        </w:tc>
        <w:tc>
          <w:tcPr>
            <w:tcW w:w="6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jc w:val="center"/>
              <w:spacing w:after="0" w:line="152" w:lineRule="exact"/>
              <w:rPr>
                <w:sz w:val="20"/>
                <w:szCs w:val="20"/>
                <w:color w:val="auto"/>
              </w:rPr>
            </w:pPr>
            <w:r>
              <w:rPr>
                <w:rFonts w:ascii="Times New Roman" w:cs="Times New Roman" w:eastAsia="Times New Roman" w:hAnsi="Times New Roman"/>
                <w:sz w:val="15"/>
                <w:szCs w:val="15"/>
                <w:b w:val="1"/>
                <w:bCs w:val="1"/>
                <w:color w:val="231F20"/>
              </w:rPr>
              <w:t>Apartment</w:t>
            </w:r>
          </w:p>
        </w:tc>
        <w:tc>
          <w:tcPr>
            <w:tcW w:w="80" w:type="dxa"/>
            <w:vAlign w:val="bottom"/>
          </w:tcPr>
          <w:p>
            <w:pPr>
              <w:spacing w:after="0"/>
              <w:rPr>
                <w:sz w:val="13"/>
                <w:szCs w:val="13"/>
                <w:color w:val="auto"/>
              </w:rPr>
            </w:pPr>
          </w:p>
        </w:tc>
        <w:tc>
          <w:tcPr>
            <w:tcW w:w="1020" w:type="dxa"/>
            <w:vAlign w:val="bottom"/>
          </w:tcPr>
          <w:p>
            <w:pPr>
              <w:jc w:val="center"/>
              <w:spacing w:after="0" w:line="152" w:lineRule="exact"/>
              <w:rPr>
                <w:sz w:val="20"/>
                <w:szCs w:val="20"/>
                <w:color w:val="auto"/>
              </w:rPr>
            </w:pPr>
            <w:r>
              <w:rPr>
                <w:rFonts w:ascii="Times New Roman" w:cs="Times New Roman" w:eastAsia="Times New Roman" w:hAnsi="Times New Roman"/>
                <w:sz w:val="15"/>
                <w:szCs w:val="15"/>
                <w:b w:val="1"/>
                <w:bCs w:val="1"/>
                <w:color w:val="231F20"/>
              </w:rPr>
              <w:t>Square</w:t>
            </w:r>
          </w:p>
        </w:tc>
        <w:tc>
          <w:tcPr>
            <w:tcW w:w="6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vMerge w:val="restart"/>
          </w:tcPr>
          <w:p>
            <w:pPr>
              <w:ind w:left="380"/>
              <w:spacing w:after="0"/>
              <w:rPr>
                <w:sz w:val="20"/>
                <w:szCs w:val="20"/>
                <w:color w:val="auto"/>
              </w:rPr>
            </w:pPr>
            <w:r>
              <w:rPr>
                <w:rFonts w:ascii="Times New Roman" w:cs="Times New Roman" w:eastAsia="Times New Roman" w:hAnsi="Times New Roman"/>
                <w:sz w:val="15"/>
                <w:szCs w:val="15"/>
                <w:b w:val="1"/>
                <w:bCs w:val="1"/>
                <w:color w:val="231F20"/>
              </w:rPr>
              <w:t>Principal Tenant(s)</w:t>
            </w:r>
          </w:p>
        </w:tc>
        <w:tc>
          <w:tcPr>
            <w:tcW w:w="0" w:type="dxa"/>
            <w:vAlign w:val="bottom"/>
          </w:tcPr>
          <w:p>
            <w:pPr>
              <w:spacing w:after="0"/>
              <w:rPr>
                <w:sz w:val="1"/>
                <w:szCs w:val="1"/>
                <w:color w:val="auto"/>
              </w:rPr>
            </w:pPr>
          </w:p>
        </w:tc>
      </w:tr>
      <w:tr>
        <w:trPr>
          <w:trHeight w:val="203"/>
        </w:trPr>
        <w:tc>
          <w:tcPr>
            <w:tcW w:w="60" w:type="dxa"/>
            <w:vAlign w:val="bottom"/>
            <w:tcBorders>
              <w:bottom w:val="single" w:sz="8" w:color="231F20"/>
            </w:tcBorders>
          </w:tcPr>
          <w:p>
            <w:pPr>
              <w:spacing w:after="0"/>
              <w:rPr>
                <w:sz w:val="17"/>
                <w:szCs w:val="17"/>
                <w:color w:val="auto"/>
              </w:rPr>
            </w:pPr>
          </w:p>
        </w:tc>
        <w:tc>
          <w:tcPr>
            <w:tcW w:w="2640" w:type="dxa"/>
            <w:vAlign w:val="bottom"/>
            <w:tcBorders>
              <w:bottom w:val="single" w:sz="8" w:color="231F20"/>
            </w:tcBorders>
            <w:gridSpan w:val="3"/>
            <w:vMerge w:val="continue"/>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5"/>
                <w:szCs w:val="15"/>
                <w:b w:val="1"/>
                <w:bCs w:val="1"/>
                <w:color w:val="231F20"/>
              </w:rPr>
              <w:t>Completed</w:t>
            </w:r>
          </w:p>
        </w:tc>
        <w:tc>
          <w:tcPr>
            <w:tcW w:w="80" w:type="dxa"/>
            <w:vAlign w:val="bottom"/>
          </w:tcPr>
          <w:p>
            <w:pPr>
              <w:spacing w:after="0"/>
              <w:rPr>
                <w:sz w:val="17"/>
                <w:szCs w:val="17"/>
                <w:color w:val="auto"/>
              </w:rPr>
            </w:pPr>
          </w:p>
        </w:tc>
        <w:tc>
          <w:tcPr>
            <w:tcW w:w="80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5"/>
                <w:szCs w:val="15"/>
                <w:b w:val="1"/>
                <w:bCs w:val="1"/>
                <w:color w:val="231F20"/>
                <w:w w:val="99"/>
              </w:rPr>
              <w:t>Acquired</w:t>
            </w:r>
          </w:p>
        </w:tc>
        <w:tc>
          <w:tcPr>
            <w:tcW w:w="80" w:type="dxa"/>
            <w:vAlign w:val="bottom"/>
          </w:tcPr>
          <w:p>
            <w:pPr>
              <w:spacing w:after="0"/>
              <w:rPr>
                <w:sz w:val="17"/>
                <w:szCs w:val="17"/>
                <w:color w:val="auto"/>
              </w:rPr>
            </w:pPr>
          </w:p>
        </w:tc>
        <w:tc>
          <w:tcPr>
            <w:tcW w:w="102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5"/>
                <w:szCs w:val="15"/>
                <w:b w:val="1"/>
                <w:bCs w:val="1"/>
                <w:color w:val="231F20"/>
                <w:w w:val="99"/>
              </w:rPr>
              <w:t>Units</w:t>
            </w:r>
          </w:p>
        </w:tc>
        <w:tc>
          <w:tcPr>
            <w:tcW w:w="80" w:type="dxa"/>
            <w:vAlign w:val="bottom"/>
          </w:tcPr>
          <w:p>
            <w:pPr>
              <w:spacing w:after="0"/>
              <w:rPr>
                <w:sz w:val="17"/>
                <w:szCs w:val="17"/>
                <w:color w:val="auto"/>
              </w:rPr>
            </w:pPr>
          </w:p>
        </w:tc>
        <w:tc>
          <w:tcPr>
            <w:tcW w:w="102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5"/>
                <w:szCs w:val="15"/>
                <w:b w:val="1"/>
                <w:bCs w:val="1"/>
                <w:color w:val="231F20"/>
              </w:rPr>
              <w:t>Foot(2)</w:t>
            </w:r>
          </w:p>
        </w:tc>
        <w:tc>
          <w:tcPr>
            <w:tcW w:w="60" w:type="dxa"/>
            <w:vAlign w:val="bottom"/>
          </w:tcPr>
          <w:p>
            <w:pPr>
              <w:spacing w:after="0"/>
              <w:rPr>
                <w:sz w:val="17"/>
                <w:szCs w:val="17"/>
                <w:color w:val="auto"/>
              </w:rPr>
            </w:pPr>
          </w:p>
        </w:tc>
        <w:tc>
          <w:tcPr>
            <w:tcW w:w="84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5"/>
                <w:szCs w:val="15"/>
                <w:b w:val="1"/>
                <w:bCs w:val="1"/>
                <w:color w:val="231F20"/>
              </w:rPr>
              <w:t>Leased(3)</w:t>
            </w:r>
          </w:p>
        </w:tc>
        <w:tc>
          <w:tcPr>
            <w:tcW w:w="80" w:type="dxa"/>
            <w:vAlign w:val="bottom"/>
          </w:tcPr>
          <w:p>
            <w:pPr>
              <w:spacing w:after="0"/>
              <w:rPr>
                <w:sz w:val="17"/>
                <w:szCs w:val="17"/>
                <w:color w:val="auto"/>
              </w:rPr>
            </w:pPr>
          </w:p>
        </w:tc>
        <w:tc>
          <w:tcPr>
            <w:tcW w:w="2040" w:type="dxa"/>
            <w:vAlign w:val="bottom"/>
            <w:tcBorders>
              <w:bottom w:val="single" w:sz="8" w:color="231F20"/>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60" w:type="dxa"/>
            <w:vAlign w:val="bottom"/>
          </w:tcPr>
          <w:p>
            <w:pPr>
              <w:spacing w:after="0"/>
              <w:rPr>
                <w:sz w:val="12"/>
                <w:szCs w:val="12"/>
                <w:color w:val="auto"/>
              </w:rPr>
            </w:pPr>
          </w:p>
        </w:tc>
        <w:tc>
          <w:tcPr>
            <w:tcW w:w="2640" w:type="dxa"/>
            <w:vAlign w:val="bottom"/>
            <w:gridSpan w:val="3"/>
          </w:tcPr>
          <w:p>
            <w:pPr>
              <w:spacing w:after="0" w:line="146" w:lineRule="exact"/>
              <w:rPr>
                <w:sz w:val="20"/>
                <w:szCs w:val="20"/>
                <w:color w:val="auto"/>
              </w:rPr>
            </w:pPr>
            <w:r>
              <w:rPr>
                <w:rFonts w:ascii="Times New Roman" w:cs="Times New Roman" w:eastAsia="Times New Roman" w:hAnsi="Times New Roman"/>
                <w:sz w:val="15"/>
                <w:szCs w:val="15"/>
                <w:color w:val="231F20"/>
              </w:rPr>
              <w:t>Hoboken</w:t>
            </w:r>
          </w:p>
        </w:tc>
        <w:tc>
          <w:tcPr>
            <w:tcW w:w="60" w:type="dxa"/>
            <w:vAlign w:val="bottom"/>
          </w:tcPr>
          <w:p>
            <w:pPr>
              <w:spacing w:after="0"/>
              <w:rPr>
                <w:sz w:val="12"/>
                <w:szCs w:val="12"/>
                <w:color w:val="auto"/>
              </w:rPr>
            </w:pPr>
          </w:p>
        </w:tc>
        <w:tc>
          <w:tcPr>
            <w:tcW w:w="860" w:type="dxa"/>
            <w:vAlign w:val="bottom"/>
          </w:tcPr>
          <w:p>
            <w:pPr>
              <w:jc w:val="center"/>
              <w:spacing w:after="0" w:line="146" w:lineRule="exact"/>
              <w:rPr>
                <w:sz w:val="20"/>
                <w:szCs w:val="20"/>
                <w:color w:val="auto"/>
              </w:rPr>
            </w:pPr>
            <w:r>
              <w:rPr>
                <w:rFonts w:ascii="Times New Roman" w:cs="Times New Roman" w:eastAsia="Times New Roman" w:hAnsi="Times New Roman"/>
                <w:sz w:val="15"/>
                <w:szCs w:val="15"/>
                <w:color w:val="231F20"/>
              </w:rPr>
              <w:t>1887-2006</w:t>
            </w:r>
          </w:p>
        </w:tc>
        <w:tc>
          <w:tcPr>
            <w:tcW w:w="80" w:type="dxa"/>
            <w:vAlign w:val="bottom"/>
          </w:tcPr>
          <w:p>
            <w:pPr>
              <w:spacing w:after="0"/>
              <w:rPr>
                <w:sz w:val="12"/>
                <w:szCs w:val="12"/>
                <w:color w:val="auto"/>
              </w:rPr>
            </w:pPr>
          </w:p>
        </w:tc>
        <w:tc>
          <w:tcPr>
            <w:tcW w:w="800" w:type="dxa"/>
            <w:vAlign w:val="bottom"/>
          </w:tcPr>
          <w:p>
            <w:pPr>
              <w:jc w:val="center"/>
              <w:spacing w:after="0" w:line="146" w:lineRule="exact"/>
              <w:rPr>
                <w:sz w:val="20"/>
                <w:szCs w:val="20"/>
                <w:color w:val="auto"/>
              </w:rPr>
            </w:pPr>
            <w:r>
              <w:rPr>
                <w:rFonts w:ascii="Times New Roman" w:cs="Times New Roman" w:eastAsia="Times New Roman" w:hAnsi="Times New Roman"/>
                <w:sz w:val="15"/>
                <w:szCs w:val="15"/>
                <w:color w:val="231F20"/>
                <w:w w:val="99"/>
              </w:rPr>
              <w:t>2019/2020/</w:t>
            </w:r>
          </w:p>
        </w:tc>
        <w:tc>
          <w:tcPr>
            <w:tcW w:w="80" w:type="dxa"/>
            <w:vAlign w:val="bottom"/>
          </w:tcPr>
          <w:p>
            <w:pPr>
              <w:spacing w:after="0"/>
              <w:rPr>
                <w:sz w:val="12"/>
                <w:szCs w:val="12"/>
                <w:color w:val="auto"/>
              </w:rPr>
            </w:pPr>
          </w:p>
        </w:tc>
        <w:tc>
          <w:tcPr>
            <w:tcW w:w="1020" w:type="dxa"/>
            <w:vAlign w:val="bottom"/>
          </w:tcPr>
          <w:p>
            <w:pPr>
              <w:jc w:val="right"/>
              <w:ind w:right="164"/>
              <w:spacing w:after="0" w:line="146" w:lineRule="exact"/>
              <w:rPr>
                <w:sz w:val="20"/>
                <w:szCs w:val="20"/>
                <w:color w:val="auto"/>
              </w:rPr>
            </w:pPr>
            <w:r>
              <w:rPr>
                <w:rFonts w:ascii="Times New Roman" w:cs="Times New Roman" w:eastAsia="Times New Roman" w:hAnsi="Times New Roman"/>
                <w:sz w:val="15"/>
                <w:szCs w:val="15"/>
                <w:color w:val="231F20"/>
              </w:rPr>
              <w:t>171,000</w:t>
            </w:r>
          </w:p>
        </w:tc>
        <w:tc>
          <w:tcPr>
            <w:tcW w:w="80" w:type="dxa"/>
            <w:vAlign w:val="bottom"/>
          </w:tcPr>
          <w:p>
            <w:pPr>
              <w:spacing w:after="0"/>
              <w:rPr>
                <w:sz w:val="12"/>
                <w:szCs w:val="12"/>
                <w:color w:val="auto"/>
              </w:rPr>
            </w:pPr>
          </w:p>
        </w:tc>
        <w:tc>
          <w:tcPr>
            <w:tcW w:w="1020" w:type="dxa"/>
            <w:vAlign w:val="bottom"/>
          </w:tcPr>
          <w:p>
            <w:pPr>
              <w:jc w:val="center"/>
              <w:spacing w:after="0" w:line="146" w:lineRule="exact"/>
              <w:rPr>
                <w:sz w:val="20"/>
                <w:szCs w:val="20"/>
                <w:color w:val="auto"/>
              </w:rPr>
            </w:pPr>
            <w:r>
              <w:rPr>
                <w:rFonts w:ascii="Times New Roman" w:cs="Times New Roman" w:eastAsia="Times New Roman" w:hAnsi="Times New Roman"/>
                <w:sz w:val="15"/>
                <w:szCs w:val="15"/>
                <w:color w:val="231F20"/>
              </w:rPr>
              <w:t>$62.98</w:t>
            </w:r>
          </w:p>
        </w:tc>
        <w:tc>
          <w:tcPr>
            <w:tcW w:w="60" w:type="dxa"/>
            <w:vAlign w:val="bottom"/>
          </w:tcPr>
          <w:p>
            <w:pPr>
              <w:spacing w:after="0"/>
              <w:rPr>
                <w:sz w:val="12"/>
                <w:szCs w:val="12"/>
                <w:color w:val="auto"/>
              </w:rPr>
            </w:pPr>
          </w:p>
        </w:tc>
        <w:tc>
          <w:tcPr>
            <w:tcW w:w="840" w:type="dxa"/>
            <w:vAlign w:val="bottom"/>
          </w:tcPr>
          <w:p>
            <w:pPr>
              <w:jc w:val="center"/>
              <w:spacing w:after="0" w:line="146" w:lineRule="exact"/>
              <w:rPr>
                <w:sz w:val="20"/>
                <w:szCs w:val="20"/>
                <w:color w:val="auto"/>
              </w:rPr>
            </w:pPr>
            <w:r>
              <w:rPr>
                <w:rFonts w:ascii="Times New Roman" w:cs="Times New Roman" w:eastAsia="Times New Roman" w:hAnsi="Times New Roman"/>
                <w:sz w:val="15"/>
                <w:szCs w:val="15"/>
                <w:color w:val="231F20"/>
              </w:rPr>
              <w:t>97%</w:t>
            </w:r>
          </w:p>
        </w:tc>
        <w:tc>
          <w:tcPr>
            <w:tcW w:w="80" w:type="dxa"/>
            <w:vAlign w:val="bottom"/>
          </w:tcPr>
          <w:p>
            <w:pPr>
              <w:spacing w:after="0"/>
              <w:rPr>
                <w:sz w:val="12"/>
                <w:szCs w:val="12"/>
                <w:color w:val="auto"/>
              </w:rPr>
            </w:pPr>
          </w:p>
        </w:tc>
        <w:tc>
          <w:tcPr>
            <w:tcW w:w="2040" w:type="dxa"/>
            <w:vAlign w:val="bottom"/>
          </w:tcPr>
          <w:p>
            <w:pPr>
              <w:ind w:left="40"/>
              <w:spacing w:after="0" w:line="146" w:lineRule="exact"/>
              <w:rPr>
                <w:sz w:val="20"/>
                <w:szCs w:val="20"/>
                <w:color w:val="auto"/>
              </w:rPr>
            </w:pPr>
            <w:r>
              <w:rPr>
                <w:rFonts w:ascii="Times New Roman" w:cs="Times New Roman" w:eastAsia="Times New Roman" w:hAnsi="Times New Roman"/>
                <w:sz w:val="15"/>
                <w:szCs w:val="15"/>
                <w:color w:val="231F20"/>
              </w:rPr>
              <w:t>CVS</w:t>
            </w: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2640" w:type="dxa"/>
            <w:vAlign w:val="bottom"/>
            <w:gridSpan w:val="3"/>
          </w:tcPr>
          <w:p>
            <w:pPr>
              <w:ind w:left="100"/>
              <w:spacing w:after="0" w:line="152" w:lineRule="exact"/>
              <w:rPr>
                <w:sz w:val="20"/>
                <w:szCs w:val="20"/>
                <w:color w:val="auto"/>
              </w:rPr>
            </w:pPr>
            <w:r>
              <w:rPr>
                <w:rFonts w:ascii="Times New Roman" w:cs="Times New Roman" w:eastAsia="Times New Roman" w:hAnsi="Times New Roman"/>
                <w:sz w:val="15"/>
                <w:szCs w:val="15"/>
                <w:color w:val="231F20"/>
              </w:rPr>
              <w:t>Hoboken, NJ 07030(4)(6)(12)</w:t>
            </w: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80" w:type="dxa"/>
            <w:vAlign w:val="bottom"/>
            <w:gridSpan w:val="2"/>
          </w:tcPr>
          <w:p>
            <w:pPr>
              <w:jc w:val="center"/>
              <w:ind w:left="24"/>
              <w:spacing w:after="0" w:line="152" w:lineRule="exact"/>
              <w:rPr>
                <w:sz w:val="20"/>
                <w:szCs w:val="20"/>
                <w:color w:val="auto"/>
              </w:rPr>
            </w:pPr>
            <w:r>
              <w:rPr>
                <w:rFonts w:ascii="Times New Roman" w:cs="Times New Roman" w:eastAsia="Times New Roman" w:hAnsi="Times New Roman"/>
                <w:sz w:val="15"/>
                <w:szCs w:val="15"/>
                <w:color w:val="231F20"/>
                <w:w w:val="99"/>
              </w:rPr>
              <w:t>2022</w:t>
            </w: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ind w:left="40"/>
              <w:spacing w:after="0" w:line="152" w:lineRule="exact"/>
              <w:rPr>
                <w:sz w:val="20"/>
                <w:szCs w:val="20"/>
                <w:color w:val="auto"/>
              </w:rPr>
            </w:pPr>
            <w:r>
              <w:rPr>
                <w:rFonts w:ascii="Times New Roman" w:cs="Times New Roman" w:eastAsia="Times New Roman" w:hAnsi="Times New Roman"/>
                <w:sz w:val="15"/>
                <w:szCs w:val="15"/>
                <w:color w:val="231F20"/>
              </w:rPr>
              <w:t>New York Sports Club</w:t>
            </w: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231F20"/>
              </w:rPr>
              <w:t>129 units</w:t>
            </w:r>
          </w:p>
        </w:tc>
        <w:tc>
          <w:tcPr>
            <w:tcW w:w="80" w:type="dxa"/>
            <w:vAlign w:val="bottom"/>
          </w:tcPr>
          <w:p>
            <w:pPr>
              <w:spacing w:after="0"/>
              <w:rPr>
                <w:sz w:val="13"/>
                <w:szCs w:val="13"/>
                <w:color w:val="auto"/>
              </w:rPr>
            </w:pPr>
          </w:p>
        </w:tc>
        <w:tc>
          <w:tcPr>
            <w:tcW w:w="1020" w:type="dxa"/>
            <w:vAlign w:val="bottom"/>
            <w:vMerge w:val="restart"/>
          </w:tcPr>
          <w:p>
            <w:pPr>
              <w:ind w:left="420"/>
              <w:spacing w:after="0"/>
              <w:rPr>
                <w:sz w:val="20"/>
                <w:szCs w:val="20"/>
                <w:color w:val="auto"/>
              </w:rPr>
            </w:pPr>
            <w:r>
              <w:rPr>
                <w:rFonts w:ascii="Times New Roman" w:cs="Times New Roman" w:eastAsia="Times New Roman" w:hAnsi="Times New Roman"/>
                <w:sz w:val="15"/>
                <w:szCs w:val="15"/>
                <w:color w:val="231F20"/>
              </w:rPr>
              <w:t>N/A</w:t>
            </w:r>
          </w:p>
        </w:tc>
        <w:tc>
          <w:tcPr>
            <w:tcW w:w="900" w:type="dxa"/>
            <w:vAlign w:val="bottom"/>
            <w:gridSpan w:val="2"/>
            <w:vMerge w:val="restart"/>
          </w:tcPr>
          <w:p>
            <w:pPr>
              <w:jc w:val="center"/>
              <w:ind w:left="24"/>
              <w:spacing w:after="0"/>
              <w:rPr>
                <w:sz w:val="20"/>
                <w:szCs w:val="20"/>
                <w:color w:val="auto"/>
              </w:rPr>
            </w:pPr>
            <w:r>
              <w:rPr>
                <w:rFonts w:ascii="Times New Roman" w:cs="Times New Roman" w:eastAsia="Times New Roman" w:hAnsi="Times New Roman"/>
                <w:sz w:val="15"/>
                <w:szCs w:val="15"/>
                <w:color w:val="231F20"/>
              </w:rPr>
              <w:t>96%</w:t>
            </w:r>
          </w:p>
        </w:tc>
        <w:tc>
          <w:tcPr>
            <w:tcW w:w="80" w:type="dxa"/>
            <w:vAlign w:val="bottom"/>
          </w:tcPr>
          <w:p>
            <w:pPr>
              <w:spacing w:after="0"/>
              <w:rPr>
                <w:sz w:val="13"/>
                <w:szCs w:val="13"/>
                <w:color w:val="auto"/>
              </w:rPr>
            </w:pPr>
          </w:p>
        </w:tc>
        <w:tc>
          <w:tcPr>
            <w:tcW w:w="2040" w:type="dxa"/>
            <w:vAlign w:val="bottom"/>
          </w:tcPr>
          <w:p>
            <w:pPr>
              <w:ind w:left="40"/>
              <w:spacing w:after="0" w:line="152" w:lineRule="exact"/>
              <w:rPr>
                <w:sz w:val="20"/>
                <w:szCs w:val="20"/>
                <w:color w:val="auto"/>
              </w:rPr>
            </w:pPr>
            <w:r>
              <w:rPr>
                <w:rFonts w:ascii="Times New Roman" w:cs="Times New Roman" w:eastAsia="Times New Roman" w:hAnsi="Times New Roman"/>
                <w:sz w:val="15"/>
                <w:szCs w:val="15"/>
                <w:color w:val="231F20"/>
              </w:rPr>
              <w:t>Sephora</w:t>
            </w:r>
          </w:p>
        </w:tc>
        <w:tc>
          <w:tcPr>
            <w:tcW w:w="0" w:type="dxa"/>
            <w:vAlign w:val="bottom"/>
          </w:tcPr>
          <w:p>
            <w:pPr>
              <w:spacing w:after="0"/>
              <w:rPr>
                <w:sz w:val="1"/>
                <w:szCs w:val="1"/>
                <w:color w:val="auto"/>
              </w:rPr>
            </w:pPr>
          </w:p>
        </w:tc>
      </w:tr>
      <w:tr>
        <w:trPr>
          <w:trHeight w:val="98"/>
        </w:trPr>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780" w:type="dxa"/>
            <w:vAlign w:val="bottom"/>
          </w:tcPr>
          <w:p>
            <w:pPr>
              <w:spacing w:after="0"/>
              <w:rPr>
                <w:sz w:val="8"/>
                <w:szCs w:val="8"/>
                <w:color w:val="auto"/>
              </w:rPr>
            </w:pPr>
          </w:p>
        </w:tc>
        <w:tc>
          <w:tcPr>
            <w:tcW w:w="6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vMerge w:val="continue"/>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204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231F20"/>
              </w:rPr>
              <w:t>Multiple Restaurants</w:t>
            </w:r>
          </w:p>
        </w:tc>
        <w:tc>
          <w:tcPr>
            <w:tcW w:w="0" w:type="dxa"/>
            <w:vAlign w:val="bottom"/>
          </w:tcPr>
          <w:p>
            <w:pPr>
              <w:spacing w:after="0"/>
              <w:rPr>
                <w:sz w:val="1"/>
                <w:szCs w:val="1"/>
                <w:color w:val="auto"/>
              </w:rPr>
            </w:pPr>
          </w:p>
        </w:tc>
      </w:tr>
      <w:tr>
        <w:trPr>
          <w:trHeight w:val="100"/>
        </w:trPr>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780" w:type="dxa"/>
            <w:vAlign w:val="bottom"/>
          </w:tcPr>
          <w:p>
            <w:pPr>
              <w:spacing w:after="0"/>
              <w:rPr>
                <w:sz w:val="8"/>
                <w:szCs w:val="8"/>
                <w:color w:val="auto"/>
              </w:rPr>
            </w:pPr>
          </w:p>
        </w:tc>
        <w:tc>
          <w:tcPr>
            <w:tcW w:w="6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3"/>
        </w:trPr>
        <w:tc>
          <w:tcPr>
            <w:tcW w:w="60" w:type="dxa"/>
            <w:vAlign w:val="bottom"/>
          </w:tcPr>
          <w:p>
            <w:pPr>
              <w:spacing w:after="0"/>
              <w:rPr>
                <w:sz w:val="15"/>
                <w:szCs w:val="15"/>
                <w:color w:val="auto"/>
              </w:rPr>
            </w:pPr>
          </w:p>
        </w:tc>
        <w:tc>
          <w:tcPr>
            <w:tcW w:w="2640" w:type="dxa"/>
            <w:vAlign w:val="bottom"/>
            <w:gridSpan w:val="3"/>
          </w:tcPr>
          <w:p>
            <w:pPr>
              <w:spacing w:after="0"/>
              <w:rPr>
                <w:sz w:val="20"/>
                <w:szCs w:val="20"/>
                <w:color w:val="auto"/>
              </w:rPr>
            </w:pPr>
            <w:r>
              <w:rPr>
                <w:rFonts w:ascii="Times New Roman" w:cs="Times New Roman" w:eastAsia="Times New Roman" w:hAnsi="Times New Roman"/>
                <w:sz w:val="15"/>
                <w:szCs w:val="15"/>
                <w:color w:val="231F20"/>
              </w:rPr>
              <w:t>Mercer on One</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231F20"/>
                <w:w w:val="99"/>
              </w:rPr>
              <w:t>1975</w:t>
            </w:r>
          </w:p>
        </w:tc>
        <w:tc>
          <w:tcPr>
            <w:tcW w:w="880" w:type="dxa"/>
            <w:vAlign w:val="bottom"/>
            <w:gridSpan w:val="2"/>
          </w:tcPr>
          <w:p>
            <w:pPr>
              <w:jc w:val="center"/>
              <w:ind w:left="4"/>
              <w:spacing w:after="0"/>
              <w:rPr>
                <w:sz w:val="20"/>
                <w:szCs w:val="20"/>
                <w:color w:val="auto"/>
              </w:rPr>
            </w:pPr>
            <w:r>
              <w:rPr>
                <w:rFonts w:ascii="Times New Roman" w:cs="Times New Roman" w:eastAsia="Times New Roman" w:hAnsi="Times New Roman"/>
                <w:sz w:val="15"/>
                <w:szCs w:val="15"/>
                <w:color w:val="231F20"/>
                <w:w w:val="99"/>
              </w:rPr>
              <w:t>2003/2017/</w:t>
            </w:r>
          </w:p>
        </w:tc>
        <w:tc>
          <w:tcPr>
            <w:tcW w:w="1100" w:type="dxa"/>
            <w:vAlign w:val="bottom"/>
            <w:gridSpan w:val="2"/>
          </w:tcPr>
          <w:p>
            <w:pPr>
              <w:jc w:val="right"/>
              <w:ind w:right="164"/>
              <w:spacing w:after="0"/>
              <w:rPr>
                <w:sz w:val="20"/>
                <w:szCs w:val="20"/>
                <w:color w:val="auto"/>
              </w:rPr>
            </w:pPr>
            <w:r>
              <w:rPr>
                <w:rFonts w:ascii="Times New Roman" w:cs="Times New Roman" w:eastAsia="Times New Roman" w:hAnsi="Times New Roman"/>
                <w:sz w:val="15"/>
                <w:szCs w:val="15"/>
                <w:color w:val="231F20"/>
              </w:rPr>
              <w:t>551,000</w:t>
            </w:r>
          </w:p>
        </w:tc>
        <w:tc>
          <w:tcPr>
            <w:tcW w:w="1100" w:type="dxa"/>
            <w:vAlign w:val="bottom"/>
            <w:gridSpan w:val="2"/>
          </w:tcPr>
          <w:p>
            <w:pPr>
              <w:jc w:val="center"/>
              <w:ind w:left="44"/>
              <w:spacing w:after="0"/>
              <w:rPr>
                <w:sz w:val="20"/>
                <w:szCs w:val="20"/>
                <w:color w:val="auto"/>
              </w:rPr>
            </w:pPr>
            <w:r>
              <w:rPr>
                <w:rFonts w:ascii="Times New Roman" w:cs="Times New Roman" w:eastAsia="Times New Roman" w:hAnsi="Times New Roman"/>
                <w:sz w:val="15"/>
                <w:szCs w:val="15"/>
                <w:color w:val="231F20"/>
              </w:rPr>
              <w:t>$29.16</w:t>
            </w:r>
          </w:p>
        </w:tc>
        <w:tc>
          <w:tcPr>
            <w:tcW w:w="900" w:type="dxa"/>
            <w:vAlign w:val="bottom"/>
            <w:gridSpan w:val="2"/>
          </w:tcPr>
          <w:p>
            <w:pPr>
              <w:jc w:val="center"/>
              <w:ind w:left="24"/>
              <w:spacing w:after="0"/>
              <w:rPr>
                <w:sz w:val="20"/>
                <w:szCs w:val="20"/>
                <w:color w:val="auto"/>
              </w:rPr>
            </w:pPr>
            <w:r>
              <w:rPr>
                <w:rFonts w:ascii="Times New Roman" w:cs="Times New Roman" w:eastAsia="Times New Roman" w:hAnsi="Times New Roman"/>
                <w:sz w:val="15"/>
                <w:szCs w:val="15"/>
                <w:color w:val="231F20"/>
              </w:rPr>
              <w:t>97%</w:t>
            </w:r>
          </w:p>
        </w:tc>
        <w:tc>
          <w:tcPr>
            <w:tcW w:w="80" w:type="dxa"/>
            <w:vAlign w:val="bottom"/>
          </w:tcPr>
          <w:p>
            <w:pPr>
              <w:spacing w:after="0"/>
              <w:rPr>
                <w:sz w:val="15"/>
                <w:szCs w:val="15"/>
                <w:color w:val="auto"/>
              </w:rPr>
            </w:pPr>
          </w:p>
        </w:tc>
        <w:tc>
          <w:tcPr>
            <w:tcW w:w="2040" w:type="dxa"/>
            <w:vAlign w:val="bottom"/>
          </w:tcPr>
          <w:p>
            <w:pPr>
              <w:ind w:left="40"/>
              <w:spacing w:after="0"/>
              <w:rPr>
                <w:sz w:val="20"/>
                <w:szCs w:val="20"/>
                <w:color w:val="auto"/>
              </w:rPr>
            </w:pPr>
            <w:r>
              <w:rPr>
                <w:rFonts w:ascii="Times New Roman" w:cs="Times New Roman" w:eastAsia="Times New Roman" w:hAnsi="Times New Roman"/>
                <w:sz w:val="15"/>
                <w:szCs w:val="15"/>
                <w:color w:val="231F20"/>
              </w:rPr>
              <w:t>Shop Rite</w:t>
            </w: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2640" w:type="dxa"/>
            <w:vAlign w:val="bottom"/>
            <w:gridSpan w:val="3"/>
          </w:tcPr>
          <w:p>
            <w:pPr>
              <w:ind w:left="100"/>
              <w:spacing w:after="0" w:line="152" w:lineRule="exact"/>
              <w:rPr>
                <w:sz w:val="20"/>
                <w:szCs w:val="20"/>
                <w:color w:val="auto"/>
              </w:rPr>
            </w:pPr>
            <w:r>
              <w:rPr>
                <w:rFonts w:ascii="Times New Roman" w:cs="Times New Roman" w:eastAsia="Times New Roman" w:hAnsi="Times New Roman"/>
                <w:sz w:val="15"/>
                <w:szCs w:val="15"/>
                <w:color w:val="231F20"/>
              </w:rPr>
              <w:t>Lawrenceville, NJ 08648(7)</w:t>
            </w: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80" w:type="dxa"/>
            <w:vAlign w:val="bottom"/>
            <w:gridSpan w:val="2"/>
          </w:tcPr>
          <w:p>
            <w:pPr>
              <w:jc w:val="center"/>
              <w:ind w:left="24"/>
              <w:spacing w:after="0" w:line="152" w:lineRule="exact"/>
              <w:rPr>
                <w:sz w:val="20"/>
                <w:szCs w:val="20"/>
                <w:color w:val="auto"/>
              </w:rPr>
            </w:pPr>
            <w:r>
              <w:rPr>
                <w:rFonts w:ascii="Times New Roman" w:cs="Times New Roman" w:eastAsia="Times New Roman" w:hAnsi="Times New Roman"/>
                <w:sz w:val="15"/>
                <w:szCs w:val="15"/>
                <w:color w:val="231F20"/>
                <w:w w:val="99"/>
              </w:rPr>
              <w:t>2023</w:t>
            </w: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ind w:left="40"/>
              <w:spacing w:after="0" w:line="152" w:lineRule="exact"/>
              <w:rPr>
                <w:sz w:val="20"/>
                <w:szCs w:val="20"/>
                <w:color w:val="auto"/>
              </w:rPr>
            </w:pPr>
            <w:r>
              <w:rPr>
                <w:rFonts w:ascii="Times New Roman" w:cs="Times New Roman" w:eastAsia="Times New Roman" w:hAnsi="Times New Roman"/>
                <w:sz w:val="15"/>
                <w:szCs w:val="15"/>
                <w:color w:val="231F20"/>
              </w:rPr>
              <w:t>Nike</w:t>
            </w: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ind w:left="40"/>
              <w:spacing w:after="0" w:line="152" w:lineRule="exact"/>
              <w:rPr>
                <w:sz w:val="20"/>
                <w:szCs w:val="20"/>
                <w:color w:val="auto"/>
              </w:rPr>
            </w:pPr>
            <w:r>
              <w:rPr>
                <w:rFonts w:ascii="Times New Roman" w:cs="Times New Roman" w:eastAsia="Times New Roman" w:hAnsi="Times New Roman"/>
                <w:sz w:val="15"/>
                <w:szCs w:val="15"/>
                <w:color w:val="231F20"/>
              </w:rPr>
              <w:t>Ross Dress for Less</w:t>
            </w: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ind w:left="40"/>
              <w:spacing w:after="0" w:line="152" w:lineRule="exact"/>
              <w:rPr>
                <w:sz w:val="20"/>
                <w:szCs w:val="20"/>
                <w:color w:val="auto"/>
              </w:rPr>
            </w:pPr>
            <w:r>
              <w:rPr>
                <w:rFonts w:ascii="Times New Roman" w:cs="Times New Roman" w:eastAsia="Times New Roman" w:hAnsi="Times New Roman"/>
                <w:sz w:val="15"/>
                <w:szCs w:val="15"/>
                <w:color w:val="231F20"/>
              </w:rPr>
              <w:t>Nordstrom Rack</w:t>
            </w: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ind w:left="40"/>
              <w:spacing w:after="0" w:line="152" w:lineRule="exact"/>
              <w:rPr>
                <w:sz w:val="20"/>
                <w:szCs w:val="20"/>
                <w:color w:val="auto"/>
              </w:rPr>
            </w:pPr>
            <w:r>
              <w:rPr>
                <w:rFonts w:ascii="Times New Roman" w:cs="Times New Roman" w:eastAsia="Times New Roman" w:hAnsi="Times New Roman"/>
                <w:sz w:val="15"/>
                <w:szCs w:val="15"/>
                <w:color w:val="231F20"/>
              </w:rPr>
              <w:t>REI</w:t>
            </w: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40" w:type="dxa"/>
            <w:vAlign w:val="bottom"/>
          </w:tcPr>
          <w:p>
            <w:pPr>
              <w:ind w:left="40"/>
              <w:spacing w:after="0"/>
              <w:rPr>
                <w:sz w:val="20"/>
                <w:szCs w:val="20"/>
                <w:color w:val="auto"/>
              </w:rPr>
            </w:pPr>
            <w:r>
              <w:rPr>
                <w:rFonts w:ascii="Times New Roman" w:cs="Times New Roman" w:eastAsia="Times New Roman" w:hAnsi="Times New Roman"/>
                <w:sz w:val="15"/>
                <w:szCs w:val="15"/>
                <w:color w:val="231F20"/>
              </w:rPr>
              <w:t>Tesla</w:t>
            </w:r>
          </w:p>
        </w:tc>
        <w:tc>
          <w:tcPr>
            <w:tcW w:w="0" w:type="dxa"/>
            <w:vAlign w:val="bottom"/>
          </w:tcPr>
          <w:p>
            <w:pPr>
              <w:spacing w:after="0"/>
              <w:rPr>
                <w:sz w:val="1"/>
                <w:szCs w:val="1"/>
                <w:color w:val="auto"/>
              </w:rPr>
            </w:pPr>
          </w:p>
        </w:tc>
      </w:tr>
      <w:tr>
        <w:trPr>
          <w:trHeight w:val="164"/>
        </w:trPr>
        <w:tc>
          <w:tcPr>
            <w:tcW w:w="60" w:type="dxa"/>
            <w:vAlign w:val="bottom"/>
          </w:tcPr>
          <w:p>
            <w:pPr>
              <w:spacing w:after="0"/>
              <w:rPr>
                <w:sz w:val="14"/>
                <w:szCs w:val="14"/>
                <w:color w:val="auto"/>
              </w:rPr>
            </w:pPr>
          </w:p>
        </w:tc>
        <w:tc>
          <w:tcPr>
            <w:tcW w:w="2640" w:type="dxa"/>
            <w:vAlign w:val="bottom"/>
            <w:gridSpan w:val="3"/>
          </w:tcPr>
          <w:p>
            <w:pPr>
              <w:spacing w:after="0" w:line="164" w:lineRule="exact"/>
              <w:rPr>
                <w:sz w:val="20"/>
                <w:szCs w:val="20"/>
                <w:color w:val="auto"/>
              </w:rPr>
            </w:pPr>
            <w:r>
              <w:rPr>
                <w:rFonts w:ascii="Times New Roman" w:cs="Times New Roman" w:eastAsia="Times New Roman" w:hAnsi="Times New Roman"/>
                <w:sz w:val="15"/>
                <w:szCs w:val="15"/>
                <w:color w:val="231F20"/>
              </w:rPr>
              <w:t>The Grove at Shrewsbury</w:t>
            </w:r>
          </w:p>
        </w:tc>
        <w:tc>
          <w:tcPr>
            <w:tcW w:w="920" w:type="dxa"/>
            <w:vAlign w:val="bottom"/>
            <w:gridSpan w:val="2"/>
          </w:tcPr>
          <w:p>
            <w:pPr>
              <w:jc w:val="center"/>
              <w:ind w:left="4"/>
              <w:spacing w:after="0" w:line="164" w:lineRule="exact"/>
              <w:rPr>
                <w:sz w:val="20"/>
                <w:szCs w:val="20"/>
                <w:color w:val="auto"/>
              </w:rPr>
            </w:pPr>
            <w:r>
              <w:rPr>
                <w:rFonts w:ascii="Times New Roman" w:cs="Times New Roman" w:eastAsia="Times New Roman" w:hAnsi="Times New Roman"/>
                <w:sz w:val="15"/>
                <w:szCs w:val="15"/>
                <w:color w:val="231F20"/>
              </w:rPr>
              <w:t>1988, 1993</w:t>
            </w:r>
          </w:p>
        </w:tc>
        <w:tc>
          <w:tcPr>
            <w:tcW w:w="880" w:type="dxa"/>
            <w:vAlign w:val="bottom"/>
            <w:gridSpan w:val="2"/>
          </w:tcPr>
          <w:p>
            <w:pPr>
              <w:jc w:val="center"/>
              <w:ind w:left="24"/>
              <w:spacing w:after="0" w:line="164" w:lineRule="exact"/>
              <w:rPr>
                <w:sz w:val="20"/>
                <w:szCs w:val="20"/>
                <w:color w:val="auto"/>
              </w:rPr>
            </w:pPr>
            <w:r>
              <w:rPr>
                <w:rFonts w:ascii="Times New Roman" w:cs="Times New Roman" w:eastAsia="Times New Roman" w:hAnsi="Times New Roman"/>
                <w:sz w:val="15"/>
                <w:szCs w:val="15"/>
                <w:color w:val="231F20"/>
                <w:w w:val="99"/>
              </w:rPr>
              <w:t>2014</w:t>
            </w:r>
          </w:p>
        </w:tc>
        <w:tc>
          <w:tcPr>
            <w:tcW w:w="1100" w:type="dxa"/>
            <w:vAlign w:val="bottom"/>
            <w:gridSpan w:val="2"/>
          </w:tcPr>
          <w:p>
            <w:pPr>
              <w:jc w:val="right"/>
              <w:ind w:right="164"/>
              <w:spacing w:after="0" w:line="164" w:lineRule="exact"/>
              <w:rPr>
                <w:sz w:val="20"/>
                <w:szCs w:val="20"/>
                <w:color w:val="auto"/>
              </w:rPr>
            </w:pPr>
            <w:r>
              <w:rPr>
                <w:rFonts w:ascii="Times New Roman" w:cs="Times New Roman" w:eastAsia="Times New Roman" w:hAnsi="Times New Roman"/>
                <w:sz w:val="15"/>
                <w:szCs w:val="15"/>
                <w:color w:val="231F20"/>
              </w:rPr>
              <w:t>191,000</w:t>
            </w:r>
          </w:p>
        </w:tc>
        <w:tc>
          <w:tcPr>
            <w:tcW w:w="1100" w:type="dxa"/>
            <w:vAlign w:val="bottom"/>
            <w:gridSpan w:val="2"/>
          </w:tcPr>
          <w:p>
            <w:pPr>
              <w:jc w:val="center"/>
              <w:ind w:left="44"/>
              <w:spacing w:after="0" w:line="164" w:lineRule="exact"/>
              <w:rPr>
                <w:sz w:val="20"/>
                <w:szCs w:val="20"/>
                <w:color w:val="auto"/>
              </w:rPr>
            </w:pPr>
            <w:r>
              <w:rPr>
                <w:rFonts w:ascii="Times New Roman" w:cs="Times New Roman" w:eastAsia="Times New Roman" w:hAnsi="Times New Roman"/>
                <w:sz w:val="15"/>
                <w:szCs w:val="15"/>
                <w:color w:val="231F20"/>
              </w:rPr>
              <w:t>$56.91</w:t>
            </w:r>
          </w:p>
        </w:tc>
        <w:tc>
          <w:tcPr>
            <w:tcW w:w="900" w:type="dxa"/>
            <w:vAlign w:val="bottom"/>
            <w:gridSpan w:val="2"/>
          </w:tcPr>
          <w:p>
            <w:pPr>
              <w:jc w:val="center"/>
              <w:ind w:left="24"/>
              <w:spacing w:after="0" w:line="164" w:lineRule="exact"/>
              <w:rPr>
                <w:sz w:val="20"/>
                <w:szCs w:val="20"/>
                <w:color w:val="auto"/>
              </w:rPr>
            </w:pPr>
            <w:r>
              <w:rPr>
                <w:rFonts w:ascii="Times New Roman" w:cs="Times New Roman" w:eastAsia="Times New Roman" w:hAnsi="Times New Roman"/>
                <w:sz w:val="15"/>
                <w:szCs w:val="15"/>
                <w:color w:val="231F20"/>
              </w:rPr>
              <w:t>99%</w:t>
            </w:r>
          </w:p>
        </w:tc>
        <w:tc>
          <w:tcPr>
            <w:tcW w:w="80" w:type="dxa"/>
            <w:vAlign w:val="bottom"/>
          </w:tcPr>
          <w:p>
            <w:pPr>
              <w:spacing w:after="0"/>
              <w:rPr>
                <w:sz w:val="14"/>
                <w:szCs w:val="14"/>
                <w:color w:val="auto"/>
              </w:rPr>
            </w:pPr>
          </w:p>
        </w:tc>
        <w:tc>
          <w:tcPr>
            <w:tcW w:w="2040" w:type="dxa"/>
            <w:vAlign w:val="bottom"/>
          </w:tcPr>
          <w:p>
            <w:pPr>
              <w:ind w:left="40"/>
              <w:spacing w:after="0" w:line="164" w:lineRule="exact"/>
              <w:rPr>
                <w:sz w:val="20"/>
                <w:szCs w:val="20"/>
                <w:color w:val="auto"/>
              </w:rPr>
            </w:pPr>
            <w:r>
              <w:rPr>
                <w:rFonts w:ascii="Times New Roman" w:cs="Times New Roman" w:eastAsia="Times New Roman" w:hAnsi="Times New Roman"/>
                <w:sz w:val="15"/>
                <w:szCs w:val="15"/>
                <w:color w:val="231F20"/>
              </w:rPr>
              <w:t>Bloomies</w:t>
            </w: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2640" w:type="dxa"/>
            <w:vAlign w:val="bottom"/>
            <w:gridSpan w:val="3"/>
          </w:tcPr>
          <w:p>
            <w:pPr>
              <w:ind w:left="100"/>
              <w:spacing w:after="0" w:line="152" w:lineRule="exact"/>
              <w:rPr>
                <w:sz w:val="20"/>
                <w:szCs w:val="20"/>
                <w:color w:val="auto"/>
              </w:rPr>
            </w:pPr>
            <w:r>
              <w:rPr>
                <w:rFonts w:ascii="Times New Roman" w:cs="Times New Roman" w:eastAsia="Times New Roman" w:hAnsi="Times New Roman"/>
                <w:sz w:val="15"/>
                <w:szCs w:val="15"/>
                <w:color w:val="231F20"/>
              </w:rPr>
              <w:t>Shrewsbury, NJ 07702(4)(6)(8)</w:t>
            </w:r>
          </w:p>
        </w:tc>
        <w:tc>
          <w:tcPr>
            <w:tcW w:w="920" w:type="dxa"/>
            <w:vAlign w:val="bottom"/>
            <w:gridSpan w:val="2"/>
          </w:tcPr>
          <w:p>
            <w:pPr>
              <w:jc w:val="center"/>
              <w:spacing w:after="0" w:line="152" w:lineRule="exact"/>
              <w:rPr>
                <w:sz w:val="20"/>
                <w:szCs w:val="20"/>
                <w:color w:val="auto"/>
              </w:rPr>
            </w:pPr>
            <w:r>
              <w:rPr>
                <w:rFonts w:ascii="Times New Roman" w:cs="Times New Roman" w:eastAsia="Times New Roman" w:hAnsi="Times New Roman"/>
                <w:sz w:val="15"/>
                <w:szCs w:val="15"/>
                <w:color w:val="231F20"/>
              </w:rPr>
              <w:t>&amp; 2007</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ind w:left="40"/>
              <w:spacing w:after="0" w:line="152" w:lineRule="exact"/>
              <w:rPr>
                <w:sz w:val="20"/>
                <w:szCs w:val="20"/>
                <w:color w:val="auto"/>
              </w:rPr>
            </w:pPr>
            <w:r>
              <w:rPr>
                <w:rFonts w:ascii="Times New Roman" w:cs="Times New Roman" w:eastAsia="Times New Roman" w:hAnsi="Times New Roman"/>
                <w:sz w:val="15"/>
                <w:szCs w:val="15"/>
                <w:color w:val="231F20"/>
              </w:rPr>
              <w:t>lululemon</w:t>
            </w: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ind w:left="40"/>
              <w:spacing w:after="0" w:line="152" w:lineRule="exact"/>
              <w:rPr>
                <w:sz w:val="20"/>
                <w:szCs w:val="20"/>
                <w:color w:val="auto"/>
              </w:rPr>
            </w:pPr>
            <w:r>
              <w:rPr>
                <w:rFonts w:ascii="Times New Roman" w:cs="Times New Roman" w:eastAsia="Times New Roman" w:hAnsi="Times New Roman"/>
                <w:sz w:val="15"/>
                <w:szCs w:val="15"/>
                <w:color w:val="231F20"/>
              </w:rPr>
              <w:t>Anthropologie</w:t>
            </w: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ind w:left="40"/>
              <w:spacing w:after="0" w:line="152" w:lineRule="exact"/>
              <w:rPr>
                <w:sz w:val="20"/>
                <w:szCs w:val="20"/>
                <w:color w:val="auto"/>
              </w:rPr>
            </w:pPr>
            <w:r>
              <w:rPr>
                <w:rFonts w:ascii="Times New Roman" w:cs="Times New Roman" w:eastAsia="Times New Roman" w:hAnsi="Times New Roman"/>
                <w:sz w:val="15"/>
                <w:szCs w:val="15"/>
                <w:color w:val="231F20"/>
              </w:rPr>
              <w:t>Pottery Barn</w:t>
            </w: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40" w:type="dxa"/>
            <w:vAlign w:val="bottom"/>
          </w:tcPr>
          <w:p>
            <w:pPr>
              <w:ind w:left="40"/>
              <w:spacing w:after="0"/>
              <w:rPr>
                <w:sz w:val="20"/>
                <w:szCs w:val="20"/>
                <w:color w:val="auto"/>
              </w:rPr>
            </w:pPr>
            <w:r>
              <w:rPr>
                <w:rFonts w:ascii="Times New Roman" w:cs="Times New Roman" w:eastAsia="Times New Roman" w:hAnsi="Times New Roman"/>
                <w:sz w:val="15"/>
                <w:szCs w:val="15"/>
                <w:color w:val="231F20"/>
              </w:rPr>
              <w:t>Williams Sonoma</w:t>
            </w:r>
          </w:p>
        </w:tc>
        <w:tc>
          <w:tcPr>
            <w:tcW w:w="0" w:type="dxa"/>
            <w:vAlign w:val="bottom"/>
          </w:tcPr>
          <w:p>
            <w:pPr>
              <w:spacing w:after="0"/>
              <w:rPr>
                <w:sz w:val="1"/>
                <w:szCs w:val="1"/>
                <w:color w:val="auto"/>
              </w:rPr>
            </w:pPr>
          </w:p>
        </w:tc>
      </w:tr>
      <w:tr>
        <w:trPr>
          <w:trHeight w:val="187"/>
        </w:trPr>
        <w:tc>
          <w:tcPr>
            <w:tcW w:w="60" w:type="dxa"/>
            <w:vAlign w:val="bottom"/>
          </w:tcPr>
          <w:p>
            <w:pPr>
              <w:spacing w:after="0"/>
              <w:rPr>
                <w:sz w:val="16"/>
                <w:szCs w:val="16"/>
                <w:color w:val="auto"/>
              </w:rPr>
            </w:pPr>
          </w:p>
        </w:tc>
        <w:tc>
          <w:tcPr>
            <w:tcW w:w="2640" w:type="dxa"/>
            <w:vAlign w:val="bottom"/>
            <w:gridSpan w:val="3"/>
          </w:tcPr>
          <w:p>
            <w:pPr>
              <w:spacing w:after="0"/>
              <w:rPr>
                <w:sz w:val="20"/>
                <w:szCs w:val="20"/>
                <w:color w:val="auto"/>
              </w:rPr>
            </w:pPr>
            <w:r>
              <w:rPr>
                <w:rFonts w:ascii="Times New Roman" w:cs="Times New Roman" w:eastAsia="Times New Roman" w:hAnsi="Times New Roman"/>
                <w:sz w:val="15"/>
                <w:szCs w:val="15"/>
                <w:color w:val="231F20"/>
              </w:rPr>
              <w:t>Troy Hills</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231F20"/>
                <w:w w:val="99"/>
              </w:rPr>
              <w:t>1966</w:t>
            </w:r>
          </w:p>
        </w:tc>
        <w:tc>
          <w:tcPr>
            <w:tcW w:w="880" w:type="dxa"/>
            <w:vAlign w:val="bottom"/>
            <w:gridSpan w:val="2"/>
          </w:tcPr>
          <w:p>
            <w:pPr>
              <w:jc w:val="center"/>
              <w:ind w:left="24"/>
              <w:spacing w:after="0"/>
              <w:rPr>
                <w:sz w:val="20"/>
                <w:szCs w:val="20"/>
                <w:color w:val="auto"/>
              </w:rPr>
            </w:pPr>
            <w:r>
              <w:rPr>
                <w:rFonts w:ascii="Times New Roman" w:cs="Times New Roman" w:eastAsia="Times New Roman" w:hAnsi="Times New Roman"/>
                <w:sz w:val="15"/>
                <w:szCs w:val="15"/>
                <w:color w:val="231F20"/>
                <w:w w:val="99"/>
              </w:rPr>
              <w:t>1980</w:t>
            </w:r>
          </w:p>
        </w:tc>
        <w:tc>
          <w:tcPr>
            <w:tcW w:w="1100" w:type="dxa"/>
            <w:vAlign w:val="bottom"/>
            <w:gridSpan w:val="2"/>
          </w:tcPr>
          <w:p>
            <w:pPr>
              <w:jc w:val="right"/>
              <w:ind w:right="164"/>
              <w:spacing w:after="0"/>
              <w:rPr>
                <w:sz w:val="20"/>
                <w:szCs w:val="20"/>
                <w:color w:val="auto"/>
              </w:rPr>
            </w:pPr>
            <w:r>
              <w:rPr>
                <w:rFonts w:ascii="Times New Roman" w:cs="Times New Roman" w:eastAsia="Times New Roman" w:hAnsi="Times New Roman"/>
                <w:sz w:val="15"/>
                <w:szCs w:val="15"/>
                <w:color w:val="231F20"/>
              </w:rPr>
              <w:t>211,000</w:t>
            </w:r>
          </w:p>
        </w:tc>
        <w:tc>
          <w:tcPr>
            <w:tcW w:w="1100" w:type="dxa"/>
            <w:vAlign w:val="bottom"/>
            <w:gridSpan w:val="2"/>
          </w:tcPr>
          <w:p>
            <w:pPr>
              <w:jc w:val="center"/>
              <w:ind w:left="44"/>
              <w:spacing w:after="0"/>
              <w:rPr>
                <w:sz w:val="20"/>
                <w:szCs w:val="20"/>
                <w:color w:val="auto"/>
              </w:rPr>
            </w:pPr>
            <w:r>
              <w:rPr>
                <w:rFonts w:ascii="Times New Roman" w:cs="Times New Roman" w:eastAsia="Times New Roman" w:hAnsi="Times New Roman"/>
                <w:sz w:val="15"/>
                <w:szCs w:val="15"/>
                <w:color w:val="231F20"/>
              </w:rPr>
              <w:t>$20.09</w:t>
            </w:r>
          </w:p>
        </w:tc>
        <w:tc>
          <w:tcPr>
            <w:tcW w:w="900" w:type="dxa"/>
            <w:vAlign w:val="bottom"/>
            <w:gridSpan w:val="2"/>
          </w:tcPr>
          <w:p>
            <w:pPr>
              <w:jc w:val="center"/>
              <w:ind w:left="24"/>
              <w:spacing w:after="0"/>
              <w:rPr>
                <w:sz w:val="20"/>
                <w:szCs w:val="20"/>
                <w:color w:val="auto"/>
              </w:rPr>
            </w:pPr>
            <w:r>
              <w:rPr>
                <w:rFonts w:ascii="Times New Roman" w:cs="Times New Roman" w:eastAsia="Times New Roman" w:hAnsi="Times New Roman"/>
                <w:sz w:val="15"/>
                <w:szCs w:val="15"/>
                <w:color w:val="231F20"/>
              </w:rPr>
              <w:t>99%</w:t>
            </w:r>
          </w:p>
        </w:tc>
        <w:tc>
          <w:tcPr>
            <w:tcW w:w="80" w:type="dxa"/>
            <w:vAlign w:val="bottom"/>
          </w:tcPr>
          <w:p>
            <w:pPr>
              <w:spacing w:after="0"/>
              <w:rPr>
                <w:sz w:val="16"/>
                <w:szCs w:val="16"/>
                <w:color w:val="auto"/>
              </w:rPr>
            </w:pPr>
          </w:p>
        </w:tc>
        <w:tc>
          <w:tcPr>
            <w:tcW w:w="2040" w:type="dxa"/>
            <w:vAlign w:val="bottom"/>
          </w:tcPr>
          <w:p>
            <w:pPr>
              <w:ind w:left="40"/>
              <w:spacing w:after="0"/>
              <w:rPr>
                <w:sz w:val="20"/>
                <w:szCs w:val="20"/>
                <w:color w:val="auto"/>
              </w:rPr>
            </w:pPr>
            <w:r>
              <w:rPr>
                <w:rFonts w:ascii="Times New Roman" w:cs="Times New Roman" w:eastAsia="Times New Roman" w:hAnsi="Times New Roman"/>
                <w:sz w:val="15"/>
                <w:szCs w:val="15"/>
                <w:color w:val="231F20"/>
              </w:rPr>
              <w:t>Target</w:t>
            </w: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2640" w:type="dxa"/>
            <w:vAlign w:val="bottom"/>
            <w:gridSpan w:val="3"/>
          </w:tcPr>
          <w:p>
            <w:pPr>
              <w:ind w:left="100"/>
              <w:spacing w:after="0" w:line="152" w:lineRule="exact"/>
              <w:rPr>
                <w:sz w:val="20"/>
                <w:szCs w:val="20"/>
                <w:color w:val="auto"/>
              </w:rPr>
            </w:pPr>
            <w:r>
              <w:rPr>
                <w:rFonts w:ascii="Times New Roman" w:cs="Times New Roman" w:eastAsia="Times New Roman" w:hAnsi="Times New Roman"/>
                <w:sz w:val="15"/>
                <w:szCs w:val="15"/>
                <w:color w:val="231F20"/>
              </w:rPr>
              <w:t>Parsippany-Troy, NJ 07054</w:t>
            </w: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ind w:left="40"/>
              <w:spacing w:after="0" w:line="152" w:lineRule="exact"/>
              <w:rPr>
                <w:sz w:val="20"/>
                <w:szCs w:val="20"/>
                <w:color w:val="auto"/>
              </w:rPr>
            </w:pPr>
            <w:r>
              <w:rPr>
                <w:rFonts w:ascii="Times New Roman" w:cs="Times New Roman" w:eastAsia="Times New Roman" w:hAnsi="Times New Roman"/>
                <w:sz w:val="15"/>
                <w:szCs w:val="15"/>
                <w:color w:val="231F20"/>
              </w:rPr>
              <w:t>Floor &amp; Décor</w:t>
            </w: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660" w:type="dxa"/>
            <w:vAlign w:val="bottom"/>
            <w:vMerge w:val="restart"/>
          </w:tcPr>
          <w:p>
            <w:pPr>
              <w:spacing w:after="0"/>
              <w:rPr>
                <w:sz w:val="20"/>
                <w:szCs w:val="20"/>
                <w:color w:val="auto"/>
              </w:rPr>
            </w:pPr>
            <w:r>
              <w:rPr>
                <w:rFonts w:ascii="Times New Roman" w:cs="Times New Roman" w:eastAsia="Times New Roman" w:hAnsi="Times New Roman"/>
                <w:sz w:val="15"/>
                <w:szCs w:val="15"/>
                <w:b w:val="1"/>
                <w:bCs w:val="1"/>
                <w:color w:val="231F20"/>
                <w:w w:val="97"/>
              </w:rPr>
              <w:t>New York</w:t>
            </w:r>
          </w:p>
        </w:tc>
        <w:tc>
          <w:tcPr>
            <w:tcW w:w="1980" w:type="dxa"/>
            <w:vAlign w:val="bottom"/>
            <w:gridSpan w:val="2"/>
            <w:vMerge w:val="restart"/>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40" w:type="dxa"/>
            <w:vAlign w:val="bottom"/>
          </w:tcPr>
          <w:p>
            <w:pPr>
              <w:ind w:left="40"/>
              <w:spacing w:after="0"/>
              <w:rPr>
                <w:sz w:val="20"/>
                <w:szCs w:val="20"/>
                <w:color w:val="auto"/>
              </w:rPr>
            </w:pPr>
            <w:r>
              <w:rPr>
                <w:rFonts w:ascii="Times New Roman" w:cs="Times New Roman" w:eastAsia="Times New Roman" w:hAnsi="Times New Roman"/>
                <w:sz w:val="15"/>
                <w:szCs w:val="15"/>
                <w:color w:val="231F20"/>
              </w:rPr>
              <w:t>Michaels</w:t>
            </w:r>
          </w:p>
        </w:tc>
        <w:tc>
          <w:tcPr>
            <w:tcW w:w="0" w:type="dxa"/>
            <w:vAlign w:val="bottom"/>
          </w:tcPr>
          <w:p>
            <w:pPr>
              <w:spacing w:after="0"/>
              <w:rPr>
                <w:sz w:val="1"/>
                <w:szCs w:val="1"/>
                <w:color w:val="auto"/>
              </w:rPr>
            </w:pPr>
          </w:p>
        </w:tc>
      </w:tr>
      <w:tr>
        <w:trPr>
          <w:trHeight w:val="164"/>
        </w:trPr>
        <w:tc>
          <w:tcPr>
            <w:tcW w:w="60" w:type="dxa"/>
            <w:vAlign w:val="bottom"/>
          </w:tcPr>
          <w:p>
            <w:pPr>
              <w:spacing w:after="0"/>
              <w:rPr>
                <w:sz w:val="13"/>
                <w:szCs w:val="13"/>
                <w:color w:val="auto"/>
              </w:rPr>
            </w:pPr>
          </w:p>
        </w:tc>
        <w:tc>
          <w:tcPr>
            <w:tcW w:w="660" w:type="dxa"/>
            <w:vAlign w:val="bottom"/>
            <w:tcBorders>
              <w:bottom w:val="single" w:sz="8" w:color="231F20"/>
            </w:tcBorders>
            <w:vMerge w:val="continue"/>
          </w:tcPr>
          <w:p>
            <w:pPr>
              <w:spacing w:after="0"/>
              <w:rPr>
                <w:sz w:val="13"/>
                <w:szCs w:val="13"/>
                <w:color w:val="auto"/>
              </w:rPr>
            </w:pPr>
          </w:p>
        </w:tc>
        <w:tc>
          <w:tcPr>
            <w:tcW w:w="198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2640" w:type="dxa"/>
            <w:vAlign w:val="bottom"/>
            <w:gridSpan w:val="3"/>
          </w:tcPr>
          <w:p>
            <w:pPr>
              <w:spacing w:after="0"/>
              <w:rPr>
                <w:sz w:val="20"/>
                <w:szCs w:val="20"/>
                <w:color w:val="auto"/>
              </w:rPr>
            </w:pPr>
            <w:r>
              <w:rPr>
                <w:rFonts w:ascii="Times New Roman" w:cs="Times New Roman" w:eastAsia="Times New Roman" w:hAnsi="Times New Roman"/>
                <w:sz w:val="15"/>
                <w:szCs w:val="15"/>
                <w:color w:val="231F20"/>
              </w:rPr>
              <w:t>Fresh Meadows</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231F20"/>
                <w:w w:val="99"/>
              </w:rPr>
              <w:t>1949</w:t>
            </w:r>
          </w:p>
        </w:tc>
        <w:tc>
          <w:tcPr>
            <w:tcW w:w="880" w:type="dxa"/>
            <w:vAlign w:val="bottom"/>
            <w:gridSpan w:val="2"/>
          </w:tcPr>
          <w:p>
            <w:pPr>
              <w:jc w:val="center"/>
              <w:ind w:left="24"/>
              <w:spacing w:after="0"/>
              <w:rPr>
                <w:sz w:val="20"/>
                <w:szCs w:val="20"/>
                <w:color w:val="auto"/>
              </w:rPr>
            </w:pPr>
            <w:r>
              <w:rPr>
                <w:rFonts w:ascii="Times New Roman" w:cs="Times New Roman" w:eastAsia="Times New Roman" w:hAnsi="Times New Roman"/>
                <w:sz w:val="15"/>
                <w:szCs w:val="15"/>
                <w:color w:val="231F20"/>
                <w:w w:val="99"/>
              </w:rPr>
              <w:t>1997</w:t>
            </w:r>
          </w:p>
        </w:tc>
        <w:tc>
          <w:tcPr>
            <w:tcW w:w="1100" w:type="dxa"/>
            <w:vAlign w:val="bottom"/>
            <w:gridSpan w:val="2"/>
          </w:tcPr>
          <w:p>
            <w:pPr>
              <w:jc w:val="right"/>
              <w:ind w:right="164"/>
              <w:spacing w:after="0"/>
              <w:rPr>
                <w:sz w:val="20"/>
                <w:szCs w:val="20"/>
                <w:color w:val="auto"/>
              </w:rPr>
            </w:pPr>
            <w:r>
              <w:rPr>
                <w:rFonts w:ascii="Times New Roman" w:cs="Times New Roman" w:eastAsia="Times New Roman" w:hAnsi="Times New Roman"/>
                <w:sz w:val="15"/>
                <w:szCs w:val="15"/>
                <w:color w:val="231F20"/>
              </w:rPr>
              <w:t>408,000</w:t>
            </w:r>
          </w:p>
        </w:tc>
        <w:tc>
          <w:tcPr>
            <w:tcW w:w="1100" w:type="dxa"/>
            <w:vAlign w:val="bottom"/>
            <w:gridSpan w:val="2"/>
          </w:tcPr>
          <w:p>
            <w:pPr>
              <w:jc w:val="center"/>
              <w:ind w:left="44"/>
              <w:spacing w:after="0"/>
              <w:rPr>
                <w:sz w:val="20"/>
                <w:szCs w:val="20"/>
                <w:color w:val="auto"/>
              </w:rPr>
            </w:pPr>
            <w:r>
              <w:rPr>
                <w:rFonts w:ascii="Times New Roman" w:cs="Times New Roman" w:eastAsia="Times New Roman" w:hAnsi="Times New Roman"/>
                <w:sz w:val="15"/>
                <w:szCs w:val="15"/>
                <w:color w:val="231F20"/>
              </w:rPr>
              <w:t>$41.67</w:t>
            </w:r>
          </w:p>
        </w:tc>
        <w:tc>
          <w:tcPr>
            <w:tcW w:w="900" w:type="dxa"/>
            <w:vAlign w:val="bottom"/>
            <w:gridSpan w:val="2"/>
          </w:tcPr>
          <w:p>
            <w:pPr>
              <w:jc w:val="center"/>
              <w:ind w:left="24"/>
              <w:spacing w:after="0"/>
              <w:rPr>
                <w:sz w:val="20"/>
                <w:szCs w:val="20"/>
                <w:color w:val="auto"/>
              </w:rPr>
            </w:pPr>
            <w:r>
              <w:rPr>
                <w:rFonts w:ascii="Times New Roman" w:cs="Times New Roman" w:eastAsia="Times New Roman" w:hAnsi="Times New Roman"/>
                <w:sz w:val="15"/>
                <w:szCs w:val="15"/>
                <w:color w:val="231F20"/>
              </w:rPr>
              <w:t>99%</w:t>
            </w:r>
          </w:p>
        </w:tc>
        <w:tc>
          <w:tcPr>
            <w:tcW w:w="80" w:type="dxa"/>
            <w:vAlign w:val="bottom"/>
          </w:tcPr>
          <w:p>
            <w:pPr>
              <w:spacing w:after="0"/>
              <w:rPr>
                <w:sz w:val="18"/>
                <w:szCs w:val="18"/>
                <w:color w:val="auto"/>
              </w:rPr>
            </w:pPr>
          </w:p>
        </w:tc>
        <w:tc>
          <w:tcPr>
            <w:tcW w:w="2040" w:type="dxa"/>
            <w:vAlign w:val="bottom"/>
          </w:tcPr>
          <w:p>
            <w:pPr>
              <w:ind w:left="40"/>
              <w:spacing w:after="0"/>
              <w:rPr>
                <w:sz w:val="20"/>
                <w:szCs w:val="20"/>
                <w:color w:val="auto"/>
              </w:rPr>
            </w:pPr>
            <w:r>
              <w:rPr>
                <w:rFonts w:ascii="Times New Roman" w:cs="Times New Roman" w:eastAsia="Times New Roman" w:hAnsi="Times New Roman"/>
                <w:sz w:val="15"/>
                <w:szCs w:val="15"/>
                <w:color w:val="231F20"/>
              </w:rPr>
              <w:t>Lidl</w:t>
            </w: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2640" w:type="dxa"/>
            <w:vAlign w:val="bottom"/>
            <w:gridSpan w:val="3"/>
          </w:tcPr>
          <w:p>
            <w:pPr>
              <w:ind w:left="100"/>
              <w:spacing w:after="0" w:line="152" w:lineRule="exact"/>
              <w:rPr>
                <w:sz w:val="20"/>
                <w:szCs w:val="20"/>
                <w:color w:val="auto"/>
              </w:rPr>
            </w:pPr>
            <w:r>
              <w:rPr>
                <w:rFonts w:ascii="Times New Roman" w:cs="Times New Roman" w:eastAsia="Times New Roman" w:hAnsi="Times New Roman"/>
                <w:sz w:val="15"/>
                <w:szCs w:val="15"/>
                <w:color w:val="231F20"/>
              </w:rPr>
              <w:t>Queens, NY 11365</w:t>
            </w: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ind w:left="40"/>
              <w:spacing w:after="0" w:line="152" w:lineRule="exact"/>
              <w:rPr>
                <w:sz w:val="20"/>
                <w:szCs w:val="20"/>
                <w:color w:val="auto"/>
              </w:rPr>
            </w:pPr>
            <w:r>
              <w:rPr>
                <w:rFonts w:ascii="Times New Roman" w:cs="Times New Roman" w:eastAsia="Times New Roman" w:hAnsi="Times New Roman"/>
                <w:sz w:val="15"/>
                <w:szCs w:val="15"/>
                <w:color w:val="231F20"/>
              </w:rPr>
              <w:t>Island of Gold</w:t>
            </w: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ind w:left="40"/>
              <w:spacing w:after="0" w:line="152" w:lineRule="exact"/>
              <w:rPr>
                <w:sz w:val="20"/>
                <w:szCs w:val="20"/>
                <w:color w:val="auto"/>
              </w:rPr>
            </w:pPr>
            <w:r>
              <w:rPr>
                <w:rFonts w:ascii="Times New Roman" w:cs="Times New Roman" w:eastAsia="Times New Roman" w:hAnsi="Times New Roman"/>
                <w:sz w:val="15"/>
                <w:szCs w:val="15"/>
                <w:color w:val="231F20"/>
              </w:rPr>
              <w:t>AMC</w:t>
            </w: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ind w:left="40"/>
              <w:spacing w:after="0" w:line="152" w:lineRule="exact"/>
              <w:rPr>
                <w:sz w:val="20"/>
                <w:szCs w:val="20"/>
                <w:color w:val="auto"/>
              </w:rPr>
            </w:pPr>
            <w:r>
              <w:rPr>
                <w:rFonts w:ascii="Times New Roman" w:cs="Times New Roman" w:eastAsia="Times New Roman" w:hAnsi="Times New Roman"/>
                <w:sz w:val="15"/>
                <w:szCs w:val="15"/>
                <w:color w:val="231F20"/>
              </w:rPr>
              <w:t>Kohl's</w:t>
            </w: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40" w:type="dxa"/>
            <w:vAlign w:val="bottom"/>
          </w:tcPr>
          <w:p>
            <w:pPr>
              <w:ind w:left="40"/>
              <w:spacing w:after="0"/>
              <w:rPr>
                <w:sz w:val="20"/>
                <w:szCs w:val="20"/>
                <w:color w:val="auto"/>
              </w:rPr>
            </w:pPr>
            <w:r>
              <w:rPr>
                <w:rFonts w:ascii="Times New Roman" w:cs="Times New Roman" w:eastAsia="Times New Roman" w:hAnsi="Times New Roman"/>
                <w:sz w:val="15"/>
                <w:szCs w:val="15"/>
                <w:color w:val="231F20"/>
              </w:rPr>
              <w:t>Planet Fitness</w:t>
            </w:r>
          </w:p>
        </w:tc>
        <w:tc>
          <w:tcPr>
            <w:tcW w:w="0" w:type="dxa"/>
            <w:vAlign w:val="bottom"/>
          </w:tcPr>
          <w:p>
            <w:pPr>
              <w:spacing w:after="0"/>
              <w:rPr>
                <w:sz w:val="1"/>
                <w:szCs w:val="1"/>
                <w:color w:val="auto"/>
              </w:rPr>
            </w:pPr>
          </w:p>
        </w:tc>
      </w:tr>
      <w:tr>
        <w:trPr>
          <w:trHeight w:val="159"/>
        </w:trPr>
        <w:tc>
          <w:tcPr>
            <w:tcW w:w="60" w:type="dxa"/>
            <w:vAlign w:val="bottom"/>
          </w:tcPr>
          <w:p>
            <w:pPr>
              <w:spacing w:after="0"/>
              <w:rPr>
                <w:sz w:val="13"/>
                <w:szCs w:val="13"/>
                <w:color w:val="auto"/>
              </w:rPr>
            </w:pPr>
          </w:p>
        </w:tc>
        <w:tc>
          <w:tcPr>
            <w:tcW w:w="2640" w:type="dxa"/>
            <w:vAlign w:val="bottom"/>
            <w:gridSpan w:val="3"/>
          </w:tcPr>
          <w:p>
            <w:pPr>
              <w:spacing w:after="0" w:line="159" w:lineRule="exact"/>
              <w:rPr>
                <w:sz w:val="20"/>
                <w:szCs w:val="20"/>
                <w:color w:val="auto"/>
              </w:rPr>
            </w:pPr>
            <w:r>
              <w:rPr>
                <w:rFonts w:ascii="Times New Roman" w:cs="Times New Roman" w:eastAsia="Times New Roman" w:hAnsi="Times New Roman"/>
                <w:sz w:val="15"/>
                <w:szCs w:val="15"/>
                <w:color w:val="231F20"/>
              </w:rPr>
              <w:t>Georgetowne Shopping Center</w:t>
            </w:r>
          </w:p>
        </w:tc>
        <w:tc>
          <w:tcPr>
            <w:tcW w:w="920" w:type="dxa"/>
            <w:vAlign w:val="bottom"/>
            <w:gridSpan w:val="2"/>
          </w:tcPr>
          <w:p>
            <w:pPr>
              <w:jc w:val="center"/>
              <w:ind w:left="4"/>
              <w:spacing w:after="0" w:line="159" w:lineRule="exact"/>
              <w:rPr>
                <w:sz w:val="20"/>
                <w:szCs w:val="20"/>
                <w:color w:val="auto"/>
              </w:rPr>
            </w:pPr>
            <w:r>
              <w:rPr>
                <w:rFonts w:ascii="Times New Roman" w:cs="Times New Roman" w:eastAsia="Times New Roman" w:hAnsi="Times New Roman"/>
                <w:sz w:val="15"/>
                <w:szCs w:val="15"/>
                <w:color w:val="231F20"/>
              </w:rPr>
              <w:t>1969, 2006,</w:t>
            </w:r>
          </w:p>
        </w:tc>
        <w:tc>
          <w:tcPr>
            <w:tcW w:w="880" w:type="dxa"/>
            <w:vAlign w:val="bottom"/>
            <w:gridSpan w:val="2"/>
          </w:tcPr>
          <w:p>
            <w:pPr>
              <w:jc w:val="center"/>
              <w:ind w:left="24"/>
              <w:spacing w:after="0" w:line="159" w:lineRule="exact"/>
              <w:rPr>
                <w:sz w:val="20"/>
                <w:szCs w:val="20"/>
                <w:color w:val="auto"/>
              </w:rPr>
            </w:pPr>
            <w:r>
              <w:rPr>
                <w:rFonts w:ascii="Times New Roman" w:cs="Times New Roman" w:eastAsia="Times New Roman" w:hAnsi="Times New Roman"/>
                <w:sz w:val="15"/>
                <w:szCs w:val="15"/>
                <w:color w:val="231F20"/>
                <w:w w:val="99"/>
              </w:rPr>
              <w:t>2019</w:t>
            </w:r>
          </w:p>
        </w:tc>
        <w:tc>
          <w:tcPr>
            <w:tcW w:w="1100" w:type="dxa"/>
            <w:vAlign w:val="bottom"/>
            <w:gridSpan w:val="2"/>
          </w:tcPr>
          <w:p>
            <w:pPr>
              <w:jc w:val="right"/>
              <w:ind w:right="164"/>
              <w:spacing w:after="0" w:line="159" w:lineRule="exact"/>
              <w:rPr>
                <w:sz w:val="20"/>
                <w:szCs w:val="20"/>
                <w:color w:val="auto"/>
              </w:rPr>
            </w:pPr>
            <w:r>
              <w:rPr>
                <w:rFonts w:ascii="Times New Roman" w:cs="Times New Roman" w:eastAsia="Times New Roman" w:hAnsi="Times New Roman"/>
                <w:sz w:val="15"/>
                <w:szCs w:val="15"/>
                <w:color w:val="231F20"/>
              </w:rPr>
              <w:t>147,000</w:t>
            </w:r>
          </w:p>
        </w:tc>
        <w:tc>
          <w:tcPr>
            <w:tcW w:w="1100" w:type="dxa"/>
            <w:vAlign w:val="bottom"/>
            <w:gridSpan w:val="2"/>
          </w:tcPr>
          <w:p>
            <w:pPr>
              <w:jc w:val="center"/>
              <w:ind w:left="44"/>
              <w:spacing w:after="0" w:line="159" w:lineRule="exact"/>
              <w:rPr>
                <w:sz w:val="20"/>
                <w:szCs w:val="20"/>
                <w:color w:val="auto"/>
              </w:rPr>
            </w:pPr>
            <w:r>
              <w:rPr>
                <w:rFonts w:ascii="Times New Roman" w:cs="Times New Roman" w:eastAsia="Times New Roman" w:hAnsi="Times New Roman"/>
                <w:sz w:val="15"/>
                <w:szCs w:val="15"/>
                <w:color w:val="231F20"/>
              </w:rPr>
              <w:t>$43.82</w:t>
            </w:r>
          </w:p>
        </w:tc>
        <w:tc>
          <w:tcPr>
            <w:tcW w:w="900" w:type="dxa"/>
            <w:vAlign w:val="bottom"/>
            <w:gridSpan w:val="2"/>
          </w:tcPr>
          <w:p>
            <w:pPr>
              <w:jc w:val="center"/>
              <w:ind w:left="24"/>
              <w:spacing w:after="0" w:line="159" w:lineRule="exact"/>
              <w:rPr>
                <w:sz w:val="20"/>
                <w:szCs w:val="20"/>
                <w:color w:val="auto"/>
              </w:rPr>
            </w:pPr>
            <w:r>
              <w:rPr>
                <w:rFonts w:ascii="Times New Roman" w:cs="Times New Roman" w:eastAsia="Times New Roman" w:hAnsi="Times New Roman"/>
                <w:sz w:val="15"/>
                <w:szCs w:val="15"/>
                <w:color w:val="231F20"/>
              </w:rPr>
              <w:t>94%</w:t>
            </w:r>
          </w:p>
        </w:tc>
        <w:tc>
          <w:tcPr>
            <w:tcW w:w="80" w:type="dxa"/>
            <w:vAlign w:val="bottom"/>
          </w:tcPr>
          <w:p>
            <w:pPr>
              <w:spacing w:after="0"/>
              <w:rPr>
                <w:sz w:val="13"/>
                <w:szCs w:val="13"/>
                <w:color w:val="auto"/>
              </w:rPr>
            </w:pPr>
          </w:p>
        </w:tc>
        <w:tc>
          <w:tcPr>
            <w:tcW w:w="2040" w:type="dxa"/>
            <w:vAlign w:val="bottom"/>
          </w:tcPr>
          <w:p>
            <w:pPr>
              <w:ind w:left="40"/>
              <w:spacing w:after="0" w:line="159" w:lineRule="exact"/>
              <w:rPr>
                <w:sz w:val="20"/>
                <w:szCs w:val="20"/>
                <w:color w:val="auto"/>
              </w:rPr>
            </w:pPr>
            <w:r>
              <w:rPr>
                <w:rFonts w:ascii="Times New Roman" w:cs="Times New Roman" w:eastAsia="Times New Roman" w:hAnsi="Times New Roman"/>
                <w:sz w:val="15"/>
                <w:szCs w:val="15"/>
                <w:color w:val="231F20"/>
              </w:rPr>
              <w:t>Foodway</w:t>
            </w: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2640" w:type="dxa"/>
            <w:vAlign w:val="bottom"/>
            <w:gridSpan w:val="3"/>
          </w:tcPr>
          <w:p>
            <w:pPr>
              <w:ind w:left="100"/>
              <w:spacing w:after="0" w:line="152" w:lineRule="exact"/>
              <w:rPr>
                <w:sz w:val="20"/>
                <w:szCs w:val="20"/>
                <w:color w:val="auto"/>
              </w:rPr>
            </w:pPr>
            <w:r>
              <w:rPr>
                <w:rFonts w:ascii="Times New Roman" w:cs="Times New Roman" w:eastAsia="Times New Roman" w:hAnsi="Times New Roman"/>
                <w:sz w:val="15"/>
                <w:szCs w:val="15"/>
                <w:color w:val="231F20"/>
              </w:rPr>
              <w:t>Brooklyn, NY 11234</w:t>
            </w:r>
          </w:p>
        </w:tc>
        <w:tc>
          <w:tcPr>
            <w:tcW w:w="920" w:type="dxa"/>
            <w:vAlign w:val="bottom"/>
            <w:gridSpan w:val="2"/>
          </w:tcPr>
          <w:p>
            <w:pPr>
              <w:jc w:val="center"/>
              <w:spacing w:after="0" w:line="152" w:lineRule="exact"/>
              <w:rPr>
                <w:sz w:val="20"/>
                <w:szCs w:val="20"/>
                <w:color w:val="auto"/>
              </w:rPr>
            </w:pPr>
            <w:r>
              <w:rPr>
                <w:rFonts w:ascii="Times New Roman" w:cs="Times New Roman" w:eastAsia="Times New Roman" w:hAnsi="Times New Roman"/>
                <w:sz w:val="15"/>
                <w:szCs w:val="15"/>
                <w:color w:val="231F20"/>
                <w:w w:val="99"/>
              </w:rPr>
              <w:t>2015</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ind w:left="40"/>
              <w:spacing w:after="0" w:line="152" w:lineRule="exact"/>
              <w:rPr>
                <w:sz w:val="20"/>
                <w:szCs w:val="20"/>
                <w:color w:val="auto"/>
              </w:rPr>
            </w:pPr>
            <w:r>
              <w:rPr>
                <w:rFonts w:ascii="Times New Roman" w:cs="Times New Roman" w:eastAsia="Times New Roman" w:hAnsi="Times New Roman"/>
                <w:sz w:val="15"/>
                <w:szCs w:val="15"/>
                <w:color w:val="231F20"/>
              </w:rPr>
              <w:t>Five Below</w:t>
            </w: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40" w:type="dxa"/>
            <w:vAlign w:val="bottom"/>
          </w:tcPr>
          <w:p>
            <w:pPr>
              <w:ind w:left="40"/>
              <w:spacing w:after="0"/>
              <w:rPr>
                <w:sz w:val="20"/>
                <w:szCs w:val="20"/>
                <w:color w:val="auto"/>
              </w:rPr>
            </w:pPr>
            <w:r>
              <w:rPr>
                <w:rFonts w:ascii="Times New Roman" w:cs="Times New Roman" w:eastAsia="Times New Roman" w:hAnsi="Times New Roman"/>
                <w:sz w:val="15"/>
                <w:szCs w:val="15"/>
                <w:color w:val="231F20"/>
              </w:rPr>
              <w:t>IHOP</w:t>
            </w:r>
          </w:p>
        </w:tc>
        <w:tc>
          <w:tcPr>
            <w:tcW w:w="0" w:type="dxa"/>
            <w:vAlign w:val="bottom"/>
          </w:tcPr>
          <w:p>
            <w:pPr>
              <w:spacing w:after="0"/>
              <w:rPr>
                <w:sz w:val="1"/>
                <w:szCs w:val="1"/>
                <w:color w:val="auto"/>
              </w:rPr>
            </w:pPr>
          </w:p>
        </w:tc>
      </w:tr>
      <w:tr>
        <w:trPr>
          <w:trHeight w:val="164"/>
        </w:trPr>
        <w:tc>
          <w:tcPr>
            <w:tcW w:w="60" w:type="dxa"/>
            <w:vAlign w:val="bottom"/>
          </w:tcPr>
          <w:p>
            <w:pPr>
              <w:spacing w:after="0"/>
              <w:rPr>
                <w:sz w:val="14"/>
                <w:szCs w:val="14"/>
                <w:color w:val="auto"/>
              </w:rPr>
            </w:pPr>
          </w:p>
        </w:tc>
        <w:tc>
          <w:tcPr>
            <w:tcW w:w="2640" w:type="dxa"/>
            <w:vAlign w:val="bottom"/>
            <w:gridSpan w:val="3"/>
          </w:tcPr>
          <w:p>
            <w:pPr>
              <w:spacing w:after="0" w:line="164" w:lineRule="exact"/>
              <w:rPr>
                <w:sz w:val="20"/>
                <w:szCs w:val="20"/>
                <w:color w:val="auto"/>
              </w:rPr>
            </w:pPr>
            <w:r>
              <w:rPr>
                <w:rFonts w:ascii="Times New Roman" w:cs="Times New Roman" w:eastAsia="Times New Roman" w:hAnsi="Times New Roman"/>
                <w:sz w:val="15"/>
                <w:szCs w:val="15"/>
                <w:color w:val="231F20"/>
              </w:rPr>
              <w:t>Greenlawn Plaza</w:t>
            </w:r>
          </w:p>
        </w:tc>
        <w:tc>
          <w:tcPr>
            <w:tcW w:w="920" w:type="dxa"/>
            <w:vAlign w:val="bottom"/>
            <w:gridSpan w:val="2"/>
          </w:tcPr>
          <w:p>
            <w:pPr>
              <w:jc w:val="center"/>
              <w:ind w:left="4"/>
              <w:spacing w:after="0" w:line="164" w:lineRule="exact"/>
              <w:rPr>
                <w:sz w:val="20"/>
                <w:szCs w:val="20"/>
                <w:color w:val="auto"/>
              </w:rPr>
            </w:pPr>
            <w:r>
              <w:rPr>
                <w:rFonts w:ascii="Times New Roman" w:cs="Times New Roman" w:eastAsia="Times New Roman" w:hAnsi="Times New Roman"/>
                <w:sz w:val="15"/>
                <w:szCs w:val="15"/>
                <w:color w:val="231F20"/>
              </w:rPr>
              <w:t>1975, 2004</w:t>
            </w:r>
          </w:p>
        </w:tc>
        <w:tc>
          <w:tcPr>
            <w:tcW w:w="880" w:type="dxa"/>
            <w:vAlign w:val="bottom"/>
            <w:gridSpan w:val="2"/>
          </w:tcPr>
          <w:p>
            <w:pPr>
              <w:jc w:val="center"/>
              <w:ind w:left="24"/>
              <w:spacing w:after="0" w:line="164" w:lineRule="exact"/>
              <w:rPr>
                <w:sz w:val="20"/>
                <w:szCs w:val="20"/>
                <w:color w:val="auto"/>
              </w:rPr>
            </w:pPr>
            <w:r>
              <w:rPr>
                <w:rFonts w:ascii="Times New Roman" w:cs="Times New Roman" w:eastAsia="Times New Roman" w:hAnsi="Times New Roman"/>
                <w:sz w:val="15"/>
                <w:szCs w:val="15"/>
                <w:color w:val="231F20"/>
                <w:w w:val="99"/>
              </w:rPr>
              <w:t>2006</w:t>
            </w:r>
          </w:p>
        </w:tc>
        <w:tc>
          <w:tcPr>
            <w:tcW w:w="1100" w:type="dxa"/>
            <w:vAlign w:val="bottom"/>
            <w:gridSpan w:val="2"/>
          </w:tcPr>
          <w:p>
            <w:pPr>
              <w:jc w:val="right"/>
              <w:ind w:right="164"/>
              <w:spacing w:after="0" w:line="164" w:lineRule="exact"/>
              <w:rPr>
                <w:sz w:val="20"/>
                <w:szCs w:val="20"/>
                <w:color w:val="auto"/>
              </w:rPr>
            </w:pPr>
            <w:r>
              <w:rPr>
                <w:rFonts w:ascii="Times New Roman" w:cs="Times New Roman" w:eastAsia="Times New Roman" w:hAnsi="Times New Roman"/>
                <w:sz w:val="15"/>
                <w:szCs w:val="15"/>
                <w:color w:val="231F20"/>
              </w:rPr>
              <w:t>103,000</w:t>
            </w:r>
          </w:p>
        </w:tc>
        <w:tc>
          <w:tcPr>
            <w:tcW w:w="1100" w:type="dxa"/>
            <w:vAlign w:val="bottom"/>
            <w:gridSpan w:val="2"/>
          </w:tcPr>
          <w:p>
            <w:pPr>
              <w:jc w:val="center"/>
              <w:ind w:left="44"/>
              <w:spacing w:after="0" w:line="164" w:lineRule="exact"/>
              <w:rPr>
                <w:sz w:val="20"/>
                <w:szCs w:val="20"/>
                <w:color w:val="auto"/>
              </w:rPr>
            </w:pPr>
            <w:r>
              <w:rPr>
                <w:rFonts w:ascii="Times New Roman" w:cs="Times New Roman" w:eastAsia="Times New Roman" w:hAnsi="Times New Roman"/>
                <w:sz w:val="15"/>
                <w:szCs w:val="15"/>
                <w:color w:val="231F20"/>
              </w:rPr>
              <w:t>$18.72</w:t>
            </w:r>
          </w:p>
        </w:tc>
        <w:tc>
          <w:tcPr>
            <w:tcW w:w="900" w:type="dxa"/>
            <w:vAlign w:val="bottom"/>
            <w:gridSpan w:val="2"/>
          </w:tcPr>
          <w:p>
            <w:pPr>
              <w:jc w:val="center"/>
              <w:ind w:left="24"/>
              <w:spacing w:after="0" w:line="164" w:lineRule="exact"/>
              <w:rPr>
                <w:sz w:val="20"/>
                <w:szCs w:val="20"/>
                <w:color w:val="auto"/>
              </w:rPr>
            </w:pPr>
            <w:r>
              <w:rPr>
                <w:rFonts w:ascii="Times New Roman" w:cs="Times New Roman" w:eastAsia="Times New Roman" w:hAnsi="Times New Roman"/>
                <w:sz w:val="15"/>
                <w:szCs w:val="15"/>
                <w:color w:val="231F20"/>
              </w:rPr>
              <w:t>93%</w:t>
            </w:r>
          </w:p>
        </w:tc>
        <w:tc>
          <w:tcPr>
            <w:tcW w:w="80" w:type="dxa"/>
            <w:vAlign w:val="bottom"/>
          </w:tcPr>
          <w:p>
            <w:pPr>
              <w:spacing w:after="0"/>
              <w:rPr>
                <w:sz w:val="14"/>
                <w:szCs w:val="14"/>
                <w:color w:val="auto"/>
              </w:rPr>
            </w:pPr>
          </w:p>
        </w:tc>
        <w:tc>
          <w:tcPr>
            <w:tcW w:w="2040" w:type="dxa"/>
            <w:vAlign w:val="bottom"/>
          </w:tcPr>
          <w:p>
            <w:pPr>
              <w:ind w:left="40"/>
              <w:spacing w:after="0" w:line="164" w:lineRule="exact"/>
              <w:rPr>
                <w:sz w:val="20"/>
                <w:szCs w:val="20"/>
                <w:color w:val="auto"/>
              </w:rPr>
            </w:pPr>
            <w:r>
              <w:rPr>
                <w:rFonts w:ascii="Times New Roman" w:cs="Times New Roman" w:eastAsia="Times New Roman" w:hAnsi="Times New Roman"/>
                <w:sz w:val="15"/>
                <w:szCs w:val="15"/>
                <w:color w:val="231F20"/>
              </w:rPr>
              <w:t>Greenlawn Farms</w:t>
            </w: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2640" w:type="dxa"/>
            <w:vAlign w:val="bottom"/>
            <w:gridSpan w:val="3"/>
          </w:tcPr>
          <w:p>
            <w:pPr>
              <w:ind w:left="100"/>
              <w:spacing w:after="0"/>
              <w:rPr>
                <w:sz w:val="20"/>
                <w:szCs w:val="20"/>
                <w:color w:val="auto"/>
              </w:rPr>
            </w:pPr>
            <w:r>
              <w:rPr>
                <w:rFonts w:ascii="Times New Roman" w:cs="Times New Roman" w:eastAsia="Times New Roman" w:hAnsi="Times New Roman"/>
                <w:sz w:val="15"/>
                <w:szCs w:val="15"/>
                <w:color w:val="231F20"/>
              </w:rPr>
              <w:t>Greenlawn, NY 11743</w:t>
            </w: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40" w:type="dxa"/>
            <w:vAlign w:val="bottom"/>
          </w:tcPr>
          <w:p>
            <w:pPr>
              <w:ind w:left="40"/>
              <w:spacing w:after="0"/>
              <w:rPr>
                <w:sz w:val="20"/>
                <w:szCs w:val="20"/>
                <w:color w:val="auto"/>
              </w:rPr>
            </w:pPr>
            <w:r>
              <w:rPr>
                <w:rFonts w:ascii="Times New Roman" w:cs="Times New Roman" w:eastAsia="Times New Roman" w:hAnsi="Times New Roman"/>
                <w:sz w:val="15"/>
                <w:szCs w:val="15"/>
                <w:color w:val="231F20"/>
              </w:rPr>
              <w:t>Planet Fitness</w:t>
            </w:r>
          </w:p>
        </w:tc>
        <w:tc>
          <w:tcPr>
            <w:tcW w:w="0" w:type="dxa"/>
            <w:vAlign w:val="bottom"/>
          </w:tcPr>
          <w:p>
            <w:pPr>
              <w:spacing w:after="0"/>
              <w:rPr>
                <w:sz w:val="1"/>
                <w:szCs w:val="1"/>
                <w:color w:val="auto"/>
              </w:rPr>
            </w:pPr>
          </w:p>
        </w:tc>
      </w:tr>
      <w:tr>
        <w:trPr>
          <w:trHeight w:val="188"/>
        </w:trPr>
        <w:tc>
          <w:tcPr>
            <w:tcW w:w="60" w:type="dxa"/>
            <w:vAlign w:val="bottom"/>
          </w:tcPr>
          <w:p>
            <w:pPr>
              <w:spacing w:after="0"/>
              <w:rPr>
                <w:sz w:val="16"/>
                <w:szCs w:val="16"/>
                <w:color w:val="auto"/>
              </w:rPr>
            </w:pPr>
          </w:p>
        </w:tc>
        <w:tc>
          <w:tcPr>
            <w:tcW w:w="2640" w:type="dxa"/>
            <w:vAlign w:val="bottom"/>
            <w:gridSpan w:val="3"/>
          </w:tcPr>
          <w:p>
            <w:pPr>
              <w:spacing w:after="0"/>
              <w:rPr>
                <w:sz w:val="20"/>
                <w:szCs w:val="20"/>
                <w:color w:val="auto"/>
              </w:rPr>
            </w:pPr>
            <w:r>
              <w:rPr>
                <w:rFonts w:ascii="Times New Roman" w:cs="Times New Roman" w:eastAsia="Times New Roman" w:hAnsi="Times New Roman"/>
                <w:sz w:val="15"/>
                <w:szCs w:val="15"/>
                <w:color w:val="231F20"/>
              </w:rPr>
              <w:t>Hauppauge</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231F20"/>
                <w:w w:val="99"/>
              </w:rPr>
              <w:t>1963</w:t>
            </w:r>
          </w:p>
        </w:tc>
        <w:tc>
          <w:tcPr>
            <w:tcW w:w="880" w:type="dxa"/>
            <w:vAlign w:val="bottom"/>
            <w:gridSpan w:val="2"/>
          </w:tcPr>
          <w:p>
            <w:pPr>
              <w:jc w:val="center"/>
              <w:ind w:left="24"/>
              <w:spacing w:after="0"/>
              <w:rPr>
                <w:sz w:val="20"/>
                <w:szCs w:val="20"/>
                <w:color w:val="auto"/>
              </w:rPr>
            </w:pPr>
            <w:r>
              <w:rPr>
                <w:rFonts w:ascii="Times New Roman" w:cs="Times New Roman" w:eastAsia="Times New Roman" w:hAnsi="Times New Roman"/>
                <w:sz w:val="15"/>
                <w:szCs w:val="15"/>
                <w:color w:val="231F20"/>
                <w:w w:val="99"/>
              </w:rPr>
              <w:t>1998</w:t>
            </w:r>
          </w:p>
        </w:tc>
        <w:tc>
          <w:tcPr>
            <w:tcW w:w="1100" w:type="dxa"/>
            <w:vAlign w:val="bottom"/>
            <w:gridSpan w:val="2"/>
          </w:tcPr>
          <w:p>
            <w:pPr>
              <w:jc w:val="right"/>
              <w:ind w:right="164"/>
              <w:spacing w:after="0"/>
              <w:rPr>
                <w:sz w:val="20"/>
                <w:szCs w:val="20"/>
                <w:color w:val="auto"/>
              </w:rPr>
            </w:pPr>
            <w:r>
              <w:rPr>
                <w:rFonts w:ascii="Times New Roman" w:cs="Times New Roman" w:eastAsia="Times New Roman" w:hAnsi="Times New Roman"/>
                <w:sz w:val="15"/>
                <w:szCs w:val="15"/>
                <w:color w:val="231F20"/>
              </w:rPr>
              <w:t>134,000</w:t>
            </w:r>
          </w:p>
        </w:tc>
        <w:tc>
          <w:tcPr>
            <w:tcW w:w="1100" w:type="dxa"/>
            <w:vAlign w:val="bottom"/>
            <w:gridSpan w:val="2"/>
          </w:tcPr>
          <w:p>
            <w:pPr>
              <w:jc w:val="center"/>
              <w:ind w:left="44"/>
              <w:spacing w:after="0"/>
              <w:rPr>
                <w:sz w:val="20"/>
                <w:szCs w:val="20"/>
                <w:color w:val="auto"/>
              </w:rPr>
            </w:pPr>
            <w:r>
              <w:rPr>
                <w:rFonts w:ascii="Times New Roman" w:cs="Times New Roman" w:eastAsia="Times New Roman" w:hAnsi="Times New Roman"/>
                <w:sz w:val="15"/>
                <w:szCs w:val="15"/>
                <w:color w:val="231F20"/>
              </w:rPr>
              <w:t>$27.26</w:t>
            </w:r>
          </w:p>
        </w:tc>
        <w:tc>
          <w:tcPr>
            <w:tcW w:w="900" w:type="dxa"/>
            <w:vAlign w:val="bottom"/>
            <w:gridSpan w:val="2"/>
          </w:tcPr>
          <w:p>
            <w:pPr>
              <w:jc w:val="center"/>
              <w:ind w:left="24"/>
              <w:spacing w:after="0"/>
              <w:rPr>
                <w:sz w:val="20"/>
                <w:szCs w:val="20"/>
                <w:color w:val="auto"/>
              </w:rPr>
            </w:pPr>
            <w:r>
              <w:rPr>
                <w:rFonts w:ascii="Times New Roman" w:cs="Times New Roman" w:eastAsia="Times New Roman" w:hAnsi="Times New Roman"/>
                <w:sz w:val="15"/>
                <w:szCs w:val="15"/>
                <w:color w:val="231F20"/>
              </w:rPr>
              <w:t>94%</w:t>
            </w:r>
          </w:p>
        </w:tc>
        <w:tc>
          <w:tcPr>
            <w:tcW w:w="80" w:type="dxa"/>
            <w:vAlign w:val="bottom"/>
          </w:tcPr>
          <w:p>
            <w:pPr>
              <w:spacing w:after="0"/>
              <w:rPr>
                <w:sz w:val="16"/>
                <w:szCs w:val="16"/>
                <w:color w:val="auto"/>
              </w:rPr>
            </w:pPr>
          </w:p>
        </w:tc>
        <w:tc>
          <w:tcPr>
            <w:tcW w:w="2040" w:type="dxa"/>
            <w:vAlign w:val="bottom"/>
          </w:tcPr>
          <w:p>
            <w:pPr>
              <w:ind w:left="40"/>
              <w:spacing w:after="0"/>
              <w:rPr>
                <w:sz w:val="20"/>
                <w:szCs w:val="20"/>
                <w:color w:val="auto"/>
              </w:rPr>
            </w:pPr>
            <w:r>
              <w:rPr>
                <w:rFonts w:ascii="Times New Roman" w:cs="Times New Roman" w:eastAsia="Times New Roman" w:hAnsi="Times New Roman"/>
                <w:sz w:val="15"/>
                <w:szCs w:val="15"/>
                <w:color w:val="231F20"/>
              </w:rPr>
              <w:t>Shop Rite</w:t>
            </w: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2640" w:type="dxa"/>
            <w:vAlign w:val="bottom"/>
            <w:gridSpan w:val="3"/>
          </w:tcPr>
          <w:p>
            <w:pPr>
              <w:ind w:left="100"/>
              <w:spacing w:after="0" w:line="152" w:lineRule="exact"/>
              <w:rPr>
                <w:sz w:val="20"/>
                <w:szCs w:val="20"/>
                <w:color w:val="auto"/>
              </w:rPr>
            </w:pPr>
            <w:r>
              <w:rPr>
                <w:rFonts w:ascii="Times New Roman" w:cs="Times New Roman" w:eastAsia="Times New Roman" w:hAnsi="Times New Roman"/>
                <w:sz w:val="15"/>
                <w:szCs w:val="15"/>
                <w:color w:val="231F20"/>
              </w:rPr>
              <w:t>Hauppauge, NY 11788</w:t>
            </w: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ind w:left="40"/>
              <w:spacing w:after="0" w:line="152" w:lineRule="exact"/>
              <w:rPr>
                <w:sz w:val="20"/>
                <w:szCs w:val="20"/>
                <w:color w:val="auto"/>
              </w:rPr>
            </w:pPr>
            <w:r>
              <w:rPr>
                <w:rFonts w:ascii="Times New Roman" w:cs="Times New Roman" w:eastAsia="Times New Roman" w:hAnsi="Times New Roman"/>
                <w:sz w:val="15"/>
                <w:szCs w:val="15"/>
                <w:color w:val="231F20"/>
              </w:rPr>
              <w:t>TJ Maxx</w:t>
            </w: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40" w:type="dxa"/>
            <w:vAlign w:val="bottom"/>
          </w:tcPr>
          <w:p>
            <w:pPr>
              <w:ind w:left="40"/>
              <w:spacing w:after="0"/>
              <w:rPr>
                <w:sz w:val="20"/>
                <w:szCs w:val="20"/>
                <w:color w:val="auto"/>
              </w:rPr>
            </w:pPr>
            <w:r>
              <w:rPr>
                <w:rFonts w:ascii="Times New Roman" w:cs="Times New Roman" w:eastAsia="Times New Roman" w:hAnsi="Times New Roman"/>
                <w:sz w:val="15"/>
                <w:szCs w:val="15"/>
                <w:color w:val="231F20"/>
              </w:rPr>
              <w:t>Five Below</w:t>
            </w:r>
          </w:p>
        </w:tc>
        <w:tc>
          <w:tcPr>
            <w:tcW w:w="0" w:type="dxa"/>
            <w:vAlign w:val="bottom"/>
          </w:tcPr>
          <w:p>
            <w:pPr>
              <w:spacing w:after="0"/>
              <w:rPr>
                <w:sz w:val="1"/>
                <w:szCs w:val="1"/>
                <w:color w:val="auto"/>
              </w:rPr>
            </w:pPr>
          </w:p>
        </w:tc>
      </w:tr>
      <w:tr>
        <w:trPr>
          <w:trHeight w:val="164"/>
        </w:trPr>
        <w:tc>
          <w:tcPr>
            <w:tcW w:w="60" w:type="dxa"/>
            <w:vAlign w:val="bottom"/>
          </w:tcPr>
          <w:p>
            <w:pPr>
              <w:spacing w:after="0"/>
              <w:rPr>
                <w:sz w:val="14"/>
                <w:szCs w:val="14"/>
                <w:color w:val="auto"/>
              </w:rPr>
            </w:pPr>
          </w:p>
        </w:tc>
        <w:tc>
          <w:tcPr>
            <w:tcW w:w="2640" w:type="dxa"/>
            <w:vAlign w:val="bottom"/>
            <w:gridSpan w:val="3"/>
          </w:tcPr>
          <w:p>
            <w:pPr>
              <w:spacing w:after="0" w:line="164" w:lineRule="exact"/>
              <w:rPr>
                <w:sz w:val="20"/>
                <w:szCs w:val="20"/>
                <w:color w:val="auto"/>
              </w:rPr>
            </w:pPr>
            <w:r>
              <w:rPr>
                <w:rFonts w:ascii="Times New Roman" w:cs="Times New Roman" w:eastAsia="Times New Roman" w:hAnsi="Times New Roman"/>
                <w:sz w:val="15"/>
                <w:szCs w:val="15"/>
                <w:color w:val="231F20"/>
              </w:rPr>
              <w:t>Huntington</w:t>
            </w:r>
          </w:p>
        </w:tc>
        <w:tc>
          <w:tcPr>
            <w:tcW w:w="920" w:type="dxa"/>
            <w:vAlign w:val="bottom"/>
            <w:gridSpan w:val="2"/>
          </w:tcPr>
          <w:p>
            <w:pPr>
              <w:jc w:val="center"/>
              <w:ind w:left="4"/>
              <w:spacing w:after="0" w:line="164" w:lineRule="exact"/>
              <w:rPr>
                <w:sz w:val="20"/>
                <w:szCs w:val="20"/>
                <w:color w:val="auto"/>
              </w:rPr>
            </w:pPr>
            <w:r>
              <w:rPr>
                <w:rFonts w:ascii="Times New Roman" w:cs="Times New Roman" w:eastAsia="Times New Roman" w:hAnsi="Times New Roman"/>
                <w:sz w:val="15"/>
                <w:szCs w:val="15"/>
                <w:color w:val="231F20"/>
              </w:rPr>
              <w:t>1962, 2024</w:t>
            </w:r>
          </w:p>
        </w:tc>
        <w:tc>
          <w:tcPr>
            <w:tcW w:w="880" w:type="dxa"/>
            <w:vAlign w:val="bottom"/>
            <w:gridSpan w:val="2"/>
          </w:tcPr>
          <w:p>
            <w:pPr>
              <w:jc w:val="center"/>
              <w:ind w:left="4"/>
              <w:spacing w:after="0" w:line="164" w:lineRule="exact"/>
              <w:rPr>
                <w:sz w:val="20"/>
                <w:szCs w:val="20"/>
                <w:color w:val="auto"/>
              </w:rPr>
            </w:pPr>
            <w:r>
              <w:rPr>
                <w:rFonts w:ascii="Times New Roman" w:cs="Times New Roman" w:eastAsia="Times New Roman" w:hAnsi="Times New Roman"/>
                <w:sz w:val="15"/>
                <w:szCs w:val="15"/>
                <w:color w:val="231F20"/>
                <w:w w:val="99"/>
              </w:rPr>
              <w:t>1988/2007/</w:t>
            </w:r>
          </w:p>
        </w:tc>
        <w:tc>
          <w:tcPr>
            <w:tcW w:w="1100" w:type="dxa"/>
            <w:vAlign w:val="bottom"/>
            <w:gridSpan w:val="2"/>
          </w:tcPr>
          <w:p>
            <w:pPr>
              <w:jc w:val="right"/>
              <w:ind w:right="164"/>
              <w:spacing w:after="0" w:line="164" w:lineRule="exact"/>
              <w:rPr>
                <w:sz w:val="20"/>
                <w:szCs w:val="20"/>
                <w:color w:val="auto"/>
              </w:rPr>
            </w:pPr>
            <w:r>
              <w:rPr>
                <w:rFonts w:ascii="Times New Roman" w:cs="Times New Roman" w:eastAsia="Times New Roman" w:hAnsi="Times New Roman"/>
                <w:sz w:val="15"/>
                <w:szCs w:val="15"/>
                <w:color w:val="231F20"/>
              </w:rPr>
              <w:t>217,000</w:t>
            </w:r>
          </w:p>
        </w:tc>
        <w:tc>
          <w:tcPr>
            <w:tcW w:w="1100" w:type="dxa"/>
            <w:vAlign w:val="bottom"/>
            <w:gridSpan w:val="2"/>
          </w:tcPr>
          <w:p>
            <w:pPr>
              <w:jc w:val="center"/>
              <w:ind w:left="44"/>
              <w:spacing w:after="0" w:line="164" w:lineRule="exact"/>
              <w:rPr>
                <w:sz w:val="20"/>
                <w:szCs w:val="20"/>
                <w:color w:val="auto"/>
              </w:rPr>
            </w:pPr>
            <w:r>
              <w:rPr>
                <w:rFonts w:ascii="Times New Roman" w:cs="Times New Roman" w:eastAsia="Times New Roman" w:hAnsi="Times New Roman"/>
                <w:sz w:val="15"/>
                <w:szCs w:val="15"/>
                <w:color w:val="231F20"/>
              </w:rPr>
              <w:t>$37.02</w:t>
            </w:r>
          </w:p>
        </w:tc>
        <w:tc>
          <w:tcPr>
            <w:tcW w:w="900" w:type="dxa"/>
            <w:vAlign w:val="bottom"/>
            <w:gridSpan w:val="2"/>
          </w:tcPr>
          <w:p>
            <w:pPr>
              <w:jc w:val="center"/>
              <w:ind w:left="24"/>
              <w:spacing w:after="0" w:line="164" w:lineRule="exact"/>
              <w:rPr>
                <w:sz w:val="20"/>
                <w:szCs w:val="20"/>
                <w:color w:val="auto"/>
              </w:rPr>
            </w:pPr>
            <w:r>
              <w:rPr>
                <w:rFonts w:ascii="Times New Roman" w:cs="Times New Roman" w:eastAsia="Times New Roman" w:hAnsi="Times New Roman"/>
                <w:sz w:val="15"/>
                <w:szCs w:val="15"/>
                <w:color w:val="231F20"/>
              </w:rPr>
              <w:t>97%</w:t>
            </w:r>
          </w:p>
        </w:tc>
        <w:tc>
          <w:tcPr>
            <w:tcW w:w="80" w:type="dxa"/>
            <w:vAlign w:val="bottom"/>
          </w:tcPr>
          <w:p>
            <w:pPr>
              <w:spacing w:after="0"/>
              <w:rPr>
                <w:sz w:val="14"/>
                <w:szCs w:val="14"/>
                <w:color w:val="auto"/>
              </w:rPr>
            </w:pPr>
          </w:p>
        </w:tc>
        <w:tc>
          <w:tcPr>
            <w:tcW w:w="2040" w:type="dxa"/>
            <w:vAlign w:val="bottom"/>
          </w:tcPr>
          <w:p>
            <w:pPr>
              <w:ind w:left="40"/>
              <w:spacing w:after="0" w:line="164" w:lineRule="exact"/>
              <w:rPr>
                <w:sz w:val="20"/>
                <w:szCs w:val="20"/>
                <w:color w:val="auto"/>
              </w:rPr>
            </w:pPr>
            <w:r>
              <w:rPr>
                <w:rFonts w:ascii="Times New Roman" w:cs="Times New Roman" w:eastAsia="Times New Roman" w:hAnsi="Times New Roman"/>
                <w:sz w:val="15"/>
                <w:szCs w:val="15"/>
                <w:color w:val="231F20"/>
              </w:rPr>
              <w:t>Whole Foods</w:t>
            </w: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2640" w:type="dxa"/>
            <w:vAlign w:val="bottom"/>
            <w:gridSpan w:val="3"/>
          </w:tcPr>
          <w:p>
            <w:pPr>
              <w:ind w:left="100"/>
              <w:spacing w:after="0" w:line="152" w:lineRule="exact"/>
              <w:rPr>
                <w:sz w:val="20"/>
                <w:szCs w:val="20"/>
                <w:color w:val="auto"/>
              </w:rPr>
            </w:pPr>
            <w:r>
              <w:rPr>
                <w:rFonts w:ascii="Times New Roman" w:cs="Times New Roman" w:eastAsia="Times New Roman" w:hAnsi="Times New Roman"/>
                <w:sz w:val="15"/>
                <w:szCs w:val="15"/>
                <w:color w:val="231F20"/>
              </w:rPr>
              <w:t>Huntington, NY 11746</w:t>
            </w: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80" w:type="dxa"/>
            <w:vAlign w:val="bottom"/>
            <w:gridSpan w:val="2"/>
          </w:tcPr>
          <w:p>
            <w:pPr>
              <w:jc w:val="center"/>
              <w:ind w:left="24"/>
              <w:spacing w:after="0" w:line="152" w:lineRule="exact"/>
              <w:rPr>
                <w:sz w:val="20"/>
                <w:szCs w:val="20"/>
                <w:color w:val="auto"/>
              </w:rPr>
            </w:pPr>
            <w:r>
              <w:rPr>
                <w:rFonts w:ascii="Times New Roman" w:cs="Times New Roman" w:eastAsia="Times New Roman" w:hAnsi="Times New Roman"/>
                <w:sz w:val="15"/>
                <w:szCs w:val="15"/>
                <w:color w:val="231F20"/>
                <w:w w:val="99"/>
              </w:rPr>
              <w:t>2015</w:t>
            </w: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ind w:left="40"/>
              <w:spacing w:after="0" w:line="152" w:lineRule="exact"/>
              <w:rPr>
                <w:sz w:val="20"/>
                <w:szCs w:val="20"/>
                <w:color w:val="auto"/>
              </w:rPr>
            </w:pPr>
            <w:r>
              <w:rPr>
                <w:rFonts w:ascii="Times New Roman" w:cs="Times New Roman" w:eastAsia="Times New Roman" w:hAnsi="Times New Roman"/>
                <w:sz w:val="15"/>
                <w:szCs w:val="15"/>
                <w:color w:val="231F20"/>
              </w:rPr>
              <w:t>Petsmart</w:t>
            </w: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ind w:left="40"/>
              <w:spacing w:after="0" w:line="152" w:lineRule="exact"/>
              <w:rPr>
                <w:sz w:val="20"/>
                <w:szCs w:val="20"/>
                <w:color w:val="auto"/>
              </w:rPr>
            </w:pPr>
            <w:r>
              <w:rPr>
                <w:rFonts w:ascii="Times New Roman" w:cs="Times New Roman" w:eastAsia="Times New Roman" w:hAnsi="Times New Roman"/>
                <w:sz w:val="15"/>
                <w:szCs w:val="15"/>
                <w:color w:val="231F20"/>
              </w:rPr>
              <w:t>REI</w:t>
            </w: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40" w:type="dxa"/>
            <w:vAlign w:val="bottom"/>
          </w:tcPr>
          <w:p>
            <w:pPr>
              <w:ind w:left="40"/>
              <w:spacing w:after="0"/>
              <w:rPr>
                <w:sz w:val="20"/>
                <w:szCs w:val="20"/>
                <w:color w:val="auto"/>
              </w:rPr>
            </w:pPr>
            <w:r>
              <w:rPr>
                <w:rFonts w:ascii="Times New Roman" w:cs="Times New Roman" w:eastAsia="Times New Roman" w:hAnsi="Times New Roman"/>
                <w:sz w:val="15"/>
                <w:szCs w:val="15"/>
                <w:color w:val="231F20"/>
              </w:rPr>
              <w:t>Ulta</w:t>
            </w:r>
          </w:p>
        </w:tc>
        <w:tc>
          <w:tcPr>
            <w:tcW w:w="0" w:type="dxa"/>
            <w:vAlign w:val="bottom"/>
          </w:tcPr>
          <w:p>
            <w:pPr>
              <w:spacing w:after="0"/>
              <w:rPr>
                <w:sz w:val="1"/>
                <w:szCs w:val="1"/>
                <w:color w:val="auto"/>
              </w:rPr>
            </w:pPr>
          </w:p>
        </w:tc>
      </w:tr>
      <w:tr>
        <w:trPr>
          <w:trHeight w:val="183"/>
        </w:trPr>
        <w:tc>
          <w:tcPr>
            <w:tcW w:w="60" w:type="dxa"/>
            <w:vAlign w:val="bottom"/>
          </w:tcPr>
          <w:p>
            <w:pPr>
              <w:spacing w:after="0"/>
              <w:rPr>
                <w:sz w:val="15"/>
                <w:szCs w:val="15"/>
                <w:color w:val="auto"/>
              </w:rPr>
            </w:pPr>
          </w:p>
        </w:tc>
        <w:tc>
          <w:tcPr>
            <w:tcW w:w="2640" w:type="dxa"/>
            <w:vAlign w:val="bottom"/>
            <w:gridSpan w:val="3"/>
          </w:tcPr>
          <w:p>
            <w:pPr>
              <w:spacing w:after="0"/>
              <w:rPr>
                <w:sz w:val="20"/>
                <w:szCs w:val="20"/>
                <w:color w:val="auto"/>
              </w:rPr>
            </w:pPr>
            <w:r>
              <w:rPr>
                <w:rFonts w:ascii="Times New Roman" w:cs="Times New Roman" w:eastAsia="Times New Roman" w:hAnsi="Times New Roman"/>
                <w:sz w:val="15"/>
                <w:szCs w:val="15"/>
                <w:color w:val="231F20"/>
              </w:rPr>
              <w:t>Huntington Square</w:t>
            </w:r>
          </w:p>
        </w:tc>
        <w:tc>
          <w:tcPr>
            <w:tcW w:w="920" w:type="dxa"/>
            <w:vAlign w:val="bottom"/>
            <w:gridSpan w:val="2"/>
          </w:tcPr>
          <w:p>
            <w:pPr>
              <w:jc w:val="center"/>
              <w:ind w:left="4"/>
              <w:spacing w:after="0"/>
              <w:rPr>
                <w:sz w:val="20"/>
                <w:szCs w:val="20"/>
                <w:color w:val="auto"/>
              </w:rPr>
            </w:pPr>
            <w:r>
              <w:rPr>
                <w:rFonts w:ascii="Times New Roman" w:cs="Times New Roman" w:eastAsia="Times New Roman" w:hAnsi="Times New Roman"/>
                <w:sz w:val="15"/>
                <w:szCs w:val="15"/>
                <w:color w:val="231F20"/>
              </w:rPr>
              <w:t>1980, 2007</w:t>
            </w:r>
          </w:p>
        </w:tc>
        <w:tc>
          <w:tcPr>
            <w:tcW w:w="880" w:type="dxa"/>
            <w:vAlign w:val="bottom"/>
            <w:gridSpan w:val="2"/>
          </w:tcPr>
          <w:p>
            <w:pPr>
              <w:jc w:val="center"/>
              <w:ind w:left="4"/>
              <w:spacing w:after="0"/>
              <w:rPr>
                <w:sz w:val="20"/>
                <w:szCs w:val="20"/>
                <w:color w:val="auto"/>
              </w:rPr>
            </w:pPr>
            <w:r>
              <w:rPr>
                <w:rFonts w:ascii="Times New Roman" w:cs="Times New Roman" w:eastAsia="Times New Roman" w:hAnsi="Times New Roman"/>
                <w:sz w:val="15"/>
                <w:szCs w:val="15"/>
                <w:color w:val="231F20"/>
                <w:w w:val="99"/>
              </w:rPr>
              <w:t>2010/2023</w:t>
            </w:r>
          </w:p>
        </w:tc>
        <w:tc>
          <w:tcPr>
            <w:tcW w:w="1100" w:type="dxa"/>
            <w:vAlign w:val="bottom"/>
            <w:gridSpan w:val="2"/>
          </w:tcPr>
          <w:p>
            <w:pPr>
              <w:jc w:val="right"/>
              <w:ind w:right="164"/>
              <w:spacing w:after="0"/>
              <w:rPr>
                <w:sz w:val="20"/>
                <w:szCs w:val="20"/>
                <w:color w:val="auto"/>
              </w:rPr>
            </w:pPr>
            <w:r>
              <w:rPr>
                <w:rFonts w:ascii="Times New Roman" w:cs="Times New Roman" w:eastAsia="Times New Roman" w:hAnsi="Times New Roman"/>
                <w:sz w:val="15"/>
                <w:szCs w:val="15"/>
                <w:color w:val="231F20"/>
              </w:rPr>
              <w:t>244,000</w:t>
            </w:r>
          </w:p>
        </w:tc>
        <w:tc>
          <w:tcPr>
            <w:tcW w:w="1100" w:type="dxa"/>
            <w:vAlign w:val="bottom"/>
            <w:gridSpan w:val="2"/>
          </w:tcPr>
          <w:p>
            <w:pPr>
              <w:jc w:val="center"/>
              <w:ind w:left="44"/>
              <w:spacing w:after="0"/>
              <w:rPr>
                <w:sz w:val="20"/>
                <w:szCs w:val="20"/>
                <w:color w:val="auto"/>
              </w:rPr>
            </w:pPr>
            <w:r>
              <w:rPr>
                <w:rFonts w:ascii="Times New Roman" w:cs="Times New Roman" w:eastAsia="Times New Roman" w:hAnsi="Times New Roman"/>
                <w:sz w:val="15"/>
                <w:szCs w:val="15"/>
                <w:color w:val="231F20"/>
              </w:rPr>
              <w:t>$23.07</w:t>
            </w:r>
          </w:p>
        </w:tc>
        <w:tc>
          <w:tcPr>
            <w:tcW w:w="900" w:type="dxa"/>
            <w:vAlign w:val="bottom"/>
            <w:gridSpan w:val="2"/>
          </w:tcPr>
          <w:p>
            <w:pPr>
              <w:jc w:val="center"/>
              <w:ind w:left="24"/>
              <w:spacing w:after="0"/>
              <w:rPr>
                <w:sz w:val="20"/>
                <w:szCs w:val="20"/>
                <w:color w:val="auto"/>
              </w:rPr>
            </w:pPr>
            <w:r>
              <w:rPr>
                <w:rFonts w:ascii="Times New Roman" w:cs="Times New Roman" w:eastAsia="Times New Roman" w:hAnsi="Times New Roman"/>
                <w:sz w:val="15"/>
                <w:szCs w:val="15"/>
                <w:color w:val="231F20"/>
              </w:rPr>
              <w:t>90%</w:t>
            </w:r>
          </w:p>
        </w:tc>
        <w:tc>
          <w:tcPr>
            <w:tcW w:w="80" w:type="dxa"/>
            <w:vAlign w:val="bottom"/>
          </w:tcPr>
          <w:p>
            <w:pPr>
              <w:spacing w:after="0"/>
              <w:rPr>
                <w:sz w:val="15"/>
                <w:szCs w:val="15"/>
                <w:color w:val="auto"/>
              </w:rPr>
            </w:pPr>
          </w:p>
        </w:tc>
        <w:tc>
          <w:tcPr>
            <w:tcW w:w="2040" w:type="dxa"/>
            <w:vAlign w:val="bottom"/>
          </w:tcPr>
          <w:p>
            <w:pPr>
              <w:ind w:left="40"/>
              <w:spacing w:after="0"/>
              <w:rPr>
                <w:sz w:val="20"/>
                <w:szCs w:val="20"/>
                <w:color w:val="auto"/>
              </w:rPr>
            </w:pPr>
            <w:r>
              <w:rPr>
                <w:rFonts w:ascii="Times New Roman" w:cs="Times New Roman" w:eastAsia="Times New Roman" w:hAnsi="Times New Roman"/>
                <w:sz w:val="15"/>
                <w:szCs w:val="15"/>
                <w:color w:val="231F20"/>
              </w:rPr>
              <w:t>Aldi</w:t>
            </w: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2640" w:type="dxa"/>
            <w:vAlign w:val="bottom"/>
            <w:gridSpan w:val="3"/>
          </w:tcPr>
          <w:p>
            <w:pPr>
              <w:ind w:left="100"/>
              <w:spacing w:after="0" w:line="152" w:lineRule="exact"/>
              <w:rPr>
                <w:sz w:val="20"/>
                <w:szCs w:val="20"/>
                <w:color w:val="auto"/>
              </w:rPr>
            </w:pPr>
            <w:r>
              <w:rPr>
                <w:rFonts w:ascii="Times New Roman" w:cs="Times New Roman" w:eastAsia="Times New Roman" w:hAnsi="Times New Roman"/>
                <w:sz w:val="15"/>
                <w:szCs w:val="15"/>
                <w:color w:val="231F20"/>
              </w:rPr>
              <w:t>East Northport, NY 11731</w:t>
            </w: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ind w:left="40"/>
              <w:spacing w:after="0" w:line="152" w:lineRule="exact"/>
              <w:rPr>
                <w:sz w:val="20"/>
                <w:szCs w:val="20"/>
                <w:color w:val="auto"/>
              </w:rPr>
            </w:pPr>
            <w:r>
              <w:rPr>
                <w:rFonts w:ascii="Times New Roman" w:cs="Times New Roman" w:eastAsia="Times New Roman" w:hAnsi="Times New Roman"/>
                <w:sz w:val="15"/>
                <w:szCs w:val="15"/>
                <w:color w:val="231F20"/>
              </w:rPr>
              <w:t>24 Hour Fitness</w:t>
            </w: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40" w:type="dxa"/>
            <w:vAlign w:val="bottom"/>
          </w:tcPr>
          <w:p>
            <w:pPr>
              <w:ind w:left="40"/>
              <w:spacing w:after="0"/>
              <w:rPr>
                <w:sz w:val="20"/>
                <w:szCs w:val="20"/>
                <w:color w:val="auto"/>
              </w:rPr>
            </w:pPr>
            <w:r>
              <w:rPr>
                <w:rFonts w:ascii="Times New Roman" w:cs="Times New Roman" w:eastAsia="Times New Roman" w:hAnsi="Times New Roman"/>
                <w:sz w:val="15"/>
                <w:szCs w:val="15"/>
                <w:color w:val="231F20"/>
              </w:rPr>
              <w:t>AMC</w:t>
            </w:r>
          </w:p>
        </w:tc>
        <w:tc>
          <w:tcPr>
            <w:tcW w:w="0" w:type="dxa"/>
            <w:vAlign w:val="bottom"/>
          </w:tcPr>
          <w:p>
            <w:pPr>
              <w:spacing w:after="0"/>
              <w:rPr>
                <w:sz w:val="1"/>
                <w:szCs w:val="1"/>
                <w:color w:val="auto"/>
              </w:rPr>
            </w:pPr>
          </w:p>
        </w:tc>
      </w:tr>
      <w:tr>
        <w:trPr>
          <w:trHeight w:val="178"/>
        </w:trPr>
        <w:tc>
          <w:tcPr>
            <w:tcW w:w="60" w:type="dxa"/>
            <w:vAlign w:val="bottom"/>
          </w:tcPr>
          <w:p>
            <w:pPr>
              <w:spacing w:after="0"/>
              <w:rPr>
                <w:sz w:val="15"/>
                <w:szCs w:val="15"/>
                <w:color w:val="auto"/>
              </w:rPr>
            </w:pPr>
          </w:p>
        </w:tc>
        <w:tc>
          <w:tcPr>
            <w:tcW w:w="2640" w:type="dxa"/>
            <w:vAlign w:val="bottom"/>
            <w:gridSpan w:val="3"/>
          </w:tcPr>
          <w:p>
            <w:pPr>
              <w:spacing w:after="0"/>
              <w:rPr>
                <w:sz w:val="20"/>
                <w:szCs w:val="20"/>
                <w:color w:val="auto"/>
              </w:rPr>
            </w:pPr>
            <w:r>
              <w:rPr>
                <w:rFonts w:ascii="Times New Roman" w:cs="Times New Roman" w:eastAsia="Times New Roman" w:hAnsi="Times New Roman"/>
                <w:sz w:val="15"/>
                <w:szCs w:val="15"/>
                <w:color w:val="231F20"/>
              </w:rPr>
              <w:t>Melville Mall</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231F20"/>
                <w:w w:val="99"/>
              </w:rPr>
              <w:t>1974</w:t>
            </w:r>
          </w:p>
        </w:tc>
        <w:tc>
          <w:tcPr>
            <w:tcW w:w="880" w:type="dxa"/>
            <w:vAlign w:val="bottom"/>
            <w:gridSpan w:val="2"/>
          </w:tcPr>
          <w:p>
            <w:pPr>
              <w:jc w:val="center"/>
              <w:ind w:left="24"/>
              <w:spacing w:after="0"/>
              <w:rPr>
                <w:sz w:val="20"/>
                <w:szCs w:val="20"/>
                <w:color w:val="auto"/>
              </w:rPr>
            </w:pPr>
            <w:r>
              <w:rPr>
                <w:rFonts w:ascii="Times New Roman" w:cs="Times New Roman" w:eastAsia="Times New Roman" w:hAnsi="Times New Roman"/>
                <w:sz w:val="15"/>
                <w:szCs w:val="15"/>
                <w:color w:val="231F20"/>
                <w:w w:val="99"/>
              </w:rPr>
              <w:t>2006</w:t>
            </w:r>
          </w:p>
        </w:tc>
        <w:tc>
          <w:tcPr>
            <w:tcW w:w="1100" w:type="dxa"/>
            <w:vAlign w:val="bottom"/>
            <w:gridSpan w:val="2"/>
          </w:tcPr>
          <w:p>
            <w:pPr>
              <w:jc w:val="right"/>
              <w:ind w:right="164"/>
              <w:spacing w:after="0"/>
              <w:rPr>
                <w:sz w:val="20"/>
                <w:szCs w:val="20"/>
                <w:color w:val="auto"/>
              </w:rPr>
            </w:pPr>
            <w:r>
              <w:rPr>
                <w:rFonts w:ascii="Times New Roman" w:cs="Times New Roman" w:eastAsia="Times New Roman" w:hAnsi="Times New Roman"/>
                <w:sz w:val="15"/>
                <w:szCs w:val="15"/>
                <w:color w:val="231F20"/>
              </w:rPr>
              <w:t>241,000</w:t>
            </w:r>
          </w:p>
        </w:tc>
        <w:tc>
          <w:tcPr>
            <w:tcW w:w="1100" w:type="dxa"/>
            <w:vAlign w:val="bottom"/>
            <w:gridSpan w:val="2"/>
          </w:tcPr>
          <w:p>
            <w:pPr>
              <w:jc w:val="center"/>
              <w:ind w:left="44"/>
              <w:spacing w:after="0"/>
              <w:rPr>
                <w:sz w:val="20"/>
                <w:szCs w:val="20"/>
                <w:color w:val="auto"/>
              </w:rPr>
            </w:pPr>
            <w:r>
              <w:rPr>
                <w:rFonts w:ascii="Times New Roman" w:cs="Times New Roman" w:eastAsia="Times New Roman" w:hAnsi="Times New Roman"/>
                <w:sz w:val="15"/>
                <w:szCs w:val="15"/>
                <w:color w:val="231F20"/>
              </w:rPr>
              <w:t>$30.84</w:t>
            </w:r>
          </w:p>
        </w:tc>
        <w:tc>
          <w:tcPr>
            <w:tcW w:w="900" w:type="dxa"/>
            <w:vAlign w:val="bottom"/>
            <w:gridSpan w:val="2"/>
          </w:tcPr>
          <w:p>
            <w:pPr>
              <w:jc w:val="center"/>
              <w:ind w:left="24"/>
              <w:spacing w:after="0"/>
              <w:rPr>
                <w:sz w:val="20"/>
                <w:szCs w:val="20"/>
                <w:color w:val="auto"/>
              </w:rPr>
            </w:pPr>
            <w:r>
              <w:rPr>
                <w:rFonts w:ascii="Times New Roman" w:cs="Times New Roman" w:eastAsia="Times New Roman" w:hAnsi="Times New Roman"/>
                <w:sz w:val="15"/>
                <w:szCs w:val="15"/>
                <w:color w:val="231F20"/>
              </w:rPr>
              <w:t>100%</w:t>
            </w:r>
          </w:p>
        </w:tc>
        <w:tc>
          <w:tcPr>
            <w:tcW w:w="80" w:type="dxa"/>
            <w:vAlign w:val="bottom"/>
          </w:tcPr>
          <w:p>
            <w:pPr>
              <w:spacing w:after="0"/>
              <w:rPr>
                <w:sz w:val="15"/>
                <w:szCs w:val="15"/>
                <w:color w:val="auto"/>
              </w:rPr>
            </w:pPr>
          </w:p>
        </w:tc>
        <w:tc>
          <w:tcPr>
            <w:tcW w:w="2040" w:type="dxa"/>
            <w:vAlign w:val="bottom"/>
          </w:tcPr>
          <w:p>
            <w:pPr>
              <w:ind w:left="40"/>
              <w:spacing w:after="0"/>
              <w:rPr>
                <w:sz w:val="20"/>
                <w:szCs w:val="20"/>
                <w:color w:val="auto"/>
              </w:rPr>
            </w:pPr>
            <w:r>
              <w:rPr>
                <w:rFonts w:ascii="Times New Roman" w:cs="Times New Roman" w:eastAsia="Times New Roman" w:hAnsi="Times New Roman"/>
                <w:sz w:val="15"/>
                <w:szCs w:val="15"/>
                <w:color w:val="231F20"/>
              </w:rPr>
              <w:t>Uncle Giuseppe's Marketplace</w:t>
            </w: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2640" w:type="dxa"/>
            <w:vAlign w:val="bottom"/>
            <w:gridSpan w:val="3"/>
          </w:tcPr>
          <w:p>
            <w:pPr>
              <w:ind w:left="100"/>
              <w:spacing w:after="0" w:line="152" w:lineRule="exact"/>
              <w:rPr>
                <w:sz w:val="20"/>
                <w:szCs w:val="20"/>
                <w:color w:val="auto"/>
              </w:rPr>
            </w:pPr>
            <w:r>
              <w:rPr>
                <w:rFonts w:ascii="Times New Roman" w:cs="Times New Roman" w:eastAsia="Times New Roman" w:hAnsi="Times New Roman"/>
                <w:sz w:val="15"/>
                <w:szCs w:val="15"/>
                <w:color w:val="231F20"/>
              </w:rPr>
              <w:t>Huntington, NY 11747(7)</w:t>
            </w: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ind w:left="40"/>
              <w:spacing w:after="0" w:line="152" w:lineRule="exact"/>
              <w:rPr>
                <w:sz w:val="20"/>
                <w:szCs w:val="20"/>
                <w:color w:val="auto"/>
              </w:rPr>
            </w:pPr>
            <w:r>
              <w:rPr>
                <w:rFonts w:ascii="Times New Roman" w:cs="Times New Roman" w:eastAsia="Times New Roman" w:hAnsi="Times New Roman"/>
                <w:sz w:val="15"/>
                <w:szCs w:val="15"/>
                <w:color w:val="231F20"/>
              </w:rPr>
              <w:t>Marshalls</w:t>
            </w: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40" w:type="dxa"/>
            <w:vAlign w:val="bottom"/>
          </w:tcPr>
          <w:p>
            <w:pPr>
              <w:ind w:left="40"/>
              <w:spacing w:after="0"/>
              <w:rPr>
                <w:sz w:val="20"/>
                <w:szCs w:val="20"/>
                <w:color w:val="auto"/>
              </w:rPr>
            </w:pPr>
            <w:r>
              <w:rPr>
                <w:rFonts w:ascii="Times New Roman" w:cs="Times New Roman" w:eastAsia="Times New Roman" w:hAnsi="Times New Roman"/>
                <w:sz w:val="15"/>
                <w:szCs w:val="15"/>
                <w:color w:val="231F20"/>
              </w:rPr>
              <w:t>Dick's Sporting Goods</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860" w:type="dxa"/>
            <w:vAlign w:val="bottom"/>
            <w:tcBorders>
              <w:bottom w:val="single" w:sz="8" w:color="231F20"/>
            </w:tcBorders>
            <w:gridSpan w:val="2"/>
          </w:tcPr>
          <w:p>
            <w:pPr>
              <w:spacing w:after="0"/>
              <w:rPr>
                <w:sz w:val="20"/>
                <w:szCs w:val="20"/>
                <w:color w:val="auto"/>
              </w:rPr>
            </w:pPr>
            <w:r>
              <w:rPr>
                <w:rFonts w:ascii="Times New Roman" w:cs="Times New Roman" w:eastAsia="Times New Roman" w:hAnsi="Times New Roman"/>
                <w:sz w:val="15"/>
                <w:szCs w:val="15"/>
                <w:b w:val="1"/>
                <w:bCs w:val="1"/>
                <w:color w:val="231F20"/>
                <w:w w:val="98"/>
              </w:rPr>
              <w:t>Pennsylvania</w:t>
            </w:r>
          </w:p>
        </w:tc>
        <w:tc>
          <w:tcPr>
            <w:tcW w:w="1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60" w:type="dxa"/>
            <w:vAlign w:val="bottom"/>
          </w:tcPr>
          <w:p>
            <w:pPr>
              <w:spacing w:after="0"/>
              <w:rPr>
                <w:sz w:val="17"/>
                <w:szCs w:val="17"/>
                <w:color w:val="auto"/>
              </w:rPr>
            </w:pPr>
          </w:p>
        </w:tc>
        <w:tc>
          <w:tcPr>
            <w:tcW w:w="2640" w:type="dxa"/>
            <w:vAlign w:val="bottom"/>
            <w:gridSpan w:val="3"/>
          </w:tcPr>
          <w:p>
            <w:pPr>
              <w:spacing w:after="0"/>
              <w:rPr>
                <w:sz w:val="20"/>
                <w:szCs w:val="20"/>
                <w:color w:val="auto"/>
              </w:rPr>
            </w:pPr>
            <w:r>
              <w:rPr>
                <w:rFonts w:ascii="Times New Roman" w:cs="Times New Roman" w:eastAsia="Times New Roman" w:hAnsi="Times New Roman"/>
                <w:sz w:val="15"/>
                <w:szCs w:val="15"/>
                <w:color w:val="231F20"/>
              </w:rPr>
              <w:t>Andorra</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231F20"/>
                <w:w w:val="99"/>
              </w:rPr>
              <w:t>1953</w:t>
            </w:r>
          </w:p>
        </w:tc>
        <w:tc>
          <w:tcPr>
            <w:tcW w:w="880" w:type="dxa"/>
            <w:vAlign w:val="bottom"/>
            <w:gridSpan w:val="2"/>
          </w:tcPr>
          <w:p>
            <w:pPr>
              <w:jc w:val="center"/>
              <w:ind w:left="24"/>
              <w:spacing w:after="0"/>
              <w:rPr>
                <w:sz w:val="20"/>
                <w:szCs w:val="20"/>
                <w:color w:val="auto"/>
              </w:rPr>
            </w:pPr>
            <w:r>
              <w:rPr>
                <w:rFonts w:ascii="Times New Roman" w:cs="Times New Roman" w:eastAsia="Times New Roman" w:hAnsi="Times New Roman"/>
                <w:sz w:val="15"/>
                <w:szCs w:val="15"/>
                <w:color w:val="231F20"/>
                <w:w w:val="99"/>
              </w:rPr>
              <w:t>1988</w:t>
            </w:r>
          </w:p>
        </w:tc>
        <w:tc>
          <w:tcPr>
            <w:tcW w:w="1100" w:type="dxa"/>
            <w:vAlign w:val="bottom"/>
            <w:gridSpan w:val="2"/>
          </w:tcPr>
          <w:p>
            <w:pPr>
              <w:jc w:val="right"/>
              <w:ind w:right="164"/>
              <w:spacing w:after="0"/>
              <w:rPr>
                <w:sz w:val="20"/>
                <w:szCs w:val="20"/>
                <w:color w:val="auto"/>
              </w:rPr>
            </w:pPr>
            <w:r>
              <w:rPr>
                <w:rFonts w:ascii="Times New Roman" w:cs="Times New Roman" w:eastAsia="Times New Roman" w:hAnsi="Times New Roman"/>
                <w:sz w:val="15"/>
                <w:szCs w:val="15"/>
                <w:color w:val="231F20"/>
              </w:rPr>
              <w:t>212,000</w:t>
            </w:r>
          </w:p>
        </w:tc>
        <w:tc>
          <w:tcPr>
            <w:tcW w:w="1100" w:type="dxa"/>
            <w:vAlign w:val="bottom"/>
            <w:gridSpan w:val="2"/>
          </w:tcPr>
          <w:p>
            <w:pPr>
              <w:jc w:val="center"/>
              <w:ind w:left="44"/>
              <w:spacing w:after="0"/>
              <w:rPr>
                <w:sz w:val="20"/>
                <w:szCs w:val="20"/>
                <w:color w:val="auto"/>
              </w:rPr>
            </w:pPr>
            <w:r>
              <w:rPr>
                <w:rFonts w:ascii="Times New Roman" w:cs="Times New Roman" w:eastAsia="Times New Roman" w:hAnsi="Times New Roman"/>
                <w:sz w:val="15"/>
                <w:szCs w:val="15"/>
                <w:color w:val="231F20"/>
              </w:rPr>
              <w:t>$15.30</w:t>
            </w:r>
          </w:p>
        </w:tc>
        <w:tc>
          <w:tcPr>
            <w:tcW w:w="900" w:type="dxa"/>
            <w:vAlign w:val="bottom"/>
            <w:gridSpan w:val="2"/>
          </w:tcPr>
          <w:p>
            <w:pPr>
              <w:jc w:val="center"/>
              <w:ind w:left="24"/>
              <w:spacing w:after="0"/>
              <w:rPr>
                <w:sz w:val="20"/>
                <w:szCs w:val="20"/>
                <w:color w:val="auto"/>
              </w:rPr>
            </w:pPr>
            <w:r>
              <w:rPr>
                <w:rFonts w:ascii="Times New Roman" w:cs="Times New Roman" w:eastAsia="Times New Roman" w:hAnsi="Times New Roman"/>
                <w:sz w:val="15"/>
                <w:szCs w:val="15"/>
                <w:color w:val="231F20"/>
              </w:rPr>
              <w:t>96%</w:t>
            </w:r>
          </w:p>
        </w:tc>
        <w:tc>
          <w:tcPr>
            <w:tcW w:w="80" w:type="dxa"/>
            <w:vAlign w:val="bottom"/>
          </w:tcPr>
          <w:p>
            <w:pPr>
              <w:spacing w:after="0"/>
              <w:rPr>
                <w:sz w:val="17"/>
                <w:szCs w:val="17"/>
                <w:color w:val="auto"/>
              </w:rPr>
            </w:pPr>
          </w:p>
        </w:tc>
        <w:tc>
          <w:tcPr>
            <w:tcW w:w="2040" w:type="dxa"/>
            <w:vAlign w:val="bottom"/>
          </w:tcPr>
          <w:p>
            <w:pPr>
              <w:ind w:left="40"/>
              <w:spacing w:after="0"/>
              <w:rPr>
                <w:sz w:val="20"/>
                <w:szCs w:val="20"/>
                <w:color w:val="auto"/>
              </w:rPr>
            </w:pPr>
            <w:r>
              <w:rPr>
                <w:rFonts w:ascii="Times New Roman" w:cs="Times New Roman" w:eastAsia="Times New Roman" w:hAnsi="Times New Roman"/>
                <w:sz w:val="15"/>
                <w:szCs w:val="15"/>
                <w:color w:val="231F20"/>
              </w:rPr>
              <w:t>TJ Maxx</w:t>
            </w: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2640" w:type="dxa"/>
            <w:vAlign w:val="bottom"/>
            <w:gridSpan w:val="3"/>
          </w:tcPr>
          <w:p>
            <w:pPr>
              <w:ind w:left="100"/>
              <w:spacing w:after="0" w:line="152" w:lineRule="exact"/>
              <w:rPr>
                <w:sz w:val="20"/>
                <w:szCs w:val="20"/>
                <w:color w:val="auto"/>
              </w:rPr>
            </w:pPr>
            <w:r>
              <w:rPr>
                <w:rFonts w:ascii="Times New Roman" w:cs="Times New Roman" w:eastAsia="Times New Roman" w:hAnsi="Times New Roman"/>
                <w:sz w:val="15"/>
                <w:szCs w:val="15"/>
                <w:color w:val="231F20"/>
              </w:rPr>
              <w:t>Philadelphia, PA 19128</w:t>
            </w: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ind w:left="40"/>
              <w:spacing w:after="0" w:line="152" w:lineRule="exact"/>
              <w:rPr>
                <w:sz w:val="20"/>
                <w:szCs w:val="20"/>
                <w:color w:val="auto"/>
              </w:rPr>
            </w:pPr>
            <w:r>
              <w:rPr>
                <w:rFonts w:ascii="Times New Roman" w:cs="Times New Roman" w:eastAsia="Times New Roman" w:hAnsi="Times New Roman"/>
                <w:sz w:val="15"/>
                <w:szCs w:val="15"/>
                <w:color w:val="231F20"/>
              </w:rPr>
              <w:t>Kohl's</w:t>
            </w: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ind w:left="40"/>
              <w:spacing w:after="0" w:line="152" w:lineRule="exact"/>
              <w:rPr>
                <w:sz w:val="20"/>
                <w:szCs w:val="20"/>
                <w:color w:val="auto"/>
              </w:rPr>
            </w:pPr>
            <w:r>
              <w:rPr>
                <w:rFonts w:ascii="Times New Roman" w:cs="Times New Roman" w:eastAsia="Times New Roman" w:hAnsi="Times New Roman"/>
                <w:sz w:val="15"/>
                <w:szCs w:val="15"/>
                <w:color w:val="231F20"/>
              </w:rPr>
              <w:t>L.A. Fitness</w:t>
            </w: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40" w:type="dxa"/>
            <w:vAlign w:val="bottom"/>
          </w:tcPr>
          <w:p>
            <w:pPr>
              <w:ind w:left="40"/>
              <w:spacing w:after="0"/>
              <w:rPr>
                <w:sz w:val="20"/>
                <w:szCs w:val="20"/>
                <w:color w:val="auto"/>
              </w:rPr>
            </w:pPr>
            <w:r>
              <w:rPr>
                <w:rFonts w:ascii="Times New Roman" w:cs="Times New Roman" w:eastAsia="Times New Roman" w:hAnsi="Times New Roman"/>
                <w:sz w:val="15"/>
                <w:szCs w:val="15"/>
                <w:color w:val="231F20"/>
              </w:rPr>
              <w:t>Five Below</w:t>
            </w:r>
          </w:p>
        </w:tc>
        <w:tc>
          <w:tcPr>
            <w:tcW w:w="0" w:type="dxa"/>
            <w:vAlign w:val="bottom"/>
          </w:tcPr>
          <w:p>
            <w:pPr>
              <w:spacing w:after="0"/>
              <w:rPr>
                <w:sz w:val="1"/>
                <w:szCs w:val="1"/>
                <w:color w:val="auto"/>
              </w:rPr>
            </w:pPr>
          </w:p>
        </w:tc>
      </w:tr>
      <w:tr>
        <w:trPr>
          <w:trHeight w:val="168"/>
        </w:trPr>
        <w:tc>
          <w:tcPr>
            <w:tcW w:w="60" w:type="dxa"/>
            <w:vAlign w:val="bottom"/>
          </w:tcPr>
          <w:p>
            <w:pPr>
              <w:spacing w:after="0"/>
              <w:rPr>
                <w:sz w:val="14"/>
                <w:szCs w:val="14"/>
                <w:color w:val="auto"/>
              </w:rPr>
            </w:pPr>
          </w:p>
        </w:tc>
        <w:tc>
          <w:tcPr>
            <w:tcW w:w="2640" w:type="dxa"/>
            <w:vAlign w:val="bottom"/>
            <w:gridSpan w:val="3"/>
          </w:tcPr>
          <w:p>
            <w:pPr>
              <w:spacing w:after="0" w:line="169" w:lineRule="exact"/>
              <w:rPr>
                <w:sz w:val="20"/>
                <w:szCs w:val="20"/>
                <w:color w:val="auto"/>
              </w:rPr>
            </w:pPr>
            <w:r>
              <w:rPr>
                <w:rFonts w:ascii="Times New Roman" w:cs="Times New Roman" w:eastAsia="Times New Roman" w:hAnsi="Times New Roman"/>
                <w:sz w:val="15"/>
                <w:szCs w:val="15"/>
                <w:color w:val="231F20"/>
              </w:rPr>
              <w:t>Bala Cynwyd on City Avenue</w:t>
            </w:r>
          </w:p>
        </w:tc>
        <w:tc>
          <w:tcPr>
            <w:tcW w:w="920" w:type="dxa"/>
            <w:vAlign w:val="bottom"/>
            <w:gridSpan w:val="2"/>
          </w:tcPr>
          <w:p>
            <w:pPr>
              <w:jc w:val="center"/>
              <w:spacing w:after="0" w:line="169" w:lineRule="exact"/>
              <w:rPr>
                <w:sz w:val="20"/>
                <w:szCs w:val="20"/>
                <w:color w:val="auto"/>
              </w:rPr>
            </w:pPr>
            <w:r>
              <w:rPr>
                <w:rFonts w:ascii="Times New Roman" w:cs="Times New Roman" w:eastAsia="Times New Roman" w:hAnsi="Times New Roman"/>
                <w:sz w:val="15"/>
                <w:szCs w:val="15"/>
                <w:color w:val="231F20"/>
                <w:w w:val="99"/>
              </w:rPr>
              <w:t>1955</w:t>
            </w:r>
          </w:p>
        </w:tc>
        <w:tc>
          <w:tcPr>
            <w:tcW w:w="880" w:type="dxa"/>
            <w:vAlign w:val="bottom"/>
            <w:gridSpan w:val="2"/>
          </w:tcPr>
          <w:p>
            <w:pPr>
              <w:jc w:val="center"/>
              <w:ind w:left="24"/>
              <w:spacing w:after="0" w:line="169" w:lineRule="exact"/>
              <w:rPr>
                <w:sz w:val="20"/>
                <w:szCs w:val="20"/>
                <w:color w:val="auto"/>
              </w:rPr>
            </w:pPr>
            <w:r>
              <w:rPr>
                <w:rFonts w:ascii="Times New Roman" w:cs="Times New Roman" w:eastAsia="Times New Roman" w:hAnsi="Times New Roman"/>
                <w:sz w:val="15"/>
                <w:szCs w:val="15"/>
                <w:color w:val="231F20"/>
                <w:w w:val="99"/>
              </w:rPr>
              <w:t>1993</w:t>
            </w:r>
          </w:p>
        </w:tc>
        <w:tc>
          <w:tcPr>
            <w:tcW w:w="1100" w:type="dxa"/>
            <w:vAlign w:val="bottom"/>
            <w:gridSpan w:val="2"/>
          </w:tcPr>
          <w:p>
            <w:pPr>
              <w:jc w:val="right"/>
              <w:ind w:right="164"/>
              <w:spacing w:after="0" w:line="169" w:lineRule="exact"/>
              <w:rPr>
                <w:sz w:val="20"/>
                <w:szCs w:val="20"/>
                <w:color w:val="auto"/>
              </w:rPr>
            </w:pPr>
            <w:r>
              <w:rPr>
                <w:rFonts w:ascii="Times New Roman" w:cs="Times New Roman" w:eastAsia="Times New Roman" w:hAnsi="Times New Roman"/>
                <w:sz w:val="15"/>
                <w:szCs w:val="15"/>
                <w:color w:val="231F20"/>
              </w:rPr>
              <w:t>174,000</w:t>
            </w:r>
          </w:p>
        </w:tc>
        <w:tc>
          <w:tcPr>
            <w:tcW w:w="1100" w:type="dxa"/>
            <w:vAlign w:val="bottom"/>
            <w:gridSpan w:val="2"/>
          </w:tcPr>
          <w:p>
            <w:pPr>
              <w:jc w:val="center"/>
              <w:ind w:left="44"/>
              <w:spacing w:after="0" w:line="169" w:lineRule="exact"/>
              <w:rPr>
                <w:sz w:val="20"/>
                <w:szCs w:val="20"/>
                <w:color w:val="auto"/>
              </w:rPr>
            </w:pPr>
            <w:r>
              <w:rPr>
                <w:rFonts w:ascii="Times New Roman" w:cs="Times New Roman" w:eastAsia="Times New Roman" w:hAnsi="Times New Roman"/>
                <w:sz w:val="15"/>
                <w:szCs w:val="15"/>
                <w:color w:val="231F20"/>
              </w:rPr>
              <w:t>$38.74</w:t>
            </w:r>
          </w:p>
        </w:tc>
        <w:tc>
          <w:tcPr>
            <w:tcW w:w="900" w:type="dxa"/>
            <w:vAlign w:val="bottom"/>
            <w:gridSpan w:val="2"/>
          </w:tcPr>
          <w:p>
            <w:pPr>
              <w:jc w:val="center"/>
              <w:ind w:left="24"/>
              <w:spacing w:after="0" w:line="169" w:lineRule="exact"/>
              <w:rPr>
                <w:sz w:val="20"/>
                <w:szCs w:val="20"/>
                <w:color w:val="auto"/>
              </w:rPr>
            </w:pPr>
            <w:r>
              <w:rPr>
                <w:rFonts w:ascii="Times New Roman" w:cs="Times New Roman" w:eastAsia="Times New Roman" w:hAnsi="Times New Roman"/>
                <w:sz w:val="15"/>
                <w:szCs w:val="15"/>
                <w:color w:val="231F20"/>
              </w:rPr>
              <w:t>96%</w:t>
            </w:r>
          </w:p>
        </w:tc>
        <w:tc>
          <w:tcPr>
            <w:tcW w:w="80" w:type="dxa"/>
            <w:vAlign w:val="bottom"/>
          </w:tcPr>
          <w:p>
            <w:pPr>
              <w:spacing w:after="0"/>
              <w:rPr>
                <w:sz w:val="14"/>
                <w:szCs w:val="14"/>
                <w:color w:val="auto"/>
              </w:rPr>
            </w:pPr>
          </w:p>
        </w:tc>
        <w:tc>
          <w:tcPr>
            <w:tcW w:w="2040" w:type="dxa"/>
            <w:vAlign w:val="bottom"/>
          </w:tcPr>
          <w:p>
            <w:pPr>
              <w:ind w:left="40"/>
              <w:spacing w:after="0" w:line="169" w:lineRule="exact"/>
              <w:rPr>
                <w:sz w:val="20"/>
                <w:szCs w:val="20"/>
                <w:color w:val="auto"/>
              </w:rPr>
            </w:pPr>
            <w:r>
              <w:rPr>
                <w:rFonts w:ascii="Times New Roman" w:cs="Times New Roman" w:eastAsia="Times New Roman" w:hAnsi="Times New Roman"/>
                <w:sz w:val="15"/>
                <w:szCs w:val="15"/>
                <w:color w:val="231F20"/>
              </w:rPr>
              <w:t>Acme Markets</w:t>
            </w: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2640" w:type="dxa"/>
            <w:vAlign w:val="bottom"/>
            <w:gridSpan w:val="3"/>
          </w:tcPr>
          <w:p>
            <w:pPr>
              <w:ind w:left="100"/>
              <w:spacing w:after="0" w:line="152" w:lineRule="exact"/>
              <w:rPr>
                <w:sz w:val="20"/>
                <w:szCs w:val="20"/>
                <w:color w:val="auto"/>
              </w:rPr>
            </w:pPr>
            <w:r>
              <w:rPr>
                <w:rFonts w:ascii="Times New Roman" w:cs="Times New Roman" w:eastAsia="Times New Roman" w:hAnsi="Times New Roman"/>
                <w:sz w:val="15"/>
                <w:szCs w:val="15"/>
                <w:color w:val="231F20"/>
              </w:rPr>
              <w:t>Bala Cynwyd, PA 19004</w:t>
            </w: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ind w:left="40"/>
              <w:spacing w:after="0" w:line="152" w:lineRule="exact"/>
              <w:rPr>
                <w:sz w:val="20"/>
                <w:szCs w:val="20"/>
                <w:color w:val="auto"/>
              </w:rPr>
            </w:pPr>
            <w:r>
              <w:rPr>
                <w:rFonts w:ascii="Times New Roman" w:cs="Times New Roman" w:eastAsia="Times New Roman" w:hAnsi="Times New Roman"/>
                <w:sz w:val="15"/>
                <w:szCs w:val="15"/>
                <w:color w:val="231F20"/>
              </w:rPr>
              <w:t>Michaels</w:t>
            </w: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2640" w:type="dxa"/>
            <w:vAlign w:val="bottom"/>
            <w:gridSpan w:val="3"/>
            <w:vMerge w:val="restart"/>
          </w:tcPr>
          <w:p>
            <w:pPr>
              <w:spacing w:after="0"/>
              <w:rPr>
                <w:sz w:val="20"/>
                <w:szCs w:val="20"/>
                <w:color w:val="auto"/>
              </w:rPr>
            </w:pPr>
            <w:r>
              <w:rPr>
                <w:rFonts w:ascii="Times New Roman" w:cs="Times New Roman" w:eastAsia="Times New Roman" w:hAnsi="Times New Roman"/>
                <w:sz w:val="15"/>
                <w:szCs w:val="15"/>
                <w:color w:val="231F20"/>
              </w:rPr>
              <w:t>Bala Cynwyd on City Avenue Residential</w:t>
            </w:r>
          </w:p>
        </w:tc>
        <w:tc>
          <w:tcPr>
            <w:tcW w:w="9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5"/>
                <w:szCs w:val="15"/>
                <w:color w:val="231F20"/>
                <w:w w:val="99"/>
              </w:rPr>
              <w:t>2020</w:t>
            </w:r>
          </w:p>
        </w:tc>
        <w:tc>
          <w:tcPr>
            <w:tcW w:w="880" w:type="dxa"/>
            <w:vAlign w:val="bottom"/>
            <w:gridSpan w:val="2"/>
            <w:vMerge w:val="restart"/>
          </w:tcPr>
          <w:p>
            <w:pPr>
              <w:jc w:val="center"/>
              <w:ind w:left="24"/>
              <w:spacing w:after="0"/>
              <w:rPr>
                <w:sz w:val="20"/>
                <w:szCs w:val="20"/>
                <w:color w:val="auto"/>
              </w:rPr>
            </w:pPr>
            <w:r>
              <w:rPr>
                <w:rFonts w:ascii="Times New Roman" w:cs="Times New Roman" w:eastAsia="Times New Roman" w:hAnsi="Times New Roman"/>
                <w:sz w:val="15"/>
                <w:szCs w:val="15"/>
                <w:color w:val="231F20"/>
                <w:w w:val="99"/>
              </w:rPr>
              <w:t>1993</w:t>
            </w:r>
          </w:p>
        </w:tc>
        <w:tc>
          <w:tcPr>
            <w:tcW w:w="80" w:type="dxa"/>
            <w:vAlign w:val="bottom"/>
          </w:tcPr>
          <w:p>
            <w:pPr>
              <w:spacing w:after="0"/>
              <w:rPr>
                <w:sz w:val="17"/>
                <w:szCs w:val="17"/>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231F20"/>
              </w:rPr>
              <w:t>87 units</w:t>
            </w:r>
          </w:p>
        </w:tc>
        <w:tc>
          <w:tcPr>
            <w:tcW w:w="80" w:type="dxa"/>
            <w:vAlign w:val="bottom"/>
          </w:tcPr>
          <w:p>
            <w:pPr>
              <w:spacing w:after="0"/>
              <w:rPr>
                <w:sz w:val="17"/>
                <w:szCs w:val="17"/>
                <w:color w:val="auto"/>
              </w:rPr>
            </w:pPr>
          </w:p>
        </w:tc>
        <w:tc>
          <w:tcPr>
            <w:tcW w:w="1020" w:type="dxa"/>
            <w:vAlign w:val="bottom"/>
            <w:vMerge w:val="restart"/>
          </w:tcPr>
          <w:p>
            <w:pPr>
              <w:ind w:left="420"/>
              <w:spacing w:after="0"/>
              <w:rPr>
                <w:sz w:val="20"/>
                <w:szCs w:val="20"/>
                <w:color w:val="auto"/>
              </w:rPr>
            </w:pPr>
            <w:r>
              <w:rPr>
                <w:rFonts w:ascii="Times New Roman" w:cs="Times New Roman" w:eastAsia="Times New Roman" w:hAnsi="Times New Roman"/>
                <w:sz w:val="15"/>
                <w:szCs w:val="15"/>
                <w:color w:val="231F20"/>
              </w:rPr>
              <w:t>N/A</w:t>
            </w:r>
          </w:p>
        </w:tc>
        <w:tc>
          <w:tcPr>
            <w:tcW w:w="900" w:type="dxa"/>
            <w:vAlign w:val="bottom"/>
            <w:gridSpan w:val="2"/>
            <w:vMerge w:val="restart"/>
          </w:tcPr>
          <w:p>
            <w:pPr>
              <w:jc w:val="center"/>
              <w:ind w:left="24"/>
              <w:spacing w:after="0"/>
              <w:rPr>
                <w:sz w:val="20"/>
                <w:szCs w:val="20"/>
                <w:color w:val="auto"/>
              </w:rPr>
            </w:pPr>
            <w:r>
              <w:rPr>
                <w:rFonts w:ascii="Times New Roman" w:cs="Times New Roman" w:eastAsia="Times New Roman" w:hAnsi="Times New Roman"/>
                <w:sz w:val="15"/>
                <w:szCs w:val="15"/>
                <w:color w:val="231F20"/>
              </w:rPr>
              <w:t>98%</w:t>
            </w:r>
          </w:p>
        </w:tc>
        <w:tc>
          <w:tcPr>
            <w:tcW w:w="80" w:type="dxa"/>
            <w:vAlign w:val="bottom"/>
          </w:tcPr>
          <w:p>
            <w:pPr>
              <w:spacing w:after="0"/>
              <w:rPr>
                <w:sz w:val="17"/>
                <w:szCs w:val="17"/>
                <w:color w:val="auto"/>
              </w:rPr>
            </w:pPr>
          </w:p>
        </w:tc>
        <w:tc>
          <w:tcPr>
            <w:tcW w:w="2040" w:type="dxa"/>
            <w:vAlign w:val="bottom"/>
          </w:tcPr>
          <w:p>
            <w:pPr>
              <w:ind w:left="40"/>
              <w:spacing w:after="0"/>
              <w:rPr>
                <w:sz w:val="20"/>
                <w:szCs w:val="20"/>
                <w:color w:val="auto"/>
              </w:rPr>
            </w:pPr>
            <w:r>
              <w:rPr>
                <w:rFonts w:ascii="Times New Roman" w:cs="Times New Roman" w:eastAsia="Times New Roman" w:hAnsi="Times New Roman"/>
                <w:sz w:val="15"/>
                <w:szCs w:val="15"/>
                <w:color w:val="231F20"/>
              </w:rPr>
              <w:t>L.A. Fitness</w:t>
            </w:r>
          </w:p>
        </w:tc>
        <w:tc>
          <w:tcPr>
            <w:tcW w:w="0" w:type="dxa"/>
            <w:vAlign w:val="bottom"/>
          </w:tcPr>
          <w:p>
            <w:pPr>
              <w:spacing w:after="0"/>
              <w:rPr>
                <w:sz w:val="1"/>
                <w:szCs w:val="1"/>
                <w:color w:val="auto"/>
              </w:rPr>
            </w:pPr>
          </w:p>
        </w:tc>
      </w:tr>
      <w:tr>
        <w:trPr>
          <w:trHeight w:val="149"/>
        </w:trPr>
        <w:tc>
          <w:tcPr>
            <w:tcW w:w="60" w:type="dxa"/>
            <w:vAlign w:val="bottom"/>
          </w:tcPr>
          <w:p>
            <w:pPr>
              <w:spacing w:after="0"/>
              <w:rPr>
                <w:sz w:val="13"/>
                <w:szCs w:val="13"/>
                <w:color w:val="auto"/>
              </w:rPr>
            </w:pPr>
          </w:p>
        </w:tc>
        <w:tc>
          <w:tcPr>
            <w:tcW w:w="2640" w:type="dxa"/>
            <w:vAlign w:val="bottom"/>
            <w:gridSpan w:val="3"/>
            <w:vMerge w:val="continue"/>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2640" w:type="dxa"/>
            <w:vAlign w:val="bottom"/>
            <w:gridSpan w:val="3"/>
          </w:tcPr>
          <w:p>
            <w:pPr>
              <w:ind w:left="100"/>
              <w:spacing w:after="0"/>
              <w:rPr>
                <w:sz w:val="20"/>
                <w:szCs w:val="20"/>
                <w:color w:val="auto"/>
              </w:rPr>
            </w:pPr>
            <w:r>
              <w:rPr>
                <w:rFonts w:ascii="Times New Roman" w:cs="Times New Roman" w:eastAsia="Times New Roman" w:hAnsi="Times New Roman"/>
                <w:sz w:val="15"/>
                <w:szCs w:val="15"/>
                <w:color w:val="231F20"/>
              </w:rPr>
              <w:t>Bala Cynwyd, PA 19004</w:t>
            </w: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2640" w:type="dxa"/>
            <w:vAlign w:val="bottom"/>
            <w:gridSpan w:val="3"/>
          </w:tcPr>
          <w:p>
            <w:pPr>
              <w:spacing w:after="0"/>
              <w:rPr>
                <w:sz w:val="20"/>
                <w:szCs w:val="20"/>
                <w:color w:val="auto"/>
              </w:rPr>
            </w:pPr>
            <w:r>
              <w:rPr>
                <w:rFonts w:ascii="Times New Roman" w:cs="Times New Roman" w:eastAsia="Times New Roman" w:hAnsi="Times New Roman"/>
                <w:sz w:val="15"/>
                <w:szCs w:val="15"/>
                <w:color w:val="231F20"/>
              </w:rPr>
              <w:t>Flourtown</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231F20"/>
                <w:w w:val="99"/>
              </w:rPr>
              <w:t>1957</w:t>
            </w:r>
          </w:p>
        </w:tc>
        <w:tc>
          <w:tcPr>
            <w:tcW w:w="880" w:type="dxa"/>
            <w:vAlign w:val="bottom"/>
            <w:gridSpan w:val="2"/>
          </w:tcPr>
          <w:p>
            <w:pPr>
              <w:jc w:val="center"/>
              <w:ind w:left="24"/>
              <w:spacing w:after="0"/>
              <w:rPr>
                <w:sz w:val="20"/>
                <w:szCs w:val="20"/>
                <w:color w:val="auto"/>
              </w:rPr>
            </w:pPr>
            <w:r>
              <w:rPr>
                <w:rFonts w:ascii="Times New Roman" w:cs="Times New Roman" w:eastAsia="Times New Roman" w:hAnsi="Times New Roman"/>
                <w:sz w:val="15"/>
                <w:szCs w:val="15"/>
                <w:color w:val="231F20"/>
                <w:w w:val="99"/>
              </w:rPr>
              <w:t>1980</w:t>
            </w:r>
          </w:p>
        </w:tc>
        <w:tc>
          <w:tcPr>
            <w:tcW w:w="1100" w:type="dxa"/>
            <w:vAlign w:val="bottom"/>
            <w:gridSpan w:val="2"/>
          </w:tcPr>
          <w:p>
            <w:pPr>
              <w:jc w:val="right"/>
              <w:ind w:right="164"/>
              <w:spacing w:after="0"/>
              <w:rPr>
                <w:sz w:val="20"/>
                <w:szCs w:val="20"/>
                <w:color w:val="auto"/>
              </w:rPr>
            </w:pPr>
            <w:r>
              <w:rPr>
                <w:rFonts w:ascii="Times New Roman" w:cs="Times New Roman" w:eastAsia="Times New Roman" w:hAnsi="Times New Roman"/>
                <w:sz w:val="15"/>
                <w:szCs w:val="15"/>
                <w:color w:val="231F20"/>
              </w:rPr>
              <w:t>158,000</w:t>
            </w:r>
          </w:p>
        </w:tc>
        <w:tc>
          <w:tcPr>
            <w:tcW w:w="1100" w:type="dxa"/>
            <w:vAlign w:val="bottom"/>
            <w:gridSpan w:val="2"/>
          </w:tcPr>
          <w:p>
            <w:pPr>
              <w:jc w:val="center"/>
              <w:ind w:left="44"/>
              <w:spacing w:after="0"/>
              <w:rPr>
                <w:sz w:val="20"/>
                <w:szCs w:val="20"/>
                <w:color w:val="auto"/>
              </w:rPr>
            </w:pPr>
            <w:r>
              <w:rPr>
                <w:rFonts w:ascii="Times New Roman" w:cs="Times New Roman" w:eastAsia="Times New Roman" w:hAnsi="Times New Roman"/>
                <w:sz w:val="15"/>
                <w:szCs w:val="15"/>
                <w:color w:val="231F20"/>
              </w:rPr>
              <w:t>$24.32</w:t>
            </w:r>
          </w:p>
        </w:tc>
        <w:tc>
          <w:tcPr>
            <w:tcW w:w="900" w:type="dxa"/>
            <w:vAlign w:val="bottom"/>
            <w:gridSpan w:val="2"/>
          </w:tcPr>
          <w:p>
            <w:pPr>
              <w:jc w:val="center"/>
              <w:ind w:left="24"/>
              <w:spacing w:after="0"/>
              <w:rPr>
                <w:sz w:val="20"/>
                <w:szCs w:val="20"/>
                <w:color w:val="auto"/>
              </w:rPr>
            </w:pPr>
            <w:r>
              <w:rPr>
                <w:rFonts w:ascii="Times New Roman" w:cs="Times New Roman" w:eastAsia="Times New Roman" w:hAnsi="Times New Roman"/>
                <w:sz w:val="15"/>
                <w:szCs w:val="15"/>
                <w:color w:val="231F20"/>
              </w:rPr>
              <w:t>98%</w:t>
            </w:r>
          </w:p>
        </w:tc>
        <w:tc>
          <w:tcPr>
            <w:tcW w:w="80" w:type="dxa"/>
            <w:vAlign w:val="bottom"/>
          </w:tcPr>
          <w:p>
            <w:pPr>
              <w:spacing w:after="0"/>
              <w:rPr>
                <w:sz w:val="18"/>
                <w:szCs w:val="18"/>
                <w:color w:val="auto"/>
              </w:rPr>
            </w:pPr>
          </w:p>
        </w:tc>
        <w:tc>
          <w:tcPr>
            <w:tcW w:w="2040" w:type="dxa"/>
            <w:vAlign w:val="bottom"/>
          </w:tcPr>
          <w:p>
            <w:pPr>
              <w:ind w:left="40"/>
              <w:spacing w:after="0"/>
              <w:rPr>
                <w:sz w:val="20"/>
                <w:szCs w:val="20"/>
                <w:color w:val="auto"/>
              </w:rPr>
            </w:pPr>
            <w:r>
              <w:rPr>
                <w:rFonts w:ascii="Times New Roman" w:cs="Times New Roman" w:eastAsia="Times New Roman" w:hAnsi="Times New Roman"/>
                <w:sz w:val="15"/>
                <w:szCs w:val="15"/>
                <w:color w:val="231F20"/>
              </w:rPr>
              <w:t>Giant Food</w:t>
            </w: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2640" w:type="dxa"/>
            <w:vAlign w:val="bottom"/>
            <w:gridSpan w:val="3"/>
          </w:tcPr>
          <w:p>
            <w:pPr>
              <w:ind w:left="100"/>
              <w:spacing w:after="0"/>
              <w:rPr>
                <w:sz w:val="20"/>
                <w:szCs w:val="20"/>
                <w:color w:val="auto"/>
              </w:rPr>
            </w:pPr>
            <w:r>
              <w:rPr>
                <w:rFonts w:ascii="Times New Roman" w:cs="Times New Roman" w:eastAsia="Times New Roman" w:hAnsi="Times New Roman"/>
                <w:sz w:val="15"/>
                <w:szCs w:val="15"/>
                <w:color w:val="231F20"/>
              </w:rPr>
              <w:t>Flourtown, PA 19031</w:t>
            </w: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40" w:type="dxa"/>
            <w:vAlign w:val="bottom"/>
          </w:tcPr>
          <w:p>
            <w:pPr>
              <w:ind w:left="40"/>
              <w:spacing w:after="0"/>
              <w:rPr>
                <w:sz w:val="20"/>
                <w:szCs w:val="20"/>
                <w:color w:val="auto"/>
              </w:rPr>
            </w:pPr>
            <w:r>
              <w:rPr>
                <w:rFonts w:ascii="Times New Roman" w:cs="Times New Roman" w:eastAsia="Times New Roman" w:hAnsi="Times New Roman"/>
                <w:sz w:val="15"/>
                <w:szCs w:val="15"/>
                <w:color w:val="231F20"/>
              </w:rPr>
              <w:t>Movie Tavern</w:t>
            </w:r>
          </w:p>
        </w:tc>
        <w:tc>
          <w:tcPr>
            <w:tcW w:w="0" w:type="dxa"/>
            <w:vAlign w:val="bottom"/>
          </w:tcPr>
          <w:p>
            <w:pPr>
              <w:spacing w:after="0"/>
              <w:rPr>
                <w:sz w:val="1"/>
                <w:szCs w:val="1"/>
                <w:color w:val="auto"/>
              </w:rPr>
            </w:pPr>
          </w:p>
        </w:tc>
      </w:tr>
      <w:tr>
        <w:trPr>
          <w:trHeight w:val="187"/>
        </w:trPr>
        <w:tc>
          <w:tcPr>
            <w:tcW w:w="60" w:type="dxa"/>
            <w:vAlign w:val="bottom"/>
          </w:tcPr>
          <w:p>
            <w:pPr>
              <w:spacing w:after="0"/>
              <w:rPr>
                <w:sz w:val="16"/>
                <w:szCs w:val="16"/>
                <w:color w:val="auto"/>
              </w:rPr>
            </w:pPr>
          </w:p>
        </w:tc>
        <w:tc>
          <w:tcPr>
            <w:tcW w:w="2640" w:type="dxa"/>
            <w:vAlign w:val="bottom"/>
            <w:gridSpan w:val="3"/>
          </w:tcPr>
          <w:p>
            <w:pPr>
              <w:spacing w:after="0"/>
              <w:rPr>
                <w:sz w:val="20"/>
                <w:szCs w:val="20"/>
                <w:color w:val="auto"/>
              </w:rPr>
            </w:pPr>
            <w:r>
              <w:rPr>
                <w:rFonts w:ascii="Times New Roman" w:cs="Times New Roman" w:eastAsia="Times New Roman" w:hAnsi="Times New Roman"/>
                <w:sz w:val="15"/>
                <w:szCs w:val="15"/>
                <w:color w:val="231F20"/>
              </w:rPr>
              <w:t>Lancaster</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231F20"/>
                <w:w w:val="99"/>
              </w:rPr>
              <w:t>1958</w:t>
            </w:r>
          </w:p>
        </w:tc>
        <w:tc>
          <w:tcPr>
            <w:tcW w:w="880" w:type="dxa"/>
            <w:vAlign w:val="bottom"/>
            <w:gridSpan w:val="2"/>
          </w:tcPr>
          <w:p>
            <w:pPr>
              <w:jc w:val="center"/>
              <w:ind w:left="24"/>
              <w:spacing w:after="0"/>
              <w:rPr>
                <w:sz w:val="20"/>
                <w:szCs w:val="20"/>
                <w:color w:val="auto"/>
              </w:rPr>
            </w:pPr>
            <w:r>
              <w:rPr>
                <w:rFonts w:ascii="Times New Roman" w:cs="Times New Roman" w:eastAsia="Times New Roman" w:hAnsi="Times New Roman"/>
                <w:sz w:val="15"/>
                <w:szCs w:val="15"/>
                <w:color w:val="231F20"/>
                <w:w w:val="99"/>
              </w:rPr>
              <w:t>1980</w:t>
            </w:r>
          </w:p>
        </w:tc>
        <w:tc>
          <w:tcPr>
            <w:tcW w:w="1100" w:type="dxa"/>
            <w:vAlign w:val="bottom"/>
            <w:gridSpan w:val="2"/>
          </w:tcPr>
          <w:p>
            <w:pPr>
              <w:jc w:val="right"/>
              <w:ind w:right="164"/>
              <w:spacing w:after="0"/>
              <w:rPr>
                <w:sz w:val="20"/>
                <w:szCs w:val="20"/>
                <w:color w:val="auto"/>
              </w:rPr>
            </w:pPr>
            <w:r>
              <w:rPr>
                <w:rFonts w:ascii="Times New Roman" w:cs="Times New Roman" w:eastAsia="Times New Roman" w:hAnsi="Times New Roman"/>
                <w:sz w:val="15"/>
                <w:szCs w:val="15"/>
                <w:color w:val="231F20"/>
              </w:rPr>
              <w:t>126,000</w:t>
            </w:r>
          </w:p>
        </w:tc>
        <w:tc>
          <w:tcPr>
            <w:tcW w:w="1100" w:type="dxa"/>
            <w:vAlign w:val="bottom"/>
            <w:gridSpan w:val="2"/>
          </w:tcPr>
          <w:p>
            <w:pPr>
              <w:jc w:val="center"/>
              <w:ind w:left="44"/>
              <w:spacing w:after="0"/>
              <w:rPr>
                <w:sz w:val="20"/>
                <w:szCs w:val="20"/>
                <w:color w:val="auto"/>
              </w:rPr>
            </w:pPr>
            <w:r>
              <w:rPr>
                <w:rFonts w:ascii="Times New Roman" w:cs="Times New Roman" w:eastAsia="Times New Roman" w:hAnsi="Times New Roman"/>
                <w:sz w:val="15"/>
                <w:szCs w:val="15"/>
                <w:color w:val="231F20"/>
              </w:rPr>
              <w:t>$20.42</w:t>
            </w:r>
          </w:p>
        </w:tc>
        <w:tc>
          <w:tcPr>
            <w:tcW w:w="900" w:type="dxa"/>
            <w:vAlign w:val="bottom"/>
            <w:gridSpan w:val="2"/>
          </w:tcPr>
          <w:p>
            <w:pPr>
              <w:jc w:val="center"/>
              <w:ind w:left="24"/>
              <w:spacing w:after="0"/>
              <w:rPr>
                <w:sz w:val="20"/>
                <w:szCs w:val="20"/>
                <w:color w:val="auto"/>
              </w:rPr>
            </w:pPr>
            <w:r>
              <w:rPr>
                <w:rFonts w:ascii="Times New Roman" w:cs="Times New Roman" w:eastAsia="Times New Roman" w:hAnsi="Times New Roman"/>
                <w:sz w:val="15"/>
                <w:szCs w:val="15"/>
                <w:color w:val="231F20"/>
              </w:rPr>
              <w:t>98%</w:t>
            </w:r>
          </w:p>
        </w:tc>
        <w:tc>
          <w:tcPr>
            <w:tcW w:w="80" w:type="dxa"/>
            <w:vAlign w:val="bottom"/>
          </w:tcPr>
          <w:p>
            <w:pPr>
              <w:spacing w:after="0"/>
              <w:rPr>
                <w:sz w:val="16"/>
                <w:szCs w:val="16"/>
                <w:color w:val="auto"/>
              </w:rPr>
            </w:pPr>
          </w:p>
        </w:tc>
        <w:tc>
          <w:tcPr>
            <w:tcW w:w="2040" w:type="dxa"/>
            <w:vAlign w:val="bottom"/>
          </w:tcPr>
          <w:p>
            <w:pPr>
              <w:ind w:left="40"/>
              <w:spacing w:after="0"/>
              <w:rPr>
                <w:sz w:val="20"/>
                <w:szCs w:val="20"/>
                <w:color w:val="auto"/>
              </w:rPr>
            </w:pPr>
            <w:r>
              <w:rPr>
                <w:rFonts w:ascii="Times New Roman" w:cs="Times New Roman" w:eastAsia="Times New Roman" w:hAnsi="Times New Roman"/>
                <w:sz w:val="15"/>
                <w:szCs w:val="15"/>
                <w:color w:val="231F20"/>
              </w:rPr>
              <w:t>Giant Food</w:t>
            </w: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2640" w:type="dxa"/>
            <w:vAlign w:val="bottom"/>
            <w:gridSpan w:val="3"/>
          </w:tcPr>
          <w:p>
            <w:pPr>
              <w:ind w:left="100"/>
              <w:spacing w:after="0"/>
              <w:rPr>
                <w:sz w:val="20"/>
                <w:szCs w:val="20"/>
                <w:color w:val="auto"/>
              </w:rPr>
            </w:pPr>
            <w:r>
              <w:rPr>
                <w:rFonts w:ascii="Times New Roman" w:cs="Times New Roman" w:eastAsia="Times New Roman" w:hAnsi="Times New Roman"/>
                <w:sz w:val="15"/>
                <w:szCs w:val="15"/>
                <w:color w:val="231F20"/>
              </w:rPr>
              <w:t>Lancaster, PA 17601(7)</w:t>
            </w: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40" w:type="dxa"/>
            <w:vAlign w:val="bottom"/>
          </w:tcPr>
          <w:p>
            <w:pPr>
              <w:ind w:left="40"/>
              <w:spacing w:after="0"/>
              <w:rPr>
                <w:sz w:val="20"/>
                <w:szCs w:val="20"/>
                <w:color w:val="auto"/>
              </w:rPr>
            </w:pPr>
            <w:r>
              <w:rPr>
                <w:rFonts w:ascii="Times New Roman" w:cs="Times New Roman" w:eastAsia="Times New Roman" w:hAnsi="Times New Roman"/>
                <w:sz w:val="15"/>
                <w:szCs w:val="15"/>
                <w:color w:val="231F20"/>
              </w:rPr>
              <w:t>AutoZone</w:t>
            </w:r>
          </w:p>
        </w:tc>
        <w:tc>
          <w:tcPr>
            <w:tcW w:w="0" w:type="dxa"/>
            <w:vAlign w:val="bottom"/>
          </w:tcPr>
          <w:p>
            <w:pPr>
              <w:spacing w:after="0"/>
              <w:rPr>
                <w:sz w:val="1"/>
                <w:szCs w:val="1"/>
                <w:color w:val="auto"/>
              </w:rPr>
            </w:pPr>
          </w:p>
        </w:tc>
      </w:tr>
      <w:tr>
        <w:trPr>
          <w:trHeight w:val="202"/>
        </w:trPr>
        <w:tc>
          <w:tcPr>
            <w:tcW w:w="60" w:type="dxa"/>
            <w:vAlign w:val="bottom"/>
          </w:tcPr>
          <w:p>
            <w:pPr>
              <w:spacing w:after="0"/>
              <w:rPr>
                <w:sz w:val="17"/>
                <w:szCs w:val="17"/>
                <w:color w:val="auto"/>
              </w:rPr>
            </w:pPr>
          </w:p>
        </w:tc>
        <w:tc>
          <w:tcPr>
            <w:tcW w:w="2640" w:type="dxa"/>
            <w:vAlign w:val="bottom"/>
            <w:gridSpan w:val="3"/>
          </w:tcPr>
          <w:p>
            <w:pPr>
              <w:spacing w:after="0"/>
              <w:rPr>
                <w:sz w:val="20"/>
                <w:szCs w:val="20"/>
                <w:color w:val="auto"/>
              </w:rPr>
            </w:pPr>
            <w:r>
              <w:rPr>
                <w:rFonts w:ascii="Times New Roman" w:cs="Times New Roman" w:eastAsia="Times New Roman" w:hAnsi="Times New Roman"/>
                <w:sz w:val="15"/>
                <w:szCs w:val="15"/>
                <w:color w:val="231F20"/>
              </w:rPr>
              <w:t>Langhorne Square</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231F20"/>
                <w:w w:val="99"/>
              </w:rPr>
              <w:t>1966</w:t>
            </w:r>
          </w:p>
        </w:tc>
        <w:tc>
          <w:tcPr>
            <w:tcW w:w="880" w:type="dxa"/>
            <w:vAlign w:val="bottom"/>
            <w:gridSpan w:val="2"/>
          </w:tcPr>
          <w:p>
            <w:pPr>
              <w:jc w:val="center"/>
              <w:ind w:left="24"/>
              <w:spacing w:after="0"/>
              <w:rPr>
                <w:sz w:val="20"/>
                <w:szCs w:val="20"/>
                <w:color w:val="auto"/>
              </w:rPr>
            </w:pPr>
            <w:r>
              <w:rPr>
                <w:rFonts w:ascii="Times New Roman" w:cs="Times New Roman" w:eastAsia="Times New Roman" w:hAnsi="Times New Roman"/>
                <w:sz w:val="15"/>
                <w:szCs w:val="15"/>
                <w:color w:val="231F20"/>
                <w:w w:val="99"/>
              </w:rPr>
              <w:t>1985</w:t>
            </w:r>
          </w:p>
        </w:tc>
        <w:tc>
          <w:tcPr>
            <w:tcW w:w="1100" w:type="dxa"/>
            <w:vAlign w:val="bottom"/>
            <w:gridSpan w:val="2"/>
          </w:tcPr>
          <w:p>
            <w:pPr>
              <w:jc w:val="right"/>
              <w:ind w:right="164"/>
              <w:spacing w:after="0"/>
              <w:rPr>
                <w:sz w:val="20"/>
                <w:szCs w:val="20"/>
                <w:color w:val="auto"/>
              </w:rPr>
            </w:pPr>
            <w:r>
              <w:rPr>
                <w:rFonts w:ascii="Times New Roman" w:cs="Times New Roman" w:eastAsia="Times New Roman" w:hAnsi="Times New Roman"/>
                <w:sz w:val="15"/>
                <w:szCs w:val="15"/>
                <w:color w:val="231F20"/>
              </w:rPr>
              <w:t>226,000</w:t>
            </w:r>
          </w:p>
        </w:tc>
        <w:tc>
          <w:tcPr>
            <w:tcW w:w="1100" w:type="dxa"/>
            <w:vAlign w:val="bottom"/>
            <w:gridSpan w:val="2"/>
          </w:tcPr>
          <w:p>
            <w:pPr>
              <w:jc w:val="center"/>
              <w:ind w:left="44"/>
              <w:spacing w:after="0"/>
              <w:rPr>
                <w:sz w:val="20"/>
                <w:szCs w:val="20"/>
                <w:color w:val="auto"/>
              </w:rPr>
            </w:pPr>
            <w:r>
              <w:rPr>
                <w:rFonts w:ascii="Times New Roman" w:cs="Times New Roman" w:eastAsia="Times New Roman" w:hAnsi="Times New Roman"/>
                <w:sz w:val="15"/>
                <w:szCs w:val="15"/>
                <w:color w:val="231F20"/>
              </w:rPr>
              <w:t>$19.76</w:t>
            </w:r>
          </w:p>
        </w:tc>
        <w:tc>
          <w:tcPr>
            <w:tcW w:w="900" w:type="dxa"/>
            <w:vAlign w:val="bottom"/>
            <w:gridSpan w:val="2"/>
          </w:tcPr>
          <w:p>
            <w:pPr>
              <w:jc w:val="center"/>
              <w:ind w:left="24"/>
              <w:spacing w:after="0"/>
              <w:rPr>
                <w:sz w:val="20"/>
                <w:szCs w:val="20"/>
                <w:color w:val="auto"/>
              </w:rPr>
            </w:pPr>
            <w:r>
              <w:rPr>
                <w:rFonts w:ascii="Times New Roman" w:cs="Times New Roman" w:eastAsia="Times New Roman" w:hAnsi="Times New Roman"/>
                <w:sz w:val="15"/>
                <w:szCs w:val="15"/>
                <w:color w:val="231F20"/>
              </w:rPr>
              <w:t>99%</w:t>
            </w:r>
          </w:p>
        </w:tc>
        <w:tc>
          <w:tcPr>
            <w:tcW w:w="80" w:type="dxa"/>
            <w:vAlign w:val="bottom"/>
          </w:tcPr>
          <w:p>
            <w:pPr>
              <w:spacing w:after="0"/>
              <w:rPr>
                <w:sz w:val="17"/>
                <w:szCs w:val="17"/>
                <w:color w:val="auto"/>
              </w:rPr>
            </w:pPr>
          </w:p>
        </w:tc>
        <w:tc>
          <w:tcPr>
            <w:tcW w:w="2040" w:type="dxa"/>
            <w:vAlign w:val="bottom"/>
          </w:tcPr>
          <w:p>
            <w:pPr>
              <w:ind w:left="40"/>
              <w:spacing w:after="0"/>
              <w:rPr>
                <w:sz w:val="20"/>
                <w:szCs w:val="20"/>
                <w:color w:val="auto"/>
              </w:rPr>
            </w:pPr>
            <w:r>
              <w:rPr>
                <w:rFonts w:ascii="Times New Roman" w:cs="Times New Roman" w:eastAsia="Times New Roman" w:hAnsi="Times New Roman"/>
                <w:sz w:val="15"/>
                <w:szCs w:val="15"/>
                <w:color w:val="231F20"/>
              </w:rPr>
              <w:t>Redner's Warehouse Markets</w:t>
            </w: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2640" w:type="dxa"/>
            <w:vAlign w:val="bottom"/>
            <w:gridSpan w:val="3"/>
          </w:tcPr>
          <w:p>
            <w:pPr>
              <w:ind w:left="100"/>
              <w:spacing w:after="0" w:line="152" w:lineRule="exact"/>
              <w:rPr>
                <w:sz w:val="20"/>
                <w:szCs w:val="20"/>
                <w:color w:val="auto"/>
              </w:rPr>
            </w:pPr>
            <w:r>
              <w:rPr>
                <w:rFonts w:ascii="Times New Roman" w:cs="Times New Roman" w:eastAsia="Times New Roman" w:hAnsi="Times New Roman"/>
                <w:sz w:val="15"/>
                <w:szCs w:val="15"/>
                <w:color w:val="231F20"/>
              </w:rPr>
              <w:t>Levittown, PA 19056</w:t>
            </w: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ind w:left="40"/>
              <w:spacing w:after="0" w:line="152" w:lineRule="exact"/>
              <w:rPr>
                <w:sz w:val="20"/>
                <w:szCs w:val="20"/>
                <w:color w:val="auto"/>
              </w:rPr>
            </w:pPr>
            <w:r>
              <w:rPr>
                <w:rFonts w:ascii="Times New Roman" w:cs="Times New Roman" w:eastAsia="Times New Roman" w:hAnsi="Times New Roman"/>
                <w:sz w:val="15"/>
                <w:szCs w:val="15"/>
                <w:color w:val="231F20"/>
              </w:rPr>
              <w:t>Marshalls</w:t>
            </w: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40" w:type="dxa"/>
            <w:vAlign w:val="bottom"/>
          </w:tcPr>
          <w:p>
            <w:pPr>
              <w:ind w:left="40"/>
              <w:spacing w:after="0"/>
              <w:rPr>
                <w:sz w:val="20"/>
                <w:szCs w:val="20"/>
                <w:color w:val="auto"/>
              </w:rPr>
            </w:pPr>
            <w:r>
              <w:rPr>
                <w:rFonts w:ascii="Times New Roman" w:cs="Times New Roman" w:eastAsia="Times New Roman" w:hAnsi="Times New Roman"/>
                <w:sz w:val="15"/>
                <w:szCs w:val="15"/>
                <w:color w:val="231F20"/>
              </w:rPr>
              <w:t>Planet Fitness</w:t>
            </w:r>
          </w:p>
        </w:tc>
        <w:tc>
          <w:tcPr>
            <w:tcW w:w="0" w:type="dxa"/>
            <w:vAlign w:val="bottom"/>
          </w:tcPr>
          <w:p>
            <w:pPr>
              <w:spacing w:after="0"/>
              <w:rPr>
                <w:sz w:val="1"/>
                <w:szCs w:val="1"/>
                <w:color w:val="auto"/>
              </w:rPr>
            </w:pPr>
          </w:p>
        </w:tc>
      </w:tr>
      <w:tr>
        <w:trPr>
          <w:trHeight w:val="164"/>
        </w:trPr>
        <w:tc>
          <w:tcPr>
            <w:tcW w:w="60" w:type="dxa"/>
            <w:vAlign w:val="bottom"/>
          </w:tcPr>
          <w:p>
            <w:pPr>
              <w:spacing w:after="0"/>
              <w:rPr>
                <w:sz w:val="14"/>
                <w:szCs w:val="14"/>
                <w:color w:val="auto"/>
              </w:rPr>
            </w:pPr>
          </w:p>
        </w:tc>
        <w:tc>
          <w:tcPr>
            <w:tcW w:w="2640" w:type="dxa"/>
            <w:vAlign w:val="bottom"/>
            <w:gridSpan w:val="3"/>
          </w:tcPr>
          <w:p>
            <w:pPr>
              <w:spacing w:after="0" w:line="164" w:lineRule="exact"/>
              <w:rPr>
                <w:sz w:val="20"/>
                <w:szCs w:val="20"/>
                <w:color w:val="auto"/>
              </w:rPr>
            </w:pPr>
            <w:r>
              <w:rPr>
                <w:rFonts w:ascii="Times New Roman" w:cs="Times New Roman" w:eastAsia="Times New Roman" w:hAnsi="Times New Roman"/>
                <w:sz w:val="15"/>
                <w:szCs w:val="15"/>
                <w:color w:val="231F20"/>
              </w:rPr>
              <w:t>Lawrence Park</w:t>
            </w:r>
          </w:p>
        </w:tc>
        <w:tc>
          <w:tcPr>
            <w:tcW w:w="920" w:type="dxa"/>
            <w:vAlign w:val="bottom"/>
            <w:gridSpan w:val="2"/>
          </w:tcPr>
          <w:p>
            <w:pPr>
              <w:jc w:val="center"/>
              <w:spacing w:after="0" w:line="164" w:lineRule="exact"/>
              <w:rPr>
                <w:sz w:val="20"/>
                <w:szCs w:val="20"/>
                <w:color w:val="auto"/>
              </w:rPr>
            </w:pPr>
            <w:r>
              <w:rPr>
                <w:rFonts w:ascii="Times New Roman" w:cs="Times New Roman" w:eastAsia="Times New Roman" w:hAnsi="Times New Roman"/>
                <w:sz w:val="15"/>
                <w:szCs w:val="15"/>
                <w:color w:val="231F20"/>
                <w:w w:val="99"/>
              </w:rPr>
              <w:t>1972</w:t>
            </w:r>
          </w:p>
        </w:tc>
        <w:tc>
          <w:tcPr>
            <w:tcW w:w="880" w:type="dxa"/>
            <w:vAlign w:val="bottom"/>
            <w:gridSpan w:val="2"/>
          </w:tcPr>
          <w:p>
            <w:pPr>
              <w:jc w:val="center"/>
              <w:ind w:left="4"/>
              <w:spacing w:after="0" w:line="164" w:lineRule="exact"/>
              <w:rPr>
                <w:sz w:val="20"/>
                <w:szCs w:val="20"/>
                <w:color w:val="auto"/>
              </w:rPr>
            </w:pPr>
            <w:r>
              <w:rPr>
                <w:rFonts w:ascii="Times New Roman" w:cs="Times New Roman" w:eastAsia="Times New Roman" w:hAnsi="Times New Roman"/>
                <w:sz w:val="15"/>
                <w:szCs w:val="15"/>
                <w:color w:val="231F20"/>
                <w:w w:val="99"/>
              </w:rPr>
              <w:t>1980/2017</w:t>
            </w:r>
          </w:p>
        </w:tc>
        <w:tc>
          <w:tcPr>
            <w:tcW w:w="1100" w:type="dxa"/>
            <w:vAlign w:val="bottom"/>
            <w:gridSpan w:val="2"/>
          </w:tcPr>
          <w:p>
            <w:pPr>
              <w:jc w:val="right"/>
              <w:ind w:right="164"/>
              <w:spacing w:after="0" w:line="164" w:lineRule="exact"/>
              <w:rPr>
                <w:sz w:val="20"/>
                <w:szCs w:val="20"/>
                <w:color w:val="auto"/>
              </w:rPr>
            </w:pPr>
            <w:r>
              <w:rPr>
                <w:rFonts w:ascii="Times New Roman" w:cs="Times New Roman" w:eastAsia="Times New Roman" w:hAnsi="Times New Roman"/>
                <w:sz w:val="15"/>
                <w:szCs w:val="15"/>
                <w:color w:val="231F20"/>
              </w:rPr>
              <w:t>357,000</w:t>
            </w:r>
          </w:p>
        </w:tc>
        <w:tc>
          <w:tcPr>
            <w:tcW w:w="1100" w:type="dxa"/>
            <w:vAlign w:val="bottom"/>
            <w:gridSpan w:val="2"/>
          </w:tcPr>
          <w:p>
            <w:pPr>
              <w:jc w:val="center"/>
              <w:ind w:left="44"/>
              <w:spacing w:after="0" w:line="164" w:lineRule="exact"/>
              <w:rPr>
                <w:sz w:val="20"/>
                <w:szCs w:val="20"/>
                <w:color w:val="auto"/>
              </w:rPr>
            </w:pPr>
            <w:r>
              <w:rPr>
                <w:rFonts w:ascii="Times New Roman" w:cs="Times New Roman" w:eastAsia="Times New Roman" w:hAnsi="Times New Roman"/>
                <w:sz w:val="15"/>
                <w:szCs w:val="15"/>
                <w:color w:val="231F20"/>
              </w:rPr>
              <w:t>$25.46</w:t>
            </w:r>
          </w:p>
        </w:tc>
        <w:tc>
          <w:tcPr>
            <w:tcW w:w="900" w:type="dxa"/>
            <w:vAlign w:val="bottom"/>
            <w:gridSpan w:val="2"/>
          </w:tcPr>
          <w:p>
            <w:pPr>
              <w:jc w:val="center"/>
              <w:ind w:left="24"/>
              <w:spacing w:after="0" w:line="164" w:lineRule="exact"/>
              <w:rPr>
                <w:sz w:val="20"/>
                <w:szCs w:val="20"/>
                <w:color w:val="auto"/>
              </w:rPr>
            </w:pPr>
            <w:r>
              <w:rPr>
                <w:rFonts w:ascii="Times New Roman" w:cs="Times New Roman" w:eastAsia="Times New Roman" w:hAnsi="Times New Roman"/>
                <w:sz w:val="15"/>
                <w:szCs w:val="15"/>
                <w:color w:val="231F20"/>
              </w:rPr>
              <w:t>100%</w:t>
            </w:r>
          </w:p>
        </w:tc>
        <w:tc>
          <w:tcPr>
            <w:tcW w:w="80" w:type="dxa"/>
            <w:vAlign w:val="bottom"/>
          </w:tcPr>
          <w:p>
            <w:pPr>
              <w:spacing w:after="0"/>
              <w:rPr>
                <w:sz w:val="14"/>
                <w:szCs w:val="14"/>
                <w:color w:val="auto"/>
              </w:rPr>
            </w:pPr>
          </w:p>
        </w:tc>
        <w:tc>
          <w:tcPr>
            <w:tcW w:w="2040" w:type="dxa"/>
            <w:vAlign w:val="bottom"/>
          </w:tcPr>
          <w:p>
            <w:pPr>
              <w:ind w:left="40"/>
              <w:spacing w:after="0" w:line="164" w:lineRule="exact"/>
              <w:rPr>
                <w:sz w:val="20"/>
                <w:szCs w:val="20"/>
                <w:color w:val="auto"/>
              </w:rPr>
            </w:pPr>
            <w:r>
              <w:rPr>
                <w:rFonts w:ascii="Times New Roman" w:cs="Times New Roman" w:eastAsia="Times New Roman" w:hAnsi="Times New Roman"/>
                <w:sz w:val="15"/>
                <w:szCs w:val="15"/>
                <w:color w:val="231F20"/>
              </w:rPr>
              <w:t>Acme Markets</w:t>
            </w: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2640" w:type="dxa"/>
            <w:vAlign w:val="bottom"/>
            <w:gridSpan w:val="3"/>
          </w:tcPr>
          <w:p>
            <w:pPr>
              <w:ind w:left="100"/>
              <w:spacing w:after="0" w:line="152" w:lineRule="exact"/>
              <w:rPr>
                <w:sz w:val="20"/>
                <w:szCs w:val="20"/>
                <w:color w:val="auto"/>
              </w:rPr>
            </w:pPr>
            <w:r>
              <w:rPr>
                <w:rFonts w:ascii="Times New Roman" w:cs="Times New Roman" w:eastAsia="Times New Roman" w:hAnsi="Times New Roman"/>
                <w:sz w:val="15"/>
                <w:szCs w:val="15"/>
                <w:color w:val="231F20"/>
              </w:rPr>
              <w:t>Broomall, PA 19008</w:t>
            </w: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ind w:left="40"/>
              <w:spacing w:after="0" w:line="152" w:lineRule="exact"/>
              <w:rPr>
                <w:sz w:val="20"/>
                <w:szCs w:val="20"/>
                <w:color w:val="auto"/>
              </w:rPr>
            </w:pPr>
            <w:r>
              <w:rPr>
                <w:rFonts w:ascii="Times New Roman" w:cs="Times New Roman" w:eastAsia="Times New Roman" w:hAnsi="Times New Roman"/>
                <w:sz w:val="15"/>
                <w:szCs w:val="15"/>
                <w:color w:val="231F20"/>
              </w:rPr>
              <w:t>TJ Maxx</w:t>
            </w: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ind w:left="40"/>
              <w:spacing w:after="0" w:line="152" w:lineRule="exact"/>
              <w:rPr>
                <w:sz w:val="20"/>
                <w:szCs w:val="20"/>
                <w:color w:val="auto"/>
              </w:rPr>
            </w:pPr>
            <w:r>
              <w:rPr>
                <w:rFonts w:ascii="Times New Roman" w:cs="Times New Roman" w:eastAsia="Times New Roman" w:hAnsi="Times New Roman"/>
                <w:sz w:val="15"/>
                <w:szCs w:val="15"/>
                <w:color w:val="231F20"/>
              </w:rPr>
              <w:t>HomeGoods</w:t>
            </w: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ind w:left="40"/>
              <w:spacing w:after="0" w:line="152" w:lineRule="exact"/>
              <w:rPr>
                <w:sz w:val="20"/>
                <w:szCs w:val="20"/>
                <w:color w:val="auto"/>
              </w:rPr>
            </w:pPr>
            <w:r>
              <w:rPr>
                <w:rFonts w:ascii="Times New Roman" w:cs="Times New Roman" w:eastAsia="Times New Roman" w:hAnsi="Times New Roman"/>
                <w:sz w:val="15"/>
                <w:szCs w:val="15"/>
                <w:color w:val="231F20"/>
              </w:rPr>
              <w:t>Barnes &amp; Noble</w:t>
            </w: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40" w:type="dxa"/>
            <w:vAlign w:val="bottom"/>
          </w:tcPr>
          <w:p>
            <w:pPr>
              <w:ind w:left="40"/>
              <w:spacing w:after="0"/>
              <w:rPr>
                <w:sz w:val="20"/>
                <w:szCs w:val="20"/>
                <w:color w:val="auto"/>
              </w:rPr>
            </w:pPr>
            <w:r>
              <w:rPr>
                <w:rFonts w:ascii="Times New Roman" w:cs="Times New Roman" w:eastAsia="Times New Roman" w:hAnsi="Times New Roman"/>
                <w:sz w:val="15"/>
                <w:szCs w:val="15"/>
                <w:color w:val="231F20"/>
              </w:rPr>
              <w:t>Lankenau Medical Center</w:t>
            </w:r>
          </w:p>
        </w:tc>
        <w:tc>
          <w:tcPr>
            <w:tcW w:w="0" w:type="dxa"/>
            <w:vAlign w:val="bottom"/>
          </w:tcPr>
          <w:p>
            <w:pPr>
              <w:spacing w:after="0"/>
              <w:rPr>
                <w:sz w:val="1"/>
                <w:szCs w:val="1"/>
                <w:color w:val="auto"/>
              </w:rPr>
            </w:pPr>
          </w:p>
        </w:tc>
      </w:tr>
      <w:tr>
        <w:trPr>
          <w:trHeight w:val="159"/>
        </w:trPr>
        <w:tc>
          <w:tcPr>
            <w:tcW w:w="60" w:type="dxa"/>
            <w:vAlign w:val="bottom"/>
          </w:tcPr>
          <w:p>
            <w:pPr>
              <w:spacing w:after="0"/>
              <w:rPr>
                <w:sz w:val="13"/>
                <w:szCs w:val="13"/>
                <w:color w:val="auto"/>
              </w:rPr>
            </w:pPr>
          </w:p>
        </w:tc>
        <w:tc>
          <w:tcPr>
            <w:tcW w:w="2640" w:type="dxa"/>
            <w:vAlign w:val="bottom"/>
            <w:gridSpan w:val="3"/>
          </w:tcPr>
          <w:p>
            <w:pPr>
              <w:spacing w:after="0" w:line="159" w:lineRule="exact"/>
              <w:rPr>
                <w:sz w:val="20"/>
                <w:szCs w:val="20"/>
                <w:color w:val="auto"/>
              </w:rPr>
            </w:pPr>
            <w:r>
              <w:rPr>
                <w:rFonts w:ascii="Times New Roman" w:cs="Times New Roman" w:eastAsia="Times New Roman" w:hAnsi="Times New Roman"/>
                <w:sz w:val="15"/>
                <w:szCs w:val="15"/>
                <w:color w:val="231F20"/>
              </w:rPr>
              <w:t>Northeast</w:t>
            </w:r>
          </w:p>
        </w:tc>
        <w:tc>
          <w:tcPr>
            <w:tcW w:w="920" w:type="dxa"/>
            <w:vAlign w:val="bottom"/>
            <w:gridSpan w:val="2"/>
          </w:tcPr>
          <w:p>
            <w:pPr>
              <w:jc w:val="center"/>
              <w:spacing w:after="0" w:line="159" w:lineRule="exact"/>
              <w:rPr>
                <w:sz w:val="20"/>
                <w:szCs w:val="20"/>
                <w:color w:val="auto"/>
              </w:rPr>
            </w:pPr>
            <w:r>
              <w:rPr>
                <w:rFonts w:ascii="Times New Roman" w:cs="Times New Roman" w:eastAsia="Times New Roman" w:hAnsi="Times New Roman"/>
                <w:sz w:val="15"/>
                <w:szCs w:val="15"/>
                <w:color w:val="231F20"/>
                <w:w w:val="99"/>
              </w:rPr>
              <w:t>1959</w:t>
            </w:r>
          </w:p>
        </w:tc>
        <w:tc>
          <w:tcPr>
            <w:tcW w:w="880" w:type="dxa"/>
            <w:vAlign w:val="bottom"/>
            <w:gridSpan w:val="2"/>
          </w:tcPr>
          <w:p>
            <w:pPr>
              <w:jc w:val="center"/>
              <w:ind w:left="24"/>
              <w:spacing w:after="0" w:line="159" w:lineRule="exact"/>
              <w:rPr>
                <w:sz w:val="20"/>
                <w:szCs w:val="20"/>
                <w:color w:val="auto"/>
              </w:rPr>
            </w:pPr>
            <w:r>
              <w:rPr>
                <w:rFonts w:ascii="Times New Roman" w:cs="Times New Roman" w:eastAsia="Times New Roman" w:hAnsi="Times New Roman"/>
                <w:sz w:val="15"/>
                <w:szCs w:val="15"/>
                <w:color w:val="231F20"/>
                <w:w w:val="99"/>
              </w:rPr>
              <w:t>1983</w:t>
            </w:r>
          </w:p>
        </w:tc>
        <w:tc>
          <w:tcPr>
            <w:tcW w:w="1100" w:type="dxa"/>
            <w:vAlign w:val="bottom"/>
            <w:gridSpan w:val="2"/>
          </w:tcPr>
          <w:p>
            <w:pPr>
              <w:jc w:val="right"/>
              <w:ind w:right="164"/>
              <w:spacing w:after="0" w:line="159" w:lineRule="exact"/>
              <w:rPr>
                <w:sz w:val="20"/>
                <w:szCs w:val="20"/>
                <w:color w:val="auto"/>
              </w:rPr>
            </w:pPr>
            <w:r>
              <w:rPr>
                <w:rFonts w:ascii="Times New Roman" w:cs="Times New Roman" w:eastAsia="Times New Roman" w:hAnsi="Times New Roman"/>
                <w:sz w:val="15"/>
                <w:szCs w:val="15"/>
                <w:color w:val="231F20"/>
              </w:rPr>
              <w:t>208,000</w:t>
            </w:r>
          </w:p>
        </w:tc>
        <w:tc>
          <w:tcPr>
            <w:tcW w:w="1100" w:type="dxa"/>
            <w:vAlign w:val="bottom"/>
            <w:gridSpan w:val="2"/>
          </w:tcPr>
          <w:p>
            <w:pPr>
              <w:jc w:val="center"/>
              <w:ind w:left="44"/>
              <w:spacing w:after="0" w:line="159" w:lineRule="exact"/>
              <w:rPr>
                <w:sz w:val="20"/>
                <w:szCs w:val="20"/>
                <w:color w:val="auto"/>
              </w:rPr>
            </w:pPr>
            <w:r>
              <w:rPr>
                <w:rFonts w:ascii="Times New Roman" w:cs="Times New Roman" w:eastAsia="Times New Roman" w:hAnsi="Times New Roman"/>
                <w:sz w:val="15"/>
                <w:szCs w:val="15"/>
                <w:color w:val="231F20"/>
              </w:rPr>
              <w:t>$22.79</w:t>
            </w:r>
          </w:p>
        </w:tc>
        <w:tc>
          <w:tcPr>
            <w:tcW w:w="900" w:type="dxa"/>
            <w:vAlign w:val="bottom"/>
            <w:gridSpan w:val="2"/>
          </w:tcPr>
          <w:p>
            <w:pPr>
              <w:jc w:val="center"/>
              <w:ind w:left="24"/>
              <w:spacing w:after="0" w:line="159" w:lineRule="exact"/>
              <w:rPr>
                <w:sz w:val="20"/>
                <w:szCs w:val="20"/>
                <w:color w:val="auto"/>
              </w:rPr>
            </w:pPr>
            <w:r>
              <w:rPr>
                <w:rFonts w:ascii="Times New Roman" w:cs="Times New Roman" w:eastAsia="Times New Roman" w:hAnsi="Times New Roman"/>
                <w:sz w:val="15"/>
                <w:szCs w:val="15"/>
                <w:color w:val="231F20"/>
              </w:rPr>
              <w:t>96%</w:t>
            </w:r>
          </w:p>
        </w:tc>
        <w:tc>
          <w:tcPr>
            <w:tcW w:w="80" w:type="dxa"/>
            <w:vAlign w:val="bottom"/>
          </w:tcPr>
          <w:p>
            <w:pPr>
              <w:spacing w:after="0"/>
              <w:rPr>
                <w:sz w:val="13"/>
                <w:szCs w:val="13"/>
                <w:color w:val="auto"/>
              </w:rPr>
            </w:pPr>
          </w:p>
        </w:tc>
        <w:tc>
          <w:tcPr>
            <w:tcW w:w="2040" w:type="dxa"/>
            <w:vAlign w:val="bottom"/>
          </w:tcPr>
          <w:p>
            <w:pPr>
              <w:ind w:left="40"/>
              <w:spacing w:after="0" w:line="159" w:lineRule="exact"/>
              <w:rPr>
                <w:sz w:val="20"/>
                <w:szCs w:val="20"/>
                <w:color w:val="auto"/>
              </w:rPr>
            </w:pPr>
            <w:r>
              <w:rPr>
                <w:rFonts w:ascii="Times New Roman" w:cs="Times New Roman" w:eastAsia="Times New Roman" w:hAnsi="Times New Roman"/>
                <w:sz w:val="15"/>
                <w:szCs w:val="15"/>
                <w:color w:val="231F20"/>
              </w:rPr>
              <w:t>Marshalls</w:t>
            </w: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2640" w:type="dxa"/>
            <w:vAlign w:val="bottom"/>
            <w:gridSpan w:val="3"/>
          </w:tcPr>
          <w:p>
            <w:pPr>
              <w:ind w:left="100"/>
              <w:spacing w:after="0" w:line="152" w:lineRule="exact"/>
              <w:rPr>
                <w:sz w:val="20"/>
                <w:szCs w:val="20"/>
                <w:color w:val="auto"/>
              </w:rPr>
            </w:pPr>
            <w:r>
              <w:rPr>
                <w:rFonts w:ascii="Times New Roman" w:cs="Times New Roman" w:eastAsia="Times New Roman" w:hAnsi="Times New Roman"/>
                <w:sz w:val="15"/>
                <w:szCs w:val="15"/>
                <w:color w:val="231F20"/>
              </w:rPr>
              <w:t>Philadelphia, PA 19114</w:t>
            </w: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ind w:left="40"/>
              <w:spacing w:after="0" w:line="152" w:lineRule="exact"/>
              <w:rPr>
                <w:sz w:val="20"/>
                <w:szCs w:val="20"/>
                <w:color w:val="auto"/>
              </w:rPr>
            </w:pPr>
            <w:r>
              <w:rPr>
                <w:rFonts w:ascii="Times New Roman" w:cs="Times New Roman" w:eastAsia="Times New Roman" w:hAnsi="Times New Roman"/>
                <w:sz w:val="15"/>
                <w:szCs w:val="15"/>
                <w:color w:val="231F20"/>
              </w:rPr>
              <w:t>Ulta</w:t>
            </w: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ind w:left="40"/>
              <w:spacing w:after="0" w:line="152" w:lineRule="exact"/>
              <w:rPr>
                <w:sz w:val="20"/>
                <w:szCs w:val="20"/>
                <w:color w:val="auto"/>
              </w:rPr>
            </w:pPr>
            <w:r>
              <w:rPr>
                <w:rFonts w:ascii="Times New Roman" w:cs="Times New Roman" w:eastAsia="Times New Roman" w:hAnsi="Times New Roman"/>
                <w:sz w:val="15"/>
                <w:szCs w:val="15"/>
                <w:color w:val="231F20"/>
              </w:rPr>
              <w:t>Skechers</w:t>
            </w: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40" w:type="dxa"/>
            <w:vAlign w:val="bottom"/>
          </w:tcPr>
          <w:p>
            <w:pPr>
              <w:ind w:left="40"/>
              <w:spacing w:after="0"/>
              <w:rPr>
                <w:sz w:val="20"/>
                <w:szCs w:val="20"/>
                <w:color w:val="auto"/>
              </w:rPr>
            </w:pPr>
            <w:r>
              <w:rPr>
                <w:rFonts w:ascii="Times New Roman" w:cs="Times New Roman" w:eastAsia="Times New Roman" w:hAnsi="Times New Roman"/>
                <w:sz w:val="15"/>
                <w:szCs w:val="15"/>
                <w:color w:val="231F20"/>
              </w:rPr>
              <w:t>Crunch Fitness</w:t>
            </w:r>
          </w:p>
        </w:tc>
        <w:tc>
          <w:tcPr>
            <w:tcW w:w="0" w:type="dxa"/>
            <w:vAlign w:val="bottom"/>
          </w:tcPr>
          <w:p>
            <w:pPr>
              <w:spacing w:after="0"/>
              <w:rPr>
                <w:sz w:val="1"/>
                <w:szCs w:val="1"/>
                <w:color w:val="auto"/>
              </w:rPr>
            </w:pPr>
          </w:p>
        </w:tc>
      </w:tr>
      <w:tr>
        <w:trPr>
          <w:trHeight w:val="183"/>
        </w:trPr>
        <w:tc>
          <w:tcPr>
            <w:tcW w:w="60" w:type="dxa"/>
            <w:vAlign w:val="bottom"/>
          </w:tcPr>
          <w:p>
            <w:pPr>
              <w:spacing w:after="0"/>
              <w:rPr>
                <w:sz w:val="15"/>
                <w:szCs w:val="15"/>
                <w:color w:val="auto"/>
              </w:rPr>
            </w:pPr>
          </w:p>
        </w:tc>
        <w:tc>
          <w:tcPr>
            <w:tcW w:w="2640" w:type="dxa"/>
            <w:vAlign w:val="bottom"/>
            <w:gridSpan w:val="3"/>
          </w:tcPr>
          <w:p>
            <w:pPr>
              <w:spacing w:after="0"/>
              <w:rPr>
                <w:sz w:val="20"/>
                <w:szCs w:val="20"/>
                <w:color w:val="auto"/>
              </w:rPr>
            </w:pPr>
            <w:r>
              <w:rPr>
                <w:rFonts w:ascii="Times New Roman" w:cs="Times New Roman" w:eastAsia="Times New Roman" w:hAnsi="Times New Roman"/>
                <w:sz w:val="15"/>
                <w:szCs w:val="15"/>
                <w:color w:val="231F20"/>
              </w:rPr>
              <w:t>Willow Grove</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231F20"/>
                <w:w w:val="99"/>
              </w:rPr>
              <w:t>1953</w:t>
            </w:r>
          </w:p>
        </w:tc>
        <w:tc>
          <w:tcPr>
            <w:tcW w:w="880" w:type="dxa"/>
            <w:vAlign w:val="bottom"/>
            <w:gridSpan w:val="2"/>
          </w:tcPr>
          <w:p>
            <w:pPr>
              <w:jc w:val="center"/>
              <w:ind w:left="24"/>
              <w:spacing w:after="0"/>
              <w:rPr>
                <w:sz w:val="20"/>
                <w:szCs w:val="20"/>
                <w:color w:val="auto"/>
              </w:rPr>
            </w:pPr>
            <w:r>
              <w:rPr>
                <w:rFonts w:ascii="Times New Roman" w:cs="Times New Roman" w:eastAsia="Times New Roman" w:hAnsi="Times New Roman"/>
                <w:sz w:val="15"/>
                <w:szCs w:val="15"/>
                <w:color w:val="231F20"/>
                <w:w w:val="99"/>
              </w:rPr>
              <w:t>1984</w:t>
            </w:r>
          </w:p>
        </w:tc>
        <w:tc>
          <w:tcPr>
            <w:tcW w:w="1100" w:type="dxa"/>
            <w:vAlign w:val="bottom"/>
            <w:gridSpan w:val="2"/>
          </w:tcPr>
          <w:p>
            <w:pPr>
              <w:jc w:val="center"/>
              <w:ind w:left="44"/>
              <w:spacing w:after="0"/>
              <w:rPr>
                <w:sz w:val="20"/>
                <w:szCs w:val="20"/>
                <w:color w:val="auto"/>
              </w:rPr>
            </w:pPr>
            <w:r>
              <w:rPr>
                <w:rFonts w:ascii="Times New Roman" w:cs="Times New Roman" w:eastAsia="Times New Roman" w:hAnsi="Times New Roman"/>
                <w:sz w:val="15"/>
                <w:szCs w:val="15"/>
                <w:color w:val="231F20"/>
              </w:rPr>
              <w:t>86,000</w:t>
            </w:r>
          </w:p>
        </w:tc>
        <w:tc>
          <w:tcPr>
            <w:tcW w:w="1100" w:type="dxa"/>
            <w:vAlign w:val="bottom"/>
            <w:gridSpan w:val="2"/>
          </w:tcPr>
          <w:p>
            <w:pPr>
              <w:jc w:val="center"/>
              <w:ind w:left="44"/>
              <w:spacing w:after="0"/>
              <w:rPr>
                <w:sz w:val="20"/>
                <w:szCs w:val="20"/>
                <w:color w:val="auto"/>
              </w:rPr>
            </w:pPr>
            <w:r>
              <w:rPr>
                <w:rFonts w:ascii="Times New Roman" w:cs="Times New Roman" w:eastAsia="Times New Roman" w:hAnsi="Times New Roman"/>
                <w:sz w:val="15"/>
                <w:szCs w:val="15"/>
                <w:color w:val="231F20"/>
              </w:rPr>
              <w:t>$26.10</w:t>
            </w:r>
          </w:p>
        </w:tc>
        <w:tc>
          <w:tcPr>
            <w:tcW w:w="900" w:type="dxa"/>
            <w:vAlign w:val="bottom"/>
            <w:gridSpan w:val="2"/>
          </w:tcPr>
          <w:p>
            <w:pPr>
              <w:jc w:val="center"/>
              <w:ind w:left="24"/>
              <w:spacing w:after="0"/>
              <w:rPr>
                <w:sz w:val="20"/>
                <w:szCs w:val="20"/>
                <w:color w:val="auto"/>
              </w:rPr>
            </w:pPr>
            <w:r>
              <w:rPr>
                <w:rFonts w:ascii="Times New Roman" w:cs="Times New Roman" w:eastAsia="Times New Roman" w:hAnsi="Times New Roman"/>
                <w:sz w:val="15"/>
                <w:szCs w:val="15"/>
                <w:color w:val="231F20"/>
              </w:rPr>
              <w:t>100%</w:t>
            </w:r>
          </w:p>
        </w:tc>
        <w:tc>
          <w:tcPr>
            <w:tcW w:w="80" w:type="dxa"/>
            <w:vAlign w:val="bottom"/>
          </w:tcPr>
          <w:p>
            <w:pPr>
              <w:spacing w:after="0"/>
              <w:rPr>
                <w:sz w:val="15"/>
                <w:szCs w:val="15"/>
                <w:color w:val="auto"/>
              </w:rPr>
            </w:pPr>
          </w:p>
        </w:tc>
        <w:tc>
          <w:tcPr>
            <w:tcW w:w="2040" w:type="dxa"/>
            <w:vAlign w:val="bottom"/>
          </w:tcPr>
          <w:p>
            <w:pPr>
              <w:ind w:left="40"/>
              <w:spacing w:after="0"/>
              <w:rPr>
                <w:sz w:val="20"/>
                <w:szCs w:val="20"/>
                <w:color w:val="auto"/>
              </w:rPr>
            </w:pPr>
            <w:r>
              <w:rPr>
                <w:rFonts w:ascii="Times New Roman" w:cs="Times New Roman" w:eastAsia="Times New Roman" w:hAnsi="Times New Roman"/>
                <w:sz w:val="15"/>
                <w:szCs w:val="15"/>
                <w:color w:val="231F20"/>
              </w:rPr>
              <w:t>Amazon Food</w:t>
            </w: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2640" w:type="dxa"/>
            <w:vAlign w:val="bottom"/>
            <w:gridSpan w:val="3"/>
          </w:tcPr>
          <w:p>
            <w:pPr>
              <w:ind w:left="100"/>
              <w:spacing w:after="0" w:line="152" w:lineRule="exact"/>
              <w:rPr>
                <w:sz w:val="20"/>
                <w:szCs w:val="20"/>
                <w:color w:val="auto"/>
              </w:rPr>
            </w:pPr>
            <w:r>
              <w:rPr>
                <w:rFonts w:ascii="Times New Roman" w:cs="Times New Roman" w:eastAsia="Times New Roman" w:hAnsi="Times New Roman"/>
                <w:sz w:val="15"/>
                <w:szCs w:val="15"/>
                <w:color w:val="231F20"/>
              </w:rPr>
              <w:t>Willow Grove, PA 19090</w:t>
            </w: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ind w:left="40"/>
              <w:spacing w:after="0" w:line="152" w:lineRule="exact"/>
              <w:rPr>
                <w:sz w:val="20"/>
                <w:szCs w:val="20"/>
                <w:color w:val="auto"/>
              </w:rPr>
            </w:pPr>
            <w:r>
              <w:rPr>
                <w:rFonts w:ascii="Times New Roman" w:cs="Times New Roman" w:eastAsia="Times New Roman" w:hAnsi="Times New Roman"/>
                <w:sz w:val="15"/>
                <w:szCs w:val="15"/>
                <w:color w:val="231F20"/>
              </w:rPr>
              <w:t>Marshalls</w:t>
            </w: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40" w:type="dxa"/>
            <w:vAlign w:val="bottom"/>
          </w:tcPr>
          <w:p>
            <w:pPr>
              <w:ind w:left="40"/>
              <w:spacing w:after="0"/>
              <w:rPr>
                <w:sz w:val="20"/>
                <w:szCs w:val="20"/>
                <w:color w:val="auto"/>
              </w:rPr>
            </w:pPr>
            <w:r>
              <w:rPr>
                <w:rFonts w:ascii="Times New Roman" w:cs="Times New Roman" w:eastAsia="Times New Roman" w:hAnsi="Times New Roman"/>
                <w:sz w:val="15"/>
                <w:szCs w:val="15"/>
                <w:color w:val="231F20"/>
              </w:rPr>
              <w:t>Five Below</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9720"/>
          </w:cols>
          <w:pgMar w:left="1060" w:top="1003" w:right="1100" w:bottom="0" w:gutter="0" w:footer="0" w:header="0"/>
        </w:sectPr>
      </w:pP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231F20"/>
        </w:rPr>
        <w:t>26</w:t>
      </w:r>
    </w:p>
    <w:p>
      <w:pPr>
        <w:sectPr>
          <w:pgSz w:w="11880" w:h="15480" w:orient="portrait"/>
          <w:cols w:equalWidth="0" w:num="1">
            <w:col w:w="9720"/>
          </w:cols>
          <w:pgMar w:left="1060" w:top="1003" w:right="1100" w:bottom="0" w:gutter="0" w:footer="0" w:header="0"/>
          <w:type w:val="continuous"/>
        </w:sectPr>
      </w:pPr>
    </w:p>
    <w:bookmarkStart w:id="34" w:name="page35"/>
    <w:bookmarkEnd w:id="34"/>
    <w:tbl>
      <w:tblPr>
        <w:tblLayout w:type="fixed"/>
        <w:tblInd w:w="0" w:type="dxa"/>
        <w:tblCellMar>
          <w:top w:w="0" w:type="dxa"/>
          <w:left w:w="0" w:type="dxa"/>
          <w:bottom w:w="0" w:type="dxa"/>
          <w:right w:w="0" w:type="dxa"/>
        </w:tblCellMar>
      </w:tblPr>
      <w:tr>
        <w:trPr>
          <w:trHeight w:val="172"/>
        </w:trPr>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231F20"/>
              </w:rPr>
              <w:t>Square</w:t>
            </w:r>
          </w:p>
        </w:tc>
        <w:tc>
          <w:tcPr>
            <w:tcW w:w="8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231F20"/>
              </w:rPr>
              <w:t>Average Base</w:t>
            </w: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231F20"/>
              </w:rPr>
              <w:t>Year</w:t>
            </w:r>
          </w:p>
        </w:tc>
        <w:tc>
          <w:tcPr>
            <w:tcW w:w="80" w:type="dxa"/>
            <w:vAlign w:val="bottom"/>
          </w:tcPr>
          <w:p>
            <w:pPr>
              <w:spacing w:after="0"/>
              <w:rPr>
                <w:sz w:val="13"/>
                <w:szCs w:val="13"/>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231F20"/>
              </w:rPr>
              <w:t>Year</w:t>
            </w:r>
          </w:p>
        </w:tc>
        <w:tc>
          <w:tcPr>
            <w:tcW w:w="80" w:type="dxa"/>
            <w:vAlign w:val="bottom"/>
          </w:tcPr>
          <w:p>
            <w:pPr>
              <w:spacing w:after="0"/>
              <w:rPr>
                <w:sz w:val="13"/>
                <w:szCs w:val="13"/>
                <w:color w:val="auto"/>
              </w:rPr>
            </w:pPr>
          </w:p>
        </w:tc>
        <w:tc>
          <w:tcPr>
            <w:tcW w:w="1020" w:type="dxa"/>
            <w:vAlign w:val="bottom"/>
          </w:tcPr>
          <w:p>
            <w:pPr>
              <w:jc w:val="center"/>
              <w:spacing w:after="0" w:line="152" w:lineRule="exact"/>
              <w:rPr>
                <w:sz w:val="20"/>
                <w:szCs w:val="20"/>
                <w:color w:val="auto"/>
              </w:rPr>
            </w:pPr>
            <w:r>
              <w:rPr>
                <w:rFonts w:ascii="Times New Roman" w:cs="Times New Roman" w:eastAsia="Times New Roman" w:hAnsi="Times New Roman"/>
                <w:sz w:val="15"/>
                <w:szCs w:val="15"/>
                <w:b w:val="1"/>
                <w:bCs w:val="1"/>
                <w:color w:val="231F20"/>
              </w:rPr>
              <w:t>Feet(1) /</w:t>
            </w:r>
          </w:p>
        </w:tc>
        <w:tc>
          <w:tcPr>
            <w:tcW w:w="80" w:type="dxa"/>
            <w:vAlign w:val="bottom"/>
          </w:tcPr>
          <w:p>
            <w:pPr>
              <w:spacing w:after="0"/>
              <w:rPr>
                <w:sz w:val="13"/>
                <w:szCs w:val="13"/>
                <w:color w:val="auto"/>
              </w:rPr>
            </w:pPr>
          </w:p>
        </w:tc>
        <w:tc>
          <w:tcPr>
            <w:tcW w:w="1020" w:type="dxa"/>
            <w:vAlign w:val="bottom"/>
          </w:tcPr>
          <w:p>
            <w:pPr>
              <w:jc w:val="center"/>
              <w:spacing w:after="0" w:line="152" w:lineRule="exact"/>
              <w:rPr>
                <w:sz w:val="20"/>
                <w:szCs w:val="20"/>
                <w:color w:val="auto"/>
              </w:rPr>
            </w:pPr>
            <w:r>
              <w:rPr>
                <w:rFonts w:ascii="Times New Roman" w:cs="Times New Roman" w:eastAsia="Times New Roman" w:hAnsi="Times New Roman"/>
                <w:sz w:val="15"/>
                <w:szCs w:val="15"/>
                <w:b w:val="1"/>
                <w:bCs w:val="1"/>
                <w:color w:val="231F20"/>
              </w:rPr>
              <w:t>Rent Per</w:t>
            </w:r>
          </w:p>
        </w:tc>
        <w:tc>
          <w:tcPr>
            <w:tcW w:w="60" w:type="dxa"/>
            <w:vAlign w:val="bottom"/>
          </w:tcPr>
          <w:p>
            <w:pPr>
              <w:spacing w:after="0"/>
              <w:rPr>
                <w:sz w:val="13"/>
                <w:szCs w:val="13"/>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231F20"/>
              </w:rPr>
              <w:t>Percentage</w:t>
            </w:r>
          </w:p>
        </w:tc>
        <w:tc>
          <w:tcPr>
            <w:tcW w:w="8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264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b w:val="1"/>
                <w:bCs w:val="1"/>
                <w:color w:val="231F20"/>
              </w:rPr>
              <w:t>Property, City, State, Zip Code</w:t>
            </w:r>
          </w:p>
        </w:tc>
        <w:tc>
          <w:tcPr>
            <w:tcW w:w="6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jc w:val="center"/>
              <w:spacing w:after="0" w:line="152" w:lineRule="exact"/>
              <w:rPr>
                <w:sz w:val="20"/>
                <w:szCs w:val="20"/>
                <w:color w:val="auto"/>
              </w:rPr>
            </w:pPr>
            <w:r>
              <w:rPr>
                <w:rFonts w:ascii="Times New Roman" w:cs="Times New Roman" w:eastAsia="Times New Roman" w:hAnsi="Times New Roman"/>
                <w:sz w:val="15"/>
                <w:szCs w:val="15"/>
                <w:b w:val="1"/>
                <w:bCs w:val="1"/>
                <w:color w:val="231F20"/>
              </w:rPr>
              <w:t>Apartment</w:t>
            </w:r>
          </w:p>
        </w:tc>
        <w:tc>
          <w:tcPr>
            <w:tcW w:w="80" w:type="dxa"/>
            <w:vAlign w:val="bottom"/>
          </w:tcPr>
          <w:p>
            <w:pPr>
              <w:spacing w:after="0"/>
              <w:rPr>
                <w:sz w:val="13"/>
                <w:szCs w:val="13"/>
                <w:color w:val="auto"/>
              </w:rPr>
            </w:pPr>
          </w:p>
        </w:tc>
        <w:tc>
          <w:tcPr>
            <w:tcW w:w="1020" w:type="dxa"/>
            <w:vAlign w:val="bottom"/>
          </w:tcPr>
          <w:p>
            <w:pPr>
              <w:jc w:val="center"/>
              <w:spacing w:after="0" w:line="152" w:lineRule="exact"/>
              <w:rPr>
                <w:sz w:val="20"/>
                <w:szCs w:val="20"/>
                <w:color w:val="auto"/>
              </w:rPr>
            </w:pPr>
            <w:r>
              <w:rPr>
                <w:rFonts w:ascii="Times New Roman" w:cs="Times New Roman" w:eastAsia="Times New Roman" w:hAnsi="Times New Roman"/>
                <w:sz w:val="15"/>
                <w:szCs w:val="15"/>
                <w:b w:val="1"/>
                <w:bCs w:val="1"/>
                <w:color w:val="231F20"/>
              </w:rPr>
              <w:t>Square</w:t>
            </w:r>
          </w:p>
        </w:tc>
        <w:tc>
          <w:tcPr>
            <w:tcW w:w="6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vMerge w:val="restart"/>
          </w:tcPr>
          <w:p>
            <w:pPr>
              <w:ind w:left="380"/>
              <w:spacing w:after="0"/>
              <w:rPr>
                <w:sz w:val="20"/>
                <w:szCs w:val="20"/>
                <w:color w:val="auto"/>
              </w:rPr>
            </w:pPr>
            <w:r>
              <w:rPr>
                <w:rFonts w:ascii="Times New Roman" w:cs="Times New Roman" w:eastAsia="Times New Roman" w:hAnsi="Times New Roman"/>
                <w:sz w:val="15"/>
                <w:szCs w:val="15"/>
                <w:b w:val="1"/>
                <w:bCs w:val="1"/>
                <w:color w:val="231F20"/>
              </w:rPr>
              <w:t>Principal Tenant(s)</w:t>
            </w:r>
          </w:p>
        </w:tc>
        <w:tc>
          <w:tcPr>
            <w:tcW w:w="0" w:type="dxa"/>
            <w:vAlign w:val="bottom"/>
          </w:tcPr>
          <w:p>
            <w:pPr>
              <w:spacing w:after="0"/>
              <w:rPr>
                <w:sz w:val="1"/>
                <w:szCs w:val="1"/>
                <w:color w:val="auto"/>
              </w:rPr>
            </w:pPr>
          </w:p>
        </w:tc>
      </w:tr>
      <w:tr>
        <w:trPr>
          <w:trHeight w:val="203"/>
        </w:trPr>
        <w:tc>
          <w:tcPr>
            <w:tcW w:w="60" w:type="dxa"/>
            <w:vAlign w:val="bottom"/>
            <w:tcBorders>
              <w:bottom w:val="single" w:sz="8" w:color="231F20"/>
            </w:tcBorders>
          </w:tcPr>
          <w:p>
            <w:pPr>
              <w:spacing w:after="0"/>
              <w:rPr>
                <w:sz w:val="17"/>
                <w:szCs w:val="17"/>
                <w:color w:val="auto"/>
              </w:rPr>
            </w:pPr>
          </w:p>
        </w:tc>
        <w:tc>
          <w:tcPr>
            <w:tcW w:w="2640" w:type="dxa"/>
            <w:vAlign w:val="bottom"/>
            <w:tcBorders>
              <w:bottom w:val="single" w:sz="8" w:color="231F20"/>
            </w:tcBorders>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5"/>
                <w:szCs w:val="15"/>
                <w:b w:val="1"/>
                <w:bCs w:val="1"/>
                <w:color w:val="231F20"/>
              </w:rPr>
              <w:t>Completed</w:t>
            </w:r>
          </w:p>
        </w:tc>
        <w:tc>
          <w:tcPr>
            <w:tcW w:w="80" w:type="dxa"/>
            <w:vAlign w:val="bottom"/>
          </w:tcPr>
          <w:p>
            <w:pPr>
              <w:spacing w:after="0"/>
              <w:rPr>
                <w:sz w:val="17"/>
                <w:szCs w:val="17"/>
                <w:color w:val="auto"/>
              </w:rPr>
            </w:pPr>
          </w:p>
        </w:tc>
        <w:tc>
          <w:tcPr>
            <w:tcW w:w="80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5"/>
                <w:szCs w:val="15"/>
                <w:b w:val="1"/>
                <w:bCs w:val="1"/>
                <w:color w:val="231F20"/>
                <w:w w:val="99"/>
              </w:rPr>
              <w:t>Acquired</w:t>
            </w:r>
          </w:p>
        </w:tc>
        <w:tc>
          <w:tcPr>
            <w:tcW w:w="80" w:type="dxa"/>
            <w:vAlign w:val="bottom"/>
          </w:tcPr>
          <w:p>
            <w:pPr>
              <w:spacing w:after="0"/>
              <w:rPr>
                <w:sz w:val="17"/>
                <w:szCs w:val="17"/>
                <w:color w:val="auto"/>
              </w:rPr>
            </w:pPr>
          </w:p>
        </w:tc>
        <w:tc>
          <w:tcPr>
            <w:tcW w:w="102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5"/>
                <w:szCs w:val="15"/>
                <w:b w:val="1"/>
                <w:bCs w:val="1"/>
                <w:color w:val="231F20"/>
                <w:w w:val="99"/>
              </w:rPr>
              <w:t>Units</w:t>
            </w:r>
          </w:p>
        </w:tc>
        <w:tc>
          <w:tcPr>
            <w:tcW w:w="80" w:type="dxa"/>
            <w:vAlign w:val="bottom"/>
          </w:tcPr>
          <w:p>
            <w:pPr>
              <w:spacing w:after="0"/>
              <w:rPr>
                <w:sz w:val="17"/>
                <w:szCs w:val="17"/>
                <w:color w:val="auto"/>
              </w:rPr>
            </w:pPr>
          </w:p>
        </w:tc>
        <w:tc>
          <w:tcPr>
            <w:tcW w:w="102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5"/>
                <w:szCs w:val="15"/>
                <w:b w:val="1"/>
                <w:bCs w:val="1"/>
                <w:color w:val="231F20"/>
              </w:rPr>
              <w:t>Foot(2)</w:t>
            </w:r>
          </w:p>
        </w:tc>
        <w:tc>
          <w:tcPr>
            <w:tcW w:w="60" w:type="dxa"/>
            <w:vAlign w:val="bottom"/>
          </w:tcPr>
          <w:p>
            <w:pPr>
              <w:spacing w:after="0"/>
              <w:rPr>
                <w:sz w:val="17"/>
                <w:szCs w:val="17"/>
                <w:color w:val="auto"/>
              </w:rPr>
            </w:pPr>
          </w:p>
        </w:tc>
        <w:tc>
          <w:tcPr>
            <w:tcW w:w="84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5"/>
                <w:szCs w:val="15"/>
                <w:b w:val="1"/>
                <w:bCs w:val="1"/>
                <w:color w:val="231F20"/>
              </w:rPr>
              <w:t>Leased(3)</w:t>
            </w:r>
          </w:p>
        </w:tc>
        <w:tc>
          <w:tcPr>
            <w:tcW w:w="80" w:type="dxa"/>
            <w:vAlign w:val="bottom"/>
          </w:tcPr>
          <w:p>
            <w:pPr>
              <w:spacing w:after="0"/>
              <w:rPr>
                <w:sz w:val="17"/>
                <w:szCs w:val="17"/>
                <w:color w:val="auto"/>
              </w:rPr>
            </w:pPr>
          </w:p>
        </w:tc>
        <w:tc>
          <w:tcPr>
            <w:tcW w:w="2040" w:type="dxa"/>
            <w:vAlign w:val="bottom"/>
            <w:tcBorders>
              <w:bottom w:val="single" w:sz="8" w:color="231F20"/>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60" w:type="dxa"/>
            <w:vAlign w:val="bottom"/>
          </w:tcPr>
          <w:p>
            <w:pPr>
              <w:spacing w:after="0"/>
              <w:rPr>
                <w:sz w:val="12"/>
                <w:szCs w:val="12"/>
                <w:color w:val="auto"/>
              </w:rPr>
            </w:pPr>
          </w:p>
        </w:tc>
        <w:tc>
          <w:tcPr>
            <w:tcW w:w="2640" w:type="dxa"/>
            <w:vAlign w:val="bottom"/>
            <w:gridSpan w:val="2"/>
          </w:tcPr>
          <w:p>
            <w:pPr>
              <w:spacing w:after="0" w:line="146" w:lineRule="exact"/>
              <w:rPr>
                <w:sz w:val="20"/>
                <w:szCs w:val="20"/>
                <w:color w:val="auto"/>
              </w:rPr>
            </w:pPr>
            <w:r>
              <w:rPr>
                <w:rFonts w:ascii="Times New Roman" w:cs="Times New Roman" w:eastAsia="Times New Roman" w:hAnsi="Times New Roman"/>
                <w:sz w:val="15"/>
                <w:szCs w:val="15"/>
                <w:color w:val="231F20"/>
              </w:rPr>
              <w:t>Wynnewood</w:t>
            </w:r>
          </w:p>
        </w:tc>
        <w:tc>
          <w:tcPr>
            <w:tcW w:w="60" w:type="dxa"/>
            <w:vAlign w:val="bottom"/>
          </w:tcPr>
          <w:p>
            <w:pPr>
              <w:spacing w:after="0"/>
              <w:rPr>
                <w:sz w:val="12"/>
                <w:szCs w:val="12"/>
                <w:color w:val="auto"/>
              </w:rPr>
            </w:pPr>
          </w:p>
        </w:tc>
        <w:tc>
          <w:tcPr>
            <w:tcW w:w="860" w:type="dxa"/>
            <w:vAlign w:val="bottom"/>
          </w:tcPr>
          <w:p>
            <w:pPr>
              <w:jc w:val="center"/>
              <w:spacing w:after="0" w:line="146" w:lineRule="exact"/>
              <w:rPr>
                <w:sz w:val="20"/>
                <w:szCs w:val="20"/>
                <w:color w:val="auto"/>
              </w:rPr>
            </w:pPr>
            <w:r>
              <w:rPr>
                <w:rFonts w:ascii="Times New Roman" w:cs="Times New Roman" w:eastAsia="Times New Roman" w:hAnsi="Times New Roman"/>
                <w:sz w:val="15"/>
                <w:szCs w:val="15"/>
                <w:color w:val="231F20"/>
                <w:w w:val="99"/>
              </w:rPr>
              <w:t>1948</w:t>
            </w:r>
          </w:p>
        </w:tc>
        <w:tc>
          <w:tcPr>
            <w:tcW w:w="80" w:type="dxa"/>
            <w:vAlign w:val="bottom"/>
          </w:tcPr>
          <w:p>
            <w:pPr>
              <w:spacing w:after="0"/>
              <w:rPr>
                <w:sz w:val="12"/>
                <w:szCs w:val="12"/>
                <w:color w:val="auto"/>
              </w:rPr>
            </w:pPr>
          </w:p>
        </w:tc>
        <w:tc>
          <w:tcPr>
            <w:tcW w:w="800" w:type="dxa"/>
            <w:vAlign w:val="bottom"/>
          </w:tcPr>
          <w:p>
            <w:pPr>
              <w:jc w:val="center"/>
              <w:spacing w:after="0" w:line="146" w:lineRule="exact"/>
              <w:rPr>
                <w:sz w:val="20"/>
                <w:szCs w:val="20"/>
                <w:color w:val="auto"/>
              </w:rPr>
            </w:pPr>
            <w:r>
              <w:rPr>
                <w:rFonts w:ascii="Times New Roman" w:cs="Times New Roman" w:eastAsia="Times New Roman" w:hAnsi="Times New Roman"/>
                <w:sz w:val="15"/>
                <w:szCs w:val="15"/>
                <w:color w:val="231F20"/>
                <w:w w:val="99"/>
              </w:rPr>
              <w:t>1996</w:t>
            </w:r>
          </w:p>
        </w:tc>
        <w:tc>
          <w:tcPr>
            <w:tcW w:w="80" w:type="dxa"/>
            <w:vAlign w:val="bottom"/>
          </w:tcPr>
          <w:p>
            <w:pPr>
              <w:spacing w:after="0"/>
              <w:rPr>
                <w:sz w:val="12"/>
                <w:szCs w:val="12"/>
                <w:color w:val="auto"/>
              </w:rPr>
            </w:pPr>
          </w:p>
        </w:tc>
        <w:tc>
          <w:tcPr>
            <w:tcW w:w="1020" w:type="dxa"/>
            <w:vAlign w:val="bottom"/>
          </w:tcPr>
          <w:p>
            <w:pPr>
              <w:jc w:val="center"/>
              <w:spacing w:after="0" w:line="146" w:lineRule="exact"/>
              <w:rPr>
                <w:sz w:val="20"/>
                <w:szCs w:val="20"/>
                <w:color w:val="auto"/>
              </w:rPr>
            </w:pPr>
            <w:r>
              <w:rPr>
                <w:rFonts w:ascii="Times New Roman" w:cs="Times New Roman" w:eastAsia="Times New Roman" w:hAnsi="Times New Roman"/>
                <w:sz w:val="15"/>
                <w:szCs w:val="15"/>
                <w:color w:val="231F20"/>
              </w:rPr>
              <w:t>239,000</w:t>
            </w:r>
          </w:p>
        </w:tc>
        <w:tc>
          <w:tcPr>
            <w:tcW w:w="80" w:type="dxa"/>
            <w:vAlign w:val="bottom"/>
          </w:tcPr>
          <w:p>
            <w:pPr>
              <w:spacing w:after="0"/>
              <w:rPr>
                <w:sz w:val="12"/>
                <w:szCs w:val="12"/>
                <w:color w:val="auto"/>
              </w:rPr>
            </w:pPr>
          </w:p>
        </w:tc>
        <w:tc>
          <w:tcPr>
            <w:tcW w:w="1020" w:type="dxa"/>
            <w:vAlign w:val="bottom"/>
          </w:tcPr>
          <w:p>
            <w:pPr>
              <w:jc w:val="center"/>
              <w:spacing w:after="0" w:line="146" w:lineRule="exact"/>
              <w:rPr>
                <w:sz w:val="20"/>
                <w:szCs w:val="20"/>
                <w:color w:val="auto"/>
              </w:rPr>
            </w:pPr>
            <w:r>
              <w:rPr>
                <w:rFonts w:ascii="Times New Roman" w:cs="Times New Roman" w:eastAsia="Times New Roman" w:hAnsi="Times New Roman"/>
                <w:sz w:val="15"/>
                <w:szCs w:val="15"/>
                <w:color w:val="231F20"/>
              </w:rPr>
              <w:t>$32.54</w:t>
            </w:r>
          </w:p>
        </w:tc>
        <w:tc>
          <w:tcPr>
            <w:tcW w:w="60" w:type="dxa"/>
            <w:vAlign w:val="bottom"/>
          </w:tcPr>
          <w:p>
            <w:pPr>
              <w:spacing w:after="0"/>
              <w:rPr>
                <w:sz w:val="12"/>
                <w:szCs w:val="12"/>
                <w:color w:val="auto"/>
              </w:rPr>
            </w:pPr>
          </w:p>
        </w:tc>
        <w:tc>
          <w:tcPr>
            <w:tcW w:w="840" w:type="dxa"/>
            <w:vAlign w:val="bottom"/>
          </w:tcPr>
          <w:p>
            <w:pPr>
              <w:jc w:val="center"/>
              <w:spacing w:after="0" w:line="146" w:lineRule="exact"/>
              <w:rPr>
                <w:sz w:val="20"/>
                <w:szCs w:val="20"/>
                <w:color w:val="auto"/>
              </w:rPr>
            </w:pPr>
            <w:r>
              <w:rPr>
                <w:rFonts w:ascii="Times New Roman" w:cs="Times New Roman" w:eastAsia="Times New Roman" w:hAnsi="Times New Roman"/>
                <w:sz w:val="15"/>
                <w:szCs w:val="15"/>
                <w:color w:val="231F20"/>
              </w:rPr>
              <w:t>97%</w:t>
            </w:r>
          </w:p>
        </w:tc>
        <w:tc>
          <w:tcPr>
            <w:tcW w:w="80" w:type="dxa"/>
            <w:vAlign w:val="bottom"/>
          </w:tcPr>
          <w:p>
            <w:pPr>
              <w:spacing w:after="0"/>
              <w:rPr>
                <w:sz w:val="12"/>
                <w:szCs w:val="12"/>
                <w:color w:val="auto"/>
              </w:rPr>
            </w:pPr>
          </w:p>
        </w:tc>
        <w:tc>
          <w:tcPr>
            <w:tcW w:w="2040" w:type="dxa"/>
            <w:vAlign w:val="bottom"/>
          </w:tcPr>
          <w:p>
            <w:pPr>
              <w:ind w:left="40"/>
              <w:spacing w:after="0" w:line="146" w:lineRule="exact"/>
              <w:rPr>
                <w:sz w:val="20"/>
                <w:szCs w:val="20"/>
                <w:color w:val="auto"/>
              </w:rPr>
            </w:pPr>
            <w:r>
              <w:rPr>
                <w:rFonts w:ascii="Times New Roman" w:cs="Times New Roman" w:eastAsia="Times New Roman" w:hAnsi="Times New Roman"/>
                <w:sz w:val="15"/>
                <w:szCs w:val="15"/>
                <w:color w:val="231F20"/>
              </w:rPr>
              <w:t>Giant Food</w:t>
            </w: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2640" w:type="dxa"/>
            <w:vAlign w:val="bottom"/>
            <w:gridSpan w:val="2"/>
          </w:tcPr>
          <w:p>
            <w:pPr>
              <w:ind w:left="100"/>
              <w:spacing w:after="0" w:line="152" w:lineRule="exact"/>
              <w:rPr>
                <w:sz w:val="20"/>
                <w:szCs w:val="20"/>
                <w:color w:val="auto"/>
              </w:rPr>
            </w:pPr>
            <w:r>
              <w:rPr>
                <w:rFonts w:ascii="Times New Roman" w:cs="Times New Roman" w:eastAsia="Times New Roman" w:hAnsi="Times New Roman"/>
                <w:sz w:val="15"/>
                <w:szCs w:val="15"/>
                <w:color w:val="231F20"/>
              </w:rPr>
              <w:t>Wynnewood, PA 19096</w:t>
            </w: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231F20"/>
              </w:rPr>
              <w:t>9 units</w:t>
            </w:r>
          </w:p>
        </w:tc>
        <w:tc>
          <w:tcPr>
            <w:tcW w:w="80" w:type="dxa"/>
            <w:vAlign w:val="bottom"/>
          </w:tcPr>
          <w:p>
            <w:pPr>
              <w:spacing w:after="0"/>
              <w:rPr>
                <w:sz w:val="13"/>
                <w:szCs w:val="13"/>
                <w:color w:val="auto"/>
              </w:rPr>
            </w:pPr>
          </w:p>
        </w:tc>
        <w:tc>
          <w:tcPr>
            <w:tcW w:w="1020" w:type="dxa"/>
            <w:vAlign w:val="bottom"/>
            <w:vMerge w:val="restart"/>
          </w:tcPr>
          <w:p>
            <w:pPr>
              <w:ind w:left="420"/>
              <w:spacing w:after="0"/>
              <w:rPr>
                <w:sz w:val="20"/>
                <w:szCs w:val="20"/>
                <w:color w:val="auto"/>
              </w:rPr>
            </w:pPr>
            <w:r>
              <w:rPr>
                <w:rFonts w:ascii="Times New Roman" w:cs="Times New Roman" w:eastAsia="Times New Roman" w:hAnsi="Times New Roman"/>
                <w:sz w:val="15"/>
                <w:szCs w:val="15"/>
                <w:color w:val="231F20"/>
              </w:rPr>
              <w:t>N/A</w:t>
            </w:r>
          </w:p>
        </w:tc>
        <w:tc>
          <w:tcPr>
            <w:tcW w:w="900" w:type="dxa"/>
            <w:vAlign w:val="bottom"/>
            <w:gridSpan w:val="2"/>
            <w:vMerge w:val="restart"/>
          </w:tcPr>
          <w:p>
            <w:pPr>
              <w:jc w:val="center"/>
              <w:ind w:left="24"/>
              <w:spacing w:after="0"/>
              <w:rPr>
                <w:sz w:val="20"/>
                <w:szCs w:val="20"/>
                <w:color w:val="auto"/>
              </w:rPr>
            </w:pPr>
            <w:r>
              <w:rPr>
                <w:rFonts w:ascii="Times New Roman" w:cs="Times New Roman" w:eastAsia="Times New Roman" w:hAnsi="Times New Roman"/>
                <w:sz w:val="15"/>
                <w:szCs w:val="15"/>
                <w:color w:val="231F20"/>
              </w:rPr>
              <w:t>100%</w:t>
            </w:r>
          </w:p>
        </w:tc>
        <w:tc>
          <w:tcPr>
            <w:tcW w:w="80" w:type="dxa"/>
            <w:vAlign w:val="bottom"/>
          </w:tcPr>
          <w:p>
            <w:pPr>
              <w:spacing w:after="0"/>
              <w:rPr>
                <w:sz w:val="13"/>
                <w:szCs w:val="13"/>
                <w:color w:val="auto"/>
              </w:rPr>
            </w:pPr>
          </w:p>
        </w:tc>
        <w:tc>
          <w:tcPr>
            <w:tcW w:w="2040" w:type="dxa"/>
            <w:vAlign w:val="bottom"/>
          </w:tcPr>
          <w:p>
            <w:pPr>
              <w:ind w:left="40"/>
              <w:spacing w:after="0" w:line="152" w:lineRule="exact"/>
              <w:rPr>
                <w:sz w:val="20"/>
                <w:szCs w:val="20"/>
                <w:color w:val="auto"/>
              </w:rPr>
            </w:pPr>
            <w:r>
              <w:rPr>
                <w:rFonts w:ascii="Times New Roman" w:cs="Times New Roman" w:eastAsia="Times New Roman" w:hAnsi="Times New Roman"/>
                <w:sz w:val="15"/>
                <w:szCs w:val="15"/>
                <w:color w:val="231F20"/>
              </w:rPr>
              <w:t>Old Navy</w:t>
            </w: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2040" w:type="dxa"/>
            <w:vAlign w:val="bottom"/>
          </w:tcPr>
          <w:p>
            <w:pPr>
              <w:ind w:left="40"/>
              <w:spacing w:after="0"/>
              <w:rPr>
                <w:sz w:val="20"/>
                <w:szCs w:val="20"/>
                <w:color w:val="auto"/>
              </w:rPr>
            </w:pPr>
            <w:r>
              <w:rPr>
                <w:rFonts w:ascii="Times New Roman" w:cs="Times New Roman" w:eastAsia="Times New Roman" w:hAnsi="Times New Roman"/>
                <w:sz w:val="15"/>
                <w:szCs w:val="15"/>
                <w:color w:val="231F20"/>
              </w:rPr>
              <w:t>DSW</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540" w:type="dxa"/>
            <w:vAlign w:val="bottom"/>
            <w:tcBorders>
              <w:bottom w:val="single" w:sz="8" w:color="231F20"/>
            </w:tcBorders>
          </w:tcPr>
          <w:p>
            <w:pPr>
              <w:spacing w:after="0"/>
              <w:rPr>
                <w:sz w:val="20"/>
                <w:szCs w:val="20"/>
                <w:color w:val="auto"/>
              </w:rPr>
            </w:pPr>
            <w:r>
              <w:rPr>
                <w:rFonts w:ascii="Times New Roman" w:cs="Times New Roman" w:eastAsia="Times New Roman" w:hAnsi="Times New Roman"/>
                <w:sz w:val="15"/>
                <w:szCs w:val="15"/>
                <w:b w:val="1"/>
                <w:bCs w:val="1"/>
                <w:color w:val="231F20"/>
                <w:w w:val="97"/>
              </w:rPr>
              <w:t>Virginia</w:t>
            </w:r>
          </w:p>
        </w:tc>
        <w:tc>
          <w:tcPr>
            <w:tcW w:w="2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60" w:type="dxa"/>
            <w:vAlign w:val="bottom"/>
          </w:tcPr>
          <w:p>
            <w:pPr>
              <w:spacing w:after="0"/>
              <w:rPr>
                <w:sz w:val="17"/>
                <w:szCs w:val="17"/>
                <w:color w:val="auto"/>
              </w:rPr>
            </w:pPr>
          </w:p>
        </w:tc>
        <w:tc>
          <w:tcPr>
            <w:tcW w:w="2640" w:type="dxa"/>
            <w:vAlign w:val="bottom"/>
            <w:gridSpan w:val="2"/>
          </w:tcPr>
          <w:p>
            <w:pPr>
              <w:spacing w:after="0"/>
              <w:rPr>
                <w:sz w:val="20"/>
                <w:szCs w:val="20"/>
                <w:color w:val="auto"/>
              </w:rPr>
            </w:pPr>
            <w:r>
              <w:rPr>
                <w:rFonts w:ascii="Times New Roman" w:cs="Times New Roman" w:eastAsia="Times New Roman" w:hAnsi="Times New Roman"/>
                <w:sz w:val="15"/>
                <w:szCs w:val="15"/>
                <w:color w:val="231F20"/>
              </w:rPr>
              <w:t>29th Place</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231F20"/>
              </w:rPr>
              <w:t>1975-2001</w:t>
            </w:r>
          </w:p>
        </w:tc>
        <w:tc>
          <w:tcPr>
            <w:tcW w:w="880" w:type="dxa"/>
            <w:vAlign w:val="bottom"/>
            <w:gridSpan w:val="2"/>
          </w:tcPr>
          <w:p>
            <w:pPr>
              <w:jc w:val="center"/>
              <w:ind w:left="24"/>
              <w:spacing w:after="0"/>
              <w:rPr>
                <w:sz w:val="20"/>
                <w:szCs w:val="20"/>
                <w:color w:val="auto"/>
              </w:rPr>
            </w:pPr>
            <w:r>
              <w:rPr>
                <w:rFonts w:ascii="Times New Roman" w:cs="Times New Roman" w:eastAsia="Times New Roman" w:hAnsi="Times New Roman"/>
                <w:sz w:val="15"/>
                <w:szCs w:val="15"/>
                <w:color w:val="231F20"/>
                <w:w w:val="99"/>
              </w:rPr>
              <w:t>2007</w:t>
            </w:r>
          </w:p>
        </w:tc>
        <w:tc>
          <w:tcPr>
            <w:tcW w:w="1100" w:type="dxa"/>
            <w:vAlign w:val="bottom"/>
            <w:gridSpan w:val="2"/>
          </w:tcPr>
          <w:p>
            <w:pPr>
              <w:jc w:val="center"/>
              <w:ind w:left="44"/>
              <w:spacing w:after="0"/>
              <w:rPr>
                <w:sz w:val="20"/>
                <w:szCs w:val="20"/>
                <w:color w:val="auto"/>
              </w:rPr>
            </w:pPr>
            <w:r>
              <w:rPr>
                <w:rFonts w:ascii="Times New Roman" w:cs="Times New Roman" w:eastAsia="Times New Roman" w:hAnsi="Times New Roman"/>
                <w:sz w:val="15"/>
                <w:szCs w:val="15"/>
                <w:color w:val="231F20"/>
              </w:rPr>
              <w:t>168,000</w:t>
            </w:r>
          </w:p>
        </w:tc>
        <w:tc>
          <w:tcPr>
            <w:tcW w:w="1100" w:type="dxa"/>
            <w:vAlign w:val="bottom"/>
            <w:gridSpan w:val="2"/>
          </w:tcPr>
          <w:p>
            <w:pPr>
              <w:jc w:val="center"/>
              <w:ind w:left="44"/>
              <w:spacing w:after="0"/>
              <w:rPr>
                <w:sz w:val="20"/>
                <w:szCs w:val="20"/>
                <w:color w:val="auto"/>
              </w:rPr>
            </w:pPr>
            <w:r>
              <w:rPr>
                <w:rFonts w:ascii="Times New Roman" w:cs="Times New Roman" w:eastAsia="Times New Roman" w:hAnsi="Times New Roman"/>
                <w:sz w:val="15"/>
                <w:szCs w:val="15"/>
                <w:color w:val="231F20"/>
              </w:rPr>
              <w:t>$21.73</w:t>
            </w:r>
          </w:p>
        </w:tc>
        <w:tc>
          <w:tcPr>
            <w:tcW w:w="900" w:type="dxa"/>
            <w:vAlign w:val="bottom"/>
            <w:gridSpan w:val="2"/>
          </w:tcPr>
          <w:p>
            <w:pPr>
              <w:jc w:val="center"/>
              <w:ind w:left="24"/>
              <w:spacing w:after="0"/>
              <w:rPr>
                <w:sz w:val="20"/>
                <w:szCs w:val="20"/>
                <w:color w:val="auto"/>
              </w:rPr>
            </w:pPr>
            <w:r>
              <w:rPr>
                <w:rFonts w:ascii="Times New Roman" w:cs="Times New Roman" w:eastAsia="Times New Roman" w:hAnsi="Times New Roman"/>
                <w:sz w:val="15"/>
                <w:szCs w:val="15"/>
                <w:color w:val="231F20"/>
              </w:rPr>
              <w:t>99%</w:t>
            </w:r>
          </w:p>
        </w:tc>
        <w:tc>
          <w:tcPr>
            <w:tcW w:w="80" w:type="dxa"/>
            <w:vAlign w:val="bottom"/>
          </w:tcPr>
          <w:p>
            <w:pPr>
              <w:spacing w:after="0"/>
              <w:rPr>
                <w:sz w:val="17"/>
                <w:szCs w:val="17"/>
                <w:color w:val="auto"/>
              </w:rPr>
            </w:pPr>
          </w:p>
        </w:tc>
        <w:tc>
          <w:tcPr>
            <w:tcW w:w="2040" w:type="dxa"/>
            <w:vAlign w:val="bottom"/>
          </w:tcPr>
          <w:p>
            <w:pPr>
              <w:ind w:left="40"/>
              <w:spacing w:after="0"/>
              <w:rPr>
                <w:sz w:val="20"/>
                <w:szCs w:val="20"/>
                <w:color w:val="auto"/>
              </w:rPr>
            </w:pPr>
            <w:r>
              <w:rPr>
                <w:rFonts w:ascii="Times New Roman" w:cs="Times New Roman" w:eastAsia="Times New Roman" w:hAnsi="Times New Roman"/>
                <w:sz w:val="15"/>
                <w:szCs w:val="15"/>
                <w:color w:val="231F20"/>
              </w:rPr>
              <w:t>Lidl</w:t>
            </w: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2640" w:type="dxa"/>
            <w:vAlign w:val="bottom"/>
            <w:gridSpan w:val="2"/>
          </w:tcPr>
          <w:p>
            <w:pPr>
              <w:ind w:left="100"/>
              <w:spacing w:after="0" w:line="152" w:lineRule="exact"/>
              <w:rPr>
                <w:sz w:val="20"/>
                <w:szCs w:val="20"/>
                <w:color w:val="auto"/>
              </w:rPr>
            </w:pPr>
            <w:r>
              <w:rPr>
                <w:rFonts w:ascii="Times New Roman" w:cs="Times New Roman" w:eastAsia="Times New Roman" w:hAnsi="Times New Roman"/>
                <w:sz w:val="15"/>
                <w:szCs w:val="15"/>
                <w:color w:val="231F20"/>
              </w:rPr>
              <w:t>Charlottesville, VA 22091</w:t>
            </w: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ind w:left="40"/>
              <w:spacing w:after="0" w:line="152" w:lineRule="exact"/>
              <w:rPr>
                <w:sz w:val="20"/>
                <w:szCs w:val="20"/>
                <w:color w:val="auto"/>
              </w:rPr>
            </w:pPr>
            <w:r>
              <w:rPr>
                <w:rFonts w:ascii="Times New Roman" w:cs="Times New Roman" w:eastAsia="Times New Roman" w:hAnsi="Times New Roman"/>
                <w:sz w:val="15"/>
                <w:szCs w:val="15"/>
                <w:color w:val="231F20"/>
              </w:rPr>
              <w:t>HomeGoods</w:t>
            </w: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ind w:left="40"/>
              <w:spacing w:after="0" w:line="152" w:lineRule="exact"/>
              <w:rPr>
                <w:sz w:val="20"/>
                <w:szCs w:val="20"/>
                <w:color w:val="auto"/>
              </w:rPr>
            </w:pPr>
            <w:r>
              <w:rPr>
                <w:rFonts w:ascii="Times New Roman" w:cs="Times New Roman" w:eastAsia="Times New Roman" w:hAnsi="Times New Roman"/>
                <w:sz w:val="15"/>
                <w:szCs w:val="15"/>
                <w:color w:val="231F20"/>
              </w:rPr>
              <w:t>DSW</w:t>
            </w: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40" w:type="dxa"/>
            <w:vAlign w:val="bottom"/>
          </w:tcPr>
          <w:p>
            <w:pPr>
              <w:ind w:left="40"/>
              <w:spacing w:after="0"/>
              <w:rPr>
                <w:sz w:val="20"/>
                <w:szCs w:val="20"/>
                <w:color w:val="auto"/>
              </w:rPr>
            </w:pPr>
            <w:r>
              <w:rPr>
                <w:rFonts w:ascii="Times New Roman" w:cs="Times New Roman" w:eastAsia="Times New Roman" w:hAnsi="Times New Roman"/>
                <w:sz w:val="15"/>
                <w:szCs w:val="15"/>
                <w:color w:val="231F20"/>
              </w:rPr>
              <w:t>Staples</w:t>
            </w:r>
          </w:p>
        </w:tc>
        <w:tc>
          <w:tcPr>
            <w:tcW w:w="0" w:type="dxa"/>
            <w:vAlign w:val="bottom"/>
          </w:tcPr>
          <w:p>
            <w:pPr>
              <w:spacing w:after="0"/>
              <w:rPr>
                <w:sz w:val="1"/>
                <w:szCs w:val="1"/>
                <w:color w:val="auto"/>
              </w:rPr>
            </w:pPr>
          </w:p>
        </w:tc>
      </w:tr>
      <w:tr>
        <w:trPr>
          <w:trHeight w:val="197"/>
        </w:trPr>
        <w:tc>
          <w:tcPr>
            <w:tcW w:w="60" w:type="dxa"/>
            <w:vAlign w:val="bottom"/>
          </w:tcPr>
          <w:p>
            <w:pPr>
              <w:spacing w:after="0"/>
              <w:rPr>
                <w:sz w:val="17"/>
                <w:szCs w:val="17"/>
                <w:color w:val="auto"/>
              </w:rPr>
            </w:pPr>
          </w:p>
        </w:tc>
        <w:tc>
          <w:tcPr>
            <w:tcW w:w="2640" w:type="dxa"/>
            <w:vAlign w:val="bottom"/>
            <w:gridSpan w:val="2"/>
          </w:tcPr>
          <w:p>
            <w:pPr>
              <w:spacing w:after="0"/>
              <w:rPr>
                <w:sz w:val="20"/>
                <w:szCs w:val="20"/>
                <w:color w:val="auto"/>
              </w:rPr>
            </w:pPr>
            <w:r>
              <w:rPr>
                <w:rFonts w:ascii="Times New Roman" w:cs="Times New Roman" w:eastAsia="Times New Roman" w:hAnsi="Times New Roman"/>
                <w:sz w:val="15"/>
                <w:szCs w:val="15"/>
                <w:color w:val="231F20"/>
              </w:rPr>
              <w:t>Barcroft Plaza</w:t>
            </w:r>
          </w:p>
        </w:tc>
        <w:tc>
          <w:tcPr>
            <w:tcW w:w="920" w:type="dxa"/>
            <w:vAlign w:val="bottom"/>
            <w:gridSpan w:val="2"/>
          </w:tcPr>
          <w:p>
            <w:pPr>
              <w:jc w:val="center"/>
              <w:ind w:left="4"/>
              <w:spacing w:after="0"/>
              <w:rPr>
                <w:sz w:val="20"/>
                <w:szCs w:val="20"/>
                <w:color w:val="auto"/>
              </w:rPr>
            </w:pPr>
            <w:r>
              <w:rPr>
                <w:rFonts w:ascii="Times New Roman" w:cs="Times New Roman" w:eastAsia="Times New Roman" w:hAnsi="Times New Roman"/>
                <w:sz w:val="15"/>
                <w:szCs w:val="15"/>
                <w:color w:val="231F20"/>
              </w:rPr>
              <w:t>1963, 1972,</w:t>
            </w:r>
          </w:p>
        </w:tc>
        <w:tc>
          <w:tcPr>
            <w:tcW w:w="880" w:type="dxa"/>
            <w:vAlign w:val="bottom"/>
            <w:gridSpan w:val="2"/>
          </w:tcPr>
          <w:p>
            <w:pPr>
              <w:jc w:val="center"/>
              <w:ind w:left="4"/>
              <w:spacing w:after="0"/>
              <w:rPr>
                <w:sz w:val="20"/>
                <w:szCs w:val="20"/>
                <w:color w:val="auto"/>
              </w:rPr>
            </w:pPr>
            <w:r>
              <w:rPr>
                <w:rFonts w:ascii="Times New Roman" w:cs="Times New Roman" w:eastAsia="Times New Roman" w:hAnsi="Times New Roman"/>
                <w:sz w:val="15"/>
                <w:szCs w:val="15"/>
                <w:color w:val="231F20"/>
                <w:w w:val="99"/>
              </w:rPr>
              <w:t>2006/2007/</w:t>
            </w:r>
          </w:p>
        </w:tc>
        <w:tc>
          <w:tcPr>
            <w:tcW w:w="1100" w:type="dxa"/>
            <w:vAlign w:val="bottom"/>
            <w:gridSpan w:val="2"/>
          </w:tcPr>
          <w:p>
            <w:pPr>
              <w:jc w:val="center"/>
              <w:ind w:left="44"/>
              <w:spacing w:after="0"/>
              <w:rPr>
                <w:sz w:val="20"/>
                <w:szCs w:val="20"/>
                <w:color w:val="auto"/>
              </w:rPr>
            </w:pPr>
            <w:r>
              <w:rPr>
                <w:rFonts w:ascii="Times New Roman" w:cs="Times New Roman" w:eastAsia="Times New Roman" w:hAnsi="Times New Roman"/>
                <w:sz w:val="15"/>
                <w:szCs w:val="15"/>
                <w:color w:val="231F20"/>
              </w:rPr>
              <w:t>113,000</w:t>
            </w:r>
          </w:p>
        </w:tc>
        <w:tc>
          <w:tcPr>
            <w:tcW w:w="1100" w:type="dxa"/>
            <w:vAlign w:val="bottom"/>
            <w:gridSpan w:val="2"/>
          </w:tcPr>
          <w:p>
            <w:pPr>
              <w:jc w:val="center"/>
              <w:ind w:left="44"/>
              <w:spacing w:after="0"/>
              <w:rPr>
                <w:sz w:val="20"/>
                <w:szCs w:val="20"/>
                <w:color w:val="auto"/>
              </w:rPr>
            </w:pPr>
            <w:r>
              <w:rPr>
                <w:rFonts w:ascii="Times New Roman" w:cs="Times New Roman" w:eastAsia="Times New Roman" w:hAnsi="Times New Roman"/>
                <w:sz w:val="15"/>
                <w:szCs w:val="15"/>
                <w:color w:val="231F20"/>
              </w:rPr>
              <w:t>$32.78</w:t>
            </w:r>
          </w:p>
        </w:tc>
        <w:tc>
          <w:tcPr>
            <w:tcW w:w="900" w:type="dxa"/>
            <w:vAlign w:val="bottom"/>
            <w:gridSpan w:val="2"/>
          </w:tcPr>
          <w:p>
            <w:pPr>
              <w:jc w:val="center"/>
              <w:ind w:left="24"/>
              <w:spacing w:after="0"/>
              <w:rPr>
                <w:sz w:val="20"/>
                <w:szCs w:val="20"/>
                <w:color w:val="auto"/>
              </w:rPr>
            </w:pPr>
            <w:r>
              <w:rPr>
                <w:rFonts w:ascii="Times New Roman" w:cs="Times New Roman" w:eastAsia="Times New Roman" w:hAnsi="Times New Roman"/>
                <w:sz w:val="15"/>
                <w:szCs w:val="15"/>
                <w:color w:val="231F20"/>
              </w:rPr>
              <w:t>98%</w:t>
            </w:r>
          </w:p>
        </w:tc>
        <w:tc>
          <w:tcPr>
            <w:tcW w:w="80" w:type="dxa"/>
            <w:vAlign w:val="bottom"/>
          </w:tcPr>
          <w:p>
            <w:pPr>
              <w:spacing w:after="0"/>
              <w:rPr>
                <w:sz w:val="17"/>
                <w:szCs w:val="17"/>
                <w:color w:val="auto"/>
              </w:rPr>
            </w:pPr>
          </w:p>
        </w:tc>
        <w:tc>
          <w:tcPr>
            <w:tcW w:w="2040" w:type="dxa"/>
            <w:vAlign w:val="bottom"/>
          </w:tcPr>
          <w:p>
            <w:pPr>
              <w:ind w:left="40"/>
              <w:spacing w:after="0"/>
              <w:rPr>
                <w:sz w:val="20"/>
                <w:szCs w:val="20"/>
                <w:color w:val="auto"/>
              </w:rPr>
            </w:pPr>
            <w:r>
              <w:rPr>
                <w:rFonts w:ascii="Times New Roman" w:cs="Times New Roman" w:eastAsia="Times New Roman" w:hAnsi="Times New Roman"/>
                <w:sz w:val="15"/>
                <w:szCs w:val="15"/>
                <w:color w:val="231F20"/>
              </w:rPr>
              <w:t>Harris Teeter</w:t>
            </w: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2640" w:type="dxa"/>
            <w:vAlign w:val="bottom"/>
            <w:gridSpan w:val="2"/>
          </w:tcPr>
          <w:p>
            <w:pPr>
              <w:ind w:left="100"/>
              <w:spacing w:after="0" w:line="152" w:lineRule="exact"/>
              <w:rPr>
                <w:sz w:val="20"/>
                <w:szCs w:val="20"/>
                <w:color w:val="auto"/>
              </w:rPr>
            </w:pPr>
            <w:r>
              <w:rPr>
                <w:rFonts w:ascii="Times New Roman" w:cs="Times New Roman" w:eastAsia="Times New Roman" w:hAnsi="Times New Roman"/>
                <w:sz w:val="15"/>
                <w:szCs w:val="15"/>
                <w:color w:val="231F20"/>
              </w:rPr>
              <w:t>Falls Church, VA 22041</w:t>
            </w:r>
          </w:p>
        </w:tc>
        <w:tc>
          <w:tcPr>
            <w:tcW w:w="920" w:type="dxa"/>
            <w:vAlign w:val="bottom"/>
            <w:gridSpan w:val="2"/>
          </w:tcPr>
          <w:p>
            <w:pPr>
              <w:jc w:val="center"/>
              <w:spacing w:after="0" w:line="152" w:lineRule="exact"/>
              <w:rPr>
                <w:sz w:val="20"/>
                <w:szCs w:val="20"/>
                <w:color w:val="auto"/>
              </w:rPr>
            </w:pPr>
            <w:r>
              <w:rPr>
                <w:rFonts w:ascii="Times New Roman" w:cs="Times New Roman" w:eastAsia="Times New Roman" w:hAnsi="Times New Roman"/>
                <w:sz w:val="15"/>
                <w:szCs w:val="15"/>
                <w:color w:val="231F20"/>
              </w:rPr>
              <w:t>1990, &amp;</w:t>
            </w:r>
          </w:p>
        </w:tc>
        <w:tc>
          <w:tcPr>
            <w:tcW w:w="880" w:type="dxa"/>
            <w:vAlign w:val="bottom"/>
            <w:gridSpan w:val="2"/>
          </w:tcPr>
          <w:p>
            <w:pPr>
              <w:jc w:val="center"/>
              <w:ind w:left="24"/>
              <w:spacing w:after="0" w:line="152" w:lineRule="exact"/>
              <w:rPr>
                <w:sz w:val="20"/>
                <w:szCs w:val="20"/>
                <w:color w:val="auto"/>
              </w:rPr>
            </w:pPr>
            <w:r>
              <w:rPr>
                <w:rFonts w:ascii="Times New Roman" w:cs="Times New Roman" w:eastAsia="Times New Roman" w:hAnsi="Times New Roman"/>
                <w:sz w:val="15"/>
                <w:szCs w:val="15"/>
                <w:color w:val="231F20"/>
                <w:w w:val="99"/>
              </w:rPr>
              <w:t>2016</w:t>
            </w: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231F20"/>
                <w:w w:val="99"/>
              </w:rPr>
              <w:t>2000</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0" w:type="dxa"/>
            <w:vAlign w:val="bottom"/>
          </w:tcPr>
          <w:p>
            <w:pPr>
              <w:spacing w:after="0"/>
              <w:rPr>
                <w:sz w:val="17"/>
                <w:szCs w:val="17"/>
                <w:color w:val="auto"/>
              </w:rPr>
            </w:pPr>
          </w:p>
        </w:tc>
        <w:tc>
          <w:tcPr>
            <w:tcW w:w="2640" w:type="dxa"/>
            <w:vAlign w:val="bottom"/>
            <w:gridSpan w:val="2"/>
          </w:tcPr>
          <w:p>
            <w:pPr>
              <w:spacing w:after="0"/>
              <w:rPr>
                <w:sz w:val="20"/>
                <w:szCs w:val="20"/>
                <w:color w:val="auto"/>
              </w:rPr>
            </w:pPr>
            <w:r>
              <w:rPr>
                <w:rFonts w:ascii="Times New Roman" w:cs="Times New Roman" w:eastAsia="Times New Roman" w:hAnsi="Times New Roman"/>
                <w:sz w:val="15"/>
                <w:szCs w:val="15"/>
                <w:color w:val="231F20"/>
              </w:rPr>
              <w:t>Barracks Road</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231F20"/>
                <w:w w:val="99"/>
              </w:rPr>
              <w:t>1958</w:t>
            </w:r>
          </w:p>
        </w:tc>
        <w:tc>
          <w:tcPr>
            <w:tcW w:w="880" w:type="dxa"/>
            <w:vAlign w:val="bottom"/>
            <w:gridSpan w:val="2"/>
          </w:tcPr>
          <w:p>
            <w:pPr>
              <w:jc w:val="center"/>
              <w:ind w:left="24"/>
              <w:spacing w:after="0"/>
              <w:rPr>
                <w:sz w:val="20"/>
                <w:szCs w:val="20"/>
                <w:color w:val="auto"/>
              </w:rPr>
            </w:pPr>
            <w:r>
              <w:rPr>
                <w:rFonts w:ascii="Times New Roman" w:cs="Times New Roman" w:eastAsia="Times New Roman" w:hAnsi="Times New Roman"/>
                <w:sz w:val="15"/>
                <w:szCs w:val="15"/>
                <w:color w:val="231F20"/>
                <w:w w:val="99"/>
              </w:rPr>
              <w:t>1985</w:t>
            </w:r>
          </w:p>
        </w:tc>
        <w:tc>
          <w:tcPr>
            <w:tcW w:w="1100" w:type="dxa"/>
            <w:vAlign w:val="bottom"/>
            <w:gridSpan w:val="2"/>
          </w:tcPr>
          <w:p>
            <w:pPr>
              <w:jc w:val="center"/>
              <w:ind w:left="44"/>
              <w:spacing w:after="0"/>
              <w:rPr>
                <w:sz w:val="20"/>
                <w:szCs w:val="20"/>
                <w:color w:val="auto"/>
              </w:rPr>
            </w:pPr>
            <w:r>
              <w:rPr>
                <w:rFonts w:ascii="Times New Roman" w:cs="Times New Roman" w:eastAsia="Times New Roman" w:hAnsi="Times New Roman"/>
                <w:sz w:val="15"/>
                <w:szCs w:val="15"/>
                <w:color w:val="231F20"/>
              </w:rPr>
              <w:t>487,000</w:t>
            </w:r>
          </w:p>
        </w:tc>
        <w:tc>
          <w:tcPr>
            <w:tcW w:w="1100" w:type="dxa"/>
            <w:vAlign w:val="bottom"/>
            <w:gridSpan w:val="2"/>
          </w:tcPr>
          <w:p>
            <w:pPr>
              <w:jc w:val="center"/>
              <w:ind w:left="44"/>
              <w:spacing w:after="0"/>
              <w:rPr>
                <w:sz w:val="20"/>
                <w:szCs w:val="20"/>
                <w:color w:val="auto"/>
              </w:rPr>
            </w:pPr>
            <w:r>
              <w:rPr>
                <w:rFonts w:ascii="Times New Roman" w:cs="Times New Roman" w:eastAsia="Times New Roman" w:hAnsi="Times New Roman"/>
                <w:sz w:val="15"/>
                <w:szCs w:val="15"/>
                <w:color w:val="231F20"/>
              </w:rPr>
              <w:t>$29.95</w:t>
            </w:r>
          </w:p>
        </w:tc>
        <w:tc>
          <w:tcPr>
            <w:tcW w:w="900" w:type="dxa"/>
            <w:vAlign w:val="bottom"/>
            <w:gridSpan w:val="2"/>
          </w:tcPr>
          <w:p>
            <w:pPr>
              <w:jc w:val="center"/>
              <w:ind w:left="24"/>
              <w:spacing w:after="0"/>
              <w:rPr>
                <w:sz w:val="20"/>
                <w:szCs w:val="20"/>
                <w:color w:val="auto"/>
              </w:rPr>
            </w:pPr>
            <w:r>
              <w:rPr>
                <w:rFonts w:ascii="Times New Roman" w:cs="Times New Roman" w:eastAsia="Times New Roman" w:hAnsi="Times New Roman"/>
                <w:sz w:val="15"/>
                <w:szCs w:val="15"/>
                <w:color w:val="231F20"/>
              </w:rPr>
              <w:t>91%</w:t>
            </w:r>
          </w:p>
        </w:tc>
        <w:tc>
          <w:tcPr>
            <w:tcW w:w="80" w:type="dxa"/>
            <w:vAlign w:val="bottom"/>
          </w:tcPr>
          <w:p>
            <w:pPr>
              <w:spacing w:after="0"/>
              <w:rPr>
                <w:sz w:val="17"/>
                <w:szCs w:val="17"/>
                <w:color w:val="auto"/>
              </w:rPr>
            </w:pPr>
          </w:p>
        </w:tc>
        <w:tc>
          <w:tcPr>
            <w:tcW w:w="2040" w:type="dxa"/>
            <w:vAlign w:val="bottom"/>
          </w:tcPr>
          <w:p>
            <w:pPr>
              <w:ind w:left="40"/>
              <w:spacing w:after="0"/>
              <w:rPr>
                <w:sz w:val="20"/>
                <w:szCs w:val="20"/>
                <w:color w:val="auto"/>
              </w:rPr>
            </w:pPr>
            <w:r>
              <w:rPr>
                <w:rFonts w:ascii="Times New Roman" w:cs="Times New Roman" w:eastAsia="Times New Roman" w:hAnsi="Times New Roman"/>
                <w:sz w:val="15"/>
                <w:szCs w:val="15"/>
                <w:color w:val="231F20"/>
              </w:rPr>
              <w:t>Harris Teeter</w:t>
            </w: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2640" w:type="dxa"/>
            <w:vAlign w:val="bottom"/>
            <w:gridSpan w:val="2"/>
          </w:tcPr>
          <w:p>
            <w:pPr>
              <w:ind w:left="100"/>
              <w:spacing w:after="0" w:line="152" w:lineRule="exact"/>
              <w:rPr>
                <w:sz w:val="20"/>
                <w:szCs w:val="20"/>
                <w:color w:val="auto"/>
              </w:rPr>
            </w:pPr>
            <w:r>
              <w:rPr>
                <w:rFonts w:ascii="Times New Roman" w:cs="Times New Roman" w:eastAsia="Times New Roman" w:hAnsi="Times New Roman"/>
                <w:sz w:val="15"/>
                <w:szCs w:val="15"/>
                <w:color w:val="231F20"/>
              </w:rPr>
              <w:t>Charlottesville, VA 22905</w:t>
            </w: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ind w:left="40"/>
              <w:spacing w:after="0" w:line="152" w:lineRule="exact"/>
              <w:rPr>
                <w:sz w:val="20"/>
                <w:szCs w:val="20"/>
                <w:color w:val="auto"/>
              </w:rPr>
            </w:pPr>
            <w:r>
              <w:rPr>
                <w:rFonts w:ascii="Times New Roman" w:cs="Times New Roman" w:eastAsia="Times New Roman" w:hAnsi="Times New Roman"/>
                <w:sz w:val="15"/>
                <w:szCs w:val="15"/>
                <w:color w:val="231F20"/>
              </w:rPr>
              <w:t>Kroger</w:t>
            </w: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ind w:left="40"/>
              <w:spacing w:after="0" w:line="152" w:lineRule="exact"/>
              <w:rPr>
                <w:sz w:val="20"/>
                <w:szCs w:val="20"/>
                <w:color w:val="auto"/>
              </w:rPr>
            </w:pPr>
            <w:r>
              <w:rPr>
                <w:rFonts w:ascii="Times New Roman" w:cs="Times New Roman" w:eastAsia="Times New Roman" w:hAnsi="Times New Roman"/>
                <w:sz w:val="15"/>
                <w:szCs w:val="15"/>
                <w:color w:val="231F20"/>
              </w:rPr>
              <w:t>Anthropologie</w:t>
            </w: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ind w:left="40"/>
              <w:spacing w:after="0" w:line="152" w:lineRule="exact"/>
              <w:rPr>
                <w:sz w:val="20"/>
                <w:szCs w:val="20"/>
                <w:color w:val="auto"/>
              </w:rPr>
            </w:pPr>
            <w:r>
              <w:rPr>
                <w:rFonts w:ascii="Times New Roman" w:cs="Times New Roman" w:eastAsia="Times New Roman" w:hAnsi="Times New Roman"/>
                <w:sz w:val="15"/>
                <w:szCs w:val="15"/>
                <w:color w:val="231F20"/>
              </w:rPr>
              <w:t>Old Navy</w:t>
            </w: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ind w:left="40"/>
              <w:spacing w:after="0" w:line="152" w:lineRule="exact"/>
              <w:rPr>
                <w:sz w:val="20"/>
                <w:szCs w:val="20"/>
                <w:color w:val="auto"/>
              </w:rPr>
            </w:pPr>
            <w:r>
              <w:rPr>
                <w:rFonts w:ascii="Times New Roman" w:cs="Times New Roman" w:eastAsia="Times New Roman" w:hAnsi="Times New Roman"/>
                <w:sz w:val="15"/>
                <w:szCs w:val="15"/>
                <w:color w:val="231F20"/>
              </w:rPr>
              <w:t>Ulta</w:t>
            </w:r>
          </w:p>
        </w:tc>
        <w:tc>
          <w:tcPr>
            <w:tcW w:w="0" w:type="dxa"/>
            <w:vAlign w:val="bottom"/>
          </w:tcPr>
          <w:p>
            <w:pPr>
              <w:spacing w:after="0"/>
              <w:rPr>
                <w:sz w:val="1"/>
                <w:szCs w:val="1"/>
                <w:color w:val="auto"/>
              </w:rPr>
            </w:pPr>
          </w:p>
        </w:tc>
      </w:tr>
      <w:tr>
        <w:trPr>
          <w:trHeight w:val="195"/>
        </w:trPr>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40" w:type="dxa"/>
            <w:vAlign w:val="bottom"/>
          </w:tcPr>
          <w:p>
            <w:pPr>
              <w:ind w:left="40"/>
              <w:spacing w:after="0"/>
              <w:rPr>
                <w:sz w:val="20"/>
                <w:szCs w:val="20"/>
                <w:color w:val="auto"/>
              </w:rPr>
            </w:pPr>
            <w:r>
              <w:rPr>
                <w:rFonts w:ascii="Times New Roman" w:cs="Times New Roman" w:eastAsia="Times New Roman" w:hAnsi="Times New Roman"/>
                <w:sz w:val="15"/>
                <w:szCs w:val="15"/>
                <w:color w:val="231F20"/>
              </w:rPr>
              <w:t>Michaels</w:t>
            </w: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2640" w:type="dxa"/>
            <w:vAlign w:val="bottom"/>
            <w:gridSpan w:val="2"/>
          </w:tcPr>
          <w:p>
            <w:pPr>
              <w:spacing w:after="0" w:line="152" w:lineRule="exact"/>
              <w:rPr>
                <w:sz w:val="20"/>
                <w:szCs w:val="20"/>
                <w:color w:val="auto"/>
              </w:rPr>
            </w:pPr>
            <w:r>
              <w:rPr>
                <w:rFonts w:ascii="Times New Roman" w:cs="Times New Roman" w:eastAsia="Times New Roman" w:hAnsi="Times New Roman"/>
                <w:sz w:val="15"/>
                <w:szCs w:val="15"/>
                <w:color w:val="231F20"/>
              </w:rPr>
              <w:t>Birch &amp; Broad</w:t>
            </w:r>
          </w:p>
        </w:tc>
        <w:tc>
          <w:tcPr>
            <w:tcW w:w="920" w:type="dxa"/>
            <w:vAlign w:val="bottom"/>
            <w:gridSpan w:val="2"/>
          </w:tcPr>
          <w:p>
            <w:pPr>
              <w:jc w:val="center"/>
              <w:ind w:left="4"/>
              <w:spacing w:after="0" w:line="152" w:lineRule="exact"/>
              <w:rPr>
                <w:sz w:val="20"/>
                <w:szCs w:val="20"/>
                <w:color w:val="auto"/>
              </w:rPr>
            </w:pPr>
            <w:r>
              <w:rPr>
                <w:rFonts w:ascii="Times New Roman" w:cs="Times New Roman" w:eastAsia="Times New Roman" w:hAnsi="Times New Roman"/>
                <w:sz w:val="15"/>
                <w:szCs w:val="15"/>
                <w:color w:val="231F20"/>
                <w:w w:val="99"/>
              </w:rPr>
              <w:t>1960/1962</w:t>
            </w:r>
          </w:p>
        </w:tc>
        <w:tc>
          <w:tcPr>
            <w:tcW w:w="880" w:type="dxa"/>
            <w:vAlign w:val="bottom"/>
            <w:gridSpan w:val="2"/>
          </w:tcPr>
          <w:p>
            <w:pPr>
              <w:jc w:val="center"/>
              <w:ind w:left="4"/>
              <w:spacing w:after="0" w:line="152" w:lineRule="exact"/>
              <w:rPr>
                <w:sz w:val="20"/>
                <w:szCs w:val="20"/>
                <w:color w:val="auto"/>
              </w:rPr>
            </w:pPr>
            <w:r>
              <w:rPr>
                <w:rFonts w:ascii="Times New Roman" w:cs="Times New Roman" w:eastAsia="Times New Roman" w:hAnsi="Times New Roman"/>
                <w:sz w:val="15"/>
                <w:szCs w:val="15"/>
                <w:color w:val="231F20"/>
                <w:w w:val="99"/>
              </w:rPr>
              <w:t>1967/1972</w:t>
            </w:r>
          </w:p>
        </w:tc>
        <w:tc>
          <w:tcPr>
            <w:tcW w:w="1100" w:type="dxa"/>
            <w:vAlign w:val="bottom"/>
            <w:gridSpan w:val="2"/>
          </w:tcPr>
          <w:p>
            <w:pPr>
              <w:jc w:val="center"/>
              <w:ind w:left="44"/>
              <w:spacing w:after="0" w:line="152" w:lineRule="exact"/>
              <w:rPr>
                <w:sz w:val="20"/>
                <w:szCs w:val="20"/>
                <w:color w:val="auto"/>
              </w:rPr>
            </w:pPr>
            <w:r>
              <w:rPr>
                <w:rFonts w:ascii="Times New Roman" w:cs="Times New Roman" w:eastAsia="Times New Roman" w:hAnsi="Times New Roman"/>
                <w:sz w:val="15"/>
                <w:szCs w:val="15"/>
                <w:color w:val="231F20"/>
              </w:rPr>
              <w:t>144,000</w:t>
            </w:r>
          </w:p>
        </w:tc>
        <w:tc>
          <w:tcPr>
            <w:tcW w:w="1100" w:type="dxa"/>
            <w:vAlign w:val="bottom"/>
            <w:gridSpan w:val="2"/>
          </w:tcPr>
          <w:p>
            <w:pPr>
              <w:jc w:val="center"/>
              <w:ind w:left="44"/>
              <w:spacing w:after="0" w:line="152" w:lineRule="exact"/>
              <w:rPr>
                <w:sz w:val="20"/>
                <w:szCs w:val="20"/>
                <w:color w:val="auto"/>
              </w:rPr>
            </w:pPr>
            <w:r>
              <w:rPr>
                <w:rFonts w:ascii="Times New Roman" w:cs="Times New Roman" w:eastAsia="Times New Roman" w:hAnsi="Times New Roman"/>
                <w:sz w:val="15"/>
                <w:szCs w:val="15"/>
                <w:color w:val="231F20"/>
              </w:rPr>
              <w:t>$40.58</w:t>
            </w:r>
          </w:p>
        </w:tc>
        <w:tc>
          <w:tcPr>
            <w:tcW w:w="900" w:type="dxa"/>
            <w:vAlign w:val="bottom"/>
            <w:gridSpan w:val="2"/>
          </w:tcPr>
          <w:p>
            <w:pPr>
              <w:jc w:val="center"/>
              <w:ind w:left="24"/>
              <w:spacing w:after="0" w:line="152" w:lineRule="exact"/>
              <w:rPr>
                <w:sz w:val="20"/>
                <w:szCs w:val="20"/>
                <w:color w:val="auto"/>
              </w:rPr>
            </w:pPr>
            <w:r>
              <w:rPr>
                <w:rFonts w:ascii="Times New Roman" w:cs="Times New Roman" w:eastAsia="Times New Roman" w:hAnsi="Times New Roman"/>
                <w:sz w:val="15"/>
                <w:szCs w:val="15"/>
                <w:color w:val="231F20"/>
              </w:rPr>
              <w:t>100%</w:t>
            </w:r>
          </w:p>
        </w:tc>
        <w:tc>
          <w:tcPr>
            <w:tcW w:w="80" w:type="dxa"/>
            <w:vAlign w:val="bottom"/>
          </w:tcPr>
          <w:p>
            <w:pPr>
              <w:spacing w:after="0"/>
              <w:rPr>
                <w:sz w:val="13"/>
                <w:szCs w:val="13"/>
                <w:color w:val="auto"/>
              </w:rPr>
            </w:pPr>
          </w:p>
        </w:tc>
        <w:tc>
          <w:tcPr>
            <w:tcW w:w="2040" w:type="dxa"/>
            <w:vAlign w:val="bottom"/>
          </w:tcPr>
          <w:p>
            <w:pPr>
              <w:ind w:left="40"/>
              <w:spacing w:after="0" w:line="152" w:lineRule="exact"/>
              <w:rPr>
                <w:sz w:val="20"/>
                <w:szCs w:val="20"/>
                <w:color w:val="auto"/>
              </w:rPr>
            </w:pPr>
            <w:r>
              <w:rPr>
                <w:rFonts w:ascii="Times New Roman" w:cs="Times New Roman" w:eastAsia="Times New Roman" w:hAnsi="Times New Roman"/>
                <w:sz w:val="15"/>
                <w:szCs w:val="15"/>
                <w:color w:val="231F20"/>
              </w:rPr>
              <w:t>Giant Food</w:t>
            </w: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2640" w:type="dxa"/>
            <w:vAlign w:val="bottom"/>
            <w:gridSpan w:val="2"/>
          </w:tcPr>
          <w:p>
            <w:pPr>
              <w:ind w:left="100"/>
              <w:spacing w:after="0" w:line="152" w:lineRule="exact"/>
              <w:rPr>
                <w:sz w:val="20"/>
                <w:szCs w:val="20"/>
                <w:color w:val="auto"/>
              </w:rPr>
            </w:pPr>
            <w:r>
              <w:rPr>
                <w:rFonts w:ascii="Times New Roman" w:cs="Times New Roman" w:eastAsia="Times New Roman" w:hAnsi="Times New Roman"/>
                <w:sz w:val="15"/>
                <w:szCs w:val="15"/>
                <w:color w:val="231F20"/>
              </w:rPr>
              <w:t>Falls Church, VA 22046</w:t>
            </w: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ind w:left="40"/>
              <w:spacing w:after="0" w:line="152" w:lineRule="exact"/>
              <w:rPr>
                <w:sz w:val="20"/>
                <w:szCs w:val="20"/>
                <w:color w:val="auto"/>
              </w:rPr>
            </w:pPr>
            <w:r>
              <w:rPr>
                <w:rFonts w:ascii="Times New Roman" w:cs="Times New Roman" w:eastAsia="Times New Roman" w:hAnsi="Times New Roman"/>
                <w:sz w:val="15"/>
                <w:szCs w:val="15"/>
                <w:color w:val="231F20"/>
              </w:rPr>
              <w:t>CVS</w:t>
            </w: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40" w:type="dxa"/>
            <w:vAlign w:val="bottom"/>
          </w:tcPr>
          <w:p>
            <w:pPr>
              <w:ind w:left="40"/>
              <w:spacing w:after="0"/>
              <w:rPr>
                <w:sz w:val="20"/>
                <w:szCs w:val="20"/>
                <w:color w:val="auto"/>
              </w:rPr>
            </w:pPr>
            <w:r>
              <w:rPr>
                <w:rFonts w:ascii="Times New Roman" w:cs="Times New Roman" w:eastAsia="Times New Roman" w:hAnsi="Times New Roman"/>
                <w:sz w:val="15"/>
                <w:szCs w:val="15"/>
                <w:color w:val="231F20"/>
              </w:rPr>
              <w:t>Staples</w:t>
            </w:r>
          </w:p>
        </w:tc>
        <w:tc>
          <w:tcPr>
            <w:tcW w:w="0" w:type="dxa"/>
            <w:vAlign w:val="bottom"/>
          </w:tcPr>
          <w:p>
            <w:pPr>
              <w:spacing w:after="0"/>
              <w:rPr>
                <w:sz w:val="1"/>
                <w:szCs w:val="1"/>
                <w:color w:val="auto"/>
              </w:rPr>
            </w:pPr>
          </w:p>
        </w:tc>
      </w:tr>
      <w:tr>
        <w:trPr>
          <w:trHeight w:val="178"/>
        </w:trPr>
        <w:tc>
          <w:tcPr>
            <w:tcW w:w="60" w:type="dxa"/>
            <w:vAlign w:val="bottom"/>
          </w:tcPr>
          <w:p>
            <w:pPr>
              <w:spacing w:after="0"/>
              <w:rPr>
                <w:sz w:val="15"/>
                <w:szCs w:val="15"/>
                <w:color w:val="auto"/>
              </w:rPr>
            </w:pPr>
          </w:p>
        </w:tc>
        <w:tc>
          <w:tcPr>
            <w:tcW w:w="2640" w:type="dxa"/>
            <w:vAlign w:val="bottom"/>
            <w:gridSpan w:val="2"/>
          </w:tcPr>
          <w:p>
            <w:pPr>
              <w:spacing w:after="0"/>
              <w:rPr>
                <w:sz w:val="20"/>
                <w:szCs w:val="20"/>
                <w:color w:val="auto"/>
              </w:rPr>
            </w:pPr>
            <w:r>
              <w:rPr>
                <w:rFonts w:ascii="Times New Roman" w:cs="Times New Roman" w:eastAsia="Times New Roman" w:hAnsi="Times New Roman"/>
                <w:sz w:val="15"/>
                <w:szCs w:val="15"/>
                <w:color w:val="231F20"/>
              </w:rPr>
              <w:t>Chesterbrook</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231F20"/>
                <w:w w:val="99"/>
              </w:rPr>
              <w:t>1967</w:t>
            </w:r>
          </w:p>
        </w:tc>
        <w:tc>
          <w:tcPr>
            <w:tcW w:w="880" w:type="dxa"/>
            <w:vAlign w:val="bottom"/>
            <w:gridSpan w:val="2"/>
          </w:tcPr>
          <w:p>
            <w:pPr>
              <w:jc w:val="center"/>
              <w:ind w:left="24"/>
              <w:spacing w:after="0"/>
              <w:rPr>
                <w:sz w:val="20"/>
                <w:szCs w:val="20"/>
                <w:color w:val="auto"/>
              </w:rPr>
            </w:pPr>
            <w:r>
              <w:rPr>
                <w:rFonts w:ascii="Times New Roman" w:cs="Times New Roman" w:eastAsia="Times New Roman" w:hAnsi="Times New Roman"/>
                <w:sz w:val="15"/>
                <w:szCs w:val="15"/>
                <w:color w:val="231F20"/>
                <w:w w:val="99"/>
              </w:rPr>
              <w:t>2021</w:t>
            </w:r>
          </w:p>
        </w:tc>
        <w:tc>
          <w:tcPr>
            <w:tcW w:w="1100" w:type="dxa"/>
            <w:vAlign w:val="bottom"/>
            <w:gridSpan w:val="2"/>
          </w:tcPr>
          <w:p>
            <w:pPr>
              <w:jc w:val="center"/>
              <w:ind w:left="44"/>
              <w:spacing w:after="0"/>
              <w:rPr>
                <w:sz w:val="20"/>
                <w:szCs w:val="20"/>
                <w:color w:val="auto"/>
              </w:rPr>
            </w:pPr>
            <w:r>
              <w:rPr>
                <w:rFonts w:ascii="Times New Roman" w:cs="Times New Roman" w:eastAsia="Times New Roman" w:hAnsi="Times New Roman"/>
                <w:sz w:val="15"/>
                <w:szCs w:val="15"/>
                <w:color w:val="231F20"/>
              </w:rPr>
              <w:t>89,000</w:t>
            </w:r>
          </w:p>
        </w:tc>
        <w:tc>
          <w:tcPr>
            <w:tcW w:w="1100" w:type="dxa"/>
            <w:vAlign w:val="bottom"/>
            <w:gridSpan w:val="2"/>
          </w:tcPr>
          <w:p>
            <w:pPr>
              <w:jc w:val="center"/>
              <w:ind w:left="44"/>
              <w:spacing w:after="0"/>
              <w:rPr>
                <w:sz w:val="20"/>
                <w:szCs w:val="20"/>
                <w:color w:val="auto"/>
              </w:rPr>
            </w:pPr>
            <w:r>
              <w:rPr>
                <w:rFonts w:ascii="Times New Roman" w:cs="Times New Roman" w:eastAsia="Times New Roman" w:hAnsi="Times New Roman"/>
                <w:sz w:val="15"/>
                <w:szCs w:val="15"/>
                <w:color w:val="231F20"/>
              </w:rPr>
              <w:t>$32.43</w:t>
            </w:r>
          </w:p>
        </w:tc>
        <w:tc>
          <w:tcPr>
            <w:tcW w:w="900" w:type="dxa"/>
            <w:vAlign w:val="bottom"/>
            <w:gridSpan w:val="2"/>
          </w:tcPr>
          <w:p>
            <w:pPr>
              <w:jc w:val="center"/>
              <w:ind w:left="24"/>
              <w:spacing w:after="0"/>
              <w:rPr>
                <w:sz w:val="20"/>
                <w:szCs w:val="20"/>
                <w:color w:val="auto"/>
              </w:rPr>
            </w:pPr>
            <w:r>
              <w:rPr>
                <w:rFonts w:ascii="Times New Roman" w:cs="Times New Roman" w:eastAsia="Times New Roman" w:hAnsi="Times New Roman"/>
                <w:sz w:val="15"/>
                <w:szCs w:val="15"/>
                <w:color w:val="231F20"/>
              </w:rPr>
              <w:t>91%</w:t>
            </w:r>
          </w:p>
        </w:tc>
        <w:tc>
          <w:tcPr>
            <w:tcW w:w="80" w:type="dxa"/>
            <w:vAlign w:val="bottom"/>
          </w:tcPr>
          <w:p>
            <w:pPr>
              <w:spacing w:after="0"/>
              <w:rPr>
                <w:sz w:val="15"/>
                <w:szCs w:val="15"/>
                <w:color w:val="auto"/>
              </w:rPr>
            </w:pPr>
          </w:p>
        </w:tc>
        <w:tc>
          <w:tcPr>
            <w:tcW w:w="2040" w:type="dxa"/>
            <w:vAlign w:val="bottom"/>
          </w:tcPr>
          <w:p>
            <w:pPr>
              <w:ind w:left="40"/>
              <w:spacing w:after="0"/>
              <w:rPr>
                <w:sz w:val="20"/>
                <w:szCs w:val="20"/>
                <w:color w:val="auto"/>
              </w:rPr>
            </w:pPr>
            <w:r>
              <w:rPr>
                <w:rFonts w:ascii="Times New Roman" w:cs="Times New Roman" w:eastAsia="Times New Roman" w:hAnsi="Times New Roman"/>
                <w:sz w:val="15"/>
                <w:szCs w:val="15"/>
                <w:color w:val="231F20"/>
              </w:rPr>
              <w:t>Safeway</w:t>
            </w: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264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231F20"/>
              </w:rPr>
              <w:t>McLean, VA 22101(4)</w:t>
            </w: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40" w:type="dxa"/>
            <w:vAlign w:val="bottom"/>
          </w:tcPr>
          <w:p>
            <w:pPr>
              <w:ind w:left="40"/>
              <w:spacing w:after="0"/>
              <w:rPr>
                <w:sz w:val="20"/>
                <w:szCs w:val="20"/>
                <w:color w:val="auto"/>
              </w:rPr>
            </w:pPr>
            <w:r>
              <w:rPr>
                <w:rFonts w:ascii="Times New Roman" w:cs="Times New Roman" w:eastAsia="Times New Roman" w:hAnsi="Times New Roman"/>
                <w:sz w:val="15"/>
                <w:szCs w:val="15"/>
                <w:color w:val="231F20"/>
              </w:rPr>
              <w:t>Starbucks</w:t>
            </w:r>
          </w:p>
        </w:tc>
        <w:tc>
          <w:tcPr>
            <w:tcW w:w="0" w:type="dxa"/>
            <w:vAlign w:val="bottom"/>
          </w:tcPr>
          <w:p>
            <w:pPr>
              <w:spacing w:after="0"/>
              <w:rPr>
                <w:sz w:val="1"/>
                <w:szCs w:val="1"/>
                <w:color w:val="auto"/>
              </w:rPr>
            </w:pPr>
          </w:p>
        </w:tc>
      </w:tr>
      <w:tr>
        <w:trPr>
          <w:trHeight w:val="187"/>
        </w:trPr>
        <w:tc>
          <w:tcPr>
            <w:tcW w:w="60" w:type="dxa"/>
            <w:vAlign w:val="bottom"/>
          </w:tcPr>
          <w:p>
            <w:pPr>
              <w:spacing w:after="0"/>
              <w:rPr>
                <w:sz w:val="16"/>
                <w:szCs w:val="16"/>
                <w:color w:val="auto"/>
              </w:rPr>
            </w:pPr>
          </w:p>
        </w:tc>
        <w:tc>
          <w:tcPr>
            <w:tcW w:w="2640" w:type="dxa"/>
            <w:vAlign w:val="bottom"/>
            <w:gridSpan w:val="2"/>
          </w:tcPr>
          <w:p>
            <w:pPr>
              <w:spacing w:after="0"/>
              <w:rPr>
                <w:sz w:val="20"/>
                <w:szCs w:val="20"/>
                <w:color w:val="auto"/>
              </w:rPr>
            </w:pPr>
            <w:r>
              <w:rPr>
                <w:rFonts w:ascii="Times New Roman" w:cs="Times New Roman" w:eastAsia="Times New Roman" w:hAnsi="Times New Roman"/>
                <w:sz w:val="15"/>
                <w:szCs w:val="15"/>
                <w:color w:val="231F20"/>
              </w:rPr>
              <w:t>Fairfax Junction</w:t>
            </w:r>
          </w:p>
        </w:tc>
        <w:tc>
          <w:tcPr>
            <w:tcW w:w="920" w:type="dxa"/>
            <w:vAlign w:val="bottom"/>
            <w:gridSpan w:val="2"/>
          </w:tcPr>
          <w:p>
            <w:pPr>
              <w:jc w:val="center"/>
              <w:ind w:left="4"/>
              <w:spacing w:after="0"/>
              <w:rPr>
                <w:sz w:val="20"/>
                <w:szCs w:val="20"/>
                <w:color w:val="auto"/>
              </w:rPr>
            </w:pPr>
            <w:r>
              <w:rPr>
                <w:rFonts w:ascii="Times New Roman" w:cs="Times New Roman" w:eastAsia="Times New Roman" w:hAnsi="Times New Roman"/>
                <w:sz w:val="15"/>
                <w:szCs w:val="15"/>
                <w:color w:val="231F20"/>
              </w:rPr>
              <w:t>1981, 1986,</w:t>
            </w:r>
          </w:p>
        </w:tc>
        <w:tc>
          <w:tcPr>
            <w:tcW w:w="880" w:type="dxa"/>
            <w:vAlign w:val="bottom"/>
            <w:gridSpan w:val="2"/>
          </w:tcPr>
          <w:p>
            <w:pPr>
              <w:jc w:val="center"/>
              <w:ind w:left="4"/>
              <w:spacing w:after="0"/>
              <w:rPr>
                <w:sz w:val="20"/>
                <w:szCs w:val="20"/>
                <w:color w:val="auto"/>
              </w:rPr>
            </w:pPr>
            <w:r>
              <w:rPr>
                <w:rFonts w:ascii="Times New Roman" w:cs="Times New Roman" w:eastAsia="Times New Roman" w:hAnsi="Times New Roman"/>
                <w:sz w:val="15"/>
                <w:szCs w:val="15"/>
                <w:color w:val="231F20"/>
                <w:w w:val="99"/>
              </w:rPr>
              <w:t>2019/2020</w:t>
            </w:r>
          </w:p>
        </w:tc>
        <w:tc>
          <w:tcPr>
            <w:tcW w:w="1100" w:type="dxa"/>
            <w:vAlign w:val="bottom"/>
            <w:gridSpan w:val="2"/>
          </w:tcPr>
          <w:p>
            <w:pPr>
              <w:jc w:val="center"/>
              <w:ind w:left="44"/>
              <w:spacing w:after="0"/>
              <w:rPr>
                <w:sz w:val="20"/>
                <w:szCs w:val="20"/>
                <w:color w:val="auto"/>
              </w:rPr>
            </w:pPr>
            <w:r>
              <w:rPr>
                <w:rFonts w:ascii="Times New Roman" w:cs="Times New Roman" w:eastAsia="Times New Roman" w:hAnsi="Times New Roman"/>
                <w:sz w:val="15"/>
                <w:szCs w:val="15"/>
                <w:color w:val="231F20"/>
              </w:rPr>
              <w:t>124,000</w:t>
            </w:r>
          </w:p>
        </w:tc>
        <w:tc>
          <w:tcPr>
            <w:tcW w:w="1100" w:type="dxa"/>
            <w:vAlign w:val="bottom"/>
            <w:gridSpan w:val="2"/>
          </w:tcPr>
          <w:p>
            <w:pPr>
              <w:jc w:val="center"/>
              <w:ind w:left="44"/>
              <w:spacing w:after="0"/>
              <w:rPr>
                <w:sz w:val="20"/>
                <w:szCs w:val="20"/>
                <w:color w:val="auto"/>
              </w:rPr>
            </w:pPr>
            <w:r>
              <w:rPr>
                <w:rFonts w:ascii="Times New Roman" w:cs="Times New Roman" w:eastAsia="Times New Roman" w:hAnsi="Times New Roman"/>
                <w:sz w:val="15"/>
                <w:szCs w:val="15"/>
                <w:color w:val="231F20"/>
              </w:rPr>
              <w:t>$29.15</w:t>
            </w:r>
          </w:p>
        </w:tc>
        <w:tc>
          <w:tcPr>
            <w:tcW w:w="900" w:type="dxa"/>
            <w:vAlign w:val="bottom"/>
            <w:gridSpan w:val="2"/>
          </w:tcPr>
          <w:p>
            <w:pPr>
              <w:jc w:val="center"/>
              <w:ind w:left="24"/>
              <w:spacing w:after="0"/>
              <w:rPr>
                <w:sz w:val="20"/>
                <w:szCs w:val="20"/>
                <w:color w:val="auto"/>
              </w:rPr>
            </w:pPr>
            <w:r>
              <w:rPr>
                <w:rFonts w:ascii="Times New Roman" w:cs="Times New Roman" w:eastAsia="Times New Roman" w:hAnsi="Times New Roman"/>
                <w:sz w:val="15"/>
                <w:szCs w:val="15"/>
                <w:color w:val="231F20"/>
              </w:rPr>
              <w:t>98%</w:t>
            </w:r>
          </w:p>
        </w:tc>
        <w:tc>
          <w:tcPr>
            <w:tcW w:w="80" w:type="dxa"/>
            <w:vAlign w:val="bottom"/>
          </w:tcPr>
          <w:p>
            <w:pPr>
              <w:spacing w:after="0"/>
              <w:rPr>
                <w:sz w:val="16"/>
                <w:szCs w:val="16"/>
                <w:color w:val="auto"/>
              </w:rPr>
            </w:pPr>
          </w:p>
        </w:tc>
        <w:tc>
          <w:tcPr>
            <w:tcW w:w="2040" w:type="dxa"/>
            <w:vAlign w:val="bottom"/>
          </w:tcPr>
          <w:p>
            <w:pPr>
              <w:ind w:left="40"/>
              <w:spacing w:after="0"/>
              <w:rPr>
                <w:sz w:val="20"/>
                <w:szCs w:val="20"/>
                <w:color w:val="auto"/>
              </w:rPr>
            </w:pPr>
            <w:r>
              <w:rPr>
                <w:rFonts w:ascii="Times New Roman" w:cs="Times New Roman" w:eastAsia="Times New Roman" w:hAnsi="Times New Roman"/>
                <w:sz w:val="15"/>
                <w:szCs w:val="15"/>
                <w:color w:val="231F20"/>
              </w:rPr>
              <w:t>Aldi</w:t>
            </w: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2640" w:type="dxa"/>
            <w:vAlign w:val="bottom"/>
            <w:gridSpan w:val="2"/>
          </w:tcPr>
          <w:p>
            <w:pPr>
              <w:ind w:left="100"/>
              <w:spacing w:after="0" w:line="152" w:lineRule="exact"/>
              <w:rPr>
                <w:sz w:val="20"/>
                <w:szCs w:val="20"/>
                <w:color w:val="auto"/>
              </w:rPr>
            </w:pPr>
            <w:r>
              <w:rPr>
                <w:rFonts w:ascii="Times New Roman" w:cs="Times New Roman" w:eastAsia="Times New Roman" w:hAnsi="Times New Roman"/>
                <w:sz w:val="15"/>
                <w:szCs w:val="15"/>
                <w:color w:val="231F20"/>
              </w:rPr>
              <w:t>Fairfax, VA 22030(8)</w:t>
            </w:r>
          </w:p>
        </w:tc>
        <w:tc>
          <w:tcPr>
            <w:tcW w:w="920" w:type="dxa"/>
            <w:vAlign w:val="bottom"/>
            <w:gridSpan w:val="2"/>
          </w:tcPr>
          <w:p>
            <w:pPr>
              <w:jc w:val="center"/>
              <w:spacing w:after="0" w:line="152" w:lineRule="exact"/>
              <w:rPr>
                <w:sz w:val="20"/>
                <w:szCs w:val="20"/>
                <w:color w:val="auto"/>
              </w:rPr>
            </w:pPr>
            <w:r>
              <w:rPr>
                <w:rFonts w:ascii="Times New Roman" w:cs="Times New Roman" w:eastAsia="Times New Roman" w:hAnsi="Times New Roman"/>
                <w:sz w:val="15"/>
                <w:szCs w:val="15"/>
                <w:color w:val="231F20"/>
                <w:w w:val="99"/>
              </w:rPr>
              <w:t>2000</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ind w:left="40"/>
              <w:spacing w:after="0" w:line="152" w:lineRule="exact"/>
              <w:rPr>
                <w:sz w:val="20"/>
                <w:szCs w:val="20"/>
                <w:color w:val="auto"/>
              </w:rPr>
            </w:pPr>
            <w:r>
              <w:rPr>
                <w:rFonts w:ascii="Times New Roman" w:cs="Times New Roman" w:eastAsia="Times New Roman" w:hAnsi="Times New Roman"/>
                <w:sz w:val="15"/>
                <w:szCs w:val="15"/>
                <w:color w:val="231F20"/>
              </w:rPr>
              <w:t>CVS</w:t>
            </w: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40" w:type="dxa"/>
            <w:vAlign w:val="bottom"/>
          </w:tcPr>
          <w:p>
            <w:pPr>
              <w:ind w:left="40"/>
              <w:spacing w:after="0"/>
              <w:rPr>
                <w:sz w:val="20"/>
                <w:szCs w:val="20"/>
                <w:color w:val="auto"/>
              </w:rPr>
            </w:pPr>
            <w:r>
              <w:rPr>
                <w:rFonts w:ascii="Times New Roman" w:cs="Times New Roman" w:eastAsia="Times New Roman" w:hAnsi="Times New Roman"/>
                <w:sz w:val="15"/>
                <w:szCs w:val="15"/>
                <w:color w:val="231F20"/>
              </w:rPr>
              <w:t>Planet Fitness</w:t>
            </w:r>
          </w:p>
        </w:tc>
        <w:tc>
          <w:tcPr>
            <w:tcW w:w="0" w:type="dxa"/>
            <w:vAlign w:val="bottom"/>
          </w:tcPr>
          <w:p>
            <w:pPr>
              <w:spacing w:after="0"/>
              <w:rPr>
                <w:sz w:val="1"/>
                <w:szCs w:val="1"/>
                <w:color w:val="auto"/>
              </w:rPr>
            </w:pPr>
          </w:p>
        </w:tc>
      </w:tr>
      <w:tr>
        <w:trPr>
          <w:trHeight w:val="178"/>
        </w:trPr>
        <w:tc>
          <w:tcPr>
            <w:tcW w:w="60" w:type="dxa"/>
            <w:vAlign w:val="bottom"/>
          </w:tcPr>
          <w:p>
            <w:pPr>
              <w:spacing w:after="0"/>
              <w:rPr>
                <w:sz w:val="15"/>
                <w:szCs w:val="15"/>
                <w:color w:val="auto"/>
              </w:rPr>
            </w:pPr>
          </w:p>
        </w:tc>
        <w:tc>
          <w:tcPr>
            <w:tcW w:w="2640" w:type="dxa"/>
            <w:vAlign w:val="bottom"/>
            <w:gridSpan w:val="2"/>
          </w:tcPr>
          <w:p>
            <w:pPr>
              <w:spacing w:after="0"/>
              <w:rPr>
                <w:sz w:val="20"/>
                <w:szCs w:val="20"/>
                <w:color w:val="auto"/>
              </w:rPr>
            </w:pPr>
            <w:r>
              <w:rPr>
                <w:rFonts w:ascii="Times New Roman" w:cs="Times New Roman" w:eastAsia="Times New Roman" w:hAnsi="Times New Roman"/>
                <w:sz w:val="15"/>
                <w:szCs w:val="15"/>
                <w:color w:val="231F20"/>
              </w:rPr>
              <w:t>Graham Park Plaza</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231F20"/>
                <w:w w:val="99"/>
              </w:rPr>
              <w:t>1971</w:t>
            </w:r>
          </w:p>
        </w:tc>
        <w:tc>
          <w:tcPr>
            <w:tcW w:w="880" w:type="dxa"/>
            <w:vAlign w:val="bottom"/>
            <w:gridSpan w:val="2"/>
          </w:tcPr>
          <w:p>
            <w:pPr>
              <w:jc w:val="center"/>
              <w:ind w:left="24"/>
              <w:spacing w:after="0"/>
              <w:rPr>
                <w:sz w:val="20"/>
                <w:szCs w:val="20"/>
                <w:color w:val="auto"/>
              </w:rPr>
            </w:pPr>
            <w:r>
              <w:rPr>
                <w:rFonts w:ascii="Times New Roman" w:cs="Times New Roman" w:eastAsia="Times New Roman" w:hAnsi="Times New Roman"/>
                <w:sz w:val="15"/>
                <w:szCs w:val="15"/>
                <w:color w:val="231F20"/>
                <w:w w:val="99"/>
              </w:rPr>
              <w:t>1983</w:t>
            </w:r>
          </w:p>
        </w:tc>
        <w:tc>
          <w:tcPr>
            <w:tcW w:w="1100" w:type="dxa"/>
            <w:vAlign w:val="bottom"/>
            <w:gridSpan w:val="2"/>
          </w:tcPr>
          <w:p>
            <w:pPr>
              <w:jc w:val="center"/>
              <w:ind w:left="44"/>
              <w:spacing w:after="0"/>
              <w:rPr>
                <w:sz w:val="20"/>
                <w:szCs w:val="20"/>
                <w:color w:val="auto"/>
              </w:rPr>
            </w:pPr>
            <w:r>
              <w:rPr>
                <w:rFonts w:ascii="Times New Roman" w:cs="Times New Roman" w:eastAsia="Times New Roman" w:hAnsi="Times New Roman"/>
                <w:sz w:val="15"/>
                <w:szCs w:val="15"/>
                <w:color w:val="231F20"/>
              </w:rPr>
              <w:t>133,000</w:t>
            </w:r>
          </w:p>
        </w:tc>
        <w:tc>
          <w:tcPr>
            <w:tcW w:w="1100" w:type="dxa"/>
            <w:vAlign w:val="bottom"/>
            <w:gridSpan w:val="2"/>
          </w:tcPr>
          <w:p>
            <w:pPr>
              <w:jc w:val="center"/>
              <w:ind w:left="44"/>
              <w:spacing w:after="0"/>
              <w:rPr>
                <w:sz w:val="20"/>
                <w:szCs w:val="20"/>
                <w:color w:val="auto"/>
              </w:rPr>
            </w:pPr>
            <w:r>
              <w:rPr>
                <w:rFonts w:ascii="Times New Roman" w:cs="Times New Roman" w:eastAsia="Times New Roman" w:hAnsi="Times New Roman"/>
                <w:sz w:val="15"/>
                <w:szCs w:val="15"/>
                <w:color w:val="231F20"/>
              </w:rPr>
              <w:t>$39.72</w:t>
            </w:r>
          </w:p>
        </w:tc>
        <w:tc>
          <w:tcPr>
            <w:tcW w:w="900" w:type="dxa"/>
            <w:vAlign w:val="bottom"/>
            <w:gridSpan w:val="2"/>
          </w:tcPr>
          <w:p>
            <w:pPr>
              <w:jc w:val="center"/>
              <w:ind w:left="24"/>
              <w:spacing w:after="0"/>
              <w:rPr>
                <w:sz w:val="20"/>
                <w:szCs w:val="20"/>
                <w:color w:val="auto"/>
              </w:rPr>
            </w:pPr>
            <w:r>
              <w:rPr>
                <w:rFonts w:ascii="Times New Roman" w:cs="Times New Roman" w:eastAsia="Times New Roman" w:hAnsi="Times New Roman"/>
                <w:sz w:val="15"/>
                <w:szCs w:val="15"/>
                <w:color w:val="231F20"/>
              </w:rPr>
              <w:t>95%</w:t>
            </w:r>
          </w:p>
        </w:tc>
        <w:tc>
          <w:tcPr>
            <w:tcW w:w="80" w:type="dxa"/>
            <w:vAlign w:val="bottom"/>
          </w:tcPr>
          <w:p>
            <w:pPr>
              <w:spacing w:after="0"/>
              <w:rPr>
                <w:sz w:val="15"/>
                <w:szCs w:val="15"/>
                <w:color w:val="auto"/>
              </w:rPr>
            </w:pPr>
          </w:p>
        </w:tc>
        <w:tc>
          <w:tcPr>
            <w:tcW w:w="2040" w:type="dxa"/>
            <w:vAlign w:val="bottom"/>
          </w:tcPr>
          <w:p>
            <w:pPr>
              <w:ind w:left="40"/>
              <w:spacing w:after="0"/>
              <w:rPr>
                <w:sz w:val="20"/>
                <w:szCs w:val="20"/>
                <w:color w:val="auto"/>
              </w:rPr>
            </w:pPr>
            <w:r>
              <w:rPr>
                <w:rFonts w:ascii="Times New Roman" w:cs="Times New Roman" w:eastAsia="Times New Roman" w:hAnsi="Times New Roman"/>
                <w:sz w:val="15"/>
                <w:szCs w:val="15"/>
                <w:color w:val="231F20"/>
              </w:rPr>
              <w:t>Giant Food</w:t>
            </w:r>
          </w:p>
        </w:tc>
        <w:tc>
          <w:tcPr>
            <w:tcW w:w="0" w:type="dxa"/>
            <w:vAlign w:val="bottom"/>
          </w:tcPr>
          <w:p>
            <w:pPr>
              <w:spacing w:after="0"/>
              <w:rPr>
                <w:sz w:val="1"/>
                <w:szCs w:val="1"/>
                <w:color w:val="auto"/>
              </w:rPr>
            </w:pPr>
          </w:p>
        </w:tc>
      </w:tr>
      <w:tr>
        <w:trPr>
          <w:trHeight w:val="190"/>
        </w:trPr>
        <w:tc>
          <w:tcPr>
            <w:tcW w:w="60" w:type="dxa"/>
            <w:vAlign w:val="bottom"/>
          </w:tcPr>
          <w:p>
            <w:pPr>
              <w:spacing w:after="0"/>
              <w:rPr>
                <w:sz w:val="16"/>
                <w:szCs w:val="16"/>
                <w:color w:val="auto"/>
              </w:rPr>
            </w:pPr>
          </w:p>
        </w:tc>
        <w:tc>
          <w:tcPr>
            <w:tcW w:w="264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231F20"/>
              </w:rPr>
              <w:t>Falls Church, VA 22042</w:t>
            </w:r>
          </w:p>
        </w:tc>
        <w:tc>
          <w:tcPr>
            <w:tcW w:w="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2640" w:type="dxa"/>
            <w:vAlign w:val="bottom"/>
            <w:gridSpan w:val="2"/>
          </w:tcPr>
          <w:p>
            <w:pPr>
              <w:spacing w:after="0" w:line="152" w:lineRule="exact"/>
              <w:rPr>
                <w:sz w:val="20"/>
                <w:szCs w:val="20"/>
                <w:color w:val="auto"/>
              </w:rPr>
            </w:pPr>
            <w:r>
              <w:rPr>
                <w:rFonts w:ascii="Times New Roman" w:cs="Times New Roman" w:eastAsia="Times New Roman" w:hAnsi="Times New Roman"/>
                <w:sz w:val="15"/>
                <w:szCs w:val="15"/>
                <w:color w:val="231F20"/>
              </w:rPr>
              <w:t>Idylwood Plaza</w:t>
            </w:r>
          </w:p>
        </w:tc>
        <w:tc>
          <w:tcPr>
            <w:tcW w:w="920" w:type="dxa"/>
            <w:vAlign w:val="bottom"/>
            <w:gridSpan w:val="2"/>
          </w:tcPr>
          <w:p>
            <w:pPr>
              <w:jc w:val="center"/>
              <w:spacing w:after="0" w:line="152" w:lineRule="exact"/>
              <w:rPr>
                <w:sz w:val="20"/>
                <w:szCs w:val="20"/>
                <w:color w:val="auto"/>
              </w:rPr>
            </w:pPr>
            <w:r>
              <w:rPr>
                <w:rFonts w:ascii="Times New Roman" w:cs="Times New Roman" w:eastAsia="Times New Roman" w:hAnsi="Times New Roman"/>
                <w:sz w:val="15"/>
                <w:szCs w:val="15"/>
                <w:color w:val="231F20"/>
                <w:w w:val="99"/>
              </w:rPr>
              <w:t>1991</w:t>
            </w:r>
          </w:p>
        </w:tc>
        <w:tc>
          <w:tcPr>
            <w:tcW w:w="880" w:type="dxa"/>
            <w:vAlign w:val="bottom"/>
            <w:gridSpan w:val="2"/>
          </w:tcPr>
          <w:p>
            <w:pPr>
              <w:jc w:val="center"/>
              <w:ind w:left="24"/>
              <w:spacing w:after="0" w:line="152" w:lineRule="exact"/>
              <w:rPr>
                <w:sz w:val="20"/>
                <w:szCs w:val="20"/>
                <w:color w:val="auto"/>
              </w:rPr>
            </w:pPr>
            <w:r>
              <w:rPr>
                <w:rFonts w:ascii="Times New Roman" w:cs="Times New Roman" w:eastAsia="Times New Roman" w:hAnsi="Times New Roman"/>
                <w:sz w:val="15"/>
                <w:szCs w:val="15"/>
                <w:color w:val="231F20"/>
                <w:w w:val="99"/>
              </w:rPr>
              <w:t>1994</w:t>
            </w:r>
          </w:p>
        </w:tc>
        <w:tc>
          <w:tcPr>
            <w:tcW w:w="1100" w:type="dxa"/>
            <w:vAlign w:val="bottom"/>
            <w:gridSpan w:val="2"/>
          </w:tcPr>
          <w:p>
            <w:pPr>
              <w:jc w:val="center"/>
              <w:ind w:left="44"/>
              <w:spacing w:after="0" w:line="152" w:lineRule="exact"/>
              <w:rPr>
                <w:sz w:val="20"/>
                <w:szCs w:val="20"/>
                <w:color w:val="auto"/>
              </w:rPr>
            </w:pPr>
            <w:r>
              <w:rPr>
                <w:rFonts w:ascii="Times New Roman" w:cs="Times New Roman" w:eastAsia="Times New Roman" w:hAnsi="Times New Roman"/>
                <w:sz w:val="15"/>
                <w:szCs w:val="15"/>
                <w:color w:val="231F20"/>
              </w:rPr>
              <w:t>73,000</w:t>
            </w:r>
          </w:p>
        </w:tc>
        <w:tc>
          <w:tcPr>
            <w:tcW w:w="1100" w:type="dxa"/>
            <w:vAlign w:val="bottom"/>
            <w:gridSpan w:val="2"/>
          </w:tcPr>
          <w:p>
            <w:pPr>
              <w:jc w:val="center"/>
              <w:ind w:left="44"/>
              <w:spacing w:after="0" w:line="152" w:lineRule="exact"/>
              <w:rPr>
                <w:sz w:val="20"/>
                <w:szCs w:val="20"/>
                <w:color w:val="auto"/>
              </w:rPr>
            </w:pPr>
            <w:r>
              <w:rPr>
                <w:rFonts w:ascii="Times New Roman" w:cs="Times New Roman" w:eastAsia="Times New Roman" w:hAnsi="Times New Roman"/>
                <w:sz w:val="15"/>
                <w:szCs w:val="15"/>
                <w:color w:val="231F20"/>
              </w:rPr>
              <w:t>$51.51</w:t>
            </w:r>
          </w:p>
        </w:tc>
        <w:tc>
          <w:tcPr>
            <w:tcW w:w="900" w:type="dxa"/>
            <w:vAlign w:val="bottom"/>
            <w:gridSpan w:val="2"/>
          </w:tcPr>
          <w:p>
            <w:pPr>
              <w:jc w:val="center"/>
              <w:ind w:left="24"/>
              <w:spacing w:after="0" w:line="152" w:lineRule="exact"/>
              <w:rPr>
                <w:sz w:val="20"/>
                <w:szCs w:val="20"/>
                <w:color w:val="auto"/>
              </w:rPr>
            </w:pPr>
            <w:r>
              <w:rPr>
                <w:rFonts w:ascii="Times New Roman" w:cs="Times New Roman" w:eastAsia="Times New Roman" w:hAnsi="Times New Roman"/>
                <w:sz w:val="15"/>
                <w:szCs w:val="15"/>
                <w:color w:val="231F20"/>
              </w:rPr>
              <w:t>98%</w:t>
            </w:r>
          </w:p>
        </w:tc>
        <w:tc>
          <w:tcPr>
            <w:tcW w:w="8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264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231F20"/>
              </w:rPr>
              <w:t>Falls Church, VA 22030</w:t>
            </w: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60" w:type="dxa"/>
            <w:vAlign w:val="bottom"/>
          </w:tcPr>
          <w:p>
            <w:pPr>
              <w:spacing w:after="0"/>
              <w:rPr>
                <w:sz w:val="16"/>
                <w:szCs w:val="16"/>
                <w:color w:val="auto"/>
              </w:rPr>
            </w:pPr>
          </w:p>
        </w:tc>
        <w:tc>
          <w:tcPr>
            <w:tcW w:w="2640" w:type="dxa"/>
            <w:vAlign w:val="bottom"/>
            <w:gridSpan w:val="2"/>
          </w:tcPr>
          <w:p>
            <w:pPr>
              <w:spacing w:after="0"/>
              <w:rPr>
                <w:sz w:val="20"/>
                <w:szCs w:val="20"/>
                <w:color w:val="auto"/>
              </w:rPr>
            </w:pPr>
            <w:r>
              <w:rPr>
                <w:rFonts w:ascii="Times New Roman" w:cs="Times New Roman" w:eastAsia="Times New Roman" w:hAnsi="Times New Roman"/>
                <w:sz w:val="15"/>
                <w:szCs w:val="15"/>
                <w:color w:val="231F20"/>
              </w:rPr>
              <w:t>Kingstowne Towne Center</w:t>
            </w:r>
          </w:p>
        </w:tc>
        <w:tc>
          <w:tcPr>
            <w:tcW w:w="920" w:type="dxa"/>
            <w:vAlign w:val="bottom"/>
            <w:gridSpan w:val="2"/>
          </w:tcPr>
          <w:p>
            <w:pPr>
              <w:jc w:val="center"/>
              <w:ind w:left="4"/>
              <w:spacing w:after="0"/>
              <w:rPr>
                <w:sz w:val="20"/>
                <w:szCs w:val="20"/>
                <w:color w:val="auto"/>
              </w:rPr>
            </w:pPr>
            <w:r>
              <w:rPr>
                <w:rFonts w:ascii="Times New Roman" w:cs="Times New Roman" w:eastAsia="Times New Roman" w:hAnsi="Times New Roman"/>
                <w:sz w:val="15"/>
                <w:szCs w:val="15"/>
                <w:color w:val="231F20"/>
              </w:rPr>
              <w:t>1996, 2001,</w:t>
            </w:r>
          </w:p>
        </w:tc>
        <w:tc>
          <w:tcPr>
            <w:tcW w:w="880" w:type="dxa"/>
            <w:vAlign w:val="bottom"/>
            <w:gridSpan w:val="2"/>
          </w:tcPr>
          <w:p>
            <w:pPr>
              <w:jc w:val="center"/>
              <w:ind w:left="24"/>
              <w:spacing w:after="0"/>
              <w:rPr>
                <w:sz w:val="20"/>
                <w:szCs w:val="20"/>
                <w:color w:val="auto"/>
              </w:rPr>
            </w:pPr>
            <w:r>
              <w:rPr>
                <w:rFonts w:ascii="Times New Roman" w:cs="Times New Roman" w:eastAsia="Times New Roman" w:hAnsi="Times New Roman"/>
                <w:sz w:val="15"/>
                <w:szCs w:val="15"/>
                <w:color w:val="231F20"/>
                <w:w w:val="99"/>
              </w:rPr>
              <w:t>2022</w:t>
            </w:r>
          </w:p>
        </w:tc>
        <w:tc>
          <w:tcPr>
            <w:tcW w:w="1100" w:type="dxa"/>
            <w:vAlign w:val="bottom"/>
            <w:gridSpan w:val="2"/>
          </w:tcPr>
          <w:p>
            <w:pPr>
              <w:jc w:val="center"/>
              <w:ind w:left="44"/>
              <w:spacing w:after="0"/>
              <w:rPr>
                <w:sz w:val="20"/>
                <w:szCs w:val="20"/>
                <w:color w:val="auto"/>
              </w:rPr>
            </w:pPr>
            <w:r>
              <w:rPr>
                <w:rFonts w:ascii="Times New Roman" w:cs="Times New Roman" w:eastAsia="Times New Roman" w:hAnsi="Times New Roman"/>
                <w:sz w:val="15"/>
                <w:szCs w:val="15"/>
                <w:color w:val="231F20"/>
              </w:rPr>
              <w:t>411,000</w:t>
            </w:r>
          </w:p>
        </w:tc>
        <w:tc>
          <w:tcPr>
            <w:tcW w:w="1100" w:type="dxa"/>
            <w:vAlign w:val="bottom"/>
            <w:gridSpan w:val="2"/>
          </w:tcPr>
          <w:p>
            <w:pPr>
              <w:jc w:val="center"/>
              <w:ind w:left="44"/>
              <w:spacing w:after="0"/>
              <w:rPr>
                <w:sz w:val="20"/>
                <w:szCs w:val="20"/>
                <w:color w:val="auto"/>
              </w:rPr>
            </w:pPr>
            <w:r>
              <w:rPr>
                <w:rFonts w:ascii="Times New Roman" w:cs="Times New Roman" w:eastAsia="Times New Roman" w:hAnsi="Times New Roman"/>
                <w:sz w:val="15"/>
                <w:szCs w:val="15"/>
                <w:color w:val="231F20"/>
              </w:rPr>
              <w:t>$29.03</w:t>
            </w:r>
          </w:p>
        </w:tc>
        <w:tc>
          <w:tcPr>
            <w:tcW w:w="900" w:type="dxa"/>
            <w:vAlign w:val="bottom"/>
            <w:gridSpan w:val="2"/>
          </w:tcPr>
          <w:p>
            <w:pPr>
              <w:jc w:val="center"/>
              <w:ind w:left="24"/>
              <w:spacing w:after="0"/>
              <w:rPr>
                <w:sz w:val="20"/>
                <w:szCs w:val="20"/>
                <w:color w:val="auto"/>
              </w:rPr>
            </w:pPr>
            <w:r>
              <w:rPr>
                <w:rFonts w:ascii="Times New Roman" w:cs="Times New Roman" w:eastAsia="Times New Roman" w:hAnsi="Times New Roman"/>
                <w:sz w:val="15"/>
                <w:szCs w:val="15"/>
                <w:color w:val="231F20"/>
              </w:rPr>
              <w:t>100%</w:t>
            </w:r>
          </w:p>
        </w:tc>
        <w:tc>
          <w:tcPr>
            <w:tcW w:w="80" w:type="dxa"/>
            <w:vAlign w:val="bottom"/>
          </w:tcPr>
          <w:p>
            <w:pPr>
              <w:spacing w:after="0"/>
              <w:rPr>
                <w:sz w:val="16"/>
                <w:szCs w:val="16"/>
                <w:color w:val="auto"/>
              </w:rPr>
            </w:pPr>
          </w:p>
        </w:tc>
        <w:tc>
          <w:tcPr>
            <w:tcW w:w="2040" w:type="dxa"/>
            <w:vAlign w:val="bottom"/>
          </w:tcPr>
          <w:p>
            <w:pPr>
              <w:ind w:left="40"/>
              <w:spacing w:after="0"/>
              <w:rPr>
                <w:sz w:val="20"/>
                <w:szCs w:val="20"/>
                <w:color w:val="auto"/>
              </w:rPr>
            </w:pPr>
            <w:r>
              <w:rPr>
                <w:rFonts w:ascii="Times New Roman" w:cs="Times New Roman" w:eastAsia="Times New Roman" w:hAnsi="Times New Roman"/>
                <w:sz w:val="15"/>
                <w:szCs w:val="15"/>
                <w:color w:val="231F20"/>
              </w:rPr>
              <w:t>Giant Food</w:t>
            </w: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2640" w:type="dxa"/>
            <w:vAlign w:val="bottom"/>
            <w:gridSpan w:val="2"/>
          </w:tcPr>
          <w:p>
            <w:pPr>
              <w:ind w:left="100"/>
              <w:spacing w:after="0" w:line="152" w:lineRule="exact"/>
              <w:rPr>
                <w:sz w:val="20"/>
                <w:szCs w:val="20"/>
                <w:color w:val="auto"/>
              </w:rPr>
            </w:pPr>
            <w:r>
              <w:rPr>
                <w:rFonts w:ascii="Times New Roman" w:cs="Times New Roman" w:eastAsia="Times New Roman" w:hAnsi="Times New Roman"/>
                <w:sz w:val="15"/>
                <w:szCs w:val="15"/>
                <w:color w:val="231F20"/>
              </w:rPr>
              <w:t>Kingstowne, VA 22315</w:t>
            </w:r>
          </w:p>
        </w:tc>
        <w:tc>
          <w:tcPr>
            <w:tcW w:w="920" w:type="dxa"/>
            <w:vAlign w:val="bottom"/>
            <w:gridSpan w:val="2"/>
          </w:tcPr>
          <w:p>
            <w:pPr>
              <w:jc w:val="center"/>
              <w:spacing w:after="0" w:line="152" w:lineRule="exact"/>
              <w:rPr>
                <w:sz w:val="20"/>
                <w:szCs w:val="20"/>
                <w:color w:val="auto"/>
              </w:rPr>
            </w:pPr>
            <w:r>
              <w:rPr>
                <w:rFonts w:ascii="Times New Roman" w:cs="Times New Roman" w:eastAsia="Times New Roman" w:hAnsi="Times New Roman"/>
                <w:sz w:val="15"/>
                <w:szCs w:val="15"/>
                <w:color w:val="231F20"/>
                <w:w w:val="99"/>
              </w:rPr>
              <w:t>2006</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ind w:left="40"/>
              <w:spacing w:after="0" w:line="152" w:lineRule="exact"/>
              <w:rPr>
                <w:sz w:val="20"/>
                <w:szCs w:val="20"/>
                <w:color w:val="auto"/>
              </w:rPr>
            </w:pPr>
            <w:r>
              <w:rPr>
                <w:rFonts w:ascii="Times New Roman" w:cs="Times New Roman" w:eastAsia="Times New Roman" w:hAnsi="Times New Roman"/>
                <w:sz w:val="15"/>
                <w:szCs w:val="15"/>
                <w:color w:val="231F20"/>
              </w:rPr>
              <w:t>Safeway</w:t>
            </w: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ind w:left="40"/>
              <w:spacing w:after="0" w:line="152" w:lineRule="exact"/>
              <w:rPr>
                <w:sz w:val="20"/>
                <w:szCs w:val="20"/>
                <w:color w:val="auto"/>
              </w:rPr>
            </w:pPr>
            <w:r>
              <w:rPr>
                <w:rFonts w:ascii="Times New Roman" w:cs="Times New Roman" w:eastAsia="Times New Roman" w:hAnsi="Times New Roman"/>
                <w:sz w:val="15"/>
                <w:szCs w:val="15"/>
                <w:color w:val="231F20"/>
              </w:rPr>
              <w:t>TJ Maxx</w:t>
            </w: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ind w:left="40"/>
              <w:spacing w:after="0" w:line="152" w:lineRule="exact"/>
              <w:rPr>
                <w:sz w:val="20"/>
                <w:szCs w:val="20"/>
                <w:color w:val="auto"/>
              </w:rPr>
            </w:pPr>
            <w:r>
              <w:rPr>
                <w:rFonts w:ascii="Times New Roman" w:cs="Times New Roman" w:eastAsia="Times New Roman" w:hAnsi="Times New Roman"/>
                <w:sz w:val="15"/>
                <w:szCs w:val="15"/>
                <w:color w:val="231F20"/>
              </w:rPr>
              <w:t>HomeGoods</w:t>
            </w: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40" w:type="dxa"/>
            <w:vAlign w:val="bottom"/>
          </w:tcPr>
          <w:p>
            <w:pPr>
              <w:ind w:left="40"/>
              <w:spacing w:after="0"/>
              <w:rPr>
                <w:sz w:val="20"/>
                <w:szCs w:val="20"/>
                <w:color w:val="auto"/>
              </w:rPr>
            </w:pPr>
            <w:r>
              <w:rPr>
                <w:rFonts w:ascii="Times New Roman" w:cs="Times New Roman" w:eastAsia="Times New Roman" w:hAnsi="Times New Roman"/>
                <w:sz w:val="15"/>
                <w:szCs w:val="15"/>
                <w:color w:val="231F20"/>
              </w:rPr>
              <w:t>Ross Dress for Less</w:t>
            </w:r>
          </w:p>
        </w:tc>
        <w:tc>
          <w:tcPr>
            <w:tcW w:w="0" w:type="dxa"/>
            <w:vAlign w:val="bottom"/>
          </w:tcPr>
          <w:p>
            <w:pPr>
              <w:spacing w:after="0"/>
              <w:rPr>
                <w:sz w:val="1"/>
                <w:szCs w:val="1"/>
                <w:color w:val="auto"/>
              </w:rPr>
            </w:pPr>
          </w:p>
        </w:tc>
      </w:tr>
      <w:tr>
        <w:trPr>
          <w:trHeight w:val="187"/>
        </w:trPr>
        <w:tc>
          <w:tcPr>
            <w:tcW w:w="60" w:type="dxa"/>
            <w:vAlign w:val="bottom"/>
          </w:tcPr>
          <w:p>
            <w:pPr>
              <w:spacing w:after="0"/>
              <w:rPr>
                <w:sz w:val="16"/>
                <w:szCs w:val="16"/>
                <w:color w:val="auto"/>
              </w:rPr>
            </w:pPr>
          </w:p>
        </w:tc>
        <w:tc>
          <w:tcPr>
            <w:tcW w:w="2640" w:type="dxa"/>
            <w:vAlign w:val="bottom"/>
            <w:gridSpan w:val="2"/>
          </w:tcPr>
          <w:p>
            <w:pPr>
              <w:spacing w:after="0"/>
              <w:rPr>
                <w:sz w:val="20"/>
                <w:szCs w:val="20"/>
                <w:color w:val="auto"/>
              </w:rPr>
            </w:pPr>
            <w:r>
              <w:rPr>
                <w:rFonts w:ascii="Times New Roman" w:cs="Times New Roman" w:eastAsia="Times New Roman" w:hAnsi="Times New Roman"/>
                <w:sz w:val="15"/>
                <w:szCs w:val="15"/>
                <w:color w:val="231F20"/>
              </w:rPr>
              <w:t>Mount Vernon/South Valley/</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231F20"/>
              </w:rPr>
              <w:t>1966,</w:t>
            </w:r>
          </w:p>
        </w:tc>
        <w:tc>
          <w:tcPr>
            <w:tcW w:w="880" w:type="dxa"/>
            <w:vAlign w:val="bottom"/>
            <w:gridSpan w:val="2"/>
          </w:tcPr>
          <w:p>
            <w:pPr>
              <w:jc w:val="center"/>
              <w:ind w:left="4"/>
              <w:spacing w:after="0"/>
              <w:rPr>
                <w:sz w:val="20"/>
                <w:szCs w:val="20"/>
                <w:color w:val="auto"/>
              </w:rPr>
            </w:pPr>
            <w:r>
              <w:rPr>
                <w:rFonts w:ascii="Times New Roman" w:cs="Times New Roman" w:eastAsia="Times New Roman" w:hAnsi="Times New Roman"/>
                <w:sz w:val="15"/>
                <w:szCs w:val="15"/>
                <w:color w:val="231F20"/>
                <w:w w:val="99"/>
              </w:rPr>
              <w:t>2003/2006/</w:t>
            </w:r>
          </w:p>
        </w:tc>
        <w:tc>
          <w:tcPr>
            <w:tcW w:w="1100" w:type="dxa"/>
            <w:vAlign w:val="bottom"/>
            <w:gridSpan w:val="2"/>
          </w:tcPr>
          <w:p>
            <w:pPr>
              <w:jc w:val="center"/>
              <w:ind w:left="44"/>
              <w:spacing w:after="0"/>
              <w:rPr>
                <w:sz w:val="20"/>
                <w:szCs w:val="20"/>
                <w:color w:val="auto"/>
              </w:rPr>
            </w:pPr>
            <w:r>
              <w:rPr>
                <w:rFonts w:ascii="Times New Roman" w:cs="Times New Roman" w:eastAsia="Times New Roman" w:hAnsi="Times New Roman"/>
                <w:sz w:val="15"/>
                <w:szCs w:val="15"/>
                <w:color w:val="231F20"/>
              </w:rPr>
              <w:t>565,000</w:t>
            </w:r>
          </w:p>
        </w:tc>
        <w:tc>
          <w:tcPr>
            <w:tcW w:w="1100" w:type="dxa"/>
            <w:vAlign w:val="bottom"/>
            <w:gridSpan w:val="2"/>
          </w:tcPr>
          <w:p>
            <w:pPr>
              <w:jc w:val="center"/>
              <w:ind w:left="44"/>
              <w:spacing w:after="0"/>
              <w:rPr>
                <w:sz w:val="20"/>
                <w:szCs w:val="20"/>
                <w:color w:val="auto"/>
              </w:rPr>
            </w:pPr>
            <w:r>
              <w:rPr>
                <w:rFonts w:ascii="Times New Roman" w:cs="Times New Roman" w:eastAsia="Times New Roman" w:hAnsi="Times New Roman"/>
                <w:sz w:val="15"/>
                <w:szCs w:val="15"/>
                <w:color w:val="231F20"/>
              </w:rPr>
              <w:t>$21.43</w:t>
            </w:r>
          </w:p>
        </w:tc>
        <w:tc>
          <w:tcPr>
            <w:tcW w:w="900" w:type="dxa"/>
            <w:vAlign w:val="bottom"/>
            <w:gridSpan w:val="2"/>
          </w:tcPr>
          <w:p>
            <w:pPr>
              <w:jc w:val="center"/>
              <w:ind w:left="24"/>
              <w:spacing w:after="0"/>
              <w:rPr>
                <w:sz w:val="20"/>
                <w:szCs w:val="20"/>
                <w:color w:val="auto"/>
              </w:rPr>
            </w:pPr>
            <w:r>
              <w:rPr>
                <w:rFonts w:ascii="Times New Roman" w:cs="Times New Roman" w:eastAsia="Times New Roman" w:hAnsi="Times New Roman"/>
                <w:sz w:val="15"/>
                <w:szCs w:val="15"/>
                <w:color w:val="231F20"/>
              </w:rPr>
              <w:t>97%</w:t>
            </w:r>
          </w:p>
        </w:tc>
        <w:tc>
          <w:tcPr>
            <w:tcW w:w="80" w:type="dxa"/>
            <w:vAlign w:val="bottom"/>
          </w:tcPr>
          <w:p>
            <w:pPr>
              <w:spacing w:after="0"/>
              <w:rPr>
                <w:sz w:val="16"/>
                <w:szCs w:val="16"/>
                <w:color w:val="auto"/>
              </w:rPr>
            </w:pPr>
          </w:p>
        </w:tc>
        <w:tc>
          <w:tcPr>
            <w:tcW w:w="2040" w:type="dxa"/>
            <w:vAlign w:val="bottom"/>
          </w:tcPr>
          <w:p>
            <w:pPr>
              <w:ind w:left="40"/>
              <w:spacing w:after="0"/>
              <w:rPr>
                <w:sz w:val="20"/>
                <w:szCs w:val="20"/>
                <w:color w:val="auto"/>
              </w:rPr>
            </w:pPr>
            <w:r>
              <w:rPr>
                <w:rFonts w:ascii="Times New Roman" w:cs="Times New Roman" w:eastAsia="Times New Roman" w:hAnsi="Times New Roman"/>
                <w:sz w:val="15"/>
                <w:szCs w:val="15"/>
                <w:color w:val="231F20"/>
              </w:rPr>
              <w:t>Shoppers Food Warehouse</w:t>
            </w: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2640" w:type="dxa"/>
            <w:vAlign w:val="bottom"/>
            <w:gridSpan w:val="2"/>
          </w:tcPr>
          <w:p>
            <w:pPr>
              <w:ind w:left="100"/>
              <w:spacing w:after="0" w:line="152" w:lineRule="exact"/>
              <w:rPr>
                <w:sz w:val="20"/>
                <w:szCs w:val="20"/>
                <w:color w:val="auto"/>
              </w:rPr>
            </w:pPr>
            <w:r>
              <w:rPr>
                <w:rFonts w:ascii="Times New Roman" w:cs="Times New Roman" w:eastAsia="Times New Roman" w:hAnsi="Times New Roman"/>
                <w:sz w:val="15"/>
                <w:szCs w:val="15"/>
                <w:color w:val="231F20"/>
              </w:rPr>
              <w:t>7770 Richmond Hwy</w:t>
            </w:r>
          </w:p>
        </w:tc>
        <w:tc>
          <w:tcPr>
            <w:tcW w:w="920" w:type="dxa"/>
            <w:vAlign w:val="bottom"/>
            <w:gridSpan w:val="2"/>
          </w:tcPr>
          <w:p>
            <w:pPr>
              <w:jc w:val="center"/>
              <w:ind w:left="4"/>
              <w:spacing w:after="0" w:line="152" w:lineRule="exact"/>
              <w:rPr>
                <w:sz w:val="20"/>
                <w:szCs w:val="20"/>
                <w:color w:val="auto"/>
              </w:rPr>
            </w:pPr>
            <w:r>
              <w:rPr>
                <w:rFonts w:ascii="Times New Roman" w:cs="Times New Roman" w:eastAsia="Times New Roman" w:hAnsi="Times New Roman"/>
                <w:sz w:val="15"/>
                <w:szCs w:val="15"/>
                <w:color w:val="231F20"/>
              </w:rPr>
              <w:t>1972,1987</w:t>
            </w:r>
          </w:p>
        </w:tc>
        <w:tc>
          <w:tcPr>
            <w:tcW w:w="880" w:type="dxa"/>
            <w:vAlign w:val="bottom"/>
            <w:gridSpan w:val="2"/>
          </w:tcPr>
          <w:p>
            <w:pPr>
              <w:jc w:val="center"/>
              <w:ind w:left="24"/>
              <w:spacing w:after="0" w:line="152" w:lineRule="exact"/>
              <w:rPr>
                <w:sz w:val="20"/>
                <w:szCs w:val="20"/>
                <w:color w:val="auto"/>
              </w:rPr>
            </w:pPr>
            <w:r>
              <w:rPr>
                <w:rFonts w:ascii="Times New Roman" w:cs="Times New Roman" w:eastAsia="Times New Roman" w:hAnsi="Times New Roman"/>
                <w:sz w:val="15"/>
                <w:szCs w:val="15"/>
                <w:color w:val="231F20"/>
                <w:w w:val="99"/>
              </w:rPr>
              <w:t>2021</w:t>
            </w: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ind w:left="40"/>
              <w:spacing w:after="0" w:line="152" w:lineRule="exact"/>
              <w:rPr>
                <w:sz w:val="20"/>
                <w:szCs w:val="20"/>
                <w:color w:val="auto"/>
              </w:rPr>
            </w:pPr>
            <w:r>
              <w:rPr>
                <w:rFonts w:ascii="Times New Roman" w:cs="Times New Roman" w:eastAsia="Times New Roman" w:hAnsi="Times New Roman"/>
                <w:sz w:val="15"/>
                <w:szCs w:val="15"/>
                <w:color w:val="231F20"/>
              </w:rPr>
              <w:t>TJ Maxx</w:t>
            </w: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2640" w:type="dxa"/>
            <w:vAlign w:val="bottom"/>
            <w:gridSpan w:val="2"/>
          </w:tcPr>
          <w:p>
            <w:pPr>
              <w:ind w:left="100"/>
              <w:spacing w:after="0" w:line="152" w:lineRule="exact"/>
              <w:rPr>
                <w:sz w:val="20"/>
                <w:szCs w:val="20"/>
                <w:color w:val="auto"/>
              </w:rPr>
            </w:pPr>
            <w:r>
              <w:rPr>
                <w:rFonts w:ascii="Times New Roman" w:cs="Times New Roman" w:eastAsia="Times New Roman" w:hAnsi="Times New Roman"/>
                <w:sz w:val="15"/>
                <w:szCs w:val="15"/>
                <w:color w:val="231F20"/>
              </w:rPr>
              <w:t>Alexandria, VA 22306(8)</w:t>
            </w:r>
          </w:p>
        </w:tc>
        <w:tc>
          <w:tcPr>
            <w:tcW w:w="920" w:type="dxa"/>
            <w:vAlign w:val="bottom"/>
            <w:gridSpan w:val="2"/>
          </w:tcPr>
          <w:p>
            <w:pPr>
              <w:jc w:val="center"/>
              <w:spacing w:after="0" w:line="152" w:lineRule="exact"/>
              <w:rPr>
                <w:sz w:val="20"/>
                <w:szCs w:val="20"/>
                <w:color w:val="auto"/>
              </w:rPr>
            </w:pPr>
            <w:r>
              <w:rPr>
                <w:rFonts w:ascii="Times New Roman" w:cs="Times New Roman" w:eastAsia="Times New Roman" w:hAnsi="Times New Roman"/>
                <w:sz w:val="15"/>
                <w:szCs w:val="15"/>
                <w:color w:val="231F20"/>
              </w:rPr>
              <w:t>&amp; 2001</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ind w:left="40"/>
              <w:spacing w:after="0" w:line="152" w:lineRule="exact"/>
              <w:rPr>
                <w:sz w:val="20"/>
                <w:szCs w:val="20"/>
                <w:color w:val="auto"/>
              </w:rPr>
            </w:pPr>
            <w:r>
              <w:rPr>
                <w:rFonts w:ascii="Times New Roman" w:cs="Times New Roman" w:eastAsia="Times New Roman" w:hAnsi="Times New Roman"/>
                <w:sz w:val="15"/>
                <w:szCs w:val="15"/>
                <w:color w:val="231F20"/>
              </w:rPr>
              <w:t>Home Depot</w:t>
            </w: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ind w:left="40"/>
              <w:spacing w:after="0" w:line="152" w:lineRule="exact"/>
              <w:rPr>
                <w:sz w:val="20"/>
                <w:szCs w:val="20"/>
                <w:color w:val="auto"/>
              </w:rPr>
            </w:pPr>
            <w:r>
              <w:rPr>
                <w:rFonts w:ascii="Times New Roman" w:cs="Times New Roman" w:eastAsia="Times New Roman" w:hAnsi="Times New Roman"/>
                <w:sz w:val="15"/>
                <w:szCs w:val="15"/>
                <w:color w:val="231F20"/>
              </w:rPr>
              <w:t>Old Navy</w:t>
            </w: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ind w:left="40"/>
              <w:spacing w:after="0" w:line="152" w:lineRule="exact"/>
              <w:rPr>
                <w:sz w:val="20"/>
                <w:szCs w:val="20"/>
                <w:color w:val="auto"/>
              </w:rPr>
            </w:pPr>
            <w:r>
              <w:rPr>
                <w:rFonts w:ascii="Times New Roman" w:cs="Times New Roman" w:eastAsia="Times New Roman" w:hAnsi="Times New Roman"/>
                <w:sz w:val="15"/>
                <w:szCs w:val="15"/>
                <w:color w:val="231F20"/>
              </w:rPr>
              <w:t>Burlington</w:t>
            </w: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40" w:type="dxa"/>
            <w:vAlign w:val="bottom"/>
          </w:tcPr>
          <w:p>
            <w:pPr>
              <w:ind w:left="40"/>
              <w:spacing w:after="0"/>
              <w:rPr>
                <w:sz w:val="20"/>
                <w:szCs w:val="20"/>
                <w:color w:val="auto"/>
              </w:rPr>
            </w:pPr>
            <w:r>
              <w:rPr>
                <w:rFonts w:ascii="Times New Roman" w:cs="Times New Roman" w:eastAsia="Times New Roman" w:hAnsi="Times New Roman"/>
                <w:sz w:val="15"/>
                <w:szCs w:val="15"/>
                <w:color w:val="231F20"/>
              </w:rPr>
              <w:t>Ulta</w:t>
            </w:r>
          </w:p>
        </w:tc>
        <w:tc>
          <w:tcPr>
            <w:tcW w:w="0" w:type="dxa"/>
            <w:vAlign w:val="bottom"/>
          </w:tcPr>
          <w:p>
            <w:pPr>
              <w:spacing w:after="0"/>
              <w:rPr>
                <w:sz w:val="1"/>
                <w:szCs w:val="1"/>
                <w:color w:val="auto"/>
              </w:rPr>
            </w:pPr>
          </w:p>
        </w:tc>
      </w:tr>
      <w:tr>
        <w:trPr>
          <w:trHeight w:val="178"/>
        </w:trPr>
        <w:tc>
          <w:tcPr>
            <w:tcW w:w="60" w:type="dxa"/>
            <w:vAlign w:val="bottom"/>
          </w:tcPr>
          <w:p>
            <w:pPr>
              <w:spacing w:after="0"/>
              <w:rPr>
                <w:sz w:val="15"/>
                <w:szCs w:val="15"/>
                <w:color w:val="auto"/>
              </w:rPr>
            </w:pPr>
          </w:p>
        </w:tc>
        <w:tc>
          <w:tcPr>
            <w:tcW w:w="2640" w:type="dxa"/>
            <w:vAlign w:val="bottom"/>
            <w:gridSpan w:val="2"/>
          </w:tcPr>
          <w:p>
            <w:pPr>
              <w:spacing w:after="0"/>
              <w:rPr>
                <w:sz w:val="20"/>
                <w:szCs w:val="20"/>
                <w:color w:val="auto"/>
              </w:rPr>
            </w:pPr>
            <w:r>
              <w:rPr>
                <w:rFonts w:ascii="Times New Roman" w:cs="Times New Roman" w:eastAsia="Times New Roman" w:hAnsi="Times New Roman"/>
                <w:sz w:val="15"/>
                <w:szCs w:val="15"/>
                <w:color w:val="231F20"/>
              </w:rPr>
              <w:t>Old Keene Mill</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231F20"/>
                <w:w w:val="99"/>
              </w:rPr>
              <w:t>1968</w:t>
            </w:r>
          </w:p>
        </w:tc>
        <w:tc>
          <w:tcPr>
            <w:tcW w:w="880" w:type="dxa"/>
            <w:vAlign w:val="bottom"/>
            <w:gridSpan w:val="2"/>
          </w:tcPr>
          <w:p>
            <w:pPr>
              <w:jc w:val="center"/>
              <w:ind w:left="24"/>
              <w:spacing w:after="0"/>
              <w:rPr>
                <w:sz w:val="20"/>
                <w:szCs w:val="20"/>
                <w:color w:val="auto"/>
              </w:rPr>
            </w:pPr>
            <w:r>
              <w:rPr>
                <w:rFonts w:ascii="Times New Roman" w:cs="Times New Roman" w:eastAsia="Times New Roman" w:hAnsi="Times New Roman"/>
                <w:sz w:val="15"/>
                <w:szCs w:val="15"/>
                <w:color w:val="231F20"/>
                <w:w w:val="99"/>
              </w:rPr>
              <w:t>1976</w:t>
            </w:r>
          </w:p>
        </w:tc>
        <w:tc>
          <w:tcPr>
            <w:tcW w:w="1100" w:type="dxa"/>
            <w:vAlign w:val="bottom"/>
            <w:gridSpan w:val="2"/>
          </w:tcPr>
          <w:p>
            <w:pPr>
              <w:jc w:val="center"/>
              <w:ind w:left="44"/>
              <w:spacing w:after="0"/>
              <w:rPr>
                <w:sz w:val="20"/>
                <w:szCs w:val="20"/>
                <w:color w:val="auto"/>
              </w:rPr>
            </w:pPr>
            <w:r>
              <w:rPr>
                <w:rFonts w:ascii="Times New Roman" w:cs="Times New Roman" w:eastAsia="Times New Roman" w:hAnsi="Times New Roman"/>
                <w:sz w:val="15"/>
                <w:szCs w:val="15"/>
                <w:color w:val="231F20"/>
              </w:rPr>
              <w:t>90,000</w:t>
            </w:r>
          </w:p>
        </w:tc>
        <w:tc>
          <w:tcPr>
            <w:tcW w:w="1100" w:type="dxa"/>
            <w:vAlign w:val="bottom"/>
            <w:gridSpan w:val="2"/>
          </w:tcPr>
          <w:p>
            <w:pPr>
              <w:jc w:val="center"/>
              <w:ind w:left="44"/>
              <w:spacing w:after="0"/>
              <w:rPr>
                <w:sz w:val="20"/>
                <w:szCs w:val="20"/>
                <w:color w:val="auto"/>
              </w:rPr>
            </w:pPr>
            <w:r>
              <w:rPr>
                <w:rFonts w:ascii="Times New Roman" w:cs="Times New Roman" w:eastAsia="Times New Roman" w:hAnsi="Times New Roman"/>
                <w:sz w:val="15"/>
                <w:szCs w:val="15"/>
                <w:color w:val="231F20"/>
              </w:rPr>
              <w:t>$46.51</w:t>
            </w:r>
          </w:p>
        </w:tc>
        <w:tc>
          <w:tcPr>
            <w:tcW w:w="900" w:type="dxa"/>
            <w:vAlign w:val="bottom"/>
            <w:gridSpan w:val="2"/>
          </w:tcPr>
          <w:p>
            <w:pPr>
              <w:jc w:val="center"/>
              <w:ind w:left="24"/>
              <w:spacing w:after="0"/>
              <w:rPr>
                <w:sz w:val="20"/>
                <w:szCs w:val="20"/>
                <w:color w:val="auto"/>
              </w:rPr>
            </w:pPr>
            <w:r>
              <w:rPr>
                <w:rFonts w:ascii="Times New Roman" w:cs="Times New Roman" w:eastAsia="Times New Roman" w:hAnsi="Times New Roman"/>
                <w:sz w:val="15"/>
                <w:szCs w:val="15"/>
                <w:color w:val="231F20"/>
              </w:rPr>
              <w:t>100%</w:t>
            </w:r>
          </w:p>
        </w:tc>
        <w:tc>
          <w:tcPr>
            <w:tcW w:w="80" w:type="dxa"/>
            <w:vAlign w:val="bottom"/>
          </w:tcPr>
          <w:p>
            <w:pPr>
              <w:spacing w:after="0"/>
              <w:rPr>
                <w:sz w:val="15"/>
                <w:szCs w:val="15"/>
                <w:color w:val="auto"/>
              </w:rPr>
            </w:pPr>
          </w:p>
        </w:tc>
        <w:tc>
          <w:tcPr>
            <w:tcW w:w="2040" w:type="dxa"/>
            <w:vAlign w:val="bottom"/>
          </w:tcPr>
          <w:p>
            <w:pPr>
              <w:ind w:left="40"/>
              <w:spacing w:after="0"/>
              <w:rPr>
                <w:sz w:val="20"/>
                <w:szCs w:val="20"/>
                <w:color w:val="auto"/>
              </w:rPr>
            </w:pPr>
            <w:r>
              <w:rPr>
                <w:rFonts w:ascii="Times New Roman" w:cs="Times New Roman" w:eastAsia="Times New Roman" w:hAnsi="Times New Roman"/>
                <w:sz w:val="15"/>
                <w:szCs w:val="15"/>
                <w:color w:val="231F20"/>
              </w:rPr>
              <w:t>Trader Joe's</w:t>
            </w: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2640" w:type="dxa"/>
            <w:vAlign w:val="bottom"/>
            <w:gridSpan w:val="2"/>
          </w:tcPr>
          <w:p>
            <w:pPr>
              <w:ind w:left="100"/>
              <w:spacing w:after="0" w:line="152" w:lineRule="exact"/>
              <w:rPr>
                <w:sz w:val="20"/>
                <w:szCs w:val="20"/>
                <w:color w:val="auto"/>
              </w:rPr>
            </w:pPr>
            <w:r>
              <w:rPr>
                <w:rFonts w:ascii="Times New Roman" w:cs="Times New Roman" w:eastAsia="Times New Roman" w:hAnsi="Times New Roman"/>
                <w:sz w:val="15"/>
                <w:szCs w:val="15"/>
                <w:color w:val="231F20"/>
              </w:rPr>
              <w:t>Springfield, VA 22152</w:t>
            </w: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ind w:left="40"/>
              <w:spacing w:after="0" w:line="152" w:lineRule="exact"/>
              <w:rPr>
                <w:sz w:val="20"/>
                <w:szCs w:val="20"/>
                <w:color w:val="auto"/>
              </w:rPr>
            </w:pPr>
            <w:r>
              <w:rPr>
                <w:rFonts w:ascii="Times New Roman" w:cs="Times New Roman" w:eastAsia="Times New Roman" w:hAnsi="Times New Roman"/>
                <w:sz w:val="15"/>
                <w:szCs w:val="15"/>
                <w:color w:val="231F20"/>
              </w:rPr>
              <w:t>Walgreens</w:t>
            </w:r>
          </w:p>
        </w:tc>
        <w:tc>
          <w:tcPr>
            <w:tcW w:w="0" w:type="dxa"/>
            <w:vAlign w:val="bottom"/>
          </w:tcPr>
          <w:p>
            <w:pPr>
              <w:spacing w:after="0"/>
              <w:rPr>
                <w:sz w:val="1"/>
                <w:szCs w:val="1"/>
                <w:color w:val="auto"/>
              </w:rPr>
            </w:pPr>
          </w:p>
        </w:tc>
      </w:tr>
      <w:tr>
        <w:trPr>
          <w:trHeight w:val="195"/>
        </w:trPr>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40" w:type="dxa"/>
            <w:vAlign w:val="bottom"/>
          </w:tcPr>
          <w:p>
            <w:pPr>
              <w:ind w:left="40"/>
              <w:spacing w:after="0"/>
              <w:rPr>
                <w:sz w:val="20"/>
                <w:szCs w:val="20"/>
                <w:color w:val="auto"/>
              </w:rPr>
            </w:pPr>
            <w:r>
              <w:rPr>
                <w:rFonts w:ascii="Times New Roman" w:cs="Times New Roman" w:eastAsia="Times New Roman" w:hAnsi="Times New Roman"/>
                <w:sz w:val="15"/>
                <w:szCs w:val="15"/>
                <w:color w:val="231F20"/>
              </w:rPr>
              <w:t>Planet Fitness</w:t>
            </w: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2640" w:type="dxa"/>
            <w:vAlign w:val="bottom"/>
            <w:gridSpan w:val="2"/>
          </w:tcPr>
          <w:p>
            <w:pPr>
              <w:spacing w:after="0" w:line="152" w:lineRule="exact"/>
              <w:rPr>
                <w:sz w:val="20"/>
                <w:szCs w:val="20"/>
                <w:color w:val="auto"/>
              </w:rPr>
            </w:pPr>
            <w:r>
              <w:rPr>
                <w:rFonts w:ascii="Times New Roman" w:cs="Times New Roman" w:eastAsia="Times New Roman" w:hAnsi="Times New Roman"/>
                <w:sz w:val="15"/>
                <w:szCs w:val="15"/>
                <w:color w:val="231F20"/>
              </w:rPr>
              <w:t>Pike 7 Plaza</w:t>
            </w:r>
          </w:p>
        </w:tc>
        <w:tc>
          <w:tcPr>
            <w:tcW w:w="920" w:type="dxa"/>
            <w:vAlign w:val="bottom"/>
            <w:gridSpan w:val="2"/>
          </w:tcPr>
          <w:p>
            <w:pPr>
              <w:jc w:val="center"/>
              <w:spacing w:after="0" w:line="152" w:lineRule="exact"/>
              <w:rPr>
                <w:sz w:val="20"/>
                <w:szCs w:val="20"/>
                <w:color w:val="auto"/>
              </w:rPr>
            </w:pPr>
            <w:r>
              <w:rPr>
                <w:rFonts w:ascii="Times New Roman" w:cs="Times New Roman" w:eastAsia="Times New Roman" w:hAnsi="Times New Roman"/>
                <w:sz w:val="15"/>
                <w:szCs w:val="15"/>
                <w:color w:val="231F20"/>
                <w:w w:val="99"/>
              </w:rPr>
              <w:t>1968</w:t>
            </w:r>
          </w:p>
        </w:tc>
        <w:tc>
          <w:tcPr>
            <w:tcW w:w="880" w:type="dxa"/>
            <w:vAlign w:val="bottom"/>
            <w:gridSpan w:val="2"/>
          </w:tcPr>
          <w:p>
            <w:pPr>
              <w:jc w:val="center"/>
              <w:ind w:left="4"/>
              <w:spacing w:after="0" w:line="152" w:lineRule="exact"/>
              <w:rPr>
                <w:sz w:val="20"/>
                <w:szCs w:val="20"/>
                <w:color w:val="auto"/>
              </w:rPr>
            </w:pPr>
            <w:r>
              <w:rPr>
                <w:rFonts w:ascii="Times New Roman" w:cs="Times New Roman" w:eastAsia="Times New Roman" w:hAnsi="Times New Roman"/>
                <w:sz w:val="15"/>
                <w:szCs w:val="15"/>
                <w:color w:val="231F20"/>
                <w:w w:val="99"/>
              </w:rPr>
              <w:t>1997/2015</w:t>
            </w:r>
          </w:p>
        </w:tc>
        <w:tc>
          <w:tcPr>
            <w:tcW w:w="1100" w:type="dxa"/>
            <w:vAlign w:val="bottom"/>
            <w:gridSpan w:val="2"/>
          </w:tcPr>
          <w:p>
            <w:pPr>
              <w:jc w:val="center"/>
              <w:ind w:left="44"/>
              <w:spacing w:after="0" w:line="152" w:lineRule="exact"/>
              <w:rPr>
                <w:sz w:val="20"/>
                <w:szCs w:val="20"/>
                <w:color w:val="auto"/>
              </w:rPr>
            </w:pPr>
            <w:r>
              <w:rPr>
                <w:rFonts w:ascii="Times New Roman" w:cs="Times New Roman" w:eastAsia="Times New Roman" w:hAnsi="Times New Roman"/>
                <w:sz w:val="15"/>
                <w:szCs w:val="15"/>
                <w:color w:val="231F20"/>
              </w:rPr>
              <w:t>175,000</w:t>
            </w:r>
          </w:p>
        </w:tc>
        <w:tc>
          <w:tcPr>
            <w:tcW w:w="1100" w:type="dxa"/>
            <w:vAlign w:val="bottom"/>
            <w:gridSpan w:val="2"/>
          </w:tcPr>
          <w:p>
            <w:pPr>
              <w:jc w:val="center"/>
              <w:ind w:left="44"/>
              <w:spacing w:after="0" w:line="152" w:lineRule="exact"/>
              <w:rPr>
                <w:sz w:val="20"/>
                <w:szCs w:val="20"/>
                <w:color w:val="auto"/>
              </w:rPr>
            </w:pPr>
            <w:r>
              <w:rPr>
                <w:rFonts w:ascii="Times New Roman" w:cs="Times New Roman" w:eastAsia="Times New Roman" w:hAnsi="Times New Roman"/>
                <w:sz w:val="15"/>
                <w:szCs w:val="15"/>
                <w:color w:val="231F20"/>
              </w:rPr>
              <w:t>$51.85</w:t>
            </w:r>
          </w:p>
        </w:tc>
        <w:tc>
          <w:tcPr>
            <w:tcW w:w="900" w:type="dxa"/>
            <w:vAlign w:val="bottom"/>
            <w:gridSpan w:val="2"/>
          </w:tcPr>
          <w:p>
            <w:pPr>
              <w:jc w:val="center"/>
              <w:ind w:left="24"/>
              <w:spacing w:after="0" w:line="152" w:lineRule="exact"/>
              <w:rPr>
                <w:sz w:val="20"/>
                <w:szCs w:val="20"/>
                <w:color w:val="auto"/>
              </w:rPr>
            </w:pPr>
            <w:r>
              <w:rPr>
                <w:rFonts w:ascii="Times New Roman" w:cs="Times New Roman" w:eastAsia="Times New Roman" w:hAnsi="Times New Roman"/>
                <w:sz w:val="15"/>
                <w:szCs w:val="15"/>
                <w:color w:val="231F20"/>
              </w:rPr>
              <w:t>99%</w:t>
            </w:r>
          </w:p>
        </w:tc>
        <w:tc>
          <w:tcPr>
            <w:tcW w:w="80" w:type="dxa"/>
            <w:vAlign w:val="bottom"/>
          </w:tcPr>
          <w:p>
            <w:pPr>
              <w:spacing w:after="0"/>
              <w:rPr>
                <w:sz w:val="13"/>
                <w:szCs w:val="13"/>
                <w:color w:val="auto"/>
              </w:rPr>
            </w:pPr>
          </w:p>
        </w:tc>
        <w:tc>
          <w:tcPr>
            <w:tcW w:w="2040" w:type="dxa"/>
            <w:vAlign w:val="bottom"/>
          </w:tcPr>
          <w:p>
            <w:pPr>
              <w:ind w:left="40"/>
              <w:spacing w:after="0" w:line="152" w:lineRule="exact"/>
              <w:rPr>
                <w:sz w:val="20"/>
                <w:szCs w:val="20"/>
                <w:color w:val="auto"/>
              </w:rPr>
            </w:pPr>
            <w:r>
              <w:rPr>
                <w:rFonts w:ascii="Times New Roman" w:cs="Times New Roman" w:eastAsia="Times New Roman" w:hAnsi="Times New Roman"/>
                <w:sz w:val="15"/>
                <w:szCs w:val="15"/>
                <w:color w:val="231F20"/>
              </w:rPr>
              <w:t>Lidl</w:t>
            </w: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2640" w:type="dxa"/>
            <w:vAlign w:val="bottom"/>
            <w:gridSpan w:val="2"/>
          </w:tcPr>
          <w:p>
            <w:pPr>
              <w:ind w:left="100"/>
              <w:spacing w:after="0" w:line="152" w:lineRule="exact"/>
              <w:rPr>
                <w:sz w:val="20"/>
                <w:szCs w:val="20"/>
                <w:color w:val="auto"/>
              </w:rPr>
            </w:pPr>
            <w:r>
              <w:rPr>
                <w:rFonts w:ascii="Times New Roman" w:cs="Times New Roman" w:eastAsia="Times New Roman" w:hAnsi="Times New Roman"/>
                <w:sz w:val="15"/>
                <w:szCs w:val="15"/>
                <w:color w:val="231F20"/>
              </w:rPr>
              <w:t>Vienna, VA 22180</w:t>
            </w: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ind w:left="40"/>
              <w:spacing w:after="0" w:line="152" w:lineRule="exact"/>
              <w:rPr>
                <w:sz w:val="20"/>
                <w:szCs w:val="20"/>
                <w:color w:val="auto"/>
              </w:rPr>
            </w:pPr>
            <w:r>
              <w:rPr>
                <w:rFonts w:ascii="Times New Roman" w:cs="Times New Roman" w:eastAsia="Times New Roman" w:hAnsi="Times New Roman"/>
                <w:sz w:val="15"/>
                <w:szCs w:val="15"/>
                <w:color w:val="231F20"/>
              </w:rPr>
              <w:t>TJ Maxx</w:t>
            </w: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ind w:left="40"/>
              <w:spacing w:after="0" w:line="152" w:lineRule="exact"/>
              <w:rPr>
                <w:sz w:val="20"/>
                <w:szCs w:val="20"/>
                <w:color w:val="auto"/>
              </w:rPr>
            </w:pPr>
            <w:r>
              <w:rPr>
                <w:rFonts w:ascii="Times New Roman" w:cs="Times New Roman" w:eastAsia="Times New Roman" w:hAnsi="Times New Roman"/>
                <w:sz w:val="15"/>
                <w:szCs w:val="15"/>
                <w:color w:val="231F20"/>
              </w:rPr>
              <w:t>DSW</w:t>
            </w: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40" w:type="dxa"/>
            <w:vAlign w:val="bottom"/>
          </w:tcPr>
          <w:p>
            <w:pPr>
              <w:ind w:left="40"/>
              <w:spacing w:after="0"/>
              <w:rPr>
                <w:sz w:val="20"/>
                <w:szCs w:val="20"/>
                <w:color w:val="auto"/>
              </w:rPr>
            </w:pPr>
            <w:r>
              <w:rPr>
                <w:rFonts w:ascii="Times New Roman" w:cs="Times New Roman" w:eastAsia="Times New Roman" w:hAnsi="Times New Roman"/>
                <w:sz w:val="15"/>
                <w:szCs w:val="15"/>
                <w:color w:val="231F20"/>
              </w:rPr>
              <w:t>Ulta</w:t>
            </w:r>
          </w:p>
        </w:tc>
        <w:tc>
          <w:tcPr>
            <w:tcW w:w="0" w:type="dxa"/>
            <w:vAlign w:val="bottom"/>
          </w:tcPr>
          <w:p>
            <w:pPr>
              <w:spacing w:after="0"/>
              <w:rPr>
                <w:sz w:val="1"/>
                <w:szCs w:val="1"/>
                <w:color w:val="auto"/>
              </w:rPr>
            </w:pPr>
          </w:p>
        </w:tc>
      </w:tr>
      <w:tr>
        <w:trPr>
          <w:trHeight w:val="183"/>
        </w:trPr>
        <w:tc>
          <w:tcPr>
            <w:tcW w:w="60" w:type="dxa"/>
            <w:vAlign w:val="bottom"/>
          </w:tcPr>
          <w:p>
            <w:pPr>
              <w:spacing w:after="0"/>
              <w:rPr>
                <w:sz w:val="15"/>
                <w:szCs w:val="15"/>
                <w:color w:val="auto"/>
              </w:rPr>
            </w:pPr>
          </w:p>
        </w:tc>
        <w:tc>
          <w:tcPr>
            <w:tcW w:w="2640" w:type="dxa"/>
            <w:vAlign w:val="bottom"/>
            <w:gridSpan w:val="2"/>
          </w:tcPr>
          <w:p>
            <w:pPr>
              <w:spacing w:after="0"/>
              <w:rPr>
                <w:sz w:val="20"/>
                <w:szCs w:val="20"/>
                <w:color w:val="auto"/>
              </w:rPr>
            </w:pPr>
            <w:r>
              <w:rPr>
                <w:rFonts w:ascii="Times New Roman" w:cs="Times New Roman" w:eastAsia="Times New Roman" w:hAnsi="Times New Roman"/>
                <w:sz w:val="15"/>
                <w:szCs w:val="15"/>
                <w:color w:val="231F20"/>
              </w:rPr>
              <w:t>Providence Place (formerly Pan Am)</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231F20"/>
                <w:w w:val="99"/>
              </w:rPr>
              <w:t>1979</w:t>
            </w:r>
          </w:p>
        </w:tc>
        <w:tc>
          <w:tcPr>
            <w:tcW w:w="880" w:type="dxa"/>
            <w:vAlign w:val="bottom"/>
            <w:gridSpan w:val="2"/>
          </w:tcPr>
          <w:p>
            <w:pPr>
              <w:jc w:val="center"/>
              <w:ind w:left="24"/>
              <w:spacing w:after="0"/>
              <w:rPr>
                <w:sz w:val="20"/>
                <w:szCs w:val="20"/>
                <w:color w:val="auto"/>
              </w:rPr>
            </w:pPr>
            <w:r>
              <w:rPr>
                <w:rFonts w:ascii="Times New Roman" w:cs="Times New Roman" w:eastAsia="Times New Roman" w:hAnsi="Times New Roman"/>
                <w:sz w:val="15"/>
                <w:szCs w:val="15"/>
                <w:color w:val="231F20"/>
                <w:w w:val="99"/>
              </w:rPr>
              <w:t>1993</w:t>
            </w:r>
          </w:p>
        </w:tc>
        <w:tc>
          <w:tcPr>
            <w:tcW w:w="1100" w:type="dxa"/>
            <w:vAlign w:val="bottom"/>
            <w:gridSpan w:val="2"/>
          </w:tcPr>
          <w:p>
            <w:pPr>
              <w:jc w:val="center"/>
              <w:ind w:left="44"/>
              <w:spacing w:after="0"/>
              <w:rPr>
                <w:sz w:val="20"/>
                <w:szCs w:val="20"/>
                <w:color w:val="auto"/>
              </w:rPr>
            </w:pPr>
            <w:r>
              <w:rPr>
                <w:rFonts w:ascii="Times New Roman" w:cs="Times New Roman" w:eastAsia="Times New Roman" w:hAnsi="Times New Roman"/>
                <w:sz w:val="15"/>
                <w:szCs w:val="15"/>
                <w:color w:val="231F20"/>
              </w:rPr>
              <w:t>228,000</w:t>
            </w:r>
          </w:p>
        </w:tc>
        <w:tc>
          <w:tcPr>
            <w:tcW w:w="1100" w:type="dxa"/>
            <w:vAlign w:val="bottom"/>
            <w:gridSpan w:val="2"/>
          </w:tcPr>
          <w:p>
            <w:pPr>
              <w:jc w:val="center"/>
              <w:ind w:left="44"/>
              <w:spacing w:after="0"/>
              <w:rPr>
                <w:sz w:val="20"/>
                <w:szCs w:val="20"/>
                <w:color w:val="auto"/>
              </w:rPr>
            </w:pPr>
            <w:r>
              <w:rPr>
                <w:rFonts w:ascii="Times New Roman" w:cs="Times New Roman" w:eastAsia="Times New Roman" w:hAnsi="Times New Roman"/>
                <w:sz w:val="15"/>
                <w:szCs w:val="15"/>
                <w:color w:val="231F20"/>
              </w:rPr>
              <w:t>$25.17</w:t>
            </w:r>
          </w:p>
        </w:tc>
        <w:tc>
          <w:tcPr>
            <w:tcW w:w="900" w:type="dxa"/>
            <w:vAlign w:val="bottom"/>
            <w:gridSpan w:val="2"/>
          </w:tcPr>
          <w:p>
            <w:pPr>
              <w:jc w:val="center"/>
              <w:ind w:left="24"/>
              <w:spacing w:after="0"/>
              <w:rPr>
                <w:sz w:val="20"/>
                <w:szCs w:val="20"/>
                <w:color w:val="auto"/>
              </w:rPr>
            </w:pPr>
            <w:r>
              <w:rPr>
                <w:rFonts w:ascii="Times New Roman" w:cs="Times New Roman" w:eastAsia="Times New Roman" w:hAnsi="Times New Roman"/>
                <w:sz w:val="15"/>
                <w:szCs w:val="15"/>
                <w:color w:val="231F20"/>
              </w:rPr>
              <w:t>90%</w:t>
            </w:r>
          </w:p>
        </w:tc>
        <w:tc>
          <w:tcPr>
            <w:tcW w:w="80" w:type="dxa"/>
            <w:vAlign w:val="bottom"/>
          </w:tcPr>
          <w:p>
            <w:pPr>
              <w:spacing w:after="0"/>
              <w:rPr>
                <w:sz w:val="15"/>
                <w:szCs w:val="15"/>
                <w:color w:val="auto"/>
              </w:rPr>
            </w:pPr>
          </w:p>
        </w:tc>
        <w:tc>
          <w:tcPr>
            <w:tcW w:w="2040" w:type="dxa"/>
            <w:vAlign w:val="bottom"/>
          </w:tcPr>
          <w:p>
            <w:pPr>
              <w:ind w:left="40"/>
              <w:spacing w:after="0"/>
              <w:rPr>
                <w:sz w:val="20"/>
                <w:szCs w:val="20"/>
                <w:color w:val="auto"/>
              </w:rPr>
            </w:pPr>
            <w:r>
              <w:rPr>
                <w:rFonts w:ascii="Times New Roman" w:cs="Times New Roman" w:eastAsia="Times New Roman" w:hAnsi="Times New Roman"/>
                <w:sz w:val="15"/>
                <w:szCs w:val="15"/>
                <w:color w:val="231F20"/>
              </w:rPr>
              <w:t>Safeway</w:t>
            </w: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2640" w:type="dxa"/>
            <w:vAlign w:val="bottom"/>
            <w:gridSpan w:val="2"/>
          </w:tcPr>
          <w:p>
            <w:pPr>
              <w:ind w:left="100"/>
              <w:spacing w:after="0" w:line="152" w:lineRule="exact"/>
              <w:rPr>
                <w:sz w:val="20"/>
                <w:szCs w:val="20"/>
                <w:color w:val="auto"/>
              </w:rPr>
            </w:pPr>
            <w:r>
              <w:rPr>
                <w:rFonts w:ascii="Times New Roman" w:cs="Times New Roman" w:eastAsia="Times New Roman" w:hAnsi="Times New Roman"/>
                <w:sz w:val="15"/>
                <w:szCs w:val="15"/>
                <w:color w:val="231F20"/>
              </w:rPr>
              <w:t>Fairfax, VA 22031</w:t>
            </w: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ind w:left="40"/>
              <w:spacing w:after="0" w:line="152" w:lineRule="exact"/>
              <w:rPr>
                <w:sz w:val="20"/>
                <w:szCs w:val="20"/>
                <w:color w:val="auto"/>
              </w:rPr>
            </w:pPr>
            <w:r>
              <w:rPr>
                <w:rFonts w:ascii="Times New Roman" w:cs="Times New Roman" w:eastAsia="Times New Roman" w:hAnsi="Times New Roman"/>
                <w:sz w:val="15"/>
                <w:szCs w:val="15"/>
                <w:color w:val="231F20"/>
              </w:rPr>
              <w:t>Micro Center</w:t>
            </w: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ind w:left="40"/>
              <w:spacing w:after="0" w:line="152" w:lineRule="exact"/>
              <w:rPr>
                <w:sz w:val="20"/>
                <w:szCs w:val="20"/>
                <w:color w:val="auto"/>
              </w:rPr>
            </w:pPr>
            <w:r>
              <w:rPr>
                <w:rFonts w:ascii="Times New Roman" w:cs="Times New Roman" w:eastAsia="Times New Roman" w:hAnsi="Times New Roman"/>
                <w:sz w:val="15"/>
                <w:szCs w:val="15"/>
                <w:color w:val="231F20"/>
              </w:rPr>
              <w:t>CVS</w:t>
            </w: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40" w:type="dxa"/>
            <w:vAlign w:val="bottom"/>
          </w:tcPr>
          <w:p>
            <w:pPr>
              <w:ind w:left="40"/>
              <w:spacing w:after="0"/>
              <w:rPr>
                <w:sz w:val="20"/>
                <w:szCs w:val="20"/>
                <w:color w:val="auto"/>
              </w:rPr>
            </w:pPr>
            <w:r>
              <w:rPr>
                <w:rFonts w:ascii="Times New Roman" w:cs="Times New Roman" w:eastAsia="Times New Roman" w:hAnsi="Times New Roman"/>
                <w:sz w:val="15"/>
                <w:szCs w:val="15"/>
                <w:color w:val="231F20"/>
              </w:rPr>
              <w:t>Michaels</w:t>
            </w:r>
          </w:p>
        </w:tc>
        <w:tc>
          <w:tcPr>
            <w:tcW w:w="0" w:type="dxa"/>
            <w:vAlign w:val="bottom"/>
          </w:tcPr>
          <w:p>
            <w:pPr>
              <w:spacing w:after="0"/>
              <w:rPr>
                <w:sz w:val="1"/>
                <w:szCs w:val="1"/>
                <w:color w:val="auto"/>
              </w:rPr>
            </w:pPr>
          </w:p>
        </w:tc>
      </w:tr>
      <w:tr>
        <w:trPr>
          <w:trHeight w:val="183"/>
        </w:trPr>
        <w:tc>
          <w:tcPr>
            <w:tcW w:w="60" w:type="dxa"/>
            <w:vAlign w:val="bottom"/>
          </w:tcPr>
          <w:p>
            <w:pPr>
              <w:spacing w:after="0"/>
              <w:rPr>
                <w:sz w:val="15"/>
                <w:szCs w:val="15"/>
                <w:color w:val="auto"/>
              </w:rPr>
            </w:pPr>
          </w:p>
        </w:tc>
        <w:tc>
          <w:tcPr>
            <w:tcW w:w="2640" w:type="dxa"/>
            <w:vAlign w:val="bottom"/>
            <w:gridSpan w:val="2"/>
          </w:tcPr>
          <w:p>
            <w:pPr>
              <w:spacing w:after="0"/>
              <w:rPr>
                <w:sz w:val="20"/>
                <w:szCs w:val="20"/>
                <w:color w:val="auto"/>
              </w:rPr>
            </w:pPr>
            <w:r>
              <w:rPr>
                <w:rFonts w:ascii="Times New Roman" w:cs="Times New Roman" w:eastAsia="Times New Roman" w:hAnsi="Times New Roman"/>
                <w:sz w:val="15"/>
                <w:szCs w:val="15"/>
                <w:color w:val="231F20"/>
              </w:rPr>
              <w:t>Tower Shopping Center</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231F20"/>
                <w:w w:val="99"/>
              </w:rPr>
              <w:t>1960</w:t>
            </w:r>
          </w:p>
        </w:tc>
        <w:tc>
          <w:tcPr>
            <w:tcW w:w="880" w:type="dxa"/>
            <w:vAlign w:val="bottom"/>
            <w:gridSpan w:val="2"/>
          </w:tcPr>
          <w:p>
            <w:pPr>
              <w:jc w:val="center"/>
              <w:ind w:left="24"/>
              <w:spacing w:after="0"/>
              <w:rPr>
                <w:sz w:val="20"/>
                <w:szCs w:val="20"/>
                <w:color w:val="auto"/>
              </w:rPr>
            </w:pPr>
            <w:r>
              <w:rPr>
                <w:rFonts w:ascii="Times New Roman" w:cs="Times New Roman" w:eastAsia="Times New Roman" w:hAnsi="Times New Roman"/>
                <w:sz w:val="15"/>
                <w:szCs w:val="15"/>
                <w:color w:val="231F20"/>
                <w:w w:val="99"/>
              </w:rPr>
              <w:t>1998</w:t>
            </w:r>
          </w:p>
        </w:tc>
        <w:tc>
          <w:tcPr>
            <w:tcW w:w="1100" w:type="dxa"/>
            <w:vAlign w:val="bottom"/>
            <w:gridSpan w:val="2"/>
          </w:tcPr>
          <w:p>
            <w:pPr>
              <w:jc w:val="center"/>
              <w:ind w:left="44"/>
              <w:spacing w:after="0"/>
              <w:rPr>
                <w:sz w:val="20"/>
                <w:szCs w:val="20"/>
                <w:color w:val="auto"/>
              </w:rPr>
            </w:pPr>
            <w:r>
              <w:rPr>
                <w:rFonts w:ascii="Times New Roman" w:cs="Times New Roman" w:eastAsia="Times New Roman" w:hAnsi="Times New Roman"/>
                <w:sz w:val="15"/>
                <w:szCs w:val="15"/>
                <w:color w:val="231F20"/>
              </w:rPr>
              <w:t>109,000</w:t>
            </w:r>
          </w:p>
        </w:tc>
        <w:tc>
          <w:tcPr>
            <w:tcW w:w="1100" w:type="dxa"/>
            <w:vAlign w:val="bottom"/>
            <w:gridSpan w:val="2"/>
          </w:tcPr>
          <w:p>
            <w:pPr>
              <w:jc w:val="center"/>
              <w:ind w:left="44"/>
              <w:spacing w:after="0"/>
              <w:rPr>
                <w:sz w:val="20"/>
                <w:szCs w:val="20"/>
                <w:color w:val="auto"/>
              </w:rPr>
            </w:pPr>
            <w:r>
              <w:rPr>
                <w:rFonts w:ascii="Times New Roman" w:cs="Times New Roman" w:eastAsia="Times New Roman" w:hAnsi="Times New Roman"/>
                <w:sz w:val="15"/>
                <w:szCs w:val="15"/>
                <w:color w:val="231F20"/>
              </w:rPr>
              <w:t>$31.09</w:t>
            </w:r>
          </w:p>
        </w:tc>
        <w:tc>
          <w:tcPr>
            <w:tcW w:w="900" w:type="dxa"/>
            <w:vAlign w:val="bottom"/>
            <w:gridSpan w:val="2"/>
          </w:tcPr>
          <w:p>
            <w:pPr>
              <w:jc w:val="center"/>
              <w:ind w:left="24"/>
              <w:spacing w:after="0"/>
              <w:rPr>
                <w:sz w:val="20"/>
                <w:szCs w:val="20"/>
                <w:color w:val="auto"/>
              </w:rPr>
            </w:pPr>
            <w:r>
              <w:rPr>
                <w:rFonts w:ascii="Times New Roman" w:cs="Times New Roman" w:eastAsia="Times New Roman" w:hAnsi="Times New Roman"/>
                <w:sz w:val="15"/>
                <w:szCs w:val="15"/>
                <w:color w:val="231F20"/>
              </w:rPr>
              <w:t>99%</w:t>
            </w:r>
          </w:p>
        </w:tc>
        <w:tc>
          <w:tcPr>
            <w:tcW w:w="80" w:type="dxa"/>
            <w:vAlign w:val="bottom"/>
          </w:tcPr>
          <w:p>
            <w:pPr>
              <w:spacing w:after="0"/>
              <w:rPr>
                <w:sz w:val="15"/>
                <w:szCs w:val="15"/>
                <w:color w:val="auto"/>
              </w:rPr>
            </w:pPr>
          </w:p>
        </w:tc>
        <w:tc>
          <w:tcPr>
            <w:tcW w:w="2040" w:type="dxa"/>
            <w:vAlign w:val="bottom"/>
          </w:tcPr>
          <w:p>
            <w:pPr>
              <w:ind w:left="40"/>
              <w:spacing w:after="0"/>
              <w:rPr>
                <w:sz w:val="20"/>
                <w:szCs w:val="20"/>
                <w:color w:val="auto"/>
              </w:rPr>
            </w:pPr>
            <w:r>
              <w:rPr>
                <w:rFonts w:ascii="Times New Roman" w:cs="Times New Roman" w:eastAsia="Times New Roman" w:hAnsi="Times New Roman"/>
                <w:sz w:val="15"/>
                <w:szCs w:val="15"/>
                <w:color w:val="231F20"/>
              </w:rPr>
              <w:t>L.A. Mart</w:t>
            </w: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2640" w:type="dxa"/>
            <w:vAlign w:val="bottom"/>
            <w:gridSpan w:val="2"/>
          </w:tcPr>
          <w:p>
            <w:pPr>
              <w:ind w:left="100"/>
              <w:spacing w:after="0" w:line="152" w:lineRule="exact"/>
              <w:rPr>
                <w:sz w:val="20"/>
                <w:szCs w:val="20"/>
                <w:color w:val="auto"/>
              </w:rPr>
            </w:pPr>
            <w:r>
              <w:rPr>
                <w:rFonts w:ascii="Times New Roman" w:cs="Times New Roman" w:eastAsia="Times New Roman" w:hAnsi="Times New Roman"/>
                <w:sz w:val="15"/>
                <w:szCs w:val="15"/>
                <w:color w:val="231F20"/>
              </w:rPr>
              <w:t>Springfield, VA 22150</w:t>
            </w: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ind w:left="40"/>
              <w:spacing w:after="0" w:line="152" w:lineRule="exact"/>
              <w:rPr>
                <w:sz w:val="20"/>
                <w:szCs w:val="20"/>
                <w:color w:val="auto"/>
              </w:rPr>
            </w:pPr>
            <w:r>
              <w:rPr>
                <w:rFonts w:ascii="Times New Roman" w:cs="Times New Roman" w:eastAsia="Times New Roman" w:hAnsi="Times New Roman"/>
                <w:sz w:val="15"/>
                <w:szCs w:val="15"/>
                <w:color w:val="231F20"/>
              </w:rPr>
              <w:t>Total Wine &amp; More</w:t>
            </w: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40" w:type="dxa"/>
            <w:vAlign w:val="bottom"/>
          </w:tcPr>
          <w:p>
            <w:pPr>
              <w:ind w:left="40"/>
              <w:spacing w:after="0"/>
              <w:rPr>
                <w:sz w:val="20"/>
                <w:szCs w:val="20"/>
                <w:color w:val="auto"/>
              </w:rPr>
            </w:pPr>
            <w:r>
              <w:rPr>
                <w:rFonts w:ascii="Times New Roman" w:cs="Times New Roman" w:eastAsia="Times New Roman" w:hAnsi="Times New Roman"/>
                <w:sz w:val="15"/>
                <w:szCs w:val="15"/>
                <w:color w:val="231F20"/>
              </w:rPr>
              <w:t>Talbots</w:t>
            </w:r>
          </w:p>
        </w:tc>
        <w:tc>
          <w:tcPr>
            <w:tcW w:w="0" w:type="dxa"/>
            <w:vAlign w:val="bottom"/>
          </w:tcPr>
          <w:p>
            <w:pPr>
              <w:spacing w:after="0"/>
              <w:rPr>
                <w:sz w:val="1"/>
                <w:szCs w:val="1"/>
                <w:color w:val="auto"/>
              </w:rPr>
            </w:pPr>
          </w:p>
        </w:tc>
      </w:tr>
      <w:tr>
        <w:trPr>
          <w:trHeight w:val="207"/>
        </w:trPr>
        <w:tc>
          <w:tcPr>
            <w:tcW w:w="60" w:type="dxa"/>
            <w:vAlign w:val="bottom"/>
          </w:tcPr>
          <w:p>
            <w:pPr>
              <w:spacing w:after="0"/>
              <w:rPr>
                <w:sz w:val="17"/>
                <w:szCs w:val="17"/>
                <w:color w:val="auto"/>
              </w:rPr>
            </w:pPr>
          </w:p>
        </w:tc>
        <w:tc>
          <w:tcPr>
            <w:tcW w:w="2640" w:type="dxa"/>
            <w:vAlign w:val="bottom"/>
            <w:gridSpan w:val="2"/>
          </w:tcPr>
          <w:p>
            <w:pPr>
              <w:spacing w:after="0"/>
              <w:rPr>
                <w:sz w:val="20"/>
                <w:szCs w:val="20"/>
                <w:color w:val="auto"/>
              </w:rPr>
            </w:pPr>
            <w:r>
              <w:rPr>
                <w:rFonts w:ascii="Times New Roman" w:cs="Times New Roman" w:eastAsia="Times New Roman" w:hAnsi="Times New Roman"/>
                <w:sz w:val="15"/>
                <w:szCs w:val="15"/>
                <w:color w:val="231F20"/>
              </w:rPr>
              <w:t>Twinbrooke Centre</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231F20"/>
                <w:w w:val="99"/>
              </w:rPr>
              <w:t>1977</w:t>
            </w:r>
          </w:p>
        </w:tc>
        <w:tc>
          <w:tcPr>
            <w:tcW w:w="880" w:type="dxa"/>
            <w:vAlign w:val="bottom"/>
            <w:gridSpan w:val="2"/>
          </w:tcPr>
          <w:p>
            <w:pPr>
              <w:jc w:val="center"/>
              <w:ind w:left="24"/>
              <w:spacing w:after="0"/>
              <w:rPr>
                <w:sz w:val="20"/>
                <w:szCs w:val="20"/>
                <w:color w:val="auto"/>
              </w:rPr>
            </w:pPr>
            <w:r>
              <w:rPr>
                <w:rFonts w:ascii="Times New Roman" w:cs="Times New Roman" w:eastAsia="Times New Roman" w:hAnsi="Times New Roman"/>
                <w:sz w:val="15"/>
                <w:szCs w:val="15"/>
                <w:color w:val="231F20"/>
                <w:w w:val="99"/>
              </w:rPr>
              <w:t>2021</w:t>
            </w:r>
          </w:p>
        </w:tc>
        <w:tc>
          <w:tcPr>
            <w:tcW w:w="1100" w:type="dxa"/>
            <w:vAlign w:val="bottom"/>
            <w:gridSpan w:val="2"/>
          </w:tcPr>
          <w:p>
            <w:pPr>
              <w:jc w:val="center"/>
              <w:ind w:left="44"/>
              <w:spacing w:after="0"/>
              <w:rPr>
                <w:sz w:val="20"/>
                <w:szCs w:val="20"/>
                <w:color w:val="auto"/>
              </w:rPr>
            </w:pPr>
            <w:r>
              <w:rPr>
                <w:rFonts w:ascii="Times New Roman" w:cs="Times New Roman" w:eastAsia="Times New Roman" w:hAnsi="Times New Roman"/>
                <w:sz w:val="15"/>
                <w:szCs w:val="15"/>
                <w:color w:val="231F20"/>
              </w:rPr>
              <w:t>103,000</w:t>
            </w:r>
          </w:p>
        </w:tc>
        <w:tc>
          <w:tcPr>
            <w:tcW w:w="1100" w:type="dxa"/>
            <w:vAlign w:val="bottom"/>
            <w:gridSpan w:val="2"/>
          </w:tcPr>
          <w:p>
            <w:pPr>
              <w:jc w:val="center"/>
              <w:ind w:left="44"/>
              <w:spacing w:after="0"/>
              <w:rPr>
                <w:sz w:val="20"/>
                <w:szCs w:val="20"/>
                <w:color w:val="auto"/>
              </w:rPr>
            </w:pPr>
            <w:r>
              <w:rPr>
                <w:rFonts w:ascii="Times New Roman" w:cs="Times New Roman" w:eastAsia="Times New Roman" w:hAnsi="Times New Roman"/>
                <w:sz w:val="15"/>
                <w:szCs w:val="15"/>
                <w:color w:val="231F20"/>
              </w:rPr>
              <w:t>$30.42</w:t>
            </w:r>
          </w:p>
        </w:tc>
        <w:tc>
          <w:tcPr>
            <w:tcW w:w="900" w:type="dxa"/>
            <w:vAlign w:val="bottom"/>
            <w:gridSpan w:val="2"/>
          </w:tcPr>
          <w:p>
            <w:pPr>
              <w:jc w:val="center"/>
              <w:ind w:left="24"/>
              <w:spacing w:after="0"/>
              <w:rPr>
                <w:sz w:val="20"/>
                <w:szCs w:val="20"/>
                <w:color w:val="auto"/>
              </w:rPr>
            </w:pPr>
            <w:r>
              <w:rPr>
                <w:rFonts w:ascii="Times New Roman" w:cs="Times New Roman" w:eastAsia="Times New Roman" w:hAnsi="Times New Roman"/>
                <w:sz w:val="15"/>
                <w:szCs w:val="15"/>
                <w:color w:val="231F20"/>
              </w:rPr>
              <w:t>98%</w:t>
            </w:r>
          </w:p>
        </w:tc>
        <w:tc>
          <w:tcPr>
            <w:tcW w:w="80" w:type="dxa"/>
            <w:vAlign w:val="bottom"/>
          </w:tcPr>
          <w:p>
            <w:pPr>
              <w:spacing w:after="0"/>
              <w:rPr>
                <w:sz w:val="17"/>
                <w:szCs w:val="17"/>
                <w:color w:val="auto"/>
              </w:rPr>
            </w:pPr>
          </w:p>
        </w:tc>
        <w:tc>
          <w:tcPr>
            <w:tcW w:w="2040" w:type="dxa"/>
            <w:vAlign w:val="bottom"/>
          </w:tcPr>
          <w:p>
            <w:pPr>
              <w:ind w:left="40"/>
              <w:spacing w:after="0"/>
              <w:rPr>
                <w:sz w:val="20"/>
                <w:szCs w:val="20"/>
                <w:color w:val="auto"/>
              </w:rPr>
            </w:pPr>
            <w:r>
              <w:rPr>
                <w:rFonts w:ascii="Times New Roman" w:cs="Times New Roman" w:eastAsia="Times New Roman" w:hAnsi="Times New Roman"/>
                <w:sz w:val="15"/>
                <w:szCs w:val="15"/>
                <w:color w:val="231F20"/>
              </w:rPr>
              <w:t>Safeway</w:t>
            </w: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264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231F20"/>
              </w:rPr>
              <w:t>Fairfax, VA 22032</w:t>
            </w: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40" w:type="dxa"/>
            <w:vAlign w:val="bottom"/>
          </w:tcPr>
          <w:p>
            <w:pPr>
              <w:ind w:left="40"/>
              <w:spacing w:after="0"/>
              <w:rPr>
                <w:sz w:val="20"/>
                <w:szCs w:val="20"/>
                <w:color w:val="auto"/>
              </w:rPr>
            </w:pPr>
            <w:r>
              <w:rPr>
                <w:rFonts w:ascii="Times New Roman" w:cs="Times New Roman" w:eastAsia="Times New Roman" w:hAnsi="Times New Roman"/>
                <w:sz w:val="15"/>
                <w:szCs w:val="15"/>
                <w:color w:val="231F20"/>
              </w:rPr>
              <w:t>Outback Steakhouse</w:t>
            </w:r>
          </w:p>
        </w:tc>
        <w:tc>
          <w:tcPr>
            <w:tcW w:w="0" w:type="dxa"/>
            <w:vAlign w:val="bottom"/>
          </w:tcPr>
          <w:p>
            <w:pPr>
              <w:spacing w:after="0"/>
              <w:rPr>
                <w:sz w:val="1"/>
                <w:szCs w:val="1"/>
                <w:color w:val="auto"/>
              </w:rPr>
            </w:pPr>
          </w:p>
        </w:tc>
      </w:tr>
      <w:tr>
        <w:trPr>
          <w:trHeight w:val="187"/>
        </w:trPr>
        <w:tc>
          <w:tcPr>
            <w:tcW w:w="60" w:type="dxa"/>
            <w:vAlign w:val="bottom"/>
          </w:tcPr>
          <w:p>
            <w:pPr>
              <w:spacing w:after="0"/>
              <w:rPr>
                <w:sz w:val="16"/>
                <w:szCs w:val="16"/>
                <w:color w:val="auto"/>
              </w:rPr>
            </w:pPr>
          </w:p>
        </w:tc>
        <w:tc>
          <w:tcPr>
            <w:tcW w:w="2640" w:type="dxa"/>
            <w:vAlign w:val="bottom"/>
            <w:gridSpan w:val="2"/>
          </w:tcPr>
          <w:p>
            <w:pPr>
              <w:spacing w:after="0"/>
              <w:rPr>
                <w:sz w:val="20"/>
                <w:szCs w:val="20"/>
                <w:color w:val="auto"/>
              </w:rPr>
            </w:pPr>
            <w:r>
              <w:rPr>
                <w:rFonts w:ascii="Times New Roman" w:cs="Times New Roman" w:eastAsia="Times New Roman" w:hAnsi="Times New Roman"/>
                <w:sz w:val="15"/>
                <w:szCs w:val="15"/>
                <w:color w:val="231F20"/>
              </w:rPr>
              <w:t>Tyson's Station</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231F20"/>
                <w:w w:val="99"/>
              </w:rPr>
              <w:t>1954</w:t>
            </w:r>
          </w:p>
        </w:tc>
        <w:tc>
          <w:tcPr>
            <w:tcW w:w="880" w:type="dxa"/>
            <w:vAlign w:val="bottom"/>
            <w:gridSpan w:val="2"/>
          </w:tcPr>
          <w:p>
            <w:pPr>
              <w:jc w:val="center"/>
              <w:ind w:left="24"/>
              <w:spacing w:after="0"/>
              <w:rPr>
                <w:sz w:val="20"/>
                <w:szCs w:val="20"/>
                <w:color w:val="auto"/>
              </w:rPr>
            </w:pPr>
            <w:r>
              <w:rPr>
                <w:rFonts w:ascii="Times New Roman" w:cs="Times New Roman" w:eastAsia="Times New Roman" w:hAnsi="Times New Roman"/>
                <w:sz w:val="15"/>
                <w:szCs w:val="15"/>
                <w:color w:val="231F20"/>
                <w:w w:val="99"/>
              </w:rPr>
              <w:t>1978</w:t>
            </w:r>
          </w:p>
        </w:tc>
        <w:tc>
          <w:tcPr>
            <w:tcW w:w="1100" w:type="dxa"/>
            <w:vAlign w:val="bottom"/>
            <w:gridSpan w:val="2"/>
          </w:tcPr>
          <w:p>
            <w:pPr>
              <w:jc w:val="center"/>
              <w:ind w:left="44"/>
              <w:spacing w:after="0"/>
              <w:rPr>
                <w:sz w:val="20"/>
                <w:szCs w:val="20"/>
                <w:color w:val="auto"/>
              </w:rPr>
            </w:pPr>
            <w:r>
              <w:rPr>
                <w:rFonts w:ascii="Times New Roman" w:cs="Times New Roman" w:eastAsia="Times New Roman" w:hAnsi="Times New Roman"/>
                <w:sz w:val="15"/>
                <w:szCs w:val="15"/>
                <w:color w:val="231F20"/>
              </w:rPr>
              <w:t>48,000</w:t>
            </w:r>
          </w:p>
        </w:tc>
        <w:tc>
          <w:tcPr>
            <w:tcW w:w="1100" w:type="dxa"/>
            <w:vAlign w:val="bottom"/>
            <w:gridSpan w:val="2"/>
          </w:tcPr>
          <w:p>
            <w:pPr>
              <w:jc w:val="center"/>
              <w:ind w:left="44"/>
              <w:spacing w:after="0"/>
              <w:rPr>
                <w:sz w:val="20"/>
                <w:szCs w:val="20"/>
                <w:color w:val="auto"/>
              </w:rPr>
            </w:pPr>
            <w:r>
              <w:rPr>
                <w:rFonts w:ascii="Times New Roman" w:cs="Times New Roman" w:eastAsia="Times New Roman" w:hAnsi="Times New Roman"/>
                <w:sz w:val="15"/>
                <w:szCs w:val="15"/>
                <w:color w:val="231F20"/>
              </w:rPr>
              <w:t>$54.82</w:t>
            </w:r>
          </w:p>
        </w:tc>
        <w:tc>
          <w:tcPr>
            <w:tcW w:w="900" w:type="dxa"/>
            <w:vAlign w:val="bottom"/>
            <w:gridSpan w:val="2"/>
          </w:tcPr>
          <w:p>
            <w:pPr>
              <w:jc w:val="center"/>
              <w:ind w:left="24"/>
              <w:spacing w:after="0"/>
              <w:rPr>
                <w:sz w:val="20"/>
                <w:szCs w:val="20"/>
                <w:color w:val="auto"/>
              </w:rPr>
            </w:pPr>
            <w:r>
              <w:rPr>
                <w:rFonts w:ascii="Times New Roman" w:cs="Times New Roman" w:eastAsia="Times New Roman" w:hAnsi="Times New Roman"/>
                <w:sz w:val="15"/>
                <w:szCs w:val="15"/>
                <w:color w:val="231F20"/>
              </w:rPr>
              <w:t>96%</w:t>
            </w:r>
          </w:p>
        </w:tc>
        <w:tc>
          <w:tcPr>
            <w:tcW w:w="80" w:type="dxa"/>
            <w:vAlign w:val="bottom"/>
          </w:tcPr>
          <w:p>
            <w:pPr>
              <w:spacing w:after="0"/>
              <w:rPr>
                <w:sz w:val="16"/>
                <w:szCs w:val="16"/>
                <w:color w:val="auto"/>
              </w:rPr>
            </w:pPr>
          </w:p>
        </w:tc>
        <w:tc>
          <w:tcPr>
            <w:tcW w:w="2040" w:type="dxa"/>
            <w:vAlign w:val="bottom"/>
          </w:tcPr>
          <w:p>
            <w:pPr>
              <w:ind w:left="40"/>
              <w:spacing w:after="0"/>
              <w:rPr>
                <w:sz w:val="20"/>
                <w:szCs w:val="20"/>
                <w:color w:val="auto"/>
              </w:rPr>
            </w:pPr>
            <w:r>
              <w:rPr>
                <w:rFonts w:ascii="Times New Roman" w:cs="Times New Roman" w:eastAsia="Times New Roman" w:hAnsi="Times New Roman"/>
                <w:sz w:val="15"/>
                <w:szCs w:val="15"/>
                <w:color w:val="231F20"/>
              </w:rPr>
              <w:t>Trader Joe's</w:t>
            </w: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264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231F20"/>
              </w:rPr>
              <w:t>Falls Church, VA 22043</w:t>
            </w: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0" w:type="dxa"/>
            <w:vAlign w:val="bottom"/>
          </w:tcPr>
          <w:p>
            <w:pPr>
              <w:spacing w:after="0"/>
              <w:rPr>
                <w:sz w:val="17"/>
                <w:szCs w:val="17"/>
                <w:color w:val="auto"/>
              </w:rPr>
            </w:pPr>
          </w:p>
        </w:tc>
        <w:tc>
          <w:tcPr>
            <w:tcW w:w="2640" w:type="dxa"/>
            <w:vAlign w:val="bottom"/>
            <w:gridSpan w:val="2"/>
          </w:tcPr>
          <w:p>
            <w:pPr>
              <w:spacing w:after="0"/>
              <w:rPr>
                <w:sz w:val="20"/>
                <w:szCs w:val="20"/>
                <w:color w:val="auto"/>
              </w:rPr>
            </w:pPr>
            <w:r>
              <w:rPr>
                <w:rFonts w:ascii="Times New Roman" w:cs="Times New Roman" w:eastAsia="Times New Roman" w:hAnsi="Times New Roman"/>
                <w:sz w:val="15"/>
                <w:szCs w:val="15"/>
                <w:color w:val="231F20"/>
              </w:rPr>
              <w:t>Village at Shirlington</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231F20"/>
              </w:rPr>
              <w:t>1940,</w:t>
            </w:r>
          </w:p>
        </w:tc>
        <w:tc>
          <w:tcPr>
            <w:tcW w:w="880" w:type="dxa"/>
            <w:vAlign w:val="bottom"/>
            <w:gridSpan w:val="2"/>
          </w:tcPr>
          <w:p>
            <w:pPr>
              <w:jc w:val="center"/>
              <w:ind w:left="24"/>
              <w:spacing w:after="0"/>
              <w:rPr>
                <w:sz w:val="20"/>
                <w:szCs w:val="20"/>
                <w:color w:val="auto"/>
              </w:rPr>
            </w:pPr>
            <w:r>
              <w:rPr>
                <w:rFonts w:ascii="Times New Roman" w:cs="Times New Roman" w:eastAsia="Times New Roman" w:hAnsi="Times New Roman"/>
                <w:sz w:val="15"/>
                <w:szCs w:val="15"/>
                <w:color w:val="231F20"/>
                <w:w w:val="99"/>
              </w:rPr>
              <w:t>1995</w:t>
            </w:r>
          </w:p>
        </w:tc>
        <w:tc>
          <w:tcPr>
            <w:tcW w:w="1100" w:type="dxa"/>
            <w:vAlign w:val="bottom"/>
            <w:gridSpan w:val="2"/>
          </w:tcPr>
          <w:p>
            <w:pPr>
              <w:jc w:val="center"/>
              <w:ind w:left="44"/>
              <w:spacing w:after="0"/>
              <w:rPr>
                <w:sz w:val="20"/>
                <w:szCs w:val="20"/>
                <w:color w:val="auto"/>
              </w:rPr>
            </w:pPr>
            <w:r>
              <w:rPr>
                <w:rFonts w:ascii="Times New Roman" w:cs="Times New Roman" w:eastAsia="Times New Roman" w:hAnsi="Times New Roman"/>
                <w:sz w:val="15"/>
                <w:szCs w:val="15"/>
                <w:color w:val="231F20"/>
              </w:rPr>
              <w:t>277,000</w:t>
            </w:r>
          </w:p>
        </w:tc>
        <w:tc>
          <w:tcPr>
            <w:tcW w:w="1100" w:type="dxa"/>
            <w:vAlign w:val="bottom"/>
            <w:gridSpan w:val="2"/>
          </w:tcPr>
          <w:p>
            <w:pPr>
              <w:jc w:val="center"/>
              <w:ind w:left="44"/>
              <w:spacing w:after="0"/>
              <w:rPr>
                <w:sz w:val="20"/>
                <w:szCs w:val="20"/>
                <w:color w:val="auto"/>
              </w:rPr>
            </w:pPr>
            <w:r>
              <w:rPr>
                <w:rFonts w:ascii="Times New Roman" w:cs="Times New Roman" w:eastAsia="Times New Roman" w:hAnsi="Times New Roman"/>
                <w:sz w:val="15"/>
                <w:szCs w:val="15"/>
                <w:color w:val="231F20"/>
              </w:rPr>
              <w:t>$41.22</w:t>
            </w:r>
          </w:p>
        </w:tc>
        <w:tc>
          <w:tcPr>
            <w:tcW w:w="900" w:type="dxa"/>
            <w:vAlign w:val="bottom"/>
            <w:gridSpan w:val="2"/>
          </w:tcPr>
          <w:p>
            <w:pPr>
              <w:jc w:val="center"/>
              <w:ind w:left="24"/>
              <w:spacing w:after="0"/>
              <w:rPr>
                <w:sz w:val="20"/>
                <w:szCs w:val="20"/>
                <w:color w:val="auto"/>
              </w:rPr>
            </w:pPr>
            <w:r>
              <w:rPr>
                <w:rFonts w:ascii="Times New Roman" w:cs="Times New Roman" w:eastAsia="Times New Roman" w:hAnsi="Times New Roman"/>
                <w:sz w:val="15"/>
                <w:szCs w:val="15"/>
                <w:color w:val="231F20"/>
              </w:rPr>
              <w:t>91%</w:t>
            </w:r>
          </w:p>
        </w:tc>
        <w:tc>
          <w:tcPr>
            <w:tcW w:w="80" w:type="dxa"/>
            <w:vAlign w:val="bottom"/>
          </w:tcPr>
          <w:p>
            <w:pPr>
              <w:spacing w:after="0"/>
              <w:rPr>
                <w:sz w:val="17"/>
                <w:szCs w:val="17"/>
                <w:color w:val="auto"/>
              </w:rPr>
            </w:pPr>
          </w:p>
        </w:tc>
        <w:tc>
          <w:tcPr>
            <w:tcW w:w="2040" w:type="dxa"/>
            <w:vAlign w:val="bottom"/>
          </w:tcPr>
          <w:p>
            <w:pPr>
              <w:ind w:left="40"/>
              <w:spacing w:after="0"/>
              <w:rPr>
                <w:sz w:val="20"/>
                <w:szCs w:val="20"/>
                <w:color w:val="auto"/>
              </w:rPr>
            </w:pPr>
            <w:r>
              <w:rPr>
                <w:rFonts w:ascii="Times New Roman" w:cs="Times New Roman" w:eastAsia="Times New Roman" w:hAnsi="Times New Roman"/>
                <w:sz w:val="15"/>
                <w:szCs w:val="15"/>
                <w:color w:val="231F20"/>
              </w:rPr>
              <w:t>Harris Teeter</w:t>
            </w: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2640" w:type="dxa"/>
            <w:vAlign w:val="bottom"/>
            <w:gridSpan w:val="2"/>
          </w:tcPr>
          <w:p>
            <w:pPr>
              <w:ind w:left="100"/>
              <w:spacing w:after="0" w:line="152" w:lineRule="exact"/>
              <w:rPr>
                <w:sz w:val="20"/>
                <w:szCs w:val="20"/>
                <w:color w:val="auto"/>
              </w:rPr>
            </w:pPr>
            <w:r>
              <w:rPr>
                <w:rFonts w:ascii="Times New Roman" w:cs="Times New Roman" w:eastAsia="Times New Roman" w:hAnsi="Times New Roman"/>
                <w:sz w:val="15"/>
                <w:szCs w:val="15"/>
                <w:color w:val="231F20"/>
              </w:rPr>
              <w:t>Arlington, VA 22206(7)</w:t>
            </w:r>
          </w:p>
        </w:tc>
        <w:tc>
          <w:tcPr>
            <w:tcW w:w="920" w:type="dxa"/>
            <w:vAlign w:val="bottom"/>
            <w:gridSpan w:val="2"/>
          </w:tcPr>
          <w:p>
            <w:pPr>
              <w:jc w:val="center"/>
              <w:spacing w:after="0" w:line="152" w:lineRule="exact"/>
              <w:rPr>
                <w:sz w:val="20"/>
                <w:szCs w:val="20"/>
                <w:color w:val="auto"/>
              </w:rPr>
            </w:pPr>
            <w:r>
              <w:rPr>
                <w:rFonts w:ascii="Times New Roman" w:cs="Times New Roman" w:eastAsia="Times New Roman" w:hAnsi="Times New Roman"/>
                <w:sz w:val="15"/>
                <w:szCs w:val="15"/>
                <w:color w:val="231F20"/>
              </w:rPr>
              <w:t>2006-2009</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ind w:left="40"/>
              <w:spacing w:after="0" w:line="152" w:lineRule="exact"/>
              <w:rPr>
                <w:sz w:val="20"/>
                <w:szCs w:val="20"/>
                <w:color w:val="auto"/>
              </w:rPr>
            </w:pPr>
            <w:r>
              <w:rPr>
                <w:rFonts w:ascii="Times New Roman" w:cs="Times New Roman" w:eastAsia="Times New Roman" w:hAnsi="Times New Roman"/>
                <w:sz w:val="15"/>
                <w:szCs w:val="15"/>
                <w:color w:val="231F20"/>
              </w:rPr>
              <w:t>CVS</w:t>
            </w: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ind w:left="40"/>
              <w:spacing w:after="0" w:line="152" w:lineRule="exact"/>
              <w:rPr>
                <w:sz w:val="20"/>
                <w:szCs w:val="20"/>
                <w:color w:val="auto"/>
              </w:rPr>
            </w:pPr>
            <w:r>
              <w:rPr>
                <w:rFonts w:ascii="Times New Roman" w:cs="Times New Roman" w:eastAsia="Times New Roman" w:hAnsi="Times New Roman"/>
                <w:sz w:val="15"/>
                <w:szCs w:val="15"/>
                <w:color w:val="231F20"/>
              </w:rPr>
              <w:t>AMC</w:t>
            </w: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40" w:type="dxa"/>
            <w:vAlign w:val="bottom"/>
          </w:tcPr>
          <w:p>
            <w:pPr>
              <w:ind w:left="40"/>
              <w:spacing w:after="0"/>
              <w:rPr>
                <w:sz w:val="20"/>
                <w:szCs w:val="20"/>
                <w:color w:val="auto"/>
              </w:rPr>
            </w:pPr>
            <w:r>
              <w:rPr>
                <w:rFonts w:ascii="Times New Roman" w:cs="Times New Roman" w:eastAsia="Times New Roman" w:hAnsi="Times New Roman"/>
                <w:sz w:val="15"/>
                <w:szCs w:val="15"/>
                <w:color w:val="231F20"/>
              </w:rPr>
              <w:t>Multiple Restaurants</w:t>
            </w:r>
          </w:p>
        </w:tc>
        <w:tc>
          <w:tcPr>
            <w:tcW w:w="0" w:type="dxa"/>
            <w:vAlign w:val="bottom"/>
          </w:tcPr>
          <w:p>
            <w:pPr>
              <w:spacing w:after="0"/>
              <w:rPr>
                <w:sz w:val="1"/>
                <w:szCs w:val="1"/>
                <w:color w:val="auto"/>
              </w:rPr>
            </w:pPr>
          </w:p>
        </w:tc>
      </w:tr>
      <w:tr>
        <w:trPr>
          <w:trHeight w:val="183"/>
        </w:trPr>
        <w:tc>
          <w:tcPr>
            <w:tcW w:w="60" w:type="dxa"/>
            <w:vAlign w:val="bottom"/>
          </w:tcPr>
          <w:p>
            <w:pPr>
              <w:spacing w:after="0"/>
              <w:rPr>
                <w:sz w:val="15"/>
                <w:szCs w:val="15"/>
                <w:color w:val="auto"/>
              </w:rPr>
            </w:pPr>
          </w:p>
        </w:tc>
        <w:tc>
          <w:tcPr>
            <w:tcW w:w="2640" w:type="dxa"/>
            <w:vAlign w:val="bottom"/>
            <w:gridSpan w:val="2"/>
          </w:tcPr>
          <w:p>
            <w:pPr>
              <w:spacing w:after="0"/>
              <w:rPr>
                <w:sz w:val="20"/>
                <w:szCs w:val="20"/>
                <w:color w:val="auto"/>
              </w:rPr>
            </w:pPr>
            <w:r>
              <w:rPr>
                <w:rFonts w:ascii="Times New Roman" w:cs="Times New Roman" w:eastAsia="Times New Roman" w:hAnsi="Times New Roman"/>
                <w:sz w:val="15"/>
                <w:szCs w:val="15"/>
                <w:color w:val="231F20"/>
              </w:rPr>
              <w:t>Virginia Gateway</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231F20"/>
              </w:rPr>
              <w:t>1999,</w:t>
            </w:r>
          </w:p>
        </w:tc>
        <w:tc>
          <w:tcPr>
            <w:tcW w:w="880" w:type="dxa"/>
            <w:vAlign w:val="bottom"/>
            <w:gridSpan w:val="2"/>
          </w:tcPr>
          <w:p>
            <w:pPr>
              <w:jc w:val="center"/>
              <w:ind w:left="24"/>
              <w:spacing w:after="0"/>
              <w:rPr>
                <w:sz w:val="20"/>
                <w:szCs w:val="20"/>
                <w:color w:val="auto"/>
              </w:rPr>
            </w:pPr>
            <w:r>
              <w:rPr>
                <w:rFonts w:ascii="Times New Roman" w:cs="Times New Roman" w:eastAsia="Times New Roman" w:hAnsi="Times New Roman"/>
                <w:sz w:val="15"/>
                <w:szCs w:val="15"/>
                <w:color w:val="231F20"/>
                <w:w w:val="99"/>
              </w:rPr>
              <w:t>2024</w:t>
            </w:r>
          </w:p>
        </w:tc>
        <w:tc>
          <w:tcPr>
            <w:tcW w:w="1100" w:type="dxa"/>
            <w:vAlign w:val="bottom"/>
            <w:gridSpan w:val="2"/>
          </w:tcPr>
          <w:p>
            <w:pPr>
              <w:jc w:val="center"/>
              <w:ind w:left="44"/>
              <w:spacing w:after="0"/>
              <w:rPr>
                <w:sz w:val="20"/>
                <w:szCs w:val="20"/>
                <w:color w:val="auto"/>
              </w:rPr>
            </w:pPr>
            <w:r>
              <w:rPr>
                <w:rFonts w:ascii="Times New Roman" w:cs="Times New Roman" w:eastAsia="Times New Roman" w:hAnsi="Times New Roman"/>
                <w:sz w:val="15"/>
                <w:szCs w:val="15"/>
                <w:color w:val="231F20"/>
              </w:rPr>
              <w:t>668,000</w:t>
            </w:r>
          </w:p>
        </w:tc>
        <w:tc>
          <w:tcPr>
            <w:tcW w:w="1100" w:type="dxa"/>
            <w:vAlign w:val="bottom"/>
            <w:gridSpan w:val="2"/>
          </w:tcPr>
          <w:p>
            <w:pPr>
              <w:jc w:val="right"/>
              <w:ind w:right="224"/>
              <w:spacing w:after="0"/>
              <w:rPr>
                <w:sz w:val="20"/>
                <w:szCs w:val="20"/>
                <w:color w:val="auto"/>
              </w:rPr>
            </w:pPr>
            <w:r>
              <w:rPr>
                <w:rFonts w:ascii="Times New Roman" w:cs="Times New Roman" w:eastAsia="Times New Roman" w:hAnsi="Times New Roman"/>
                <w:sz w:val="15"/>
                <w:szCs w:val="15"/>
                <w:color w:val="231F20"/>
              </w:rPr>
              <w:t>$27.56</w:t>
            </w:r>
          </w:p>
        </w:tc>
        <w:tc>
          <w:tcPr>
            <w:tcW w:w="900" w:type="dxa"/>
            <w:vAlign w:val="bottom"/>
            <w:gridSpan w:val="2"/>
          </w:tcPr>
          <w:p>
            <w:pPr>
              <w:jc w:val="center"/>
              <w:ind w:left="24"/>
              <w:spacing w:after="0"/>
              <w:rPr>
                <w:sz w:val="20"/>
                <w:szCs w:val="20"/>
                <w:color w:val="auto"/>
              </w:rPr>
            </w:pPr>
            <w:r>
              <w:rPr>
                <w:rFonts w:ascii="Times New Roman" w:cs="Times New Roman" w:eastAsia="Times New Roman" w:hAnsi="Times New Roman"/>
                <w:sz w:val="15"/>
                <w:szCs w:val="15"/>
                <w:color w:val="231F20"/>
              </w:rPr>
              <w:t>98%</w:t>
            </w:r>
          </w:p>
        </w:tc>
        <w:tc>
          <w:tcPr>
            <w:tcW w:w="80" w:type="dxa"/>
            <w:vAlign w:val="bottom"/>
          </w:tcPr>
          <w:p>
            <w:pPr>
              <w:spacing w:after="0"/>
              <w:rPr>
                <w:sz w:val="15"/>
                <w:szCs w:val="15"/>
                <w:color w:val="auto"/>
              </w:rPr>
            </w:pPr>
          </w:p>
        </w:tc>
        <w:tc>
          <w:tcPr>
            <w:tcW w:w="2040" w:type="dxa"/>
            <w:vAlign w:val="bottom"/>
          </w:tcPr>
          <w:p>
            <w:pPr>
              <w:ind w:left="40"/>
              <w:spacing w:after="0"/>
              <w:rPr>
                <w:sz w:val="20"/>
                <w:szCs w:val="20"/>
                <w:color w:val="auto"/>
              </w:rPr>
            </w:pPr>
            <w:r>
              <w:rPr>
                <w:rFonts w:ascii="Times New Roman" w:cs="Times New Roman" w:eastAsia="Times New Roman" w:hAnsi="Times New Roman"/>
                <w:sz w:val="15"/>
                <w:szCs w:val="15"/>
                <w:color w:val="231F20"/>
              </w:rPr>
              <w:t>Giant Food</w:t>
            </w: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2640" w:type="dxa"/>
            <w:vAlign w:val="bottom"/>
            <w:gridSpan w:val="2"/>
          </w:tcPr>
          <w:p>
            <w:pPr>
              <w:ind w:left="100"/>
              <w:spacing w:after="0" w:line="152" w:lineRule="exact"/>
              <w:rPr>
                <w:sz w:val="20"/>
                <w:szCs w:val="20"/>
                <w:color w:val="auto"/>
              </w:rPr>
            </w:pPr>
            <w:r>
              <w:rPr>
                <w:rFonts w:ascii="Times New Roman" w:cs="Times New Roman" w:eastAsia="Times New Roman" w:hAnsi="Times New Roman"/>
                <w:sz w:val="15"/>
                <w:szCs w:val="15"/>
                <w:color w:val="231F20"/>
              </w:rPr>
              <w:t>Gainesville, VA 20015</w:t>
            </w:r>
          </w:p>
        </w:tc>
        <w:tc>
          <w:tcPr>
            <w:tcW w:w="920" w:type="dxa"/>
            <w:vAlign w:val="bottom"/>
            <w:gridSpan w:val="2"/>
          </w:tcPr>
          <w:p>
            <w:pPr>
              <w:jc w:val="center"/>
              <w:spacing w:after="0" w:line="152" w:lineRule="exact"/>
              <w:rPr>
                <w:sz w:val="20"/>
                <w:szCs w:val="20"/>
                <w:color w:val="auto"/>
              </w:rPr>
            </w:pPr>
            <w:r>
              <w:rPr>
                <w:rFonts w:ascii="Times New Roman" w:cs="Times New Roman" w:eastAsia="Times New Roman" w:hAnsi="Times New Roman"/>
                <w:sz w:val="15"/>
                <w:szCs w:val="15"/>
                <w:color w:val="231F20"/>
              </w:rPr>
              <w:t>2006-2008,</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ind w:left="40"/>
              <w:spacing w:after="0" w:line="152" w:lineRule="exact"/>
              <w:rPr>
                <w:sz w:val="20"/>
                <w:szCs w:val="20"/>
                <w:color w:val="auto"/>
              </w:rPr>
            </w:pPr>
            <w:r>
              <w:rPr>
                <w:rFonts w:ascii="Times New Roman" w:cs="Times New Roman" w:eastAsia="Times New Roman" w:hAnsi="Times New Roman"/>
                <w:sz w:val="15"/>
                <w:szCs w:val="15"/>
                <w:color w:val="231F20"/>
              </w:rPr>
              <w:t>HomeGoods</w:t>
            </w: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920" w:type="dxa"/>
            <w:vAlign w:val="bottom"/>
            <w:gridSpan w:val="2"/>
          </w:tcPr>
          <w:p>
            <w:pPr>
              <w:jc w:val="center"/>
              <w:spacing w:after="0" w:line="152" w:lineRule="exact"/>
              <w:rPr>
                <w:sz w:val="20"/>
                <w:szCs w:val="20"/>
                <w:color w:val="auto"/>
              </w:rPr>
            </w:pPr>
            <w:r>
              <w:rPr>
                <w:rFonts w:ascii="Times New Roman" w:cs="Times New Roman" w:eastAsia="Times New Roman" w:hAnsi="Times New Roman"/>
                <w:sz w:val="15"/>
                <w:szCs w:val="15"/>
                <w:color w:val="231F20"/>
              </w:rPr>
              <w:t>2013-2016</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ind w:left="40"/>
              <w:spacing w:after="0" w:line="152" w:lineRule="exact"/>
              <w:rPr>
                <w:sz w:val="20"/>
                <w:szCs w:val="20"/>
                <w:color w:val="auto"/>
              </w:rPr>
            </w:pPr>
            <w:r>
              <w:rPr>
                <w:rFonts w:ascii="Times New Roman" w:cs="Times New Roman" w:eastAsia="Times New Roman" w:hAnsi="Times New Roman"/>
                <w:sz w:val="15"/>
                <w:szCs w:val="15"/>
                <w:color w:val="231F20"/>
              </w:rPr>
              <w:t>Total Wine &amp; More</w:t>
            </w: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ind w:left="40"/>
              <w:spacing w:after="0" w:line="152" w:lineRule="exact"/>
              <w:rPr>
                <w:sz w:val="20"/>
                <w:szCs w:val="20"/>
                <w:color w:val="auto"/>
              </w:rPr>
            </w:pPr>
            <w:r>
              <w:rPr>
                <w:rFonts w:ascii="Times New Roman" w:cs="Times New Roman" w:eastAsia="Times New Roman" w:hAnsi="Times New Roman"/>
                <w:sz w:val="15"/>
                <w:szCs w:val="15"/>
                <w:color w:val="231F20"/>
              </w:rPr>
              <w:t>Best Buy</w:t>
            </w: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40" w:type="dxa"/>
            <w:vAlign w:val="bottom"/>
          </w:tcPr>
          <w:p>
            <w:pPr>
              <w:ind w:left="40"/>
              <w:spacing w:after="0"/>
              <w:rPr>
                <w:sz w:val="20"/>
                <w:szCs w:val="20"/>
                <w:color w:val="auto"/>
              </w:rPr>
            </w:pPr>
            <w:r>
              <w:rPr>
                <w:rFonts w:ascii="Times New Roman" w:cs="Times New Roman" w:eastAsia="Times New Roman" w:hAnsi="Times New Roman"/>
                <w:sz w:val="15"/>
                <w:szCs w:val="15"/>
                <w:color w:val="231F20"/>
              </w:rPr>
              <w:t>Ulta</w:t>
            </w:r>
          </w:p>
        </w:tc>
        <w:tc>
          <w:tcPr>
            <w:tcW w:w="0" w:type="dxa"/>
            <w:vAlign w:val="bottom"/>
          </w:tcPr>
          <w:p>
            <w:pPr>
              <w:spacing w:after="0"/>
              <w:rPr>
                <w:sz w:val="1"/>
                <w:szCs w:val="1"/>
                <w:color w:val="auto"/>
              </w:rPr>
            </w:pPr>
          </w:p>
        </w:tc>
      </w:tr>
      <w:tr>
        <w:trPr>
          <w:trHeight w:val="202"/>
        </w:trPr>
        <w:tc>
          <w:tcPr>
            <w:tcW w:w="60" w:type="dxa"/>
            <w:vAlign w:val="bottom"/>
          </w:tcPr>
          <w:p>
            <w:pPr>
              <w:spacing w:after="0"/>
              <w:rPr>
                <w:sz w:val="17"/>
                <w:szCs w:val="17"/>
                <w:color w:val="auto"/>
              </w:rPr>
            </w:pPr>
          </w:p>
        </w:tc>
        <w:tc>
          <w:tcPr>
            <w:tcW w:w="2640" w:type="dxa"/>
            <w:vAlign w:val="bottom"/>
            <w:gridSpan w:val="2"/>
          </w:tcPr>
          <w:p>
            <w:pPr>
              <w:spacing w:after="0"/>
              <w:rPr>
                <w:sz w:val="20"/>
                <w:szCs w:val="20"/>
                <w:color w:val="auto"/>
              </w:rPr>
            </w:pPr>
            <w:r>
              <w:rPr>
                <w:rFonts w:ascii="Times New Roman" w:cs="Times New Roman" w:eastAsia="Times New Roman" w:hAnsi="Times New Roman"/>
                <w:sz w:val="15"/>
                <w:szCs w:val="15"/>
                <w:color w:val="231F20"/>
              </w:rPr>
              <w:t>Westpost</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231F20"/>
              </w:rPr>
              <w:t>2001-2002</w:t>
            </w:r>
          </w:p>
        </w:tc>
        <w:tc>
          <w:tcPr>
            <w:tcW w:w="880" w:type="dxa"/>
            <w:vAlign w:val="bottom"/>
            <w:gridSpan w:val="2"/>
          </w:tcPr>
          <w:p>
            <w:pPr>
              <w:jc w:val="center"/>
              <w:ind w:left="4"/>
              <w:spacing w:after="0"/>
              <w:rPr>
                <w:sz w:val="20"/>
                <w:szCs w:val="20"/>
                <w:color w:val="auto"/>
              </w:rPr>
            </w:pPr>
            <w:r>
              <w:rPr>
                <w:rFonts w:ascii="Times New Roman" w:cs="Times New Roman" w:eastAsia="Times New Roman" w:hAnsi="Times New Roman"/>
                <w:sz w:val="15"/>
                <w:szCs w:val="15"/>
                <w:color w:val="231F20"/>
                <w:w w:val="99"/>
              </w:rPr>
              <w:t>1998/2010</w:t>
            </w:r>
          </w:p>
        </w:tc>
        <w:tc>
          <w:tcPr>
            <w:tcW w:w="1100" w:type="dxa"/>
            <w:vAlign w:val="bottom"/>
            <w:gridSpan w:val="2"/>
          </w:tcPr>
          <w:p>
            <w:pPr>
              <w:jc w:val="center"/>
              <w:ind w:left="44"/>
              <w:spacing w:after="0"/>
              <w:rPr>
                <w:sz w:val="20"/>
                <w:szCs w:val="20"/>
                <w:color w:val="auto"/>
              </w:rPr>
            </w:pPr>
            <w:r>
              <w:rPr>
                <w:rFonts w:ascii="Times New Roman" w:cs="Times New Roman" w:eastAsia="Times New Roman" w:hAnsi="Times New Roman"/>
                <w:sz w:val="15"/>
                <w:szCs w:val="15"/>
                <w:color w:val="231F20"/>
              </w:rPr>
              <w:t>298,000</w:t>
            </w:r>
          </w:p>
        </w:tc>
        <w:tc>
          <w:tcPr>
            <w:tcW w:w="1100" w:type="dxa"/>
            <w:vAlign w:val="bottom"/>
            <w:gridSpan w:val="2"/>
          </w:tcPr>
          <w:p>
            <w:pPr>
              <w:jc w:val="center"/>
              <w:ind w:left="44"/>
              <w:spacing w:after="0"/>
              <w:rPr>
                <w:sz w:val="20"/>
                <w:szCs w:val="20"/>
                <w:color w:val="auto"/>
              </w:rPr>
            </w:pPr>
            <w:r>
              <w:rPr>
                <w:rFonts w:ascii="Times New Roman" w:cs="Times New Roman" w:eastAsia="Times New Roman" w:hAnsi="Times New Roman"/>
                <w:sz w:val="15"/>
                <w:szCs w:val="15"/>
                <w:color w:val="231F20"/>
              </w:rPr>
              <w:t>$35.22</w:t>
            </w:r>
          </w:p>
        </w:tc>
        <w:tc>
          <w:tcPr>
            <w:tcW w:w="900" w:type="dxa"/>
            <w:vAlign w:val="bottom"/>
            <w:gridSpan w:val="2"/>
          </w:tcPr>
          <w:p>
            <w:pPr>
              <w:jc w:val="center"/>
              <w:ind w:left="24"/>
              <w:spacing w:after="0"/>
              <w:rPr>
                <w:sz w:val="20"/>
                <w:szCs w:val="20"/>
                <w:color w:val="auto"/>
              </w:rPr>
            </w:pPr>
            <w:r>
              <w:rPr>
                <w:rFonts w:ascii="Times New Roman" w:cs="Times New Roman" w:eastAsia="Times New Roman" w:hAnsi="Times New Roman"/>
                <w:sz w:val="15"/>
                <w:szCs w:val="15"/>
                <w:color w:val="231F20"/>
              </w:rPr>
              <w:t>99%</w:t>
            </w:r>
          </w:p>
        </w:tc>
        <w:tc>
          <w:tcPr>
            <w:tcW w:w="80" w:type="dxa"/>
            <w:vAlign w:val="bottom"/>
          </w:tcPr>
          <w:p>
            <w:pPr>
              <w:spacing w:after="0"/>
              <w:rPr>
                <w:sz w:val="17"/>
                <w:szCs w:val="17"/>
                <w:color w:val="auto"/>
              </w:rPr>
            </w:pPr>
          </w:p>
        </w:tc>
        <w:tc>
          <w:tcPr>
            <w:tcW w:w="2040" w:type="dxa"/>
            <w:vAlign w:val="bottom"/>
          </w:tcPr>
          <w:p>
            <w:pPr>
              <w:ind w:left="40"/>
              <w:spacing w:after="0"/>
              <w:rPr>
                <w:sz w:val="20"/>
                <w:szCs w:val="20"/>
                <w:color w:val="auto"/>
              </w:rPr>
            </w:pPr>
            <w:r>
              <w:rPr>
                <w:rFonts w:ascii="Times New Roman" w:cs="Times New Roman" w:eastAsia="Times New Roman" w:hAnsi="Times New Roman"/>
                <w:sz w:val="15"/>
                <w:szCs w:val="15"/>
                <w:color w:val="231F20"/>
              </w:rPr>
              <w:t>Harris Teeter</w:t>
            </w: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2640" w:type="dxa"/>
            <w:vAlign w:val="bottom"/>
            <w:gridSpan w:val="2"/>
          </w:tcPr>
          <w:p>
            <w:pPr>
              <w:ind w:left="100"/>
              <w:spacing w:after="0" w:line="152" w:lineRule="exact"/>
              <w:rPr>
                <w:sz w:val="20"/>
                <w:szCs w:val="20"/>
                <w:color w:val="auto"/>
              </w:rPr>
            </w:pPr>
            <w:r>
              <w:rPr>
                <w:rFonts w:ascii="Times New Roman" w:cs="Times New Roman" w:eastAsia="Times New Roman" w:hAnsi="Times New Roman"/>
                <w:sz w:val="15"/>
                <w:szCs w:val="15"/>
                <w:color w:val="231F20"/>
              </w:rPr>
              <w:t>Arlington, VA 22202</w:t>
            </w: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ind w:left="40"/>
              <w:spacing w:after="0" w:line="152" w:lineRule="exact"/>
              <w:rPr>
                <w:sz w:val="20"/>
                <w:szCs w:val="20"/>
                <w:color w:val="auto"/>
              </w:rPr>
            </w:pPr>
            <w:r>
              <w:rPr>
                <w:rFonts w:ascii="Times New Roman" w:cs="Times New Roman" w:eastAsia="Times New Roman" w:hAnsi="Times New Roman"/>
                <w:sz w:val="15"/>
                <w:szCs w:val="15"/>
                <w:color w:val="231F20"/>
              </w:rPr>
              <w:t>Target</w:t>
            </w:r>
          </w:p>
        </w:tc>
        <w:tc>
          <w:tcPr>
            <w:tcW w:w="0" w:type="dxa"/>
            <w:vAlign w:val="bottom"/>
          </w:tcPr>
          <w:p>
            <w:pPr>
              <w:spacing w:after="0"/>
              <w:rPr>
                <w:sz w:val="1"/>
                <w:szCs w:val="1"/>
                <w:color w:val="auto"/>
              </w:rPr>
            </w:pPr>
          </w:p>
        </w:tc>
      </w:tr>
      <w:tr>
        <w:trPr>
          <w:trHeight w:val="168"/>
        </w:trPr>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40" w:type="dxa"/>
            <w:vAlign w:val="bottom"/>
          </w:tcPr>
          <w:p>
            <w:pPr>
              <w:ind w:left="40"/>
              <w:spacing w:after="0" w:line="168" w:lineRule="exact"/>
              <w:rPr>
                <w:sz w:val="20"/>
                <w:szCs w:val="20"/>
                <w:color w:val="auto"/>
              </w:rPr>
            </w:pPr>
            <w:r>
              <w:rPr>
                <w:rFonts w:ascii="Times New Roman" w:cs="Times New Roman" w:eastAsia="Times New Roman" w:hAnsi="Times New Roman"/>
                <w:sz w:val="15"/>
                <w:szCs w:val="15"/>
                <w:color w:val="231F20"/>
              </w:rPr>
              <w:t>TJ Maxx</w:t>
            </w:r>
          </w:p>
        </w:tc>
        <w:tc>
          <w:tcPr>
            <w:tcW w:w="0" w:type="dxa"/>
            <w:vAlign w:val="bottom"/>
          </w:tcPr>
          <w:p>
            <w:pPr>
              <w:spacing w:after="0"/>
              <w:rPr>
                <w:sz w:val="1"/>
                <w:szCs w:val="1"/>
                <w:color w:val="auto"/>
              </w:rPr>
            </w:pPr>
          </w:p>
        </w:tc>
      </w:tr>
    </w:tbl>
    <w:p>
      <w:pPr>
        <w:ind w:left="7720"/>
        <w:spacing w:after="0" w:line="211" w:lineRule="auto"/>
        <w:rPr>
          <w:sz w:val="20"/>
          <w:szCs w:val="20"/>
          <w:color w:val="auto"/>
        </w:rPr>
      </w:pPr>
      <w:r>
        <w:rPr>
          <w:rFonts w:ascii="Times New Roman" w:cs="Times New Roman" w:eastAsia="Times New Roman" w:hAnsi="Times New Roman"/>
          <w:sz w:val="15"/>
          <w:szCs w:val="15"/>
          <w:color w:val="231F20"/>
        </w:rPr>
        <w:t>Ulta</w:t>
      </w:r>
    </w:p>
    <w:p>
      <w:pPr>
        <w:ind w:left="7720"/>
        <w:spacing w:after="0" w:line="212" w:lineRule="auto"/>
        <w:rPr>
          <w:sz w:val="20"/>
          <w:szCs w:val="20"/>
          <w:color w:val="auto"/>
        </w:rPr>
      </w:pPr>
      <w:r>
        <w:rPr>
          <w:rFonts w:ascii="Times New Roman" w:cs="Times New Roman" w:eastAsia="Times New Roman" w:hAnsi="Times New Roman"/>
          <w:sz w:val="15"/>
          <w:szCs w:val="15"/>
          <w:color w:val="231F20"/>
        </w:rPr>
        <w:t>Walgreens</w:t>
      </w:r>
    </w:p>
    <w:p>
      <w:pPr>
        <w:ind w:left="7720"/>
        <w:spacing w:after="0"/>
        <w:rPr>
          <w:sz w:val="20"/>
          <w:szCs w:val="20"/>
          <w:color w:val="auto"/>
        </w:rPr>
      </w:pPr>
      <w:r>
        <w:rPr>
          <w:rFonts w:ascii="Times New Roman" w:cs="Times New Roman" w:eastAsia="Times New Roman" w:hAnsi="Times New Roman"/>
          <w:sz w:val="15"/>
          <w:szCs w:val="15"/>
          <w:color w:val="231F20"/>
        </w:rPr>
        <w:t>DSW</w:t>
      </w:r>
    </w:p>
    <w:p>
      <w:pPr>
        <w:sectPr>
          <w:pgSz w:w="11880" w:h="15480" w:orient="portrait"/>
          <w:cols w:equalWidth="0" w:num="1">
            <w:col w:w="9720"/>
          </w:cols>
          <w:pgMar w:left="1060" w:top="1003" w:right="1100" w:bottom="0" w:gutter="0" w:footer="0" w:header="0"/>
        </w:sectPr>
      </w:pPr>
    </w:p>
    <w:p>
      <w:pPr>
        <w:spacing w:after="0" w:line="3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231F20"/>
        </w:rPr>
        <w:t>27</w:t>
      </w:r>
    </w:p>
    <w:p>
      <w:pPr>
        <w:sectPr>
          <w:pgSz w:w="11880" w:h="15480" w:orient="portrait"/>
          <w:cols w:equalWidth="0" w:num="1">
            <w:col w:w="9720"/>
          </w:cols>
          <w:pgMar w:left="1060" w:top="1003" w:right="1100" w:bottom="0" w:gutter="0" w:footer="0" w:header="0"/>
          <w:type w:val="continuous"/>
        </w:sectPr>
      </w:pPr>
    </w:p>
    <w:bookmarkStart w:id="35" w:name="page36"/>
    <w:bookmarkEnd w:id="35"/>
    <w:tbl>
      <w:tblPr>
        <w:tblLayout w:type="fixed"/>
        <w:tblInd w:w="0" w:type="dxa"/>
        <w:tblCellMar>
          <w:top w:w="0" w:type="dxa"/>
          <w:left w:w="0" w:type="dxa"/>
          <w:bottom w:w="0" w:type="dxa"/>
          <w:right w:w="0" w:type="dxa"/>
        </w:tblCellMar>
      </w:tblPr>
      <w:tr>
        <w:trPr>
          <w:trHeight w:val="172"/>
        </w:trPr>
        <w:tc>
          <w:tcPr>
            <w:tcW w:w="2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231F20"/>
              </w:rPr>
              <w:t>Square</w:t>
            </w:r>
          </w:p>
        </w:tc>
        <w:tc>
          <w:tcPr>
            <w:tcW w:w="8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231F20"/>
              </w:rPr>
              <w:t>Average Base</w:t>
            </w: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2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231F20"/>
              </w:rPr>
              <w:t>Year</w:t>
            </w:r>
          </w:p>
        </w:tc>
        <w:tc>
          <w:tcPr>
            <w:tcW w:w="80" w:type="dxa"/>
            <w:vAlign w:val="bottom"/>
          </w:tcPr>
          <w:p>
            <w:pPr>
              <w:spacing w:after="0"/>
              <w:rPr>
                <w:sz w:val="13"/>
                <w:szCs w:val="13"/>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231F20"/>
              </w:rPr>
              <w:t>Year</w:t>
            </w:r>
          </w:p>
        </w:tc>
        <w:tc>
          <w:tcPr>
            <w:tcW w:w="80" w:type="dxa"/>
            <w:vAlign w:val="bottom"/>
          </w:tcPr>
          <w:p>
            <w:pPr>
              <w:spacing w:after="0"/>
              <w:rPr>
                <w:sz w:val="13"/>
                <w:szCs w:val="13"/>
                <w:color w:val="auto"/>
              </w:rPr>
            </w:pPr>
          </w:p>
        </w:tc>
        <w:tc>
          <w:tcPr>
            <w:tcW w:w="1020" w:type="dxa"/>
            <w:vAlign w:val="bottom"/>
          </w:tcPr>
          <w:p>
            <w:pPr>
              <w:jc w:val="right"/>
              <w:ind w:right="164"/>
              <w:spacing w:after="0" w:line="152" w:lineRule="exact"/>
              <w:rPr>
                <w:sz w:val="20"/>
                <w:szCs w:val="20"/>
                <w:color w:val="auto"/>
              </w:rPr>
            </w:pPr>
            <w:r>
              <w:rPr>
                <w:rFonts w:ascii="Times New Roman" w:cs="Times New Roman" w:eastAsia="Times New Roman" w:hAnsi="Times New Roman"/>
                <w:sz w:val="15"/>
                <w:szCs w:val="15"/>
                <w:b w:val="1"/>
                <w:bCs w:val="1"/>
                <w:color w:val="231F20"/>
              </w:rPr>
              <w:t>Feet(1) /</w:t>
            </w:r>
          </w:p>
        </w:tc>
        <w:tc>
          <w:tcPr>
            <w:tcW w:w="80" w:type="dxa"/>
            <w:vAlign w:val="bottom"/>
          </w:tcPr>
          <w:p>
            <w:pPr>
              <w:spacing w:after="0"/>
              <w:rPr>
                <w:sz w:val="13"/>
                <w:szCs w:val="13"/>
                <w:color w:val="auto"/>
              </w:rPr>
            </w:pPr>
          </w:p>
        </w:tc>
        <w:tc>
          <w:tcPr>
            <w:tcW w:w="1020" w:type="dxa"/>
            <w:vAlign w:val="bottom"/>
          </w:tcPr>
          <w:p>
            <w:pPr>
              <w:jc w:val="center"/>
              <w:spacing w:after="0" w:line="152" w:lineRule="exact"/>
              <w:rPr>
                <w:sz w:val="20"/>
                <w:szCs w:val="20"/>
                <w:color w:val="auto"/>
              </w:rPr>
            </w:pPr>
            <w:r>
              <w:rPr>
                <w:rFonts w:ascii="Times New Roman" w:cs="Times New Roman" w:eastAsia="Times New Roman" w:hAnsi="Times New Roman"/>
                <w:sz w:val="15"/>
                <w:szCs w:val="15"/>
                <w:b w:val="1"/>
                <w:bCs w:val="1"/>
                <w:color w:val="231F20"/>
              </w:rPr>
              <w:t>Rent Per</w:t>
            </w:r>
          </w:p>
        </w:tc>
        <w:tc>
          <w:tcPr>
            <w:tcW w:w="60" w:type="dxa"/>
            <w:vAlign w:val="bottom"/>
          </w:tcPr>
          <w:p>
            <w:pPr>
              <w:spacing w:after="0"/>
              <w:rPr>
                <w:sz w:val="13"/>
                <w:szCs w:val="13"/>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231F20"/>
              </w:rPr>
              <w:t>Percentage</w:t>
            </w:r>
          </w:p>
        </w:tc>
        <w:tc>
          <w:tcPr>
            <w:tcW w:w="8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700" w:type="dxa"/>
            <w:vAlign w:val="bottom"/>
            <w:vMerge w:val="restart"/>
          </w:tcPr>
          <w:p>
            <w:pPr>
              <w:ind w:left="60"/>
              <w:spacing w:after="0"/>
              <w:rPr>
                <w:sz w:val="20"/>
                <w:szCs w:val="20"/>
                <w:color w:val="auto"/>
              </w:rPr>
            </w:pPr>
            <w:r>
              <w:rPr>
                <w:rFonts w:ascii="Times New Roman" w:cs="Times New Roman" w:eastAsia="Times New Roman" w:hAnsi="Times New Roman"/>
                <w:sz w:val="15"/>
                <w:szCs w:val="15"/>
                <w:b w:val="1"/>
                <w:bCs w:val="1"/>
                <w:color w:val="231F20"/>
              </w:rPr>
              <w:t>Property, City, State, Zip Code</w:t>
            </w:r>
          </w:p>
        </w:tc>
        <w:tc>
          <w:tcPr>
            <w:tcW w:w="6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jc w:val="center"/>
              <w:spacing w:after="0" w:line="152" w:lineRule="exact"/>
              <w:rPr>
                <w:sz w:val="20"/>
                <w:szCs w:val="20"/>
                <w:color w:val="auto"/>
              </w:rPr>
            </w:pPr>
            <w:r>
              <w:rPr>
                <w:rFonts w:ascii="Times New Roman" w:cs="Times New Roman" w:eastAsia="Times New Roman" w:hAnsi="Times New Roman"/>
                <w:sz w:val="15"/>
                <w:szCs w:val="15"/>
                <w:b w:val="1"/>
                <w:bCs w:val="1"/>
                <w:color w:val="231F20"/>
              </w:rPr>
              <w:t>Apartment</w:t>
            </w:r>
          </w:p>
        </w:tc>
        <w:tc>
          <w:tcPr>
            <w:tcW w:w="80" w:type="dxa"/>
            <w:vAlign w:val="bottom"/>
          </w:tcPr>
          <w:p>
            <w:pPr>
              <w:spacing w:after="0"/>
              <w:rPr>
                <w:sz w:val="13"/>
                <w:szCs w:val="13"/>
                <w:color w:val="auto"/>
              </w:rPr>
            </w:pPr>
          </w:p>
        </w:tc>
        <w:tc>
          <w:tcPr>
            <w:tcW w:w="1020" w:type="dxa"/>
            <w:vAlign w:val="bottom"/>
          </w:tcPr>
          <w:p>
            <w:pPr>
              <w:jc w:val="center"/>
              <w:spacing w:after="0" w:line="152" w:lineRule="exact"/>
              <w:rPr>
                <w:sz w:val="20"/>
                <w:szCs w:val="20"/>
                <w:color w:val="auto"/>
              </w:rPr>
            </w:pPr>
            <w:r>
              <w:rPr>
                <w:rFonts w:ascii="Times New Roman" w:cs="Times New Roman" w:eastAsia="Times New Roman" w:hAnsi="Times New Roman"/>
                <w:sz w:val="15"/>
                <w:szCs w:val="15"/>
                <w:b w:val="1"/>
                <w:bCs w:val="1"/>
                <w:color w:val="231F20"/>
              </w:rPr>
              <w:t>Square</w:t>
            </w:r>
          </w:p>
        </w:tc>
        <w:tc>
          <w:tcPr>
            <w:tcW w:w="6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vMerge w:val="restart"/>
          </w:tcPr>
          <w:p>
            <w:pPr>
              <w:ind w:left="380"/>
              <w:spacing w:after="0"/>
              <w:rPr>
                <w:sz w:val="20"/>
                <w:szCs w:val="20"/>
                <w:color w:val="auto"/>
              </w:rPr>
            </w:pPr>
            <w:r>
              <w:rPr>
                <w:rFonts w:ascii="Times New Roman" w:cs="Times New Roman" w:eastAsia="Times New Roman" w:hAnsi="Times New Roman"/>
                <w:sz w:val="15"/>
                <w:szCs w:val="15"/>
                <w:b w:val="1"/>
                <w:bCs w:val="1"/>
                <w:color w:val="231F20"/>
              </w:rPr>
              <w:t>Principal Tenant(s)</w:t>
            </w:r>
          </w:p>
        </w:tc>
        <w:tc>
          <w:tcPr>
            <w:tcW w:w="0" w:type="dxa"/>
            <w:vAlign w:val="bottom"/>
          </w:tcPr>
          <w:p>
            <w:pPr>
              <w:spacing w:after="0"/>
              <w:rPr>
                <w:sz w:val="1"/>
                <w:szCs w:val="1"/>
                <w:color w:val="auto"/>
              </w:rPr>
            </w:pPr>
          </w:p>
        </w:tc>
      </w:tr>
      <w:tr>
        <w:trPr>
          <w:trHeight w:val="203"/>
        </w:trPr>
        <w:tc>
          <w:tcPr>
            <w:tcW w:w="2700" w:type="dxa"/>
            <w:vAlign w:val="bottom"/>
            <w:tcBorders>
              <w:bottom w:val="single" w:sz="8" w:color="231F20"/>
            </w:tcBorders>
            <w:vMerge w:val="continue"/>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5"/>
                <w:szCs w:val="15"/>
                <w:b w:val="1"/>
                <w:bCs w:val="1"/>
                <w:color w:val="231F20"/>
              </w:rPr>
              <w:t>Completed</w:t>
            </w:r>
          </w:p>
        </w:tc>
        <w:tc>
          <w:tcPr>
            <w:tcW w:w="80" w:type="dxa"/>
            <w:vAlign w:val="bottom"/>
          </w:tcPr>
          <w:p>
            <w:pPr>
              <w:spacing w:after="0"/>
              <w:rPr>
                <w:sz w:val="17"/>
                <w:szCs w:val="17"/>
                <w:color w:val="auto"/>
              </w:rPr>
            </w:pPr>
          </w:p>
        </w:tc>
        <w:tc>
          <w:tcPr>
            <w:tcW w:w="80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5"/>
                <w:szCs w:val="15"/>
                <w:b w:val="1"/>
                <w:bCs w:val="1"/>
                <w:color w:val="231F20"/>
                <w:w w:val="99"/>
              </w:rPr>
              <w:t>Acquired</w:t>
            </w:r>
          </w:p>
        </w:tc>
        <w:tc>
          <w:tcPr>
            <w:tcW w:w="80" w:type="dxa"/>
            <w:vAlign w:val="bottom"/>
          </w:tcPr>
          <w:p>
            <w:pPr>
              <w:spacing w:after="0"/>
              <w:rPr>
                <w:sz w:val="17"/>
                <w:szCs w:val="17"/>
                <w:color w:val="auto"/>
              </w:rPr>
            </w:pPr>
          </w:p>
        </w:tc>
        <w:tc>
          <w:tcPr>
            <w:tcW w:w="102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5"/>
                <w:szCs w:val="15"/>
                <w:b w:val="1"/>
                <w:bCs w:val="1"/>
                <w:color w:val="231F20"/>
                <w:w w:val="99"/>
              </w:rPr>
              <w:t>Units</w:t>
            </w:r>
          </w:p>
        </w:tc>
        <w:tc>
          <w:tcPr>
            <w:tcW w:w="80" w:type="dxa"/>
            <w:vAlign w:val="bottom"/>
          </w:tcPr>
          <w:p>
            <w:pPr>
              <w:spacing w:after="0"/>
              <w:rPr>
                <w:sz w:val="17"/>
                <w:szCs w:val="17"/>
                <w:color w:val="auto"/>
              </w:rPr>
            </w:pPr>
          </w:p>
        </w:tc>
        <w:tc>
          <w:tcPr>
            <w:tcW w:w="102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5"/>
                <w:szCs w:val="15"/>
                <w:b w:val="1"/>
                <w:bCs w:val="1"/>
                <w:color w:val="231F20"/>
              </w:rPr>
              <w:t>Foot(2)</w:t>
            </w:r>
          </w:p>
        </w:tc>
        <w:tc>
          <w:tcPr>
            <w:tcW w:w="60" w:type="dxa"/>
            <w:vAlign w:val="bottom"/>
          </w:tcPr>
          <w:p>
            <w:pPr>
              <w:spacing w:after="0"/>
              <w:rPr>
                <w:sz w:val="17"/>
                <w:szCs w:val="17"/>
                <w:color w:val="auto"/>
              </w:rPr>
            </w:pPr>
          </w:p>
        </w:tc>
        <w:tc>
          <w:tcPr>
            <w:tcW w:w="84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5"/>
                <w:szCs w:val="15"/>
                <w:b w:val="1"/>
                <w:bCs w:val="1"/>
                <w:color w:val="231F20"/>
              </w:rPr>
              <w:t>Leased(3)</w:t>
            </w:r>
          </w:p>
        </w:tc>
        <w:tc>
          <w:tcPr>
            <w:tcW w:w="80" w:type="dxa"/>
            <w:vAlign w:val="bottom"/>
          </w:tcPr>
          <w:p>
            <w:pPr>
              <w:spacing w:after="0"/>
              <w:rPr>
                <w:sz w:val="17"/>
                <w:szCs w:val="17"/>
                <w:color w:val="auto"/>
              </w:rPr>
            </w:pPr>
          </w:p>
        </w:tc>
        <w:tc>
          <w:tcPr>
            <w:tcW w:w="2040" w:type="dxa"/>
            <w:vAlign w:val="bottom"/>
            <w:tcBorders>
              <w:bottom w:val="single" w:sz="8" w:color="231F20"/>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2700" w:type="dxa"/>
            <w:vAlign w:val="bottom"/>
          </w:tcPr>
          <w:p>
            <w:pPr>
              <w:ind w:left="60"/>
              <w:spacing w:after="0" w:line="146" w:lineRule="exact"/>
              <w:rPr>
                <w:sz w:val="20"/>
                <w:szCs w:val="20"/>
                <w:color w:val="auto"/>
              </w:rPr>
            </w:pPr>
            <w:r>
              <w:rPr>
                <w:rFonts w:ascii="Times New Roman" w:cs="Times New Roman" w:eastAsia="Times New Roman" w:hAnsi="Times New Roman"/>
                <w:sz w:val="15"/>
                <w:szCs w:val="15"/>
                <w:color w:val="231F20"/>
              </w:rPr>
              <w:t>Willow Lawn</w:t>
            </w:r>
          </w:p>
        </w:tc>
        <w:tc>
          <w:tcPr>
            <w:tcW w:w="60" w:type="dxa"/>
            <w:vAlign w:val="bottom"/>
          </w:tcPr>
          <w:p>
            <w:pPr>
              <w:spacing w:after="0"/>
              <w:rPr>
                <w:sz w:val="12"/>
                <w:szCs w:val="12"/>
                <w:color w:val="auto"/>
              </w:rPr>
            </w:pPr>
          </w:p>
        </w:tc>
        <w:tc>
          <w:tcPr>
            <w:tcW w:w="860" w:type="dxa"/>
            <w:vAlign w:val="bottom"/>
          </w:tcPr>
          <w:p>
            <w:pPr>
              <w:jc w:val="center"/>
              <w:spacing w:after="0" w:line="146" w:lineRule="exact"/>
              <w:rPr>
                <w:sz w:val="20"/>
                <w:szCs w:val="20"/>
                <w:color w:val="auto"/>
              </w:rPr>
            </w:pPr>
            <w:r>
              <w:rPr>
                <w:rFonts w:ascii="Times New Roman" w:cs="Times New Roman" w:eastAsia="Times New Roman" w:hAnsi="Times New Roman"/>
                <w:sz w:val="15"/>
                <w:szCs w:val="15"/>
                <w:color w:val="231F20"/>
                <w:w w:val="99"/>
              </w:rPr>
              <w:t>1957</w:t>
            </w:r>
          </w:p>
        </w:tc>
        <w:tc>
          <w:tcPr>
            <w:tcW w:w="80" w:type="dxa"/>
            <w:vAlign w:val="bottom"/>
          </w:tcPr>
          <w:p>
            <w:pPr>
              <w:spacing w:after="0"/>
              <w:rPr>
                <w:sz w:val="12"/>
                <w:szCs w:val="12"/>
                <w:color w:val="auto"/>
              </w:rPr>
            </w:pPr>
          </w:p>
        </w:tc>
        <w:tc>
          <w:tcPr>
            <w:tcW w:w="800" w:type="dxa"/>
            <w:vAlign w:val="bottom"/>
          </w:tcPr>
          <w:p>
            <w:pPr>
              <w:jc w:val="center"/>
              <w:spacing w:after="0" w:line="146" w:lineRule="exact"/>
              <w:rPr>
                <w:sz w:val="20"/>
                <w:szCs w:val="20"/>
                <w:color w:val="auto"/>
              </w:rPr>
            </w:pPr>
            <w:r>
              <w:rPr>
                <w:rFonts w:ascii="Times New Roman" w:cs="Times New Roman" w:eastAsia="Times New Roman" w:hAnsi="Times New Roman"/>
                <w:sz w:val="15"/>
                <w:szCs w:val="15"/>
                <w:color w:val="231F20"/>
                <w:w w:val="99"/>
              </w:rPr>
              <w:t>1983</w:t>
            </w:r>
          </w:p>
        </w:tc>
        <w:tc>
          <w:tcPr>
            <w:tcW w:w="80" w:type="dxa"/>
            <w:vAlign w:val="bottom"/>
          </w:tcPr>
          <w:p>
            <w:pPr>
              <w:spacing w:after="0"/>
              <w:rPr>
                <w:sz w:val="12"/>
                <w:szCs w:val="12"/>
                <w:color w:val="auto"/>
              </w:rPr>
            </w:pPr>
          </w:p>
        </w:tc>
        <w:tc>
          <w:tcPr>
            <w:tcW w:w="1020" w:type="dxa"/>
            <w:vAlign w:val="bottom"/>
          </w:tcPr>
          <w:p>
            <w:pPr>
              <w:jc w:val="right"/>
              <w:ind w:right="164"/>
              <w:spacing w:after="0" w:line="146" w:lineRule="exact"/>
              <w:rPr>
                <w:sz w:val="20"/>
                <w:szCs w:val="20"/>
                <w:color w:val="auto"/>
              </w:rPr>
            </w:pPr>
            <w:r>
              <w:rPr>
                <w:rFonts w:ascii="Times New Roman" w:cs="Times New Roman" w:eastAsia="Times New Roman" w:hAnsi="Times New Roman"/>
                <w:sz w:val="15"/>
                <w:szCs w:val="15"/>
                <w:color w:val="231F20"/>
              </w:rPr>
              <w:t>463,000</w:t>
            </w:r>
          </w:p>
        </w:tc>
        <w:tc>
          <w:tcPr>
            <w:tcW w:w="80" w:type="dxa"/>
            <w:vAlign w:val="bottom"/>
          </w:tcPr>
          <w:p>
            <w:pPr>
              <w:spacing w:after="0"/>
              <w:rPr>
                <w:sz w:val="12"/>
                <w:szCs w:val="12"/>
                <w:color w:val="auto"/>
              </w:rPr>
            </w:pPr>
          </w:p>
        </w:tc>
        <w:tc>
          <w:tcPr>
            <w:tcW w:w="1020" w:type="dxa"/>
            <w:vAlign w:val="bottom"/>
          </w:tcPr>
          <w:p>
            <w:pPr>
              <w:jc w:val="center"/>
              <w:spacing w:after="0" w:line="146" w:lineRule="exact"/>
              <w:rPr>
                <w:sz w:val="20"/>
                <w:szCs w:val="20"/>
                <w:color w:val="auto"/>
              </w:rPr>
            </w:pPr>
            <w:r>
              <w:rPr>
                <w:rFonts w:ascii="Times New Roman" w:cs="Times New Roman" w:eastAsia="Times New Roman" w:hAnsi="Times New Roman"/>
                <w:sz w:val="15"/>
                <w:szCs w:val="15"/>
                <w:color w:val="231F20"/>
              </w:rPr>
              <w:t>$23.49</w:t>
            </w:r>
          </w:p>
        </w:tc>
        <w:tc>
          <w:tcPr>
            <w:tcW w:w="60" w:type="dxa"/>
            <w:vAlign w:val="bottom"/>
          </w:tcPr>
          <w:p>
            <w:pPr>
              <w:spacing w:after="0"/>
              <w:rPr>
                <w:sz w:val="12"/>
                <w:szCs w:val="12"/>
                <w:color w:val="auto"/>
              </w:rPr>
            </w:pPr>
          </w:p>
        </w:tc>
        <w:tc>
          <w:tcPr>
            <w:tcW w:w="840" w:type="dxa"/>
            <w:vAlign w:val="bottom"/>
          </w:tcPr>
          <w:p>
            <w:pPr>
              <w:jc w:val="center"/>
              <w:spacing w:after="0" w:line="146" w:lineRule="exact"/>
              <w:rPr>
                <w:sz w:val="20"/>
                <w:szCs w:val="20"/>
                <w:color w:val="auto"/>
              </w:rPr>
            </w:pPr>
            <w:r>
              <w:rPr>
                <w:rFonts w:ascii="Times New Roman" w:cs="Times New Roman" w:eastAsia="Times New Roman" w:hAnsi="Times New Roman"/>
                <w:sz w:val="15"/>
                <w:szCs w:val="15"/>
                <w:color w:val="231F20"/>
              </w:rPr>
              <w:t>98%</w:t>
            </w:r>
          </w:p>
        </w:tc>
        <w:tc>
          <w:tcPr>
            <w:tcW w:w="80" w:type="dxa"/>
            <w:vAlign w:val="bottom"/>
          </w:tcPr>
          <w:p>
            <w:pPr>
              <w:spacing w:after="0"/>
              <w:rPr>
                <w:sz w:val="12"/>
                <w:szCs w:val="12"/>
                <w:color w:val="auto"/>
              </w:rPr>
            </w:pPr>
          </w:p>
        </w:tc>
        <w:tc>
          <w:tcPr>
            <w:tcW w:w="2040" w:type="dxa"/>
            <w:vAlign w:val="bottom"/>
          </w:tcPr>
          <w:p>
            <w:pPr>
              <w:ind w:left="40"/>
              <w:spacing w:after="0" w:line="146" w:lineRule="exact"/>
              <w:rPr>
                <w:sz w:val="20"/>
                <w:szCs w:val="20"/>
                <w:color w:val="auto"/>
              </w:rPr>
            </w:pPr>
            <w:r>
              <w:rPr>
                <w:rFonts w:ascii="Times New Roman" w:cs="Times New Roman" w:eastAsia="Times New Roman" w:hAnsi="Times New Roman"/>
                <w:sz w:val="15"/>
                <w:szCs w:val="15"/>
                <w:color w:val="231F20"/>
              </w:rPr>
              <w:t>Kroger</w:t>
            </w:r>
          </w:p>
        </w:tc>
        <w:tc>
          <w:tcPr>
            <w:tcW w:w="0" w:type="dxa"/>
            <w:vAlign w:val="bottom"/>
          </w:tcPr>
          <w:p>
            <w:pPr>
              <w:spacing w:after="0"/>
              <w:rPr>
                <w:sz w:val="1"/>
                <w:szCs w:val="1"/>
                <w:color w:val="auto"/>
              </w:rPr>
            </w:pPr>
          </w:p>
        </w:tc>
      </w:tr>
      <w:tr>
        <w:trPr>
          <w:trHeight w:val="152"/>
        </w:trPr>
        <w:tc>
          <w:tcPr>
            <w:tcW w:w="2700" w:type="dxa"/>
            <w:vAlign w:val="bottom"/>
          </w:tcPr>
          <w:p>
            <w:pPr>
              <w:ind w:left="160"/>
              <w:spacing w:after="0" w:line="152" w:lineRule="exact"/>
              <w:rPr>
                <w:sz w:val="20"/>
                <w:szCs w:val="20"/>
                <w:color w:val="auto"/>
              </w:rPr>
            </w:pPr>
            <w:r>
              <w:rPr>
                <w:rFonts w:ascii="Times New Roman" w:cs="Times New Roman" w:eastAsia="Times New Roman" w:hAnsi="Times New Roman"/>
                <w:sz w:val="15"/>
                <w:szCs w:val="15"/>
                <w:color w:val="231F20"/>
              </w:rPr>
              <w:t>Richmond, VA 23230</w:t>
            </w: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ind w:left="40"/>
              <w:spacing w:after="0" w:line="152" w:lineRule="exact"/>
              <w:rPr>
                <w:sz w:val="20"/>
                <w:szCs w:val="20"/>
                <w:color w:val="auto"/>
              </w:rPr>
            </w:pPr>
            <w:r>
              <w:rPr>
                <w:rFonts w:ascii="Times New Roman" w:cs="Times New Roman" w:eastAsia="Times New Roman" w:hAnsi="Times New Roman"/>
                <w:sz w:val="15"/>
                <w:szCs w:val="15"/>
                <w:color w:val="231F20"/>
              </w:rPr>
              <w:t>Old Navy</w:t>
            </w:r>
          </w:p>
        </w:tc>
        <w:tc>
          <w:tcPr>
            <w:tcW w:w="0" w:type="dxa"/>
            <w:vAlign w:val="bottom"/>
          </w:tcPr>
          <w:p>
            <w:pPr>
              <w:spacing w:after="0"/>
              <w:rPr>
                <w:sz w:val="1"/>
                <w:szCs w:val="1"/>
                <w:color w:val="auto"/>
              </w:rPr>
            </w:pPr>
          </w:p>
        </w:tc>
      </w:tr>
      <w:tr>
        <w:trPr>
          <w:trHeight w:val="152"/>
        </w:trPr>
        <w:tc>
          <w:tcPr>
            <w:tcW w:w="2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ind w:left="40"/>
              <w:spacing w:after="0" w:line="152" w:lineRule="exact"/>
              <w:rPr>
                <w:sz w:val="20"/>
                <w:szCs w:val="20"/>
                <w:color w:val="auto"/>
              </w:rPr>
            </w:pPr>
            <w:r>
              <w:rPr>
                <w:rFonts w:ascii="Times New Roman" w:cs="Times New Roman" w:eastAsia="Times New Roman" w:hAnsi="Times New Roman"/>
                <w:sz w:val="15"/>
                <w:szCs w:val="15"/>
                <w:color w:val="231F20"/>
              </w:rPr>
              <w:t>Ross Dress for Less</w:t>
            </w:r>
          </w:p>
        </w:tc>
        <w:tc>
          <w:tcPr>
            <w:tcW w:w="0" w:type="dxa"/>
            <w:vAlign w:val="bottom"/>
          </w:tcPr>
          <w:p>
            <w:pPr>
              <w:spacing w:after="0"/>
              <w:rPr>
                <w:sz w:val="1"/>
                <w:szCs w:val="1"/>
                <w:color w:val="auto"/>
              </w:rPr>
            </w:pPr>
          </w:p>
        </w:tc>
      </w:tr>
      <w:tr>
        <w:trPr>
          <w:trHeight w:val="152"/>
        </w:trPr>
        <w:tc>
          <w:tcPr>
            <w:tcW w:w="2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ind w:left="40"/>
              <w:spacing w:after="0" w:line="152" w:lineRule="exact"/>
              <w:rPr>
                <w:sz w:val="20"/>
                <w:szCs w:val="20"/>
                <w:color w:val="auto"/>
              </w:rPr>
            </w:pPr>
            <w:r>
              <w:rPr>
                <w:rFonts w:ascii="Times New Roman" w:cs="Times New Roman" w:eastAsia="Times New Roman" w:hAnsi="Times New Roman"/>
                <w:sz w:val="15"/>
                <w:szCs w:val="15"/>
                <w:color w:val="231F20"/>
              </w:rPr>
              <w:t>Gold's Gym</w:t>
            </w:r>
          </w:p>
        </w:tc>
        <w:tc>
          <w:tcPr>
            <w:tcW w:w="0" w:type="dxa"/>
            <w:vAlign w:val="bottom"/>
          </w:tcPr>
          <w:p>
            <w:pPr>
              <w:spacing w:after="0"/>
              <w:rPr>
                <w:sz w:val="1"/>
                <w:szCs w:val="1"/>
                <w:color w:val="auto"/>
              </w:rPr>
            </w:pPr>
          </w:p>
        </w:tc>
      </w:tr>
      <w:tr>
        <w:trPr>
          <w:trHeight w:val="152"/>
        </w:trPr>
        <w:tc>
          <w:tcPr>
            <w:tcW w:w="2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ind w:left="40"/>
              <w:spacing w:after="0" w:line="152" w:lineRule="exact"/>
              <w:rPr>
                <w:sz w:val="20"/>
                <w:szCs w:val="20"/>
                <w:color w:val="auto"/>
              </w:rPr>
            </w:pPr>
            <w:r>
              <w:rPr>
                <w:rFonts w:ascii="Times New Roman" w:cs="Times New Roman" w:eastAsia="Times New Roman" w:hAnsi="Times New Roman"/>
                <w:sz w:val="15"/>
                <w:szCs w:val="15"/>
                <w:color w:val="231F20"/>
              </w:rPr>
              <w:t>Dick's Sporting Goods</w:t>
            </w:r>
          </w:p>
        </w:tc>
        <w:tc>
          <w:tcPr>
            <w:tcW w:w="0" w:type="dxa"/>
            <w:vAlign w:val="bottom"/>
          </w:tcPr>
          <w:p>
            <w:pPr>
              <w:spacing w:after="0"/>
              <w:rPr>
                <w:sz w:val="1"/>
                <w:szCs w:val="1"/>
                <w:color w:val="auto"/>
              </w:rPr>
            </w:pPr>
          </w:p>
        </w:tc>
      </w:tr>
      <w:tr>
        <w:trPr>
          <w:trHeight w:val="198"/>
        </w:trPr>
        <w:tc>
          <w:tcPr>
            <w:tcW w:w="2700" w:type="dxa"/>
            <w:vAlign w:val="bottom"/>
            <w:vMerge w:val="restart"/>
          </w:tcPr>
          <w:p>
            <w:pPr>
              <w:ind w:left="60"/>
              <w:spacing w:after="0"/>
              <w:rPr>
                <w:sz w:val="20"/>
                <w:szCs w:val="20"/>
                <w:color w:val="auto"/>
              </w:rPr>
            </w:pPr>
            <w:r>
              <w:rPr>
                <w:rFonts w:ascii="Times New Roman" w:cs="Times New Roman" w:eastAsia="Times New Roman" w:hAnsi="Times New Roman"/>
                <w:sz w:val="15"/>
                <w:szCs w:val="15"/>
                <w:b w:val="1"/>
                <w:bCs w:val="1"/>
                <w:color w:val="231F20"/>
              </w:rPr>
              <w:t>Total — Commercial (9)</w:t>
            </w: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00" w:type="dxa"/>
            <w:vAlign w:val="bottom"/>
            <w:gridSpan w:val="2"/>
            <w:vMerge w:val="restart"/>
          </w:tcPr>
          <w:p>
            <w:pPr>
              <w:jc w:val="center"/>
              <w:ind w:left="44"/>
              <w:spacing w:after="0"/>
              <w:rPr>
                <w:sz w:val="20"/>
                <w:szCs w:val="20"/>
                <w:color w:val="auto"/>
              </w:rPr>
            </w:pPr>
            <w:r>
              <w:rPr>
                <w:rFonts w:ascii="Times New Roman" w:cs="Times New Roman" w:eastAsia="Times New Roman" w:hAnsi="Times New Roman"/>
                <w:sz w:val="15"/>
                <w:szCs w:val="15"/>
                <w:b w:val="1"/>
                <w:bCs w:val="1"/>
                <w:color w:val="231F20"/>
              </w:rPr>
              <w:t>28,798,000</w:t>
            </w:r>
          </w:p>
        </w:tc>
        <w:tc>
          <w:tcPr>
            <w:tcW w:w="1100" w:type="dxa"/>
            <w:vAlign w:val="bottom"/>
            <w:gridSpan w:val="2"/>
            <w:vMerge w:val="restart"/>
          </w:tcPr>
          <w:p>
            <w:pPr>
              <w:jc w:val="center"/>
              <w:ind w:left="44"/>
              <w:spacing w:after="0"/>
              <w:rPr>
                <w:sz w:val="20"/>
                <w:szCs w:val="20"/>
                <w:color w:val="auto"/>
              </w:rPr>
            </w:pPr>
            <w:r>
              <w:rPr>
                <w:rFonts w:ascii="Times New Roman" w:cs="Times New Roman" w:eastAsia="Times New Roman" w:hAnsi="Times New Roman"/>
                <w:sz w:val="15"/>
                <w:szCs w:val="15"/>
                <w:b w:val="1"/>
                <w:bCs w:val="1"/>
                <w:color w:val="231F20"/>
              </w:rPr>
              <w:t>$32.79</w:t>
            </w:r>
          </w:p>
        </w:tc>
        <w:tc>
          <w:tcPr>
            <w:tcW w:w="900" w:type="dxa"/>
            <w:vAlign w:val="bottom"/>
            <w:gridSpan w:val="2"/>
            <w:vMerge w:val="restart"/>
          </w:tcPr>
          <w:p>
            <w:pPr>
              <w:jc w:val="center"/>
              <w:ind w:left="24"/>
              <w:spacing w:after="0"/>
              <w:rPr>
                <w:sz w:val="20"/>
                <w:szCs w:val="20"/>
                <w:color w:val="auto"/>
              </w:rPr>
            </w:pPr>
            <w:r>
              <w:rPr>
                <w:rFonts w:ascii="Times New Roman" w:cs="Times New Roman" w:eastAsia="Times New Roman" w:hAnsi="Times New Roman"/>
                <w:sz w:val="15"/>
                <w:szCs w:val="15"/>
                <w:color w:val="231F20"/>
              </w:rPr>
              <w:t>96%</w:t>
            </w:r>
          </w:p>
        </w:tc>
        <w:tc>
          <w:tcPr>
            <w:tcW w:w="80" w:type="dxa"/>
            <w:vAlign w:val="bottom"/>
          </w:tcPr>
          <w:p>
            <w:pPr>
              <w:spacing w:after="0"/>
              <w:rPr>
                <w:sz w:val="17"/>
                <w:szCs w:val="17"/>
                <w:color w:val="auto"/>
              </w:rPr>
            </w:pPr>
          </w:p>
        </w:tc>
        <w:tc>
          <w:tcPr>
            <w:tcW w:w="2040" w:type="dxa"/>
            <w:vAlign w:val="bottom"/>
          </w:tcPr>
          <w:p>
            <w:pPr>
              <w:ind w:left="40"/>
              <w:spacing w:after="0"/>
              <w:rPr>
                <w:sz w:val="20"/>
                <w:szCs w:val="20"/>
                <w:color w:val="auto"/>
              </w:rPr>
            </w:pPr>
            <w:r>
              <w:rPr>
                <w:rFonts w:ascii="Times New Roman" w:cs="Times New Roman" w:eastAsia="Times New Roman" w:hAnsi="Times New Roman"/>
                <w:sz w:val="15"/>
                <w:szCs w:val="15"/>
                <w:color w:val="231F20"/>
              </w:rPr>
              <w:t>Ulta</w:t>
            </w:r>
          </w:p>
        </w:tc>
        <w:tc>
          <w:tcPr>
            <w:tcW w:w="0" w:type="dxa"/>
            <w:vAlign w:val="bottom"/>
          </w:tcPr>
          <w:p>
            <w:pPr>
              <w:spacing w:after="0"/>
              <w:rPr>
                <w:sz w:val="1"/>
                <w:szCs w:val="1"/>
                <w:color w:val="auto"/>
              </w:rPr>
            </w:pPr>
          </w:p>
        </w:tc>
      </w:tr>
      <w:tr>
        <w:trPr>
          <w:trHeight w:val="195"/>
        </w:trPr>
        <w:tc>
          <w:tcPr>
            <w:tcW w:w="27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4"/>
        </w:trPr>
        <w:tc>
          <w:tcPr>
            <w:tcW w:w="2700" w:type="dxa"/>
            <w:vAlign w:val="bottom"/>
          </w:tcPr>
          <w:p>
            <w:pPr>
              <w:ind w:left="60"/>
              <w:spacing w:after="0"/>
              <w:rPr>
                <w:sz w:val="20"/>
                <w:szCs w:val="20"/>
                <w:color w:val="auto"/>
              </w:rPr>
            </w:pPr>
            <w:r>
              <w:rPr>
                <w:rFonts w:ascii="Times New Roman" w:cs="Times New Roman" w:eastAsia="Times New Roman" w:hAnsi="Times New Roman"/>
                <w:sz w:val="15"/>
                <w:szCs w:val="15"/>
                <w:b w:val="1"/>
                <w:bCs w:val="1"/>
                <w:color w:val="231F20"/>
              </w:rPr>
              <w:t>Total —Residential</w:t>
            </w:r>
          </w:p>
        </w:tc>
        <w:tc>
          <w:tcPr>
            <w:tcW w:w="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2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5"/>
                <w:szCs w:val="15"/>
                <w:b w:val="1"/>
                <w:bCs w:val="1"/>
                <w:color w:val="231F20"/>
              </w:rPr>
              <w:t>2,678 units</w:t>
            </w:r>
          </w:p>
        </w:tc>
        <w:tc>
          <w:tcPr>
            <w:tcW w:w="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900" w:type="dxa"/>
            <w:vAlign w:val="bottom"/>
            <w:gridSpan w:val="2"/>
          </w:tcPr>
          <w:p>
            <w:pPr>
              <w:jc w:val="center"/>
              <w:ind w:left="24"/>
              <w:spacing w:after="0"/>
              <w:rPr>
                <w:sz w:val="20"/>
                <w:szCs w:val="20"/>
                <w:color w:val="auto"/>
              </w:rPr>
            </w:pPr>
            <w:r>
              <w:rPr>
                <w:rFonts w:ascii="Times New Roman" w:cs="Times New Roman" w:eastAsia="Times New Roman" w:hAnsi="Times New Roman"/>
                <w:sz w:val="15"/>
                <w:szCs w:val="15"/>
                <w:color w:val="231F20"/>
              </w:rPr>
              <w:t>95%</w:t>
            </w:r>
          </w:p>
        </w:tc>
        <w:tc>
          <w:tcPr>
            <w:tcW w:w="8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231F20"/>
        </w:rPr>
        <w:t>_____________________</w:t>
      </w:r>
    </w:p>
    <w:p>
      <w:pPr>
        <w:spacing w:after="0" w:line="118" w:lineRule="exact"/>
        <w:rPr>
          <w:sz w:val="20"/>
          <w:szCs w:val="20"/>
          <w:color w:val="auto"/>
        </w:rPr>
      </w:pPr>
    </w:p>
    <w:p>
      <w:pPr>
        <w:ind w:left="680" w:hanging="335"/>
        <w:spacing w:after="0"/>
        <w:tabs>
          <w:tab w:leader="none" w:pos="680" w:val="left"/>
        </w:tabs>
        <w:numPr>
          <w:ilvl w:val="0"/>
          <w:numId w:val="30"/>
        </w:numPr>
        <w:rPr>
          <w:rFonts w:ascii="Times New Roman" w:cs="Times New Roman" w:eastAsia="Times New Roman" w:hAnsi="Times New Roman"/>
          <w:sz w:val="15"/>
          <w:szCs w:val="15"/>
          <w:color w:val="231F20"/>
        </w:rPr>
      </w:pPr>
      <w:r>
        <w:rPr>
          <w:rFonts w:ascii="Times New Roman" w:cs="Times New Roman" w:eastAsia="Times New Roman" w:hAnsi="Times New Roman"/>
          <w:sz w:val="15"/>
          <w:szCs w:val="15"/>
          <w:color w:val="231F20"/>
        </w:rPr>
        <w:t>Represents the GLA of the commercial portion of the property. Some of our properties include office space which is included in this square footage.</w:t>
      </w:r>
    </w:p>
    <w:p>
      <w:pPr>
        <w:spacing w:after="0" w:line="25" w:lineRule="exact"/>
        <w:rPr>
          <w:rFonts w:ascii="Times New Roman" w:cs="Times New Roman" w:eastAsia="Times New Roman" w:hAnsi="Times New Roman"/>
          <w:sz w:val="15"/>
          <w:szCs w:val="15"/>
          <w:color w:val="231F20"/>
        </w:rPr>
      </w:pPr>
    </w:p>
    <w:p>
      <w:pPr>
        <w:ind w:left="680" w:right="160" w:hanging="335"/>
        <w:spacing w:after="0" w:line="253" w:lineRule="auto"/>
        <w:tabs>
          <w:tab w:leader="none" w:pos="680" w:val="left"/>
        </w:tabs>
        <w:numPr>
          <w:ilvl w:val="0"/>
          <w:numId w:val="30"/>
        </w:numPr>
        <w:rPr>
          <w:rFonts w:ascii="Times New Roman" w:cs="Times New Roman" w:eastAsia="Times New Roman" w:hAnsi="Times New Roman"/>
          <w:sz w:val="15"/>
          <w:szCs w:val="15"/>
          <w:color w:val="231F20"/>
        </w:rPr>
      </w:pPr>
      <w:r>
        <w:rPr>
          <w:rFonts w:ascii="Times New Roman" w:cs="Times New Roman" w:eastAsia="Times New Roman" w:hAnsi="Times New Roman"/>
          <w:sz w:val="15"/>
          <w:szCs w:val="15"/>
          <w:color w:val="231F20"/>
        </w:rPr>
        <w:t>Average base rent per square foot is calculated as the aggregate, annualized in-place contractual (defined as cash basis excluding rent abatements) minimum rent for all occupied spaces divided by the aggregate GLA of all occupied spaces. Average base rent is for commercial spaces only.</w:t>
      </w:r>
    </w:p>
    <w:p>
      <w:pPr>
        <w:spacing w:after="0" w:line="1" w:lineRule="exact"/>
        <w:rPr>
          <w:rFonts w:ascii="Times New Roman" w:cs="Times New Roman" w:eastAsia="Times New Roman" w:hAnsi="Times New Roman"/>
          <w:sz w:val="15"/>
          <w:szCs w:val="15"/>
          <w:color w:val="231F20"/>
        </w:rPr>
      </w:pPr>
    </w:p>
    <w:p>
      <w:pPr>
        <w:ind w:left="680" w:right="240" w:hanging="335"/>
        <w:spacing w:after="0" w:line="253" w:lineRule="auto"/>
        <w:tabs>
          <w:tab w:leader="none" w:pos="680" w:val="left"/>
        </w:tabs>
        <w:numPr>
          <w:ilvl w:val="0"/>
          <w:numId w:val="30"/>
        </w:numPr>
        <w:rPr>
          <w:rFonts w:ascii="Times New Roman" w:cs="Times New Roman" w:eastAsia="Times New Roman" w:hAnsi="Times New Roman"/>
          <w:sz w:val="15"/>
          <w:szCs w:val="15"/>
          <w:color w:val="231F20"/>
        </w:rPr>
      </w:pPr>
      <w:r>
        <w:rPr>
          <w:rFonts w:ascii="Times New Roman" w:cs="Times New Roman" w:eastAsia="Times New Roman" w:hAnsi="Times New Roman"/>
          <w:sz w:val="15"/>
          <w:szCs w:val="15"/>
          <w:color w:val="231F20"/>
        </w:rPr>
        <w:t>Percentage leased is expressed as a percentage of rentable commercial square feet occupied or subject to a lease. Residential percentage leased is expressed as a percentage of units occupied or subject to a lease.</w:t>
      </w:r>
    </w:p>
    <w:p>
      <w:pPr>
        <w:spacing w:after="0" w:line="1" w:lineRule="exact"/>
        <w:rPr>
          <w:rFonts w:ascii="Times New Roman" w:cs="Times New Roman" w:eastAsia="Times New Roman" w:hAnsi="Times New Roman"/>
          <w:sz w:val="15"/>
          <w:szCs w:val="15"/>
          <w:color w:val="231F20"/>
        </w:rPr>
      </w:pPr>
    </w:p>
    <w:p>
      <w:pPr>
        <w:ind w:left="680" w:hanging="335"/>
        <w:spacing w:after="0"/>
        <w:tabs>
          <w:tab w:leader="none" w:pos="680" w:val="left"/>
        </w:tabs>
        <w:numPr>
          <w:ilvl w:val="0"/>
          <w:numId w:val="30"/>
        </w:numPr>
        <w:rPr>
          <w:rFonts w:ascii="Times New Roman" w:cs="Times New Roman" w:eastAsia="Times New Roman" w:hAnsi="Times New Roman"/>
          <w:sz w:val="15"/>
          <w:szCs w:val="15"/>
          <w:color w:val="231F20"/>
        </w:rPr>
      </w:pPr>
      <w:r>
        <w:rPr>
          <w:rFonts w:ascii="Times New Roman" w:cs="Times New Roman" w:eastAsia="Times New Roman" w:hAnsi="Times New Roman"/>
          <w:sz w:val="15"/>
          <w:szCs w:val="15"/>
          <w:color w:val="231F20"/>
        </w:rPr>
        <w:t>We own the controlling interest in this property.</w:t>
      </w:r>
    </w:p>
    <w:p>
      <w:pPr>
        <w:spacing w:after="0" w:line="10" w:lineRule="exact"/>
        <w:rPr>
          <w:rFonts w:ascii="Times New Roman" w:cs="Times New Roman" w:eastAsia="Times New Roman" w:hAnsi="Times New Roman"/>
          <w:sz w:val="15"/>
          <w:szCs w:val="15"/>
          <w:color w:val="231F20"/>
        </w:rPr>
      </w:pPr>
    </w:p>
    <w:p>
      <w:pPr>
        <w:ind w:left="680" w:hanging="335"/>
        <w:spacing w:after="0"/>
        <w:tabs>
          <w:tab w:leader="none" w:pos="680" w:val="left"/>
        </w:tabs>
        <w:numPr>
          <w:ilvl w:val="0"/>
          <w:numId w:val="30"/>
        </w:numPr>
        <w:rPr>
          <w:rFonts w:ascii="Times New Roman" w:cs="Times New Roman" w:eastAsia="Times New Roman" w:hAnsi="Times New Roman"/>
          <w:sz w:val="15"/>
          <w:szCs w:val="15"/>
          <w:color w:val="231F20"/>
        </w:rPr>
      </w:pPr>
      <w:r>
        <w:rPr>
          <w:rFonts w:ascii="Times New Roman" w:cs="Times New Roman" w:eastAsia="Times New Roman" w:hAnsi="Times New Roman"/>
          <w:sz w:val="15"/>
          <w:szCs w:val="15"/>
          <w:color w:val="231F20"/>
        </w:rPr>
        <w:t>We own a noncontrolling interest in this property.</w:t>
      </w:r>
    </w:p>
    <w:p>
      <w:pPr>
        <w:spacing w:after="0" w:line="10" w:lineRule="exact"/>
        <w:rPr>
          <w:rFonts w:ascii="Times New Roman" w:cs="Times New Roman" w:eastAsia="Times New Roman" w:hAnsi="Times New Roman"/>
          <w:sz w:val="15"/>
          <w:szCs w:val="15"/>
          <w:color w:val="231F20"/>
        </w:rPr>
      </w:pPr>
    </w:p>
    <w:p>
      <w:pPr>
        <w:ind w:left="680" w:hanging="335"/>
        <w:spacing w:after="0"/>
        <w:tabs>
          <w:tab w:leader="none" w:pos="680" w:val="left"/>
        </w:tabs>
        <w:numPr>
          <w:ilvl w:val="0"/>
          <w:numId w:val="30"/>
        </w:numPr>
        <w:rPr>
          <w:rFonts w:ascii="Times New Roman" w:cs="Times New Roman" w:eastAsia="Times New Roman" w:hAnsi="Times New Roman"/>
          <w:sz w:val="15"/>
          <w:szCs w:val="15"/>
          <w:color w:val="231F20"/>
        </w:rPr>
      </w:pPr>
      <w:r>
        <w:rPr>
          <w:rFonts w:ascii="Times New Roman" w:cs="Times New Roman" w:eastAsia="Times New Roman" w:hAnsi="Times New Roman"/>
          <w:sz w:val="15"/>
          <w:szCs w:val="15"/>
          <w:color w:val="231F20"/>
        </w:rPr>
        <w:t>All or a portion of this property is encumbered by a mortgage loan.</w:t>
      </w:r>
    </w:p>
    <w:p>
      <w:pPr>
        <w:spacing w:after="0" w:line="10" w:lineRule="exact"/>
        <w:rPr>
          <w:rFonts w:ascii="Times New Roman" w:cs="Times New Roman" w:eastAsia="Times New Roman" w:hAnsi="Times New Roman"/>
          <w:sz w:val="15"/>
          <w:szCs w:val="15"/>
          <w:color w:val="231F20"/>
        </w:rPr>
      </w:pPr>
    </w:p>
    <w:p>
      <w:pPr>
        <w:ind w:left="680" w:hanging="335"/>
        <w:spacing w:after="0"/>
        <w:tabs>
          <w:tab w:leader="none" w:pos="680" w:val="left"/>
        </w:tabs>
        <w:numPr>
          <w:ilvl w:val="0"/>
          <w:numId w:val="30"/>
        </w:numPr>
        <w:rPr>
          <w:rFonts w:ascii="Times New Roman" w:cs="Times New Roman" w:eastAsia="Times New Roman" w:hAnsi="Times New Roman"/>
          <w:sz w:val="15"/>
          <w:szCs w:val="15"/>
          <w:color w:val="231F20"/>
        </w:rPr>
      </w:pPr>
      <w:r>
        <w:rPr>
          <w:rFonts w:ascii="Times New Roman" w:cs="Times New Roman" w:eastAsia="Times New Roman" w:hAnsi="Times New Roman"/>
          <w:sz w:val="15"/>
          <w:szCs w:val="15"/>
          <w:color w:val="231F20"/>
        </w:rPr>
        <w:t>All or a portion of this property is owned pursuant to a ground lease.</w:t>
      </w:r>
    </w:p>
    <w:p>
      <w:pPr>
        <w:spacing w:after="0" w:line="10" w:lineRule="exact"/>
        <w:rPr>
          <w:rFonts w:ascii="Times New Roman" w:cs="Times New Roman" w:eastAsia="Times New Roman" w:hAnsi="Times New Roman"/>
          <w:sz w:val="15"/>
          <w:szCs w:val="15"/>
          <w:color w:val="231F20"/>
        </w:rPr>
      </w:pPr>
    </w:p>
    <w:p>
      <w:pPr>
        <w:ind w:left="680" w:right="120" w:hanging="335"/>
        <w:spacing w:after="0" w:line="253" w:lineRule="auto"/>
        <w:tabs>
          <w:tab w:leader="none" w:pos="680" w:val="left"/>
        </w:tabs>
        <w:numPr>
          <w:ilvl w:val="0"/>
          <w:numId w:val="30"/>
        </w:numPr>
        <w:rPr>
          <w:rFonts w:ascii="Times New Roman" w:cs="Times New Roman" w:eastAsia="Times New Roman" w:hAnsi="Times New Roman"/>
          <w:sz w:val="15"/>
          <w:szCs w:val="15"/>
          <w:color w:val="231F20"/>
        </w:rPr>
      </w:pPr>
      <w:r>
        <w:rPr>
          <w:rFonts w:ascii="Times New Roman" w:cs="Times New Roman" w:eastAsia="Times New Roman" w:hAnsi="Times New Roman"/>
          <w:sz w:val="15"/>
          <w:szCs w:val="15"/>
          <w:color w:val="231F20"/>
        </w:rPr>
        <w:t>We own all or a portion of this property in a “downREIT” partnership, of which a wholly owned subsidiary of the Trust is the sole general partner, with third party partners holding operating partnership units.</w:t>
      </w:r>
    </w:p>
    <w:p>
      <w:pPr>
        <w:spacing w:after="0" w:line="1" w:lineRule="exact"/>
        <w:rPr>
          <w:rFonts w:ascii="Times New Roman" w:cs="Times New Roman" w:eastAsia="Times New Roman" w:hAnsi="Times New Roman"/>
          <w:sz w:val="15"/>
          <w:szCs w:val="15"/>
          <w:color w:val="231F20"/>
        </w:rPr>
      </w:pPr>
    </w:p>
    <w:p>
      <w:pPr>
        <w:ind w:left="680" w:hanging="335"/>
        <w:spacing w:after="0" w:line="253" w:lineRule="auto"/>
        <w:tabs>
          <w:tab w:leader="none" w:pos="680" w:val="left"/>
        </w:tabs>
        <w:numPr>
          <w:ilvl w:val="0"/>
          <w:numId w:val="30"/>
        </w:numPr>
        <w:rPr>
          <w:rFonts w:ascii="Times New Roman" w:cs="Times New Roman" w:eastAsia="Times New Roman" w:hAnsi="Times New Roman"/>
          <w:sz w:val="15"/>
          <w:szCs w:val="15"/>
          <w:color w:val="231F20"/>
        </w:rPr>
      </w:pPr>
      <w:r>
        <w:rPr>
          <w:rFonts w:ascii="Times New Roman" w:cs="Times New Roman" w:eastAsia="Times New Roman" w:hAnsi="Times New Roman"/>
          <w:sz w:val="15"/>
          <w:szCs w:val="15"/>
          <w:color w:val="231F20"/>
        </w:rPr>
        <w:t>Aggregate information is calculated on a GLA weighted-average basis, excluding Chandler Festival, Chandler Gateway, and La Alameda, which are all unconsolidated properties at December 31, 2025.</w:t>
      </w:r>
    </w:p>
    <w:p>
      <w:pPr>
        <w:spacing w:after="0" w:line="1" w:lineRule="exact"/>
        <w:rPr>
          <w:rFonts w:ascii="Times New Roman" w:cs="Times New Roman" w:eastAsia="Times New Roman" w:hAnsi="Times New Roman"/>
          <w:sz w:val="15"/>
          <w:szCs w:val="15"/>
          <w:color w:val="231F20"/>
        </w:rPr>
      </w:pPr>
    </w:p>
    <w:p>
      <w:pPr>
        <w:ind w:left="680" w:right="40" w:hanging="335"/>
        <w:spacing w:after="0" w:line="253" w:lineRule="auto"/>
        <w:tabs>
          <w:tab w:leader="none" w:pos="680" w:val="left"/>
        </w:tabs>
        <w:numPr>
          <w:ilvl w:val="0"/>
          <w:numId w:val="30"/>
        </w:numPr>
        <w:rPr>
          <w:rFonts w:ascii="Times New Roman" w:cs="Times New Roman" w:eastAsia="Times New Roman" w:hAnsi="Times New Roman"/>
          <w:sz w:val="15"/>
          <w:szCs w:val="15"/>
          <w:color w:val="231F20"/>
        </w:rPr>
      </w:pPr>
      <w:r>
        <w:rPr>
          <w:rFonts w:ascii="Times New Roman" w:cs="Times New Roman" w:eastAsia="Times New Roman" w:hAnsi="Times New Roman"/>
          <w:sz w:val="15"/>
          <w:szCs w:val="15"/>
          <w:color w:val="231F20"/>
        </w:rPr>
        <w:t>Portion of property is currently under development. See further discussion in Item 7. Management's Discussion and Analysis of Financial Condition and Results of Operations.</w:t>
      </w:r>
    </w:p>
    <w:p>
      <w:pPr>
        <w:spacing w:after="0" w:line="1" w:lineRule="exact"/>
        <w:rPr>
          <w:rFonts w:ascii="Times New Roman" w:cs="Times New Roman" w:eastAsia="Times New Roman" w:hAnsi="Times New Roman"/>
          <w:sz w:val="15"/>
          <w:szCs w:val="15"/>
          <w:color w:val="231F20"/>
        </w:rPr>
      </w:pPr>
    </w:p>
    <w:p>
      <w:pPr>
        <w:ind w:left="680" w:hanging="335"/>
        <w:spacing w:after="0"/>
        <w:tabs>
          <w:tab w:leader="none" w:pos="680" w:val="left"/>
        </w:tabs>
        <w:numPr>
          <w:ilvl w:val="0"/>
          <w:numId w:val="30"/>
        </w:numPr>
        <w:rPr>
          <w:rFonts w:ascii="Times New Roman" w:cs="Times New Roman" w:eastAsia="Times New Roman" w:hAnsi="Times New Roman"/>
          <w:sz w:val="15"/>
          <w:szCs w:val="15"/>
          <w:color w:val="231F20"/>
        </w:rPr>
      </w:pPr>
      <w:r>
        <w:rPr>
          <w:rFonts w:ascii="Times New Roman" w:cs="Times New Roman" w:eastAsia="Times New Roman" w:hAnsi="Times New Roman"/>
          <w:sz w:val="15"/>
          <w:szCs w:val="15"/>
          <w:color w:val="231F20"/>
        </w:rPr>
        <w:t>This property includes interests in four nearby buildings.</w:t>
      </w:r>
    </w:p>
    <w:p>
      <w:pPr>
        <w:spacing w:after="0" w:line="10" w:lineRule="exact"/>
        <w:rPr>
          <w:rFonts w:ascii="Times New Roman" w:cs="Times New Roman" w:eastAsia="Times New Roman" w:hAnsi="Times New Roman"/>
          <w:sz w:val="15"/>
          <w:szCs w:val="15"/>
          <w:color w:val="231F20"/>
        </w:rPr>
      </w:pPr>
    </w:p>
    <w:p>
      <w:pPr>
        <w:ind w:left="680" w:hanging="335"/>
        <w:spacing w:after="0"/>
        <w:tabs>
          <w:tab w:leader="none" w:pos="680" w:val="left"/>
        </w:tabs>
        <w:numPr>
          <w:ilvl w:val="0"/>
          <w:numId w:val="30"/>
        </w:numPr>
        <w:rPr>
          <w:rFonts w:ascii="Times New Roman" w:cs="Times New Roman" w:eastAsia="Times New Roman" w:hAnsi="Times New Roman"/>
          <w:sz w:val="15"/>
          <w:szCs w:val="15"/>
          <w:color w:val="231F20"/>
        </w:rPr>
      </w:pPr>
      <w:r>
        <w:rPr>
          <w:rFonts w:ascii="Times New Roman" w:cs="Times New Roman" w:eastAsia="Times New Roman" w:hAnsi="Times New Roman"/>
          <w:sz w:val="15"/>
          <w:szCs w:val="15"/>
          <w:color w:val="231F20"/>
        </w:rPr>
        <w:t>This property includes 40 buildings primarily along Washington Street and 14th Street in Hoboken, New Jersey.</w:t>
      </w:r>
    </w:p>
    <w:p>
      <w:pPr>
        <w:spacing w:after="0" w:line="200" w:lineRule="exact"/>
        <w:rPr>
          <w:sz w:val="20"/>
          <w:szCs w:val="20"/>
          <w:color w:val="auto"/>
        </w:rPr>
      </w:pPr>
    </w:p>
    <w:p>
      <w:pPr>
        <w:spacing w:after="0" w:line="225"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9"/>
          <w:szCs w:val="19"/>
          <w:b w:val="1"/>
          <w:bCs w:val="1"/>
          <w:color w:val="231F20"/>
        </w:rPr>
        <w:t>ITEM 3.</w:t>
        <w:tab/>
        <w:t>LEGAL PROCEEDINGS</w:t>
      </w:r>
    </w:p>
    <w:p>
      <w:pPr>
        <w:spacing w:after="0" w:line="18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9"/>
          <w:szCs w:val="19"/>
          <w:color w:val="231F20"/>
        </w:rPr>
        <w:t>We are involved from time-to-time in various legal and regulatory proceedings that arise in the ordinary course of our business, including, but not limited to, commercial disputes, environmental matters, and litigation in connection with transactions such as acquisitions and divestitures. We believe that our current proceedings will not have a material adverse effect on our financial condition, liquidity or results of operations. See Note 7 to the consolidated financial statements for further discussions.</w:t>
      </w:r>
    </w:p>
    <w:p>
      <w:pPr>
        <w:spacing w:after="0" w:line="35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9"/>
          <w:szCs w:val="19"/>
          <w:b w:val="1"/>
          <w:bCs w:val="1"/>
          <w:color w:val="231F20"/>
        </w:rPr>
        <w:t>ITEM 4.</w:t>
        <w:tab/>
        <w:t>MINE SAFETY DISCLOSURES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Not applicable.</w:t>
      </w:r>
    </w:p>
    <w:p>
      <w:pPr>
        <w:sectPr>
          <w:pgSz w:w="11880" w:h="15480" w:orient="portrait"/>
          <w:cols w:equalWidth="0" w:num="1">
            <w:col w:w="9740"/>
          </w:cols>
          <w:pgMar w:left="1060" w:top="1003"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231F20"/>
        </w:rPr>
        <w:t>28</w:t>
      </w:r>
    </w:p>
    <w:p>
      <w:pPr>
        <w:sectPr>
          <w:pgSz w:w="11880" w:h="15480" w:orient="portrait"/>
          <w:cols w:equalWidth="0" w:num="1">
            <w:col w:w="9740"/>
          </w:cols>
          <w:pgMar w:left="1060" w:top="1003" w:right="1080" w:bottom="0" w:gutter="0" w:footer="0" w:header="0"/>
          <w:type w:val="continuous"/>
        </w:sectPr>
      </w:pPr>
    </w:p>
    <w:bookmarkStart w:id="36" w:name="page37"/>
    <w:bookmarkEnd w:id="36"/>
    <w:p>
      <w:pPr>
        <w:jc w:val="center"/>
        <w:spacing w:after="0"/>
        <w:rPr>
          <w:sz w:val="20"/>
          <w:szCs w:val="20"/>
          <w:color w:val="auto"/>
        </w:rPr>
      </w:pPr>
      <w:r>
        <w:rPr>
          <w:rFonts w:ascii="Times New Roman" w:cs="Times New Roman" w:eastAsia="Times New Roman" w:hAnsi="Times New Roman"/>
          <w:sz w:val="19"/>
          <w:szCs w:val="19"/>
          <w:b w:val="1"/>
          <w:bCs w:val="1"/>
          <w:color w:val="231F20"/>
        </w:rPr>
        <w:t>PART II</w:t>
      </w:r>
    </w:p>
    <w:p>
      <w:pPr>
        <w:spacing w:after="0" w:line="181"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9"/>
          <w:szCs w:val="19"/>
          <w:b w:val="1"/>
          <w:bCs w:val="1"/>
          <w:color w:val="231F20"/>
        </w:rPr>
        <w:t>ITEM 5. MARKET FOR OUR COMMON EQUITY AND RELATED SHAREHOLDER MATTERS AND ISSUER PURCHASES OF EQUITY SECURITIES</w:t>
      </w:r>
    </w:p>
    <w:p>
      <w:pPr>
        <w:spacing w:after="0" w:line="36" w:lineRule="exact"/>
        <w:rPr>
          <w:sz w:val="20"/>
          <w:szCs w:val="20"/>
          <w:color w:val="auto"/>
        </w:rPr>
      </w:pPr>
    </w:p>
    <w:p>
      <w:pPr>
        <w:jc w:val="both"/>
        <w:ind w:right="140"/>
        <w:spacing w:after="0" w:line="267" w:lineRule="auto"/>
        <w:rPr>
          <w:sz w:val="20"/>
          <w:szCs w:val="20"/>
          <w:color w:val="auto"/>
        </w:rPr>
      </w:pPr>
      <w:r>
        <w:rPr>
          <w:rFonts w:ascii="Times New Roman" w:cs="Times New Roman" w:eastAsia="Times New Roman" w:hAnsi="Times New Roman"/>
          <w:sz w:val="19"/>
          <w:szCs w:val="19"/>
          <w:color w:val="231F20"/>
        </w:rPr>
        <w:t>Our common shares trade on the New York Stock Exchange under the symbol “FRT.” Listed below are the high and low sales prices of our common shares as reported on the New York Stock Exchange and the dividends declared for each of the periods indicated.</w:t>
      </w:r>
    </w:p>
    <w:p>
      <w:pPr>
        <w:spacing w:after="0" w:line="336" w:lineRule="exact"/>
        <w:rPr>
          <w:sz w:val="20"/>
          <w:szCs w:val="20"/>
          <w:color w:val="auto"/>
        </w:rPr>
      </w:pPr>
    </w:p>
    <w:tbl>
      <w:tblPr>
        <w:tblLayout w:type="fixed"/>
        <w:tblInd w:w="60" w:type="dxa"/>
        <w:tblCellMar>
          <w:top w:w="0" w:type="dxa"/>
          <w:left w:w="0" w:type="dxa"/>
          <w:bottom w:w="0" w:type="dxa"/>
          <w:right w:w="0" w:type="dxa"/>
        </w:tblCellMar>
      </w:tblPr>
      <w:tr>
        <w:trPr>
          <w:trHeight w:val="189"/>
        </w:trPr>
        <w:tc>
          <w:tcPr>
            <w:tcW w:w="6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80" w:type="dxa"/>
            <w:vAlign w:val="bottom"/>
            <w:gridSpan w:val="4"/>
          </w:tcPr>
          <w:p>
            <w:pPr>
              <w:jc w:val="right"/>
              <w:ind w:right="567"/>
              <w:spacing w:after="0"/>
              <w:rPr>
                <w:sz w:val="20"/>
                <w:szCs w:val="20"/>
                <w:color w:val="auto"/>
              </w:rPr>
            </w:pPr>
            <w:r>
              <w:rPr>
                <w:rFonts w:ascii="Times New Roman" w:cs="Times New Roman" w:eastAsia="Times New Roman" w:hAnsi="Times New Roman"/>
                <w:sz w:val="15"/>
                <w:szCs w:val="15"/>
                <w:b w:val="1"/>
                <w:bCs w:val="1"/>
                <w:color w:val="231F20"/>
              </w:rPr>
              <w:t>Price Per Share</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center"/>
              <w:ind w:right="91"/>
              <w:spacing w:after="0"/>
              <w:rPr>
                <w:sz w:val="20"/>
                <w:szCs w:val="20"/>
                <w:color w:val="auto"/>
              </w:rPr>
            </w:pPr>
            <w:r>
              <w:rPr>
                <w:rFonts w:ascii="Times New Roman" w:cs="Times New Roman" w:eastAsia="Times New Roman" w:hAnsi="Times New Roman"/>
                <w:sz w:val="15"/>
                <w:szCs w:val="15"/>
                <w:b w:val="1"/>
                <w:bCs w:val="1"/>
                <w:color w:val="231F20"/>
                <w:w w:val="99"/>
              </w:rPr>
              <w:t>Dividends</w:t>
            </w:r>
          </w:p>
        </w:tc>
        <w:tc>
          <w:tcPr>
            <w:tcW w:w="0" w:type="dxa"/>
            <w:vAlign w:val="bottom"/>
          </w:tcPr>
          <w:p>
            <w:pPr>
              <w:spacing w:after="0"/>
              <w:rPr>
                <w:sz w:val="1"/>
                <w:szCs w:val="1"/>
                <w:color w:val="auto"/>
              </w:rPr>
            </w:pPr>
          </w:p>
        </w:tc>
      </w:tr>
      <w:tr>
        <w:trPr>
          <w:trHeight w:val="52"/>
        </w:trPr>
        <w:tc>
          <w:tcPr>
            <w:tcW w:w="6100" w:type="dxa"/>
            <w:vAlign w:val="bottom"/>
          </w:tcPr>
          <w:p>
            <w:pPr>
              <w:spacing w:after="0"/>
              <w:rPr>
                <w:sz w:val="4"/>
                <w:szCs w:val="4"/>
                <w:color w:val="auto"/>
              </w:rPr>
            </w:pPr>
          </w:p>
        </w:tc>
        <w:tc>
          <w:tcPr>
            <w:tcW w:w="280" w:type="dxa"/>
            <w:vAlign w:val="bottom"/>
            <w:tcBorders>
              <w:bottom w:val="single" w:sz="8" w:color="231F20"/>
            </w:tcBorders>
          </w:tcPr>
          <w:p>
            <w:pPr>
              <w:spacing w:after="0"/>
              <w:rPr>
                <w:sz w:val="4"/>
                <w:szCs w:val="4"/>
                <w:color w:val="auto"/>
              </w:rPr>
            </w:pPr>
          </w:p>
        </w:tc>
        <w:tc>
          <w:tcPr>
            <w:tcW w:w="860" w:type="dxa"/>
            <w:vAlign w:val="bottom"/>
            <w:tcBorders>
              <w:bottom w:val="single" w:sz="8" w:color="231F20"/>
            </w:tcBorders>
          </w:tcPr>
          <w:p>
            <w:pPr>
              <w:spacing w:after="0"/>
              <w:rPr>
                <w:sz w:val="4"/>
                <w:szCs w:val="4"/>
                <w:color w:val="auto"/>
              </w:rPr>
            </w:pPr>
          </w:p>
        </w:tc>
        <w:tc>
          <w:tcPr>
            <w:tcW w:w="80" w:type="dxa"/>
            <w:vAlign w:val="bottom"/>
            <w:tcBorders>
              <w:bottom w:val="single" w:sz="8" w:color="231F20"/>
            </w:tcBorders>
          </w:tcPr>
          <w:p>
            <w:pPr>
              <w:spacing w:after="0"/>
              <w:rPr>
                <w:sz w:val="4"/>
                <w:szCs w:val="4"/>
                <w:color w:val="auto"/>
              </w:rPr>
            </w:pPr>
          </w:p>
        </w:tc>
        <w:tc>
          <w:tcPr>
            <w:tcW w:w="280" w:type="dxa"/>
            <w:vAlign w:val="bottom"/>
            <w:tcBorders>
              <w:bottom w:val="single" w:sz="8" w:color="231F20"/>
            </w:tcBorders>
          </w:tcPr>
          <w:p>
            <w:pPr>
              <w:spacing w:after="0"/>
              <w:rPr>
                <w:sz w:val="4"/>
                <w:szCs w:val="4"/>
                <w:color w:val="auto"/>
              </w:rPr>
            </w:pPr>
          </w:p>
        </w:tc>
        <w:tc>
          <w:tcPr>
            <w:tcW w:w="860" w:type="dxa"/>
            <w:vAlign w:val="bottom"/>
            <w:tcBorders>
              <w:bottom w:val="single" w:sz="8" w:color="231F20"/>
            </w:tcBorders>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940" w:type="dxa"/>
            <w:vAlign w:val="bottom"/>
            <w:vMerge w:val="restart"/>
          </w:tcPr>
          <w:p>
            <w:pPr>
              <w:jc w:val="center"/>
              <w:ind w:right="91"/>
              <w:spacing w:after="0" w:line="119" w:lineRule="exact"/>
              <w:rPr>
                <w:sz w:val="20"/>
                <w:szCs w:val="20"/>
                <w:color w:val="auto"/>
              </w:rPr>
            </w:pPr>
            <w:r>
              <w:rPr>
                <w:rFonts w:ascii="Times New Roman" w:cs="Times New Roman" w:eastAsia="Times New Roman" w:hAnsi="Times New Roman"/>
                <w:sz w:val="13"/>
                <w:szCs w:val="13"/>
                <w:b w:val="1"/>
                <w:bCs w:val="1"/>
                <w:color w:val="231F20"/>
              </w:rPr>
              <w:t>Declared</w:t>
            </w:r>
          </w:p>
        </w:tc>
        <w:tc>
          <w:tcPr>
            <w:tcW w:w="0" w:type="dxa"/>
            <w:vAlign w:val="bottom"/>
          </w:tcPr>
          <w:p>
            <w:pPr>
              <w:spacing w:after="0"/>
              <w:rPr>
                <w:sz w:val="1"/>
                <w:szCs w:val="1"/>
                <w:color w:val="auto"/>
              </w:rPr>
            </w:pPr>
          </w:p>
        </w:tc>
      </w:tr>
      <w:tr>
        <w:trPr>
          <w:trHeight w:val="47"/>
        </w:trPr>
        <w:tc>
          <w:tcPr>
            <w:tcW w:w="6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vMerge w:val="restart"/>
          </w:tcPr>
          <w:p>
            <w:pPr>
              <w:jc w:val="right"/>
              <w:ind w:right="309"/>
              <w:spacing w:after="0"/>
              <w:rPr>
                <w:sz w:val="20"/>
                <w:szCs w:val="20"/>
                <w:color w:val="auto"/>
              </w:rPr>
            </w:pPr>
            <w:r>
              <w:rPr>
                <w:rFonts w:ascii="Times New Roman" w:cs="Times New Roman" w:eastAsia="Times New Roman" w:hAnsi="Times New Roman"/>
                <w:sz w:val="15"/>
                <w:szCs w:val="15"/>
                <w:b w:val="1"/>
                <w:bCs w:val="1"/>
                <w:color w:val="231F20"/>
              </w:rPr>
              <w:t>High</w:t>
            </w: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vMerge w:val="restart"/>
          </w:tcPr>
          <w:p>
            <w:pPr>
              <w:jc w:val="right"/>
              <w:ind w:right="347"/>
              <w:spacing w:after="0"/>
              <w:rPr>
                <w:sz w:val="20"/>
                <w:szCs w:val="20"/>
                <w:color w:val="auto"/>
              </w:rPr>
            </w:pPr>
            <w:r>
              <w:rPr>
                <w:rFonts w:ascii="Times New Roman" w:cs="Times New Roman" w:eastAsia="Times New Roman" w:hAnsi="Times New Roman"/>
                <w:sz w:val="15"/>
                <w:szCs w:val="15"/>
                <w:b w:val="1"/>
                <w:bCs w:val="1"/>
                <w:color w:val="231F20"/>
              </w:rPr>
              <w:t>Low</w:t>
            </w: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6100" w:type="dxa"/>
            <w:vAlign w:val="bottom"/>
          </w:tcPr>
          <w:p>
            <w:pPr>
              <w:spacing w:after="0"/>
              <w:rPr>
                <w:sz w:val="17"/>
                <w:szCs w:val="17"/>
                <w:color w:val="auto"/>
              </w:rPr>
            </w:pPr>
          </w:p>
        </w:tc>
        <w:tc>
          <w:tcPr>
            <w:tcW w:w="280" w:type="dxa"/>
            <w:vAlign w:val="bottom"/>
            <w:tcBorders>
              <w:bottom w:val="single" w:sz="8" w:color="231F20"/>
            </w:tcBorders>
          </w:tcPr>
          <w:p>
            <w:pPr>
              <w:spacing w:after="0"/>
              <w:rPr>
                <w:sz w:val="17"/>
                <w:szCs w:val="17"/>
                <w:color w:val="auto"/>
              </w:rPr>
            </w:pPr>
          </w:p>
        </w:tc>
        <w:tc>
          <w:tcPr>
            <w:tcW w:w="860" w:type="dxa"/>
            <w:vAlign w:val="bottom"/>
            <w:tcBorders>
              <w:bottom w:val="single" w:sz="8" w:color="231F20"/>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Borders>
              <w:bottom w:val="single" w:sz="8" w:color="231F20"/>
            </w:tcBorders>
          </w:tcPr>
          <w:p>
            <w:pPr>
              <w:spacing w:after="0"/>
              <w:rPr>
                <w:sz w:val="17"/>
                <w:szCs w:val="17"/>
                <w:color w:val="auto"/>
              </w:rPr>
            </w:pPr>
          </w:p>
        </w:tc>
        <w:tc>
          <w:tcPr>
            <w:tcW w:w="860" w:type="dxa"/>
            <w:vAlign w:val="bottom"/>
            <w:tcBorders>
              <w:bottom w:val="single" w:sz="8" w:color="231F20"/>
            </w:tcBorders>
            <w:vMerge w:val="continue"/>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Borders>
              <w:bottom w:val="single" w:sz="8" w:color="231F20"/>
            </w:tcBorders>
          </w:tcPr>
          <w:p>
            <w:pPr>
              <w:spacing w:after="0"/>
              <w:rPr>
                <w:sz w:val="17"/>
                <w:szCs w:val="17"/>
                <w:color w:val="auto"/>
              </w:rPr>
            </w:pPr>
          </w:p>
        </w:tc>
        <w:tc>
          <w:tcPr>
            <w:tcW w:w="940" w:type="dxa"/>
            <w:vAlign w:val="bottom"/>
            <w:tcBorders>
              <w:bottom w:val="single" w:sz="8" w:color="231F20"/>
            </w:tcBorders>
          </w:tcPr>
          <w:p>
            <w:pPr>
              <w:jc w:val="center"/>
              <w:ind w:right="91"/>
              <w:spacing w:after="0"/>
              <w:rPr>
                <w:sz w:val="20"/>
                <w:szCs w:val="20"/>
                <w:color w:val="auto"/>
              </w:rPr>
            </w:pPr>
            <w:r>
              <w:rPr>
                <w:rFonts w:ascii="Times New Roman" w:cs="Times New Roman" w:eastAsia="Times New Roman" w:hAnsi="Times New Roman"/>
                <w:sz w:val="15"/>
                <w:szCs w:val="15"/>
                <w:b w:val="1"/>
                <w:bCs w:val="1"/>
                <w:color w:val="231F20"/>
              </w:rPr>
              <w:t>Per Share</w:t>
            </w:r>
          </w:p>
        </w:tc>
        <w:tc>
          <w:tcPr>
            <w:tcW w:w="0" w:type="dxa"/>
            <w:vAlign w:val="bottom"/>
          </w:tcPr>
          <w:p>
            <w:pPr>
              <w:spacing w:after="0"/>
              <w:rPr>
                <w:sz w:val="1"/>
                <w:szCs w:val="1"/>
                <w:color w:val="auto"/>
              </w:rPr>
            </w:pPr>
          </w:p>
        </w:tc>
      </w:tr>
      <w:tr>
        <w:trPr>
          <w:trHeight w:val="223"/>
        </w:trPr>
        <w:tc>
          <w:tcPr>
            <w:tcW w:w="610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C3C5C7"/>
              </w:rPr>
              <w:t>.......................................................................................................................</w:t>
            </w:r>
            <w:r>
              <w:rPr>
                <w:rFonts w:ascii="Times New Roman" w:cs="Times New Roman" w:eastAsia="Times New Roman" w:hAnsi="Times New Roman"/>
                <w:sz w:val="19"/>
                <w:szCs w:val="19"/>
                <w:b w:val="1"/>
                <w:bCs w:val="1"/>
                <w:color w:val="231F20"/>
              </w:rPr>
              <w:t>2025</w:t>
            </w: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61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Fourth quarter</w:t>
            </w:r>
            <w:r>
              <w:rPr>
                <w:rFonts w:ascii="Times New Roman" w:cs="Times New Roman" w:eastAsia="Times New Roman" w:hAnsi="Times New Roman"/>
                <w:sz w:val="19"/>
                <w:szCs w:val="19"/>
                <w:color w:val="C3C5C7"/>
              </w:rPr>
              <w:t>.................................................................................................</w:t>
            </w:r>
          </w:p>
        </w:tc>
        <w:tc>
          <w:tcPr>
            <w:tcW w:w="280" w:type="dxa"/>
            <w:vAlign w:val="bottom"/>
          </w:tcPr>
          <w:p>
            <w:pPr>
              <w:jc w:val="right"/>
              <w:ind w:right="45"/>
              <w:spacing w:after="0"/>
              <w:rPr>
                <w:sz w:val="20"/>
                <w:szCs w:val="20"/>
                <w:color w:val="auto"/>
              </w:rPr>
            </w:pPr>
            <w:r>
              <w:rPr>
                <w:rFonts w:ascii="Times New Roman" w:cs="Times New Roman" w:eastAsia="Times New Roman" w:hAnsi="Times New Roman"/>
                <w:sz w:val="19"/>
                <w:szCs w:val="19"/>
                <w:color w:val="231F2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102.81</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9"/>
                <w:szCs w:val="19"/>
                <w:color w:val="231F2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90.03</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9"/>
                <w:szCs w:val="19"/>
                <w:color w:val="231F2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1.130</w:t>
            </w:r>
          </w:p>
        </w:tc>
        <w:tc>
          <w:tcPr>
            <w:tcW w:w="0" w:type="dxa"/>
            <w:vAlign w:val="bottom"/>
          </w:tcPr>
          <w:p>
            <w:pPr>
              <w:spacing w:after="0"/>
              <w:rPr>
                <w:sz w:val="1"/>
                <w:szCs w:val="1"/>
                <w:color w:val="auto"/>
              </w:rPr>
            </w:pPr>
          </w:p>
        </w:tc>
      </w:tr>
      <w:tr>
        <w:trPr>
          <w:trHeight w:val="271"/>
        </w:trPr>
        <w:tc>
          <w:tcPr>
            <w:tcW w:w="61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Third quarter</w:t>
            </w:r>
            <w:r>
              <w:rPr>
                <w:rFonts w:ascii="Times New Roman" w:cs="Times New Roman" w:eastAsia="Times New Roman" w:hAnsi="Times New Roman"/>
                <w:sz w:val="19"/>
                <w:szCs w:val="19"/>
                <w:color w:val="C3C5C7"/>
              </w:rPr>
              <w:t>...................................................................................................</w:t>
            </w:r>
          </w:p>
        </w:tc>
        <w:tc>
          <w:tcPr>
            <w:tcW w:w="280" w:type="dxa"/>
            <w:vAlign w:val="bottom"/>
          </w:tcPr>
          <w:p>
            <w:pPr>
              <w:jc w:val="right"/>
              <w:ind w:right="45"/>
              <w:spacing w:after="0"/>
              <w:rPr>
                <w:sz w:val="20"/>
                <w:szCs w:val="20"/>
                <w:color w:val="auto"/>
              </w:rPr>
            </w:pPr>
            <w:r>
              <w:rPr>
                <w:rFonts w:ascii="Times New Roman" w:cs="Times New Roman" w:eastAsia="Times New Roman" w:hAnsi="Times New Roman"/>
                <w:sz w:val="19"/>
                <w:szCs w:val="19"/>
                <w:color w:val="231F2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102.94</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9"/>
                <w:szCs w:val="19"/>
                <w:color w:val="231F2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89.99</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9"/>
                <w:szCs w:val="19"/>
                <w:color w:val="231F2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1.130</w:t>
            </w:r>
          </w:p>
        </w:tc>
        <w:tc>
          <w:tcPr>
            <w:tcW w:w="0" w:type="dxa"/>
            <w:vAlign w:val="bottom"/>
          </w:tcPr>
          <w:p>
            <w:pPr>
              <w:spacing w:after="0"/>
              <w:rPr>
                <w:sz w:val="1"/>
                <w:szCs w:val="1"/>
                <w:color w:val="auto"/>
              </w:rPr>
            </w:pPr>
          </w:p>
        </w:tc>
      </w:tr>
      <w:tr>
        <w:trPr>
          <w:trHeight w:val="271"/>
        </w:trPr>
        <w:tc>
          <w:tcPr>
            <w:tcW w:w="61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Second quarter</w:t>
            </w:r>
            <w:r>
              <w:rPr>
                <w:rFonts w:ascii="Times New Roman" w:cs="Times New Roman" w:eastAsia="Times New Roman" w:hAnsi="Times New Roman"/>
                <w:sz w:val="19"/>
                <w:szCs w:val="19"/>
                <w:color w:val="C3C5C7"/>
              </w:rPr>
              <w:t>................................................................................................</w:t>
            </w:r>
          </w:p>
        </w:tc>
        <w:tc>
          <w:tcPr>
            <w:tcW w:w="280" w:type="dxa"/>
            <w:vAlign w:val="bottom"/>
          </w:tcPr>
          <w:p>
            <w:pPr>
              <w:jc w:val="right"/>
              <w:ind w:right="45"/>
              <w:spacing w:after="0"/>
              <w:rPr>
                <w:sz w:val="20"/>
                <w:szCs w:val="20"/>
                <w:color w:val="auto"/>
              </w:rPr>
            </w:pPr>
            <w:r>
              <w:rPr>
                <w:rFonts w:ascii="Times New Roman" w:cs="Times New Roman" w:eastAsia="Times New Roman" w:hAnsi="Times New Roman"/>
                <w:sz w:val="19"/>
                <w:szCs w:val="19"/>
                <w:color w:val="231F2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99.37</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9"/>
                <w:szCs w:val="19"/>
                <w:color w:val="231F2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80.65</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9"/>
                <w:szCs w:val="19"/>
                <w:color w:val="231F2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1.100</w:t>
            </w:r>
          </w:p>
        </w:tc>
        <w:tc>
          <w:tcPr>
            <w:tcW w:w="0" w:type="dxa"/>
            <w:vAlign w:val="bottom"/>
          </w:tcPr>
          <w:p>
            <w:pPr>
              <w:spacing w:after="0"/>
              <w:rPr>
                <w:sz w:val="1"/>
                <w:szCs w:val="1"/>
                <w:color w:val="auto"/>
              </w:rPr>
            </w:pPr>
          </w:p>
        </w:tc>
      </w:tr>
      <w:tr>
        <w:trPr>
          <w:trHeight w:val="268"/>
        </w:trPr>
        <w:tc>
          <w:tcPr>
            <w:tcW w:w="61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 xml:space="preserve">First quarter </w:t>
            </w:r>
            <w:r>
              <w:rPr>
                <w:rFonts w:ascii="Times New Roman" w:cs="Times New Roman" w:eastAsia="Times New Roman" w:hAnsi="Times New Roman"/>
                <w:sz w:val="19"/>
                <w:szCs w:val="19"/>
                <w:color w:val="C3C5C7"/>
              </w:rPr>
              <w:t>....................................................................................................</w:t>
            </w:r>
          </w:p>
        </w:tc>
        <w:tc>
          <w:tcPr>
            <w:tcW w:w="280" w:type="dxa"/>
            <w:vAlign w:val="bottom"/>
          </w:tcPr>
          <w:p>
            <w:pPr>
              <w:jc w:val="right"/>
              <w:ind w:right="45"/>
              <w:spacing w:after="0"/>
              <w:rPr>
                <w:sz w:val="20"/>
                <w:szCs w:val="20"/>
                <w:color w:val="auto"/>
              </w:rPr>
            </w:pPr>
            <w:r>
              <w:rPr>
                <w:rFonts w:ascii="Times New Roman" w:cs="Times New Roman" w:eastAsia="Times New Roman" w:hAnsi="Times New Roman"/>
                <w:sz w:val="19"/>
                <w:szCs w:val="19"/>
                <w:color w:val="231F2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111.82</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9"/>
                <w:szCs w:val="19"/>
                <w:color w:val="231F2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94.58</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9"/>
                <w:szCs w:val="19"/>
                <w:color w:val="231F2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1.100</w:t>
            </w:r>
          </w:p>
        </w:tc>
        <w:tc>
          <w:tcPr>
            <w:tcW w:w="0" w:type="dxa"/>
            <w:vAlign w:val="bottom"/>
          </w:tcPr>
          <w:p>
            <w:pPr>
              <w:spacing w:after="0"/>
              <w:rPr>
                <w:sz w:val="1"/>
                <w:szCs w:val="1"/>
                <w:color w:val="auto"/>
              </w:rPr>
            </w:pPr>
          </w:p>
        </w:tc>
      </w:tr>
      <w:tr>
        <w:trPr>
          <w:trHeight w:val="247"/>
        </w:trPr>
        <w:tc>
          <w:tcPr>
            <w:tcW w:w="610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231F20"/>
                <w:w w:val="99"/>
              </w:rPr>
              <w:t xml:space="preserve">2024 </w:t>
            </w:r>
            <w:r>
              <w:rPr>
                <w:rFonts w:ascii="Times New Roman" w:cs="Times New Roman" w:eastAsia="Times New Roman" w:hAnsi="Times New Roman"/>
                <w:sz w:val="19"/>
                <w:szCs w:val="19"/>
                <w:b w:val="1"/>
                <w:bCs w:val="1"/>
                <w:color w:val="C3C5C7"/>
                <w:w w:val="99"/>
              </w:rPr>
              <w:t>.......................................................................................................................</w:t>
            </w: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61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Fourth quarter</w:t>
            </w:r>
            <w:r>
              <w:rPr>
                <w:rFonts w:ascii="Times New Roman" w:cs="Times New Roman" w:eastAsia="Times New Roman" w:hAnsi="Times New Roman"/>
                <w:sz w:val="19"/>
                <w:szCs w:val="19"/>
                <w:color w:val="C3C5C7"/>
              </w:rPr>
              <w:t>.................................................................................................</w:t>
            </w:r>
          </w:p>
        </w:tc>
        <w:tc>
          <w:tcPr>
            <w:tcW w:w="280" w:type="dxa"/>
            <w:vAlign w:val="bottom"/>
          </w:tcPr>
          <w:p>
            <w:pPr>
              <w:jc w:val="right"/>
              <w:ind w:right="45"/>
              <w:spacing w:after="0"/>
              <w:rPr>
                <w:sz w:val="20"/>
                <w:szCs w:val="20"/>
                <w:color w:val="auto"/>
              </w:rPr>
            </w:pPr>
            <w:r>
              <w:rPr>
                <w:rFonts w:ascii="Times New Roman" w:cs="Times New Roman" w:eastAsia="Times New Roman" w:hAnsi="Times New Roman"/>
                <w:sz w:val="19"/>
                <w:szCs w:val="19"/>
                <w:color w:val="231F2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118.09</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9"/>
                <w:szCs w:val="19"/>
                <w:color w:val="231F2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109.41</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9"/>
                <w:szCs w:val="19"/>
                <w:color w:val="231F2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1.100</w:t>
            </w:r>
          </w:p>
        </w:tc>
        <w:tc>
          <w:tcPr>
            <w:tcW w:w="0" w:type="dxa"/>
            <w:vAlign w:val="bottom"/>
          </w:tcPr>
          <w:p>
            <w:pPr>
              <w:spacing w:after="0"/>
              <w:rPr>
                <w:sz w:val="1"/>
                <w:szCs w:val="1"/>
                <w:color w:val="auto"/>
              </w:rPr>
            </w:pPr>
          </w:p>
        </w:tc>
      </w:tr>
      <w:tr>
        <w:trPr>
          <w:trHeight w:val="271"/>
        </w:trPr>
        <w:tc>
          <w:tcPr>
            <w:tcW w:w="61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Third quarter</w:t>
            </w:r>
            <w:r>
              <w:rPr>
                <w:rFonts w:ascii="Times New Roman" w:cs="Times New Roman" w:eastAsia="Times New Roman" w:hAnsi="Times New Roman"/>
                <w:sz w:val="19"/>
                <w:szCs w:val="19"/>
                <w:color w:val="C3C5C7"/>
              </w:rPr>
              <w:t>...................................................................................................</w:t>
            </w:r>
          </w:p>
        </w:tc>
        <w:tc>
          <w:tcPr>
            <w:tcW w:w="280" w:type="dxa"/>
            <w:vAlign w:val="bottom"/>
          </w:tcPr>
          <w:p>
            <w:pPr>
              <w:jc w:val="right"/>
              <w:ind w:right="45"/>
              <w:spacing w:after="0"/>
              <w:rPr>
                <w:sz w:val="20"/>
                <w:szCs w:val="20"/>
                <w:color w:val="auto"/>
              </w:rPr>
            </w:pPr>
            <w:r>
              <w:rPr>
                <w:rFonts w:ascii="Times New Roman" w:cs="Times New Roman" w:eastAsia="Times New Roman" w:hAnsi="Times New Roman"/>
                <w:sz w:val="19"/>
                <w:szCs w:val="19"/>
                <w:color w:val="231F2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118.34</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9"/>
                <w:szCs w:val="19"/>
                <w:color w:val="231F2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99.64</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9"/>
                <w:szCs w:val="19"/>
                <w:color w:val="231F2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1.100</w:t>
            </w:r>
          </w:p>
        </w:tc>
        <w:tc>
          <w:tcPr>
            <w:tcW w:w="0" w:type="dxa"/>
            <w:vAlign w:val="bottom"/>
          </w:tcPr>
          <w:p>
            <w:pPr>
              <w:spacing w:after="0"/>
              <w:rPr>
                <w:sz w:val="1"/>
                <w:szCs w:val="1"/>
                <w:color w:val="auto"/>
              </w:rPr>
            </w:pPr>
          </w:p>
        </w:tc>
      </w:tr>
      <w:tr>
        <w:trPr>
          <w:trHeight w:val="271"/>
        </w:trPr>
        <w:tc>
          <w:tcPr>
            <w:tcW w:w="61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Second quarter</w:t>
            </w:r>
            <w:r>
              <w:rPr>
                <w:rFonts w:ascii="Times New Roman" w:cs="Times New Roman" w:eastAsia="Times New Roman" w:hAnsi="Times New Roman"/>
                <w:sz w:val="19"/>
                <w:szCs w:val="19"/>
                <w:color w:val="C3C5C7"/>
              </w:rPr>
              <w:t>................................................................................................</w:t>
            </w:r>
          </w:p>
        </w:tc>
        <w:tc>
          <w:tcPr>
            <w:tcW w:w="280" w:type="dxa"/>
            <w:vAlign w:val="bottom"/>
          </w:tcPr>
          <w:p>
            <w:pPr>
              <w:jc w:val="right"/>
              <w:ind w:right="45"/>
              <w:spacing w:after="0"/>
              <w:rPr>
                <w:sz w:val="20"/>
                <w:szCs w:val="20"/>
                <w:color w:val="auto"/>
              </w:rPr>
            </w:pPr>
            <w:r>
              <w:rPr>
                <w:rFonts w:ascii="Times New Roman" w:cs="Times New Roman" w:eastAsia="Times New Roman" w:hAnsi="Times New Roman"/>
                <w:sz w:val="19"/>
                <w:szCs w:val="19"/>
                <w:color w:val="231F2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105.98</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9"/>
                <w:szCs w:val="19"/>
                <w:color w:val="231F2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95.98</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9"/>
                <w:szCs w:val="19"/>
                <w:color w:val="231F2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1.090</w:t>
            </w:r>
          </w:p>
        </w:tc>
        <w:tc>
          <w:tcPr>
            <w:tcW w:w="0" w:type="dxa"/>
            <w:vAlign w:val="bottom"/>
          </w:tcPr>
          <w:p>
            <w:pPr>
              <w:spacing w:after="0"/>
              <w:rPr>
                <w:sz w:val="1"/>
                <w:szCs w:val="1"/>
                <w:color w:val="auto"/>
              </w:rPr>
            </w:pPr>
          </w:p>
        </w:tc>
      </w:tr>
      <w:tr>
        <w:trPr>
          <w:trHeight w:val="271"/>
        </w:trPr>
        <w:tc>
          <w:tcPr>
            <w:tcW w:w="61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 xml:space="preserve">First quarter </w:t>
            </w:r>
            <w:r>
              <w:rPr>
                <w:rFonts w:ascii="Times New Roman" w:cs="Times New Roman" w:eastAsia="Times New Roman" w:hAnsi="Times New Roman"/>
                <w:sz w:val="19"/>
                <w:szCs w:val="19"/>
                <w:color w:val="C3C5C7"/>
              </w:rPr>
              <w:t>....................................................................................................</w:t>
            </w:r>
          </w:p>
        </w:tc>
        <w:tc>
          <w:tcPr>
            <w:tcW w:w="280" w:type="dxa"/>
            <w:vAlign w:val="bottom"/>
          </w:tcPr>
          <w:p>
            <w:pPr>
              <w:jc w:val="right"/>
              <w:ind w:right="45"/>
              <w:spacing w:after="0"/>
              <w:rPr>
                <w:sz w:val="20"/>
                <w:szCs w:val="20"/>
                <w:color w:val="auto"/>
              </w:rPr>
            </w:pPr>
            <w:r>
              <w:rPr>
                <w:rFonts w:ascii="Times New Roman" w:cs="Times New Roman" w:eastAsia="Times New Roman" w:hAnsi="Times New Roman"/>
                <w:sz w:val="19"/>
                <w:szCs w:val="19"/>
                <w:color w:val="231F2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104.54</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9"/>
                <w:szCs w:val="19"/>
                <w:color w:val="231F2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97.13</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9"/>
                <w:szCs w:val="19"/>
                <w:color w:val="231F2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1.090</w:t>
            </w:r>
          </w:p>
        </w:tc>
        <w:tc>
          <w:tcPr>
            <w:tcW w:w="0" w:type="dxa"/>
            <w:vAlign w:val="bottom"/>
          </w:tcPr>
          <w:p>
            <w:pPr>
              <w:spacing w:after="0"/>
              <w:rPr>
                <w:sz w:val="1"/>
                <w:szCs w:val="1"/>
                <w:color w:val="auto"/>
              </w:rPr>
            </w:pPr>
          </w:p>
        </w:tc>
      </w:tr>
    </w:tbl>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On February 9, 2026, there were 1,780 holders of record of our common shares.</w:t>
      </w:r>
    </w:p>
    <w:p>
      <w:pPr>
        <w:spacing w:after="0" w:line="181" w:lineRule="exact"/>
        <w:rPr>
          <w:sz w:val="20"/>
          <w:szCs w:val="20"/>
          <w:color w:val="auto"/>
        </w:rPr>
      </w:pPr>
    </w:p>
    <w:p>
      <w:pPr>
        <w:ind w:right="180"/>
        <w:spacing w:after="0" w:line="267" w:lineRule="auto"/>
        <w:rPr>
          <w:sz w:val="20"/>
          <w:szCs w:val="20"/>
          <w:color w:val="auto"/>
        </w:rPr>
      </w:pPr>
      <w:r>
        <w:rPr>
          <w:rFonts w:ascii="Times New Roman" w:cs="Times New Roman" w:eastAsia="Times New Roman" w:hAnsi="Times New Roman"/>
          <w:sz w:val="19"/>
          <w:szCs w:val="19"/>
          <w:color w:val="231F20"/>
        </w:rPr>
        <w:t>Our ongoing operations generally will not be subject to federal income taxes as long as we maintain our REIT status and distribute to shareholders at least 100% of our taxable income. Under the Code, REITs are subject to numerous organizational and operational requirements, including the requirement to generally distribute at least 90% of taxable income.</w:t>
      </w:r>
    </w:p>
    <w:p>
      <w:pPr>
        <w:spacing w:after="0" w:line="126"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9"/>
          <w:szCs w:val="19"/>
          <w:color w:val="231F20"/>
        </w:rPr>
        <w:t>Future distributions will be at the discretion of our Board of Trustees and will depend on our actual net income available for common shareholders, financial condition, capital requirements, the annual distribution requirements under the REIT provisions of the Code and such other factors as the Board of Trustees deems relevant. We have paid quarterly dividends to our shareholders continuously since our founding in 1962 and have increased our regular annual dividend rate for 58 consecutive years.</w:t>
      </w:r>
    </w:p>
    <w:p>
      <w:pPr>
        <w:spacing w:after="0" w:line="133"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8"/>
          <w:szCs w:val="18"/>
          <w:color w:val="231F20"/>
        </w:rPr>
        <w:t>Our total annual dividends paid per common share for 2025 and 2024 were $4.43 per share and $4.37 per share, respectively. The annual dividend amounts are different from dividends as calculated for federal income tax purposes. Distributions to the extent of our current and accumulated earnings and profits for federal income tax purposes generally will be taxable to a shareholder as ordinary dividend income. Distributions in excess of current and accumulated earnings and profits will be treated as a nontaxable reduction of the shareholder’s basis in such shareholder’s shares, to the extent thereof, and thereafter as taxable capital gain. Distributions that are treated as a reduction of the shareholder’s basis in its shares will have the effect of increasing the amount of gain, or reducing the amount of loss, recognized upon the sale of the shareholder’s shares. No assurances can be given regarding what portion, if any, of distributions in 2026 or subsequent years will constitute a return of capital for federal income tax purposes. During a year in which a REIT earns a net long-term capital gain, the REIT can elect under</w:t>
      </w:r>
    </w:p>
    <w:p>
      <w:pPr>
        <w:spacing w:after="0" w:line="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9"/>
          <w:szCs w:val="19"/>
          <w:color w:val="231F20"/>
        </w:rPr>
        <w:t>Section 857(b)(3) of the Code to designate a portion of dividends paid to shareholders as capital gain dividends. If this election is made, then the capital gain dividends are generally taxable to the shareholder as long-term capital gains.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The following table reflects the income tax status of distributions per share paid to common shareholders:</w:t>
      </w:r>
    </w:p>
    <w:p>
      <w:pPr>
        <w:spacing w:after="0" w:line="385" w:lineRule="exact"/>
        <w:rPr>
          <w:sz w:val="20"/>
          <w:szCs w:val="20"/>
          <w:color w:val="auto"/>
        </w:rPr>
      </w:pPr>
    </w:p>
    <w:p>
      <w:pPr>
        <w:ind w:left="8160"/>
        <w:spacing w:after="0"/>
        <w:rPr>
          <w:sz w:val="20"/>
          <w:szCs w:val="20"/>
          <w:color w:val="auto"/>
        </w:rPr>
      </w:pPr>
      <w:r>
        <w:rPr>
          <w:rFonts w:ascii="Times New Roman" w:cs="Times New Roman" w:eastAsia="Times New Roman" w:hAnsi="Times New Roman"/>
          <w:sz w:val="15"/>
          <w:szCs w:val="15"/>
          <w:b w:val="1"/>
          <w:bCs w:val="1"/>
          <w:color w:val="231F20"/>
        </w:rPr>
        <w:t>Year Ended</w:t>
      </w:r>
    </w:p>
    <w:p>
      <w:pPr>
        <w:ind w:left="8100"/>
        <w:spacing w:after="0"/>
        <w:rPr>
          <w:sz w:val="20"/>
          <w:szCs w:val="20"/>
          <w:color w:val="auto"/>
        </w:rPr>
      </w:pPr>
      <w:r>
        <w:rPr>
          <w:rFonts w:ascii="Times New Roman" w:cs="Times New Roman" w:eastAsia="Times New Roman" w:hAnsi="Times New Roman"/>
          <w:sz w:val="15"/>
          <w:szCs w:val="15"/>
          <w:b w:val="1"/>
          <w:bCs w:val="1"/>
          <w:color w:val="231F20"/>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4683760</wp:posOffset>
            </wp:positionH>
            <wp:positionV relativeFrom="paragraph">
              <wp:posOffset>9525</wp:posOffset>
            </wp:positionV>
            <wp:extent cx="1494155" cy="120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extLst>
                    </a:blip>
                    <a:srcRect/>
                    <a:stretch>
                      <a:fillRect/>
                    </a:stretch>
                  </pic:blipFill>
                  <pic:spPr bwMode="auto">
                    <a:xfrm>
                      <a:off x="0" y="0"/>
                      <a:ext cx="1494155" cy="12065"/>
                    </a:xfrm>
                    <a:prstGeom prst="rect">
                      <a:avLst/>
                    </a:prstGeom>
                    <a:noFill/>
                  </pic:spPr>
                </pic:pic>
              </a:graphicData>
            </a:graphic>
          </wp:anchor>
        </w:drawing>
      </w:r>
    </w:p>
    <w:p>
      <w:pPr>
        <w:spacing w:after="0" w:line="16" w:lineRule="exact"/>
        <w:rPr>
          <w:sz w:val="20"/>
          <w:szCs w:val="20"/>
          <w:color w:val="auto"/>
        </w:rPr>
      </w:pPr>
    </w:p>
    <w:tbl>
      <w:tblPr>
        <w:tblLayout w:type="fixed"/>
        <w:tblInd w:w="60" w:type="dxa"/>
        <w:tblCellMar>
          <w:top w:w="0" w:type="dxa"/>
          <w:left w:w="0" w:type="dxa"/>
          <w:bottom w:w="0" w:type="dxa"/>
          <w:right w:w="0" w:type="dxa"/>
        </w:tblCellMar>
      </w:tblPr>
      <w:tr>
        <w:trPr>
          <w:trHeight w:val="206"/>
        </w:trPr>
        <w:tc>
          <w:tcPr>
            <w:tcW w:w="7320" w:type="dxa"/>
            <w:vAlign w:val="bottom"/>
          </w:tcPr>
          <w:p>
            <w:pPr>
              <w:spacing w:after="0"/>
              <w:rPr>
                <w:sz w:val="17"/>
                <w:szCs w:val="17"/>
                <w:color w:val="auto"/>
              </w:rPr>
            </w:pPr>
          </w:p>
        </w:tc>
        <w:tc>
          <w:tcPr>
            <w:tcW w:w="280" w:type="dxa"/>
            <w:vAlign w:val="bottom"/>
            <w:tcBorders>
              <w:bottom w:val="single" w:sz="8" w:color="231F20"/>
            </w:tcBorders>
          </w:tcPr>
          <w:p>
            <w:pPr>
              <w:spacing w:after="0"/>
              <w:rPr>
                <w:sz w:val="17"/>
                <w:szCs w:val="17"/>
                <w:color w:val="auto"/>
              </w:rPr>
            </w:pPr>
          </w:p>
        </w:tc>
        <w:tc>
          <w:tcPr>
            <w:tcW w:w="860" w:type="dxa"/>
            <w:vAlign w:val="bottom"/>
            <w:tcBorders>
              <w:bottom w:val="single" w:sz="8" w:color="231F20"/>
            </w:tcBorders>
          </w:tcPr>
          <w:p>
            <w:pPr>
              <w:jc w:val="right"/>
              <w:ind w:right="329"/>
              <w:spacing w:after="0"/>
              <w:rPr>
                <w:sz w:val="20"/>
                <w:szCs w:val="20"/>
                <w:color w:val="auto"/>
              </w:rPr>
            </w:pPr>
            <w:r>
              <w:rPr>
                <w:rFonts w:ascii="Times New Roman" w:cs="Times New Roman" w:eastAsia="Times New Roman" w:hAnsi="Times New Roman"/>
                <w:sz w:val="15"/>
                <w:szCs w:val="15"/>
                <w:b w:val="1"/>
                <w:bCs w:val="1"/>
                <w:color w:val="231F20"/>
              </w:rPr>
              <w:t>2025</w:t>
            </w:r>
          </w:p>
        </w:tc>
        <w:tc>
          <w:tcPr>
            <w:tcW w:w="60" w:type="dxa"/>
            <w:vAlign w:val="bottom"/>
          </w:tcPr>
          <w:p>
            <w:pPr>
              <w:spacing w:after="0"/>
              <w:rPr>
                <w:sz w:val="17"/>
                <w:szCs w:val="17"/>
                <w:color w:val="auto"/>
              </w:rPr>
            </w:pPr>
          </w:p>
        </w:tc>
        <w:tc>
          <w:tcPr>
            <w:tcW w:w="280" w:type="dxa"/>
            <w:vAlign w:val="bottom"/>
            <w:tcBorders>
              <w:bottom w:val="single" w:sz="8" w:color="231F20"/>
            </w:tcBorders>
          </w:tcPr>
          <w:p>
            <w:pPr>
              <w:spacing w:after="0"/>
              <w:rPr>
                <w:sz w:val="17"/>
                <w:szCs w:val="17"/>
                <w:color w:val="auto"/>
              </w:rPr>
            </w:pPr>
          </w:p>
        </w:tc>
        <w:tc>
          <w:tcPr>
            <w:tcW w:w="860" w:type="dxa"/>
            <w:vAlign w:val="bottom"/>
            <w:tcBorders>
              <w:bottom w:val="single" w:sz="8" w:color="231F20"/>
            </w:tcBorders>
          </w:tcPr>
          <w:p>
            <w:pPr>
              <w:jc w:val="right"/>
              <w:ind w:right="309"/>
              <w:spacing w:after="0"/>
              <w:rPr>
                <w:sz w:val="20"/>
                <w:szCs w:val="20"/>
                <w:color w:val="auto"/>
              </w:rPr>
            </w:pPr>
            <w:r>
              <w:rPr>
                <w:rFonts w:ascii="Times New Roman" w:cs="Times New Roman" w:eastAsia="Times New Roman" w:hAnsi="Times New Roman"/>
                <w:sz w:val="15"/>
                <w:szCs w:val="15"/>
                <w:b w:val="1"/>
                <w:bCs w:val="1"/>
                <w:color w:val="231F20"/>
              </w:rPr>
              <w:t>2024</w:t>
            </w:r>
          </w:p>
        </w:tc>
      </w:tr>
      <w:tr>
        <w:trPr>
          <w:trHeight w:val="250"/>
        </w:trPr>
        <w:tc>
          <w:tcPr>
            <w:tcW w:w="7320" w:type="dxa"/>
            <w:vAlign w:val="bottom"/>
          </w:tcPr>
          <w:p>
            <w:pPr>
              <w:jc w:val="right"/>
              <w:spacing w:after="0"/>
              <w:rPr>
                <w:sz w:val="20"/>
                <w:szCs w:val="20"/>
                <w:color w:val="auto"/>
              </w:rPr>
            </w:pPr>
            <w:r>
              <w:rPr>
                <w:rFonts w:ascii="Times New Roman" w:cs="Times New Roman" w:eastAsia="Times New Roman" w:hAnsi="Times New Roman"/>
                <w:sz w:val="19"/>
                <w:szCs w:val="19"/>
                <w:color w:val="C3C5C7"/>
              </w:rPr>
              <w:t>...........................................................................................................................</w:t>
            </w:r>
            <w:r>
              <w:rPr>
                <w:rFonts w:ascii="Times New Roman" w:cs="Times New Roman" w:eastAsia="Times New Roman" w:hAnsi="Times New Roman"/>
                <w:sz w:val="19"/>
                <w:szCs w:val="19"/>
                <w:color w:val="231F20"/>
              </w:rPr>
              <w:t>Ordinarydividend</w:t>
            </w:r>
          </w:p>
        </w:tc>
        <w:tc>
          <w:tcPr>
            <w:tcW w:w="280" w:type="dxa"/>
            <w:vAlign w:val="bottom"/>
          </w:tcPr>
          <w:p>
            <w:pPr>
              <w:jc w:val="right"/>
              <w:ind w:right="45"/>
              <w:spacing w:after="0"/>
              <w:rPr>
                <w:sz w:val="20"/>
                <w:szCs w:val="20"/>
                <w:color w:val="auto"/>
              </w:rPr>
            </w:pPr>
            <w:r>
              <w:rPr>
                <w:rFonts w:ascii="Times New Roman" w:cs="Times New Roman" w:eastAsia="Times New Roman" w:hAnsi="Times New Roman"/>
                <w:sz w:val="19"/>
                <w:szCs w:val="19"/>
                <w:color w:val="231F2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3.810</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9"/>
                <w:szCs w:val="19"/>
                <w:color w:val="231F2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3.583</w:t>
            </w:r>
          </w:p>
        </w:tc>
      </w:tr>
      <w:tr>
        <w:trPr>
          <w:trHeight w:val="271"/>
        </w:trPr>
        <w:tc>
          <w:tcPr>
            <w:tcW w:w="7320" w:type="dxa"/>
            <w:vAlign w:val="bottom"/>
          </w:tcPr>
          <w:p>
            <w:pPr>
              <w:jc w:val="right"/>
              <w:spacing w:after="0"/>
              <w:rPr>
                <w:sz w:val="20"/>
                <w:szCs w:val="20"/>
                <w:color w:val="auto"/>
              </w:rPr>
            </w:pPr>
            <w:r>
              <w:rPr>
                <w:rFonts w:ascii="Times New Roman" w:cs="Times New Roman" w:eastAsia="Times New Roman" w:hAnsi="Times New Roman"/>
                <w:sz w:val="19"/>
                <w:szCs w:val="19"/>
                <w:color w:val="231F20"/>
                <w:w w:val="99"/>
              </w:rPr>
              <w:t xml:space="preserve">Capital gain </w:t>
            </w:r>
            <w:r>
              <w:rPr>
                <w:rFonts w:ascii="Times New Roman" w:cs="Times New Roman" w:eastAsia="Times New Roman" w:hAnsi="Times New Roman"/>
                <w:sz w:val="19"/>
                <w:szCs w:val="19"/>
                <w:color w:val="C3C5C7"/>
                <w:w w:val="99"/>
              </w:rPr>
              <w:t>.....................................................................................................................................</w:t>
            </w: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0.620</w:t>
            </w: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0.656</w:t>
            </w:r>
          </w:p>
        </w:tc>
      </w:tr>
      <w:tr>
        <w:trPr>
          <w:trHeight w:val="272"/>
        </w:trPr>
        <w:tc>
          <w:tcPr>
            <w:tcW w:w="7320" w:type="dxa"/>
            <w:vAlign w:val="bottom"/>
          </w:tcPr>
          <w:p>
            <w:pPr>
              <w:jc w:val="right"/>
              <w:spacing w:after="0"/>
              <w:rPr>
                <w:sz w:val="20"/>
                <w:szCs w:val="20"/>
                <w:color w:val="auto"/>
              </w:rPr>
            </w:pPr>
            <w:r>
              <w:rPr>
                <w:rFonts w:ascii="Times New Roman" w:cs="Times New Roman" w:eastAsia="Times New Roman" w:hAnsi="Times New Roman"/>
                <w:sz w:val="19"/>
                <w:szCs w:val="19"/>
                <w:color w:val="231F20"/>
                <w:w w:val="99"/>
              </w:rPr>
              <w:t>Return of capital</w:t>
            </w:r>
            <w:r>
              <w:rPr>
                <w:rFonts w:ascii="Times New Roman" w:cs="Times New Roman" w:eastAsia="Times New Roman" w:hAnsi="Times New Roman"/>
                <w:sz w:val="19"/>
                <w:szCs w:val="19"/>
                <w:color w:val="C3C5C7"/>
                <w:w w:val="99"/>
              </w:rPr>
              <w:t>..............................................................................................................................</w:t>
            </w:r>
          </w:p>
        </w:tc>
        <w:tc>
          <w:tcPr>
            <w:tcW w:w="280" w:type="dxa"/>
            <w:vAlign w:val="bottom"/>
            <w:tcBorders>
              <w:bottom w:val="single" w:sz="8" w:color="231F20"/>
            </w:tcBorders>
          </w:tcPr>
          <w:p>
            <w:pPr>
              <w:spacing w:after="0"/>
              <w:rPr>
                <w:sz w:val="23"/>
                <w:szCs w:val="23"/>
                <w:color w:val="auto"/>
              </w:rPr>
            </w:pPr>
          </w:p>
        </w:tc>
        <w:tc>
          <w:tcPr>
            <w:tcW w:w="8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60" w:type="dxa"/>
            <w:vAlign w:val="bottom"/>
          </w:tcPr>
          <w:p>
            <w:pPr>
              <w:spacing w:after="0"/>
              <w:rPr>
                <w:sz w:val="23"/>
                <w:szCs w:val="23"/>
                <w:color w:val="auto"/>
              </w:rPr>
            </w:pPr>
          </w:p>
        </w:tc>
        <w:tc>
          <w:tcPr>
            <w:tcW w:w="280" w:type="dxa"/>
            <w:vAlign w:val="bottom"/>
            <w:tcBorders>
              <w:bottom w:val="single" w:sz="8" w:color="231F20"/>
            </w:tcBorders>
          </w:tcPr>
          <w:p>
            <w:pPr>
              <w:spacing w:after="0"/>
              <w:rPr>
                <w:sz w:val="23"/>
                <w:szCs w:val="23"/>
                <w:color w:val="auto"/>
              </w:rPr>
            </w:pPr>
          </w:p>
        </w:tc>
        <w:tc>
          <w:tcPr>
            <w:tcW w:w="8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0.131</w:t>
            </w:r>
          </w:p>
        </w:tc>
      </w:tr>
      <w:tr>
        <w:trPr>
          <w:trHeight w:val="233"/>
        </w:trPr>
        <w:tc>
          <w:tcPr>
            <w:tcW w:w="7320" w:type="dxa"/>
            <w:vAlign w:val="bottom"/>
          </w:tcPr>
          <w:p>
            <w:pPr>
              <w:spacing w:after="0"/>
              <w:rPr>
                <w:sz w:val="20"/>
                <w:szCs w:val="20"/>
                <w:color w:val="auto"/>
              </w:rPr>
            </w:pPr>
          </w:p>
        </w:tc>
        <w:tc>
          <w:tcPr>
            <w:tcW w:w="280" w:type="dxa"/>
            <w:vAlign w:val="bottom"/>
          </w:tcPr>
          <w:p>
            <w:pPr>
              <w:jc w:val="right"/>
              <w:ind w:right="45"/>
              <w:spacing w:after="0"/>
              <w:rPr>
                <w:sz w:val="20"/>
                <w:szCs w:val="20"/>
                <w:color w:val="auto"/>
              </w:rPr>
            </w:pPr>
            <w:r>
              <w:rPr>
                <w:rFonts w:ascii="Times New Roman" w:cs="Times New Roman" w:eastAsia="Times New Roman" w:hAnsi="Times New Roman"/>
                <w:sz w:val="19"/>
                <w:szCs w:val="19"/>
                <w:color w:val="231F2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4.430</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9"/>
                <w:szCs w:val="19"/>
                <w:color w:val="231F2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4.370</w:t>
            </w:r>
          </w:p>
        </w:tc>
      </w:tr>
      <w:tr>
        <w:trPr>
          <w:trHeight w:val="20"/>
        </w:trPr>
        <w:tc>
          <w:tcPr>
            <w:tcW w:w="7320" w:type="dxa"/>
            <w:vAlign w:val="bottom"/>
          </w:tcPr>
          <w:p>
            <w:pPr>
              <w:spacing w:after="0" w:line="20" w:lineRule="exact"/>
              <w:rPr>
                <w:sz w:val="1"/>
                <w:szCs w:val="1"/>
                <w:color w:val="auto"/>
              </w:rPr>
            </w:pPr>
          </w:p>
        </w:tc>
        <w:tc>
          <w:tcPr>
            <w:tcW w:w="280" w:type="dxa"/>
            <w:vAlign w:val="bottom"/>
            <w:tcBorders>
              <w:top w:val="single" w:sz="8" w:color="231F20"/>
              <w:bottom w:val="single" w:sz="8" w:color="231F20"/>
            </w:tcBorders>
          </w:tcPr>
          <w:p>
            <w:pPr>
              <w:spacing w:after="0" w:line="20" w:lineRule="exact"/>
              <w:rPr>
                <w:sz w:val="1"/>
                <w:szCs w:val="1"/>
                <w:color w:val="auto"/>
              </w:rPr>
            </w:pPr>
          </w:p>
        </w:tc>
        <w:tc>
          <w:tcPr>
            <w:tcW w:w="86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231F20"/>
              <w:bottom w:val="single" w:sz="8" w:color="231F20"/>
            </w:tcBorders>
          </w:tcPr>
          <w:p>
            <w:pPr>
              <w:spacing w:after="0" w:line="20" w:lineRule="exact"/>
              <w:rPr>
                <w:sz w:val="1"/>
                <w:szCs w:val="1"/>
                <w:color w:val="auto"/>
              </w:rPr>
            </w:pPr>
          </w:p>
        </w:tc>
        <w:tc>
          <w:tcPr>
            <w:tcW w:w="860" w:type="dxa"/>
            <w:vAlign w:val="bottom"/>
            <w:tcBorders>
              <w:top w:val="single" w:sz="8" w:color="231F20"/>
              <w:bottom w:val="single" w:sz="8" w:color="231F20"/>
            </w:tcBorders>
          </w:tcPr>
          <w:p>
            <w:pPr>
              <w:spacing w:after="0" w:line="20" w:lineRule="exact"/>
              <w:rPr>
                <w:sz w:val="1"/>
                <w:szCs w:val="1"/>
                <w:color w:val="auto"/>
              </w:rPr>
            </w:pPr>
          </w:p>
        </w:tc>
      </w:tr>
    </w:tbl>
    <w:p>
      <w:pPr>
        <w:spacing w:after="0" w:line="83" w:lineRule="exact"/>
        <w:rPr>
          <w:sz w:val="20"/>
          <w:szCs w:val="20"/>
          <w:color w:val="auto"/>
        </w:rPr>
      </w:pPr>
    </w:p>
    <w:p>
      <w:pPr>
        <w:ind w:right="360"/>
        <w:spacing w:after="0" w:line="284" w:lineRule="auto"/>
        <w:rPr>
          <w:sz w:val="20"/>
          <w:szCs w:val="20"/>
          <w:color w:val="auto"/>
        </w:rPr>
      </w:pPr>
      <w:r>
        <w:rPr>
          <w:rFonts w:ascii="Times New Roman" w:cs="Times New Roman" w:eastAsia="Times New Roman" w:hAnsi="Times New Roman"/>
          <w:sz w:val="19"/>
          <w:szCs w:val="19"/>
          <w:color w:val="231F20"/>
        </w:rPr>
        <w:t>Distributions on our 5.417% Series 1 Cumulative Convertible Preferred Shares were paid at the rate of $1.354 per share per annum commencing on the issuance date of March 8, 2007. Distributions on our 5.0% Series C Cumulative Redeemable</w:t>
      </w:r>
    </w:p>
    <w:p>
      <w:pPr>
        <w:sectPr>
          <w:pgSz w:w="11880" w:h="15480" w:orient="portrait"/>
          <w:cols w:equalWidth="0" w:num="1">
            <w:col w:w="9760"/>
          </w:cols>
          <w:pgMar w:left="1060" w:top="958" w:right="1060" w:bottom="0" w:gutter="0" w:footer="0" w:header="0"/>
        </w:sect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29</w:t>
      </w:r>
    </w:p>
    <w:p>
      <w:pPr>
        <w:sectPr>
          <w:pgSz w:w="11880" w:h="15480" w:orient="portrait"/>
          <w:cols w:equalWidth="0" w:num="1">
            <w:col w:w="9760"/>
          </w:cols>
          <w:pgMar w:left="1060" w:top="958" w:right="1060" w:bottom="0" w:gutter="0" w:footer="0" w:header="0"/>
          <w:type w:val="continuous"/>
        </w:sectPr>
      </w:pPr>
    </w:p>
    <w:bookmarkStart w:id="37" w:name="page38"/>
    <w:bookmarkEnd w:id="37"/>
    <w:p>
      <w:pPr>
        <w:ind w:right="60"/>
        <w:spacing w:after="0" w:line="259" w:lineRule="auto"/>
        <w:rPr>
          <w:sz w:val="20"/>
          <w:szCs w:val="20"/>
          <w:color w:val="auto"/>
        </w:rPr>
      </w:pPr>
      <w:r>
        <w:rPr>
          <w:rFonts w:ascii="Times New Roman" w:cs="Times New Roman" w:eastAsia="Times New Roman" w:hAnsi="Times New Roman"/>
          <w:sz w:val="19"/>
          <w:szCs w:val="19"/>
          <w:color w:val="231F20"/>
        </w:rPr>
        <w:t>Preferred Shares were paid at the rate of $1.250 per depositary share per annum, commencing on the issuance date of September 29, 2017. We do not believe that the preferential rights available to the holders of interest in our preferred shares or the financial covenants contained in our debt agreements had or will have an adverse effect on our ability to pay dividends in the normal course of business to our common shareholders or to distribute amounts necessary to maintain our qualification as a REIT.</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Total Stockholder Return Performance</w:t>
      </w:r>
    </w:p>
    <w:p>
      <w:pPr>
        <w:spacing w:after="0" w:line="11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9"/>
          <w:szCs w:val="19"/>
          <w:color w:val="231F20"/>
        </w:rPr>
        <w:t>The following performance graph compares the cumulative total shareholder return on Federal Realty's common shares with the S&amp;P 500 Index and the index of equity real estate investment trusts prepared by the National Association of Real Estate Investment Trusts ("NAREIT") for the five fiscal years commencing December 31, 2020, and ending December 31, 2025, assuming an investment of $100 and the reinvestment of all dividends into additional common shares during the holding period. Equity real estate investment trusts are defined as those that derive more than 75% of their income from equity investments in real estate assets. The FTSE NAREIT Equity REIT Total Return Index includes all tax qualified real estate investment trusts listed on the NYSE, NYSE MKT, or the NASDAQ National Market. Stock performance for the past five years is not necessarily indicative of future results.</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231F20"/>
        </w:rPr>
        <w:t>COMPARISON OF 5-YEAR CUMULATIVE TOTAL RETURN</w:t>
      </w:r>
    </w:p>
    <w:p>
      <w:pPr>
        <w:spacing w:after="0" w:line="158" w:lineRule="exact"/>
        <w:rPr>
          <w:sz w:val="20"/>
          <w:szCs w:val="20"/>
          <w:color w:val="auto"/>
        </w:rPr>
      </w:pPr>
    </w:p>
    <w:tbl>
      <w:tblPr>
        <w:tblLayout w:type="fixed"/>
        <w:tblInd w:w="440" w:type="dxa"/>
        <w:tblCellMar>
          <w:top w:w="0" w:type="dxa"/>
          <w:left w:w="0" w:type="dxa"/>
          <w:bottom w:w="0" w:type="dxa"/>
          <w:right w:w="0" w:type="dxa"/>
        </w:tblCellMar>
      </w:tblPr>
      <w:tr>
        <w:trPr>
          <w:trHeight w:val="250"/>
        </w:trPr>
        <w:tc>
          <w:tcPr>
            <w:tcW w:w="1420" w:type="dxa"/>
            <w:vAlign w:val="bottom"/>
          </w:tcPr>
          <w:p>
            <w:pPr>
              <w:jc w:val="right"/>
              <w:ind w:right="945"/>
              <w:spacing w:after="0"/>
              <w:rPr>
                <w:sz w:val="20"/>
                <w:szCs w:val="20"/>
                <w:color w:val="auto"/>
              </w:rPr>
            </w:pPr>
            <w:r>
              <w:rPr>
                <w:rFonts w:ascii="Times New Roman" w:cs="Times New Roman" w:eastAsia="Times New Roman" w:hAnsi="Times New Roman"/>
                <w:sz w:val="19"/>
                <w:szCs w:val="19"/>
                <w:color w:val="231F20"/>
                <w:w w:val="94"/>
              </w:rPr>
              <w:t>$225</w:t>
            </w:r>
          </w:p>
        </w:tc>
        <w:tc>
          <w:tcPr>
            <w:tcW w:w="19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600"/>
        </w:trPr>
        <w:tc>
          <w:tcPr>
            <w:tcW w:w="1420" w:type="dxa"/>
            <w:vAlign w:val="bottom"/>
          </w:tcPr>
          <w:p>
            <w:pPr>
              <w:jc w:val="right"/>
              <w:ind w:right="945"/>
              <w:spacing w:after="0"/>
              <w:rPr>
                <w:sz w:val="20"/>
                <w:szCs w:val="20"/>
                <w:color w:val="auto"/>
              </w:rPr>
            </w:pPr>
            <w:r>
              <w:rPr>
                <w:rFonts w:ascii="Times New Roman" w:cs="Times New Roman" w:eastAsia="Times New Roman" w:hAnsi="Times New Roman"/>
                <w:sz w:val="19"/>
                <w:szCs w:val="19"/>
                <w:color w:val="231F20"/>
                <w:w w:val="94"/>
              </w:rPr>
              <w:t>$200</w:t>
            </w:r>
          </w:p>
        </w:tc>
        <w:tc>
          <w:tcPr>
            <w:tcW w:w="19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586"/>
        </w:trPr>
        <w:tc>
          <w:tcPr>
            <w:tcW w:w="1420" w:type="dxa"/>
            <w:vAlign w:val="bottom"/>
          </w:tcPr>
          <w:p>
            <w:pPr>
              <w:jc w:val="right"/>
              <w:ind w:right="945"/>
              <w:spacing w:after="0"/>
              <w:rPr>
                <w:sz w:val="20"/>
                <w:szCs w:val="20"/>
                <w:color w:val="auto"/>
              </w:rPr>
            </w:pPr>
            <w:r>
              <w:rPr>
                <w:rFonts w:ascii="Times New Roman" w:cs="Times New Roman" w:eastAsia="Times New Roman" w:hAnsi="Times New Roman"/>
                <w:sz w:val="19"/>
                <w:szCs w:val="19"/>
                <w:color w:val="231F20"/>
                <w:w w:val="94"/>
              </w:rPr>
              <w:t>$175</w:t>
            </w:r>
          </w:p>
        </w:tc>
        <w:tc>
          <w:tcPr>
            <w:tcW w:w="19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600"/>
        </w:trPr>
        <w:tc>
          <w:tcPr>
            <w:tcW w:w="1420" w:type="dxa"/>
            <w:vAlign w:val="bottom"/>
          </w:tcPr>
          <w:p>
            <w:pPr>
              <w:jc w:val="right"/>
              <w:ind w:right="945"/>
              <w:spacing w:after="0"/>
              <w:rPr>
                <w:sz w:val="20"/>
                <w:szCs w:val="20"/>
                <w:color w:val="auto"/>
              </w:rPr>
            </w:pPr>
            <w:r>
              <w:rPr>
                <w:rFonts w:ascii="Times New Roman" w:cs="Times New Roman" w:eastAsia="Times New Roman" w:hAnsi="Times New Roman"/>
                <w:sz w:val="19"/>
                <w:szCs w:val="19"/>
                <w:color w:val="231F20"/>
                <w:w w:val="94"/>
              </w:rPr>
              <w:t>$150</w:t>
            </w:r>
          </w:p>
        </w:tc>
        <w:tc>
          <w:tcPr>
            <w:tcW w:w="19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600"/>
        </w:trPr>
        <w:tc>
          <w:tcPr>
            <w:tcW w:w="1420" w:type="dxa"/>
            <w:vAlign w:val="bottom"/>
          </w:tcPr>
          <w:p>
            <w:pPr>
              <w:jc w:val="right"/>
              <w:ind w:right="945"/>
              <w:spacing w:after="0"/>
              <w:rPr>
                <w:sz w:val="20"/>
                <w:szCs w:val="20"/>
                <w:color w:val="auto"/>
              </w:rPr>
            </w:pPr>
            <w:r>
              <w:rPr>
                <w:rFonts w:ascii="Times New Roman" w:cs="Times New Roman" w:eastAsia="Times New Roman" w:hAnsi="Times New Roman"/>
                <w:sz w:val="19"/>
                <w:szCs w:val="19"/>
                <w:color w:val="231F20"/>
                <w:w w:val="94"/>
              </w:rPr>
              <w:t>$125</w:t>
            </w:r>
          </w:p>
        </w:tc>
        <w:tc>
          <w:tcPr>
            <w:tcW w:w="19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600"/>
        </w:trPr>
        <w:tc>
          <w:tcPr>
            <w:tcW w:w="1420" w:type="dxa"/>
            <w:vAlign w:val="bottom"/>
          </w:tcPr>
          <w:p>
            <w:pPr>
              <w:jc w:val="right"/>
              <w:ind w:right="945"/>
              <w:spacing w:after="0"/>
              <w:rPr>
                <w:sz w:val="20"/>
                <w:szCs w:val="20"/>
                <w:color w:val="auto"/>
              </w:rPr>
            </w:pPr>
            <w:r>
              <w:rPr>
                <w:rFonts w:ascii="Times New Roman" w:cs="Times New Roman" w:eastAsia="Times New Roman" w:hAnsi="Times New Roman"/>
                <w:sz w:val="19"/>
                <w:szCs w:val="19"/>
                <w:color w:val="231F20"/>
                <w:w w:val="94"/>
              </w:rPr>
              <w:t>$100</w:t>
            </w:r>
          </w:p>
        </w:tc>
        <w:tc>
          <w:tcPr>
            <w:tcW w:w="19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586"/>
        </w:trPr>
        <w:tc>
          <w:tcPr>
            <w:tcW w:w="1420" w:type="dxa"/>
            <w:vAlign w:val="bottom"/>
          </w:tcPr>
          <w:p>
            <w:pPr>
              <w:jc w:val="right"/>
              <w:ind w:right="945"/>
              <w:spacing w:after="0"/>
              <w:rPr>
                <w:sz w:val="20"/>
                <w:szCs w:val="20"/>
                <w:color w:val="auto"/>
              </w:rPr>
            </w:pPr>
            <w:r>
              <w:rPr>
                <w:rFonts w:ascii="Times New Roman" w:cs="Times New Roman" w:eastAsia="Times New Roman" w:hAnsi="Times New Roman"/>
                <w:sz w:val="19"/>
                <w:szCs w:val="19"/>
                <w:color w:val="231F20"/>
              </w:rPr>
              <w:t>$75</w:t>
            </w:r>
          </w:p>
        </w:tc>
        <w:tc>
          <w:tcPr>
            <w:tcW w:w="19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579"/>
        </w:trPr>
        <w:tc>
          <w:tcPr>
            <w:tcW w:w="1420" w:type="dxa"/>
            <w:vAlign w:val="bottom"/>
          </w:tcPr>
          <w:p>
            <w:pPr>
              <w:jc w:val="right"/>
              <w:ind w:right="945"/>
              <w:spacing w:after="0"/>
              <w:rPr>
                <w:sz w:val="20"/>
                <w:szCs w:val="20"/>
                <w:color w:val="auto"/>
              </w:rPr>
            </w:pPr>
            <w:r>
              <w:rPr>
                <w:rFonts w:ascii="Times New Roman" w:cs="Times New Roman" w:eastAsia="Times New Roman" w:hAnsi="Times New Roman"/>
                <w:sz w:val="19"/>
                <w:szCs w:val="19"/>
                <w:color w:val="231F20"/>
              </w:rPr>
              <w:t>$50</w:t>
            </w:r>
          </w:p>
        </w:tc>
        <w:tc>
          <w:tcPr>
            <w:tcW w:w="19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50"/>
        </w:trPr>
        <w:tc>
          <w:tcPr>
            <w:tcW w:w="1420" w:type="dxa"/>
            <w:vAlign w:val="bottom"/>
          </w:tcPr>
          <w:p>
            <w:pPr>
              <w:jc w:val="right"/>
              <w:ind w:right="385"/>
              <w:spacing w:after="0"/>
              <w:rPr>
                <w:sz w:val="20"/>
                <w:szCs w:val="20"/>
                <w:color w:val="auto"/>
              </w:rPr>
            </w:pPr>
            <w:r>
              <w:rPr>
                <w:rFonts w:ascii="Times New Roman" w:cs="Times New Roman" w:eastAsia="Times New Roman" w:hAnsi="Times New Roman"/>
                <w:sz w:val="19"/>
                <w:szCs w:val="19"/>
                <w:color w:val="231F20"/>
              </w:rPr>
              <w:t>12/31/20</w:t>
            </w:r>
          </w:p>
        </w:tc>
        <w:tc>
          <w:tcPr>
            <w:tcW w:w="1980" w:type="dxa"/>
            <w:vAlign w:val="bottom"/>
          </w:tcPr>
          <w:p>
            <w:pPr>
              <w:jc w:val="right"/>
              <w:ind w:right="725"/>
              <w:spacing w:after="0"/>
              <w:rPr>
                <w:sz w:val="20"/>
                <w:szCs w:val="20"/>
                <w:color w:val="auto"/>
              </w:rPr>
            </w:pPr>
            <w:r>
              <w:rPr>
                <w:rFonts w:ascii="Times New Roman" w:cs="Times New Roman" w:eastAsia="Times New Roman" w:hAnsi="Times New Roman"/>
                <w:sz w:val="19"/>
                <w:szCs w:val="19"/>
                <w:color w:val="231F20"/>
              </w:rPr>
              <w:t>12/31/21</w:t>
            </w:r>
          </w:p>
        </w:tc>
        <w:tc>
          <w:tcPr>
            <w:tcW w:w="1620" w:type="dxa"/>
            <w:vAlign w:val="bottom"/>
          </w:tcPr>
          <w:p>
            <w:pPr>
              <w:jc w:val="right"/>
              <w:ind w:right="705"/>
              <w:spacing w:after="0"/>
              <w:rPr>
                <w:sz w:val="20"/>
                <w:szCs w:val="20"/>
                <w:color w:val="auto"/>
              </w:rPr>
            </w:pPr>
            <w:r>
              <w:rPr>
                <w:rFonts w:ascii="Times New Roman" w:cs="Times New Roman" w:eastAsia="Times New Roman" w:hAnsi="Times New Roman"/>
                <w:sz w:val="19"/>
                <w:szCs w:val="19"/>
                <w:color w:val="231F20"/>
              </w:rPr>
              <w:t>12/31/22</w:t>
            </w:r>
          </w:p>
        </w:tc>
        <w:tc>
          <w:tcPr>
            <w:tcW w:w="1340" w:type="dxa"/>
            <w:vAlign w:val="bottom"/>
          </w:tcPr>
          <w:p>
            <w:pPr>
              <w:jc w:val="right"/>
              <w:ind w:right="385"/>
              <w:spacing w:after="0"/>
              <w:rPr>
                <w:sz w:val="20"/>
                <w:szCs w:val="20"/>
                <w:color w:val="auto"/>
              </w:rPr>
            </w:pPr>
            <w:r>
              <w:rPr>
                <w:rFonts w:ascii="Times New Roman" w:cs="Times New Roman" w:eastAsia="Times New Roman" w:hAnsi="Times New Roman"/>
                <w:sz w:val="19"/>
                <w:szCs w:val="19"/>
                <w:color w:val="231F20"/>
              </w:rPr>
              <w:t>12/31/23</w:t>
            </w:r>
          </w:p>
        </w:tc>
        <w:tc>
          <w:tcPr>
            <w:tcW w:w="1640" w:type="dxa"/>
            <w:vAlign w:val="bottom"/>
          </w:tcPr>
          <w:p>
            <w:pPr>
              <w:jc w:val="right"/>
              <w:ind w:right="385"/>
              <w:spacing w:after="0"/>
              <w:rPr>
                <w:sz w:val="20"/>
                <w:szCs w:val="20"/>
                <w:color w:val="auto"/>
              </w:rPr>
            </w:pPr>
            <w:r>
              <w:rPr>
                <w:rFonts w:ascii="Times New Roman" w:cs="Times New Roman" w:eastAsia="Times New Roman" w:hAnsi="Times New Roman"/>
                <w:sz w:val="19"/>
                <w:szCs w:val="19"/>
                <w:color w:val="231F20"/>
              </w:rPr>
              <w:t>12/31/24</w:t>
            </w:r>
          </w:p>
        </w:tc>
        <w:tc>
          <w:tcPr>
            <w:tcW w:w="11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12/31/25</w:t>
            </w:r>
          </w:p>
        </w:tc>
      </w:tr>
      <w:tr>
        <w:trPr>
          <w:trHeight w:val="464"/>
        </w:trPr>
        <w:tc>
          <w:tcPr>
            <w:tcW w:w="1420" w:type="dxa"/>
            <w:vAlign w:val="bottom"/>
          </w:tcPr>
          <w:p>
            <w:pPr>
              <w:spacing w:after="0"/>
              <w:rPr>
                <w:sz w:val="24"/>
                <w:szCs w:val="24"/>
                <w:color w:val="auto"/>
              </w:rPr>
            </w:pPr>
          </w:p>
        </w:tc>
        <w:tc>
          <w:tcPr>
            <w:tcW w:w="1980" w:type="dxa"/>
            <w:vAlign w:val="bottom"/>
          </w:tcPr>
          <w:p>
            <w:pPr>
              <w:ind w:left="520"/>
              <w:spacing w:after="0"/>
              <w:rPr>
                <w:sz w:val="20"/>
                <w:szCs w:val="20"/>
                <w:color w:val="auto"/>
              </w:rPr>
            </w:pPr>
            <w:r>
              <w:rPr>
                <w:rFonts w:ascii="Times New Roman" w:cs="Times New Roman" w:eastAsia="Times New Roman" w:hAnsi="Times New Roman"/>
                <w:sz w:val="19"/>
                <w:szCs w:val="19"/>
                <w:color w:val="231F20"/>
              </w:rPr>
              <w:t>Federal Realty</w:t>
            </w:r>
          </w:p>
        </w:tc>
        <w:tc>
          <w:tcPr>
            <w:tcW w:w="1620" w:type="dxa"/>
            <w:vAlign w:val="bottom"/>
          </w:tcPr>
          <w:p>
            <w:pPr>
              <w:jc w:val="right"/>
              <w:ind w:right="85"/>
              <w:spacing w:after="0"/>
              <w:rPr>
                <w:sz w:val="20"/>
                <w:szCs w:val="20"/>
                <w:color w:val="auto"/>
              </w:rPr>
            </w:pPr>
            <w:r>
              <w:rPr>
                <w:rFonts w:ascii="Times New Roman" w:cs="Times New Roman" w:eastAsia="Times New Roman" w:hAnsi="Times New Roman"/>
                <w:sz w:val="19"/>
                <w:szCs w:val="19"/>
                <w:color w:val="231F20"/>
              </w:rPr>
              <w:t>S&amp;P 500</w:t>
            </w:r>
          </w:p>
        </w:tc>
        <w:tc>
          <w:tcPr>
            <w:tcW w:w="2980" w:type="dxa"/>
            <w:vAlign w:val="bottom"/>
            <w:gridSpan w:val="2"/>
          </w:tcPr>
          <w:p>
            <w:pPr>
              <w:ind w:left="740"/>
              <w:spacing w:after="0"/>
              <w:rPr>
                <w:sz w:val="20"/>
                <w:szCs w:val="20"/>
                <w:color w:val="auto"/>
              </w:rPr>
            </w:pPr>
            <w:r>
              <w:rPr>
                <w:rFonts w:ascii="Times New Roman" w:cs="Times New Roman" w:eastAsia="Times New Roman" w:hAnsi="Times New Roman"/>
                <w:sz w:val="19"/>
                <w:szCs w:val="19"/>
                <w:color w:val="231F20"/>
              </w:rPr>
              <w:t>FTSE NAREIT Equity</w:t>
            </w:r>
          </w:p>
        </w:tc>
        <w:tc>
          <w:tcPr>
            <w:tcW w:w="1180" w:type="dxa"/>
            <w:vAlign w:val="bottom"/>
          </w:tcPr>
          <w:p>
            <w:pPr>
              <w:spacing w:after="0"/>
              <w:rPr>
                <w:sz w:val="24"/>
                <w:szCs w:val="24"/>
                <w:color w:val="auto"/>
              </w:rPr>
            </w:pPr>
          </w:p>
        </w:tc>
      </w:tr>
      <w:tr>
        <w:trPr>
          <w:trHeight w:val="250"/>
        </w:trPr>
        <w:tc>
          <w:tcPr>
            <w:tcW w:w="1420" w:type="dxa"/>
            <w:vAlign w:val="bottom"/>
          </w:tcPr>
          <w:p>
            <w:pPr>
              <w:spacing w:after="0"/>
              <w:rPr>
                <w:sz w:val="21"/>
                <w:szCs w:val="21"/>
                <w:color w:val="auto"/>
              </w:rPr>
            </w:pPr>
          </w:p>
        </w:tc>
        <w:tc>
          <w:tcPr>
            <w:tcW w:w="1980" w:type="dxa"/>
            <w:vAlign w:val="bottom"/>
          </w:tcPr>
          <w:p>
            <w:pPr>
              <w:ind w:left="520"/>
              <w:spacing w:after="0"/>
              <w:rPr>
                <w:sz w:val="20"/>
                <w:szCs w:val="20"/>
                <w:color w:val="auto"/>
              </w:rPr>
            </w:pPr>
            <w:r>
              <w:rPr>
                <w:rFonts w:ascii="Times New Roman" w:cs="Times New Roman" w:eastAsia="Times New Roman" w:hAnsi="Times New Roman"/>
                <w:sz w:val="19"/>
                <w:szCs w:val="19"/>
                <w:color w:val="231F20"/>
              </w:rPr>
              <w:t>Investment Trust</w:t>
            </w:r>
          </w:p>
        </w:tc>
        <w:tc>
          <w:tcPr>
            <w:tcW w:w="1620" w:type="dxa"/>
            <w:vAlign w:val="bottom"/>
          </w:tcPr>
          <w:p>
            <w:pPr>
              <w:spacing w:after="0"/>
              <w:rPr>
                <w:sz w:val="21"/>
                <w:szCs w:val="21"/>
                <w:color w:val="auto"/>
              </w:rPr>
            </w:pPr>
          </w:p>
        </w:tc>
        <w:tc>
          <w:tcPr>
            <w:tcW w:w="2980" w:type="dxa"/>
            <w:vAlign w:val="bottom"/>
            <w:gridSpan w:val="2"/>
          </w:tcPr>
          <w:p>
            <w:pPr>
              <w:ind w:left="740"/>
              <w:spacing w:after="0"/>
              <w:rPr>
                <w:sz w:val="20"/>
                <w:szCs w:val="20"/>
                <w:color w:val="auto"/>
              </w:rPr>
            </w:pPr>
            <w:r>
              <w:rPr>
                <w:rFonts w:ascii="Times New Roman" w:cs="Times New Roman" w:eastAsia="Times New Roman" w:hAnsi="Times New Roman"/>
                <w:sz w:val="19"/>
                <w:szCs w:val="19"/>
                <w:color w:val="231F20"/>
              </w:rPr>
              <w:t>Total REIT Index</w:t>
            </w:r>
          </w:p>
        </w:tc>
        <w:tc>
          <w:tcPr>
            <w:tcW w:w="118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-3329940</wp:posOffset>
            </wp:positionV>
            <wp:extent cx="5393055" cy="271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a:extLst>
                        <a:ext uri="{28A0092B-C50C-407E-A947-70E740481C1C}"/>
                      </a:extLst>
                    </a:blip>
                    <a:srcRect/>
                    <a:stretch>
                      <a:fillRect/>
                    </a:stretch>
                  </pic:blipFill>
                  <pic:spPr bwMode="auto">
                    <a:xfrm>
                      <a:off x="0" y="0"/>
                      <a:ext cx="5393055" cy="2711450"/>
                    </a:xfrm>
                    <a:prstGeom prst="rect">
                      <a:avLst/>
                    </a:prstGeom>
                    <a:noFill/>
                  </pic:spPr>
                </pic:pic>
              </a:graphicData>
            </a:graphic>
          </wp:anchor>
        </w:drawing>
        <w:drawing>
          <wp:anchor simplePos="0" relativeHeight="251657728" behindDoc="1" locked="0" layoutInCell="0" allowOverlap="1">
            <wp:simplePos x="0" y="0"/>
            <wp:positionH relativeFrom="column">
              <wp:posOffset>1113790</wp:posOffset>
            </wp:positionH>
            <wp:positionV relativeFrom="paragraph">
              <wp:posOffset>-283210</wp:posOffset>
            </wp:positionV>
            <wp:extent cx="362585" cy="1543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extLst>
                        <a:ext uri="{28A0092B-C50C-407E-A947-70E740481C1C}"/>
                      </a:extLst>
                    </a:blip>
                    <a:srcRect/>
                    <a:stretch>
                      <a:fillRect/>
                    </a:stretch>
                  </pic:blipFill>
                  <pic:spPr bwMode="auto">
                    <a:xfrm>
                      <a:off x="0" y="0"/>
                      <a:ext cx="362585" cy="15430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2518410</wp:posOffset>
                </wp:positionH>
                <wp:positionV relativeFrom="paragraph">
                  <wp:posOffset>-210820</wp:posOffset>
                </wp:positionV>
                <wp:extent cx="127000" cy="0"/>
                <wp:wrapNone/>
                <wp:docPr id="10" name="Shape 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7000" cy="4763"/>
                        </a:xfrm>
                        <a:prstGeom prst="line">
                          <a:avLst/>
                        </a:prstGeom>
                        <a:solidFill>
                          <a:srgbClr val="FFFFFF"/>
                        </a:solidFill>
                        <a:ln w="9067">
                          <a:solidFill>
                            <a:srgbClr val="231F20"/>
                          </a:solidFill>
                          <a:miter lim="800000"/>
                          <a:headEnd/>
                          <a:tailEnd/>
                        </a:ln>
                      </wps:spPr>
                      <wps:bodyPr/>
                    </wps:wsp>
                  </a:graphicData>
                </a:graphic>
              </wp:anchor>
            </w:drawing>
          </mc:Choice>
          <mc:Fallback>
            <w:pict>
              <v:line id="Shape 10" o:spid="_x0000_s10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8.3pt,-16.5999pt" to="208.3pt,-16.5999pt" o:allowincell="f" strokecolor="#231F20" strokeweight="0.7139pt"/>
            </w:pict>
          </mc:Fallback>
        </mc:AlternateContent>
        <mc:AlternateContent>
          <mc:Choice Requires="wps">
            <w:drawing>
              <wp:anchor simplePos="0" relativeHeight="251657728" behindDoc="1" locked="0" layoutInCell="0" allowOverlap="1">
                <wp:simplePos x="0" y="0"/>
                <wp:positionH relativeFrom="column">
                  <wp:posOffset>2762885</wp:posOffset>
                </wp:positionH>
                <wp:positionV relativeFrom="paragraph">
                  <wp:posOffset>-210820</wp:posOffset>
                </wp:positionV>
                <wp:extent cx="118110" cy="0"/>
                <wp:wrapNone/>
                <wp:docPr id="11" name="Shape 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8110" cy="4763"/>
                        </a:xfrm>
                        <a:prstGeom prst="line">
                          <a:avLst/>
                        </a:prstGeom>
                        <a:solidFill>
                          <a:srgbClr val="FFFFFF"/>
                        </a:solidFill>
                        <a:ln w="9067">
                          <a:solidFill>
                            <a:srgbClr val="231F20"/>
                          </a:solidFill>
                          <a:miter lim="800000"/>
                          <a:headEnd/>
                          <a:tailEnd/>
                        </a:ln>
                      </wps:spPr>
                      <wps:bodyPr/>
                    </wps:wsp>
                  </a:graphicData>
                </a:graphic>
              </wp:anchor>
            </w:drawing>
          </mc:Choice>
          <mc:Fallback>
            <w:pict>
              <v:line id="Shape 11" o:spid="_x0000_s10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7.55pt,-16.5999pt" to="226.85pt,-16.5999pt" o:allowincell="f" strokecolor="#231F20" strokeweight="0.7139pt"/>
            </w:pict>
          </mc:Fallback>
        </mc:AlternateContent>
        <mc:AlternateContent>
          <mc:Choice Requires="wps">
            <w:drawing>
              <wp:anchor simplePos="0" relativeHeight="251657728" behindDoc="1" locked="0" layoutInCell="0" allowOverlap="1">
                <wp:simplePos x="0" y="0"/>
                <wp:positionH relativeFrom="column">
                  <wp:posOffset>2645410</wp:posOffset>
                </wp:positionH>
                <wp:positionV relativeFrom="paragraph">
                  <wp:posOffset>-265430</wp:posOffset>
                </wp:positionV>
                <wp:extent cx="117475" cy="118110"/>
                <wp:wrapNone/>
                <wp:docPr id="12" name="Shape 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7475" cy="118110"/>
                        </a:xfrm>
                        <a:prstGeom prst="rect">
                          <a:avLst/>
                        </a:prstGeom>
                        <a:solidFill>
                          <a:srgbClr val="231F20"/>
                        </a:solidFill>
                      </wps:spPr>
                      <wps:bodyPr/>
                    </wps:wsp>
                  </a:graphicData>
                </a:graphic>
              </wp:anchor>
            </w:drawing>
          </mc:Choice>
          <mc:Fallback>
            <w:pict>
              <v:rect id="Shape 12" o:spid="_x0000_s1037" style="position:absolute;margin-left:208.3pt;margin-top:-20.8999pt;width:9.25pt;height:9.3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231F20" stroked="f"/>
            </w:pict>
          </mc:Fallback>
        </mc:AlternateContent>
        <w:drawing>
          <wp:anchor simplePos="0" relativeHeight="251657728" behindDoc="1" locked="0" layoutInCell="0" allowOverlap="1">
            <wp:simplePos x="0" y="0"/>
            <wp:positionH relativeFrom="column">
              <wp:posOffset>3542665</wp:posOffset>
            </wp:positionH>
            <wp:positionV relativeFrom="paragraph">
              <wp:posOffset>-283210</wp:posOffset>
            </wp:positionV>
            <wp:extent cx="362585" cy="1543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a:extLst>
                        <a:ext uri="{28A0092B-C50C-407E-A947-70E740481C1C}"/>
                      </a:extLst>
                    </a:blip>
                    <a:srcRect/>
                    <a:stretch>
                      <a:fillRect/>
                    </a:stretch>
                  </pic:blipFill>
                  <pic:spPr bwMode="auto">
                    <a:xfrm>
                      <a:off x="0" y="0"/>
                      <a:ext cx="362585"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Recent Sales of Unregistered Shares</w:t>
      </w:r>
    </w:p>
    <w:p>
      <w:pPr>
        <w:spacing w:after="0" w:line="110"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9"/>
          <w:szCs w:val="19"/>
          <w:color w:val="231F20"/>
        </w:rPr>
        <w:t>Under the terms of various operating partnership agreements of certain of our affiliated limited partnerships, the interest of limited partners in those limited partnerships may be redeemed, subject to certain conditions, for cash or an equivalent number of our common shares, at our option. During the three months ended December 31, 2025, no common shares in connection with the redemption of downREIT operating partnership units were issued. Any equity securities sold by us during 2025 that were not registered have been previously reported in a Quarterly Report on Form 10-Q.</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Purchases of Equity Securities by the Issuer and Affiliated Purchasers</w:t>
      </w:r>
    </w:p>
    <w:p>
      <w:pPr>
        <w:spacing w:after="0" w:line="11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9"/>
          <w:szCs w:val="19"/>
          <w:color w:val="231F20"/>
        </w:rPr>
        <w:t>In April 2025, our Board of Trustees approved a new common share repurchase program, under which we may purchase up to $300.0 million of our outstanding common shares of beneficial interest, $0.01 par value per share from time to time using a variety of methods, including open market, privately negotiated transactions or otherwise. The specific timing and amount of common share repurchases, if any, will depend on a number of factors, including prevailing share prices, trading volume and</w:t>
      </w:r>
    </w:p>
    <w:p>
      <w:pPr>
        <w:sectPr>
          <w:pgSz w:w="11880" w:h="15480" w:orient="portrait"/>
          <w:cols w:equalWidth="0" w:num="1">
            <w:col w:w="9740"/>
          </w:cols>
          <w:pgMar w:left="1060" w:top="963" w:right="1080" w:bottom="0" w:gutter="0" w:footer="0" w:header="0"/>
        </w:sect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231F20"/>
        </w:rPr>
        <w:t>30</w:t>
      </w:r>
    </w:p>
    <w:p>
      <w:pPr>
        <w:sectPr>
          <w:pgSz w:w="11880" w:h="15480" w:orient="portrait"/>
          <w:cols w:equalWidth="0" w:num="1">
            <w:col w:w="9740"/>
          </w:cols>
          <w:pgMar w:left="1060" w:top="963" w:right="1080" w:bottom="0" w:gutter="0" w:footer="0" w:header="0"/>
          <w:type w:val="continuous"/>
        </w:sectPr>
      </w:pPr>
    </w:p>
    <w:bookmarkStart w:id="38" w:name="page39"/>
    <w:bookmarkEnd w:id="38"/>
    <w:p>
      <w:pPr>
        <w:spacing w:after="0" w:line="267" w:lineRule="auto"/>
        <w:rPr>
          <w:sz w:val="20"/>
          <w:szCs w:val="20"/>
          <w:color w:val="auto"/>
        </w:rPr>
      </w:pPr>
      <w:r>
        <w:rPr>
          <w:rFonts w:ascii="Times New Roman" w:cs="Times New Roman" w:eastAsia="Times New Roman" w:hAnsi="Times New Roman"/>
          <w:sz w:val="19"/>
          <w:szCs w:val="19"/>
          <w:color w:val="231F20"/>
        </w:rPr>
        <w:t>general market conditions, along with our working capital requirements, cash flow, and other factors. The program does not require us to repurchase any dollar amount or number of common shares and may be suspended or discontinued at any time. As of December 31, 2025, no common shares have been repurchased through the program.</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During 2025, 5,489 restricted common shares were forfeited by former employees.</w:t>
      </w:r>
    </w:p>
    <w:p>
      <w:pPr>
        <w:spacing w:after="0" w:line="105" w:lineRule="exact"/>
        <w:rPr>
          <w:sz w:val="20"/>
          <w:szCs w:val="20"/>
          <w:color w:val="auto"/>
        </w:rPr>
      </w:pPr>
    </w:p>
    <w:p>
      <w:pPr>
        <w:ind w:right="60"/>
        <w:spacing w:after="0" w:line="284" w:lineRule="auto"/>
        <w:rPr>
          <w:sz w:val="20"/>
          <w:szCs w:val="20"/>
          <w:color w:val="auto"/>
        </w:rPr>
      </w:pPr>
      <w:r>
        <w:rPr>
          <w:rFonts w:ascii="Times New Roman" w:cs="Times New Roman" w:eastAsia="Times New Roman" w:hAnsi="Times New Roman"/>
          <w:sz w:val="19"/>
          <w:szCs w:val="19"/>
          <w:color w:val="231F20"/>
        </w:rPr>
        <w:t>From time to time, we could be deemed to have repurchased shares as a result of shares withheld for tax purposes upon a stock compensation related vesting event.</w:t>
      </w:r>
    </w:p>
    <w:p>
      <w:pPr>
        <w:spacing w:after="0" w:line="19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9"/>
          <w:szCs w:val="19"/>
          <w:b w:val="1"/>
          <w:bCs w:val="1"/>
          <w:color w:val="231F20"/>
        </w:rPr>
        <w:t>ITEM 6.</w:t>
        <w:tab/>
        <w:t>RESERVED</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None.</w:t>
      </w:r>
    </w:p>
    <w:p>
      <w:pPr>
        <w:spacing w:after="0" w:line="256"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9"/>
          <w:szCs w:val="19"/>
          <w:b w:val="1"/>
          <w:bCs w:val="1"/>
          <w:color w:val="231F20"/>
        </w:rPr>
        <w:t>ITEM 7. MANAGEMENT'S DISCUSSION AND ANALYSIS OF FINANCIAL CONDITION AND RESULTS OF OPERATIONS</w:t>
      </w:r>
    </w:p>
    <w:p>
      <w:pPr>
        <w:spacing w:after="0" w:line="112" w:lineRule="exact"/>
        <w:rPr>
          <w:sz w:val="20"/>
          <w:szCs w:val="20"/>
          <w:color w:val="auto"/>
        </w:rPr>
      </w:pPr>
    </w:p>
    <w:p>
      <w:pPr>
        <w:ind w:right="260"/>
        <w:spacing w:after="0" w:line="259" w:lineRule="auto"/>
        <w:rPr>
          <w:sz w:val="20"/>
          <w:szCs w:val="20"/>
          <w:color w:val="auto"/>
        </w:rPr>
      </w:pPr>
      <w:r>
        <w:rPr>
          <w:rFonts w:ascii="Times New Roman" w:cs="Times New Roman" w:eastAsia="Times New Roman" w:hAnsi="Times New Roman"/>
          <w:sz w:val="19"/>
          <w:szCs w:val="19"/>
          <w:color w:val="231F20"/>
        </w:rPr>
        <w:t>This section generally discusses 2025 and 2024 items and year-to-year comparisons between 2025 and 2024. Discussions of 2023 items and year-to-year comparisons between 2024 and 2023 that are not included in this Form 10-K can be found in “Management’s Discussion and Analysis of Financial Condition and Results of Operations” in Part II, Item 7 of our Annual Report on Form 10-K for the fiscal year ended December 31, 2024 filed with the Securities and Exchange Commission on February 13,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Forward-Looking Statements</w:t>
      </w:r>
    </w:p>
    <w:p>
      <w:pPr>
        <w:spacing w:after="0" w:line="110" w:lineRule="exact"/>
        <w:rPr>
          <w:sz w:val="20"/>
          <w:szCs w:val="20"/>
          <w:color w:val="auto"/>
        </w:rPr>
      </w:pPr>
    </w:p>
    <w:p>
      <w:pPr>
        <w:jc w:val="both"/>
        <w:ind w:right="40"/>
        <w:spacing w:after="0" w:line="262" w:lineRule="auto"/>
        <w:rPr>
          <w:sz w:val="20"/>
          <w:szCs w:val="20"/>
          <w:color w:val="auto"/>
        </w:rPr>
      </w:pPr>
      <w:r>
        <w:rPr>
          <w:rFonts w:ascii="Times New Roman" w:cs="Times New Roman" w:eastAsia="Times New Roman" w:hAnsi="Times New Roman"/>
          <w:sz w:val="19"/>
          <w:szCs w:val="19"/>
          <w:color w:val="231F20"/>
        </w:rPr>
        <w:t>Certain statements in this section or elsewhere in this report may be deemed “forward-looking statements”. See “Item 1A. Risk Factors” in this report for important information regarding these forward-looking statements and certain risk and uncertainties that may affect us. The following discussion should be read in conjunction with the consolidated financial statements and notes thereto appearing in “Item 8. Financial Statements and Supplementary Data” of this report.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Overview</w:t>
      </w:r>
    </w:p>
    <w:p>
      <w:pPr>
        <w:spacing w:after="0" w:line="110"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9"/>
          <w:szCs w:val="19"/>
          <w:color w:val="231F20"/>
        </w:rPr>
        <w:t>Federal Realty Investment Trust (the "Parent Company" or the "Trust") is an equity real estate investment trust ("REIT"). Federal Realty OP LP (the "Operating Partnership") is the entity through which the Trust conducts substantially all of its operations and owns substantially all of its assets. The Trust owns 100% of the limited liability company interest of, is sole member of, and exercises exclusive control over Federal Realty GP LLC (the "General Partner"), which in turn, is the sole general partner of the Operating Partnership. Unless stated otherwise or the context otherwise requires, "we," "our," and "us" means the Trust and its business and operations conducted through its directly and indirectly owned subsidiaries, including the Operating Partnership. We specialize in the ownership, management, and redevelopment of high quality retail and mixed-use properties. These properties are located primarily in major coastal markets and select underserved markets that we believe have strong economic and demographic fundamentals.As of December 31, 2025, we owned or had a majority interest in community and neighborhood shopping centers and mixed-use properties which are operated as 104 predominantly retail real estate projects comprising approximately 28.8 million commercial square feet. In total, the real estate projects were 96.1% leased and 94.1% occupied at December 31, 2025. We have paid quarterly dividends to our shareholders continuously since our founding in 1962 and have increased our dividends per common share for 58 consecutive years.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General Economic Conditions</w:t>
      </w:r>
    </w:p>
    <w:p>
      <w:pPr>
        <w:spacing w:after="0" w:line="110"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9"/>
          <w:szCs w:val="19"/>
          <w:color w:val="231F20"/>
        </w:rPr>
        <w:t>Significant uncertainty continues within the macro-economic environment including concerns over inflation, changing interest rates, new or higher tariffs and their impact on trade and prices, increases or decreases in federal government spending, and potentially worsening economic conditions, which presents risks for our business and tenants. We continue to monitor and address risks related to the general state of the economy. We believe the actions we have taken to maintain a strong financial position and reinforce our liquidity will continue to mitigate the negative short term impacts of the current economic environment. The extent of the future effects on our business, results of operations, cash flows, and growth strategies is highly uncertain and will ultimately depend on future developments, none of which can be predicted.</w:t>
      </w:r>
    </w:p>
    <w:p>
      <w:pPr>
        <w:spacing w:after="0" w:line="61" w:lineRule="exact"/>
        <w:rPr>
          <w:sz w:val="20"/>
          <w:szCs w:val="20"/>
          <w:color w:val="auto"/>
        </w:rPr>
      </w:pPr>
    </w:p>
    <w:p>
      <w:pPr>
        <w:ind w:right="540"/>
        <w:spacing w:after="0" w:line="284" w:lineRule="auto"/>
        <w:rPr>
          <w:sz w:val="20"/>
          <w:szCs w:val="20"/>
          <w:color w:val="auto"/>
        </w:rPr>
      </w:pPr>
      <w:r>
        <w:rPr>
          <w:rFonts w:ascii="Times New Roman" w:cs="Times New Roman" w:eastAsia="Times New Roman" w:hAnsi="Times New Roman"/>
          <w:sz w:val="19"/>
          <w:szCs w:val="19"/>
          <w:color w:val="231F20"/>
        </w:rPr>
        <w:t>Additional discussion of the impact of current economic conditions on our results and long-term operations can be found throughout Item 7 and Item 1A. Risk Factors.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Corporate Responsibility</w:t>
      </w:r>
    </w:p>
    <w:p>
      <w:pPr>
        <w:spacing w:after="0" w:line="110" w:lineRule="exact"/>
        <w:rPr>
          <w:sz w:val="20"/>
          <w:szCs w:val="20"/>
          <w:color w:val="auto"/>
        </w:rPr>
      </w:pPr>
    </w:p>
    <w:p>
      <w:pPr>
        <w:ind w:right="120"/>
        <w:spacing w:after="0" w:line="267" w:lineRule="auto"/>
        <w:rPr>
          <w:sz w:val="20"/>
          <w:szCs w:val="20"/>
          <w:color w:val="auto"/>
        </w:rPr>
      </w:pPr>
      <w:r>
        <w:rPr>
          <w:rFonts w:ascii="Times New Roman" w:cs="Times New Roman" w:eastAsia="Times New Roman" w:hAnsi="Times New Roman"/>
          <w:sz w:val="19"/>
          <w:szCs w:val="19"/>
          <w:color w:val="231F20"/>
        </w:rPr>
        <w:t>We actively endeavor to operate and develop our properties in a sustainable, responsible, and effective manner with the objective being to drive long-term growth and aid in value creation for our shareholders, tenants, employees, and local communities. We have aligned our program and efforts with the United Nations Sustainable Development Goals, as described</w:t>
      </w:r>
    </w:p>
    <w:p>
      <w:pPr>
        <w:sectPr>
          <w:pgSz w:w="11880" w:h="15480" w:orient="portrait"/>
          <w:cols w:equalWidth="0" w:num="1">
            <w:col w:w="9720"/>
          </w:cols>
          <w:pgMar w:left="1060" w:top="963" w:right="1100" w:bottom="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231F20"/>
        </w:rPr>
        <w:t>31</w:t>
      </w:r>
    </w:p>
    <w:p>
      <w:pPr>
        <w:sectPr>
          <w:pgSz w:w="11880" w:h="15480" w:orient="portrait"/>
          <w:cols w:equalWidth="0" w:num="1">
            <w:col w:w="9720"/>
          </w:cols>
          <w:pgMar w:left="1060" w:top="963" w:right="1100" w:bottom="0" w:gutter="0" w:footer="0" w:header="0"/>
          <w:type w:val="continuous"/>
        </w:sectPr>
      </w:pPr>
    </w:p>
    <w:bookmarkStart w:id="39" w:name="page40"/>
    <w:bookmarkEnd w:id="39"/>
    <w:p>
      <w:pPr>
        <w:ind w:right="500"/>
        <w:spacing w:after="0" w:line="284" w:lineRule="auto"/>
        <w:rPr>
          <w:sz w:val="20"/>
          <w:szCs w:val="20"/>
          <w:color w:val="auto"/>
        </w:rPr>
      </w:pPr>
      <w:r>
        <w:rPr>
          <w:rFonts w:ascii="Times New Roman" w:cs="Times New Roman" w:eastAsia="Times New Roman" w:hAnsi="Times New Roman"/>
          <w:sz w:val="19"/>
          <w:szCs w:val="19"/>
          <w:color w:val="231F20"/>
        </w:rPr>
        <w:t>in our Sustainability Policy and our 2024 sustainability report, which are provided only for informational purposes on our website and not incorporated by reference herein.</w:t>
      </w:r>
    </w:p>
    <w:p>
      <w:pPr>
        <w:spacing w:after="0" w:line="11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9"/>
          <w:szCs w:val="19"/>
          <w:color w:val="231F20"/>
        </w:rPr>
        <w:t>We are committed to implementing sustainable business practices at our operating properties that focus on energy efficiency, water conservation and waste minimization and have established greenhouse gas (GHG) emissions reduction targets in accordance with the Science-Based Targets initiative. To achieve this target, we are actively addressing energy efficiency projects on site such as upgrading to LED lighting, procuring zero carbon energy, reducing electric consumption, and increasing our onsite solar generation capacity. We have installed on-site solar systems at 28 of our properties with a capacity of 15.3 MW. We also installed electric vehicle car charging stations in numerous properties throughout our portfolio. We currently have nearly 500 charging stations in operation with more planned.</w:t>
      </w:r>
    </w:p>
    <w:p>
      <w:pPr>
        <w:spacing w:after="0" w:line="137" w:lineRule="exact"/>
        <w:rPr>
          <w:sz w:val="20"/>
          <w:szCs w:val="20"/>
          <w:color w:val="auto"/>
        </w:rPr>
      </w:pPr>
    </w:p>
    <w:p>
      <w:pPr>
        <w:ind w:right="180"/>
        <w:spacing w:after="0" w:line="267" w:lineRule="auto"/>
        <w:rPr>
          <w:sz w:val="20"/>
          <w:szCs w:val="20"/>
          <w:color w:val="auto"/>
        </w:rPr>
      </w:pPr>
      <w:r>
        <w:rPr>
          <w:rFonts w:ascii="Times New Roman" w:cs="Times New Roman" w:eastAsia="Times New Roman" w:hAnsi="Times New Roman"/>
          <w:sz w:val="19"/>
          <w:szCs w:val="19"/>
          <w:color w:val="231F20"/>
        </w:rPr>
        <w:t>We also understand that we face risks presented by climate change and are working to evaluate our risk exposure. In our 2024 sustainability report, we provided a disclosure pursuant to the Task Force on Climate Related Financial Disclosure and we intend to provide that disclosure annually.</w:t>
      </w:r>
    </w:p>
    <w:p>
      <w:pPr>
        <w:spacing w:after="0" w:line="126"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9"/>
          <w:szCs w:val="19"/>
          <w:color w:val="231F20"/>
        </w:rPr>
        <w:t>We are also highly committed to our employees and fostering a work environment that promotes growth, development and personal well-being. Our four core values are accountability, excellence, innovation and integrity and we seek to attract and retain talented professionals who embrace those values. All of our efforts with respect to corporate responsibility are overseen by our Board of Trustees.</w:t>
      </w:r>
    </w:p>
    <w:p>
      <w:pPr>
        <w:spacing w:after="0" w:line="133"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9"/>
          <w:szCs w:val="19"/>
          <w:color w:val="231F20"/>
        </w:rPr>
        <w:t>Our development activities have been heavily focused on owning, developing and operating properties that are certified under the U.S. Green Building Council’s® (“USGBC”) Leadership in Energy and Environmental Design™ (LEED®) rating system which serves as a third-party verification that a building or community was designed and built to mitigate its environmental footprint. We currently have 25 LEED certified buildings and our Pike &amp; Rose project has achieved LEED for Neighborhood Development Stage 3 Gold certification.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Critical Accounting Policies and Estimates</w:t>
      </w:r>
    </w:p>
    <w:p>
      <w:pPr>
        <w:spacing w:after="0" w:line="110"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9"/>
          <w:szCs w:val="19"/>
          <w:color w:val="231F20"/>
        </w:rPr>
        <w:t>The preparation of financial statements in conformity with accounting principles generally accepted in the United States of America, referred to as “GAAP”, requires management to make estimates and assumptions that in certain circumstances affect the reported amounts of assets and liabilities, disclosure of contingent assets and liabilities, and revenues and expenses. These estimates are prepared using management’s best judgment, after considering past and current events and economic conditions. In addition, information relied upon by management in preparing such estimates includes internally generated financial and operating information, external market information, when available, and when necessary, information obtained from consultations with third party experts. Actual results could differ from these estimates. A discussion of possible risks which may affect these estimates is included in “Item 1A. Risk Factors” of this report. Management considers an accounting estimate to be critical if changes in the estimate could have a material impact on our consolidated results of operations or financial condition.</w:t>
      </w:r>
    </w:p>
    <w:p>
      <w:pPr>
        <w:spacing w:after="0" w:line="14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9"/>
          <w:szCs w:val="19"/>
          <w:color w:val="231F20"/>
        </w:rPr>
        <w:t>Our significant accounting policies are more fully described in Note 2 to the consolidated financial statements; however, the most critical accounting policies, which are most important to the portrayal of our financial condition and results of operations, and involve the use of complex estimates and significant assumptions as to future uncertainties and, therefore, may result in actual amounts that differ from estimates, are as follows: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231F20"/>
        </w:rPr>
        <w:t>Collectibility of Lease Income</w:t>
      </w:r>
    </w:p>
    <w:p>
      <w:pPr>
        <w:spacing w:after="0" w:line="10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9"/>
          <w:szCs w:val="19"/>
          <w:color w:val="231F20"/>
        </w:rPr>
        <w:t>Our leases with our tenants are classified as operating leases. When collection of substantially all lease payments during the lease term is considered probable, the lease qualifies for accrual accounting. When collection of substantially all lease payments during the lease term is not considered probable, total lease revenue is limited to the lesser of revenue recognized under accrual accounting or cash received. Determining the probability of collection of substantially all lease payments during a lease term requires significant judgment. This determination is impacted by numerous factors including our assessment of the tenant’s credit worthiness, economic conditions, tenant sales productivity in that location, historical experience with the tenant and tenants operating in the same industry, future prospects for the tenant and the industry in which it operates, and the length of the lease term. If leases currently classified as probable are subsequently reclassified as not probable, any outstanding lease receivables (including straight-line rent receivables) would be written-off with a corresponding decrease in rental income. For example, in the event that our collectibility determinations were not accurate and we were required to write off additional receivables equaling 1% of rental income, our rental income and net income would decrease by $12.5 million. If leases currently classified as not probable are subsequently changed to probable, any lease receivables (including straight-line rent receivables) are re-instated with a corresponding increase to rental income.</w:t>
      </w:r>
    </w:p>
    <w:p>
      <w:pPr>
        <w:sectPr>
          <w:pgSz w:w="11880" w:h="15480" w:orient="portrait"/>
          <w:cols w:equalWidth="0" w:num="1">
            <w:col w:w="9760"/>
          </w:cols>
          <w:pgMar w:left="1060" w:top="963"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32</w:t>
      </w:r>
    </w:p>
    <w:p>
      <w:pPr>
        <w:sectPr>
          <w:pgSz w:w="11880" w:h="15480" w:orient="portrait"/>
          <w:cols w:equalWidth="0" w:num="1">
            <w:col w:w="9760"/>
          </w:cols>
          <w:pgMar w:left="1060" w:top="963" w:right="1060" w:bottom="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9"/>
          <w:szCs w:val="19"/>
          <w:i w:val="1"/>
          <w:iCs w:val="1"/>
          <w:color w:val="231F20"/>
        </w:rPr>
        <w:t>Real Estate Acquisitions</w:t>
      </w:r>
    </w:p>
    <w:p>
      <w:pPr>
        <w:spacing w:after="0" w:line="10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9"/>
          <w:szCs w:val="19"/>
          <w:color w:val="231F20"/>
        </w:rPr>
        <w:t>Upon acquisition of operating real estate properties, we estimate the fair value of assets and liabilities acquired including land, building, improvements, leasing costs, intangibles such as acquired leases, assumed debt, and current assets and liabilities, if any. Based on these estimates, we allocate the purchase price to the applicable assets and liabilities. We utilize methods similar to those used by independent appraisers in estimating the fair value of acquired assets and liabilities. The value allocated to acquired leases is amortized over the related lease term and reflected as rental income in the statement of operations. We consider qualitative and quantitative factors in evaluating the likelihood of a tenant exercising a below market renewal option and include such renewal options in the calculation of in-place lease value when we consider these to be bargain renewal options. If the value of below market lease intangibles includes renewal option periods, we include such renewal periods in the amortization period utilized. If a tenant vacates its space prior to contractual termination of its lease, the unamortized balance of any acquired lease value is written off to rental income.</w:t>
      </w:r>
    </w:p>
    <w:p>
      <w:pPr>
        <w:spacing w:after="0" w:line="14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9"/>
          <w:szCs w:val="19"/>
          <w:color w:val="231F20"/>
        </w:rPr>
        <w:t>During 2025 and 2024, we acquired properties included in our consolidated financial statements with a total purchase price of $1.0 billion. $11.7 million, or 1% of the total purchase price was allocated to above market lease assets and $71.6 million, or 7% was allocated to below market lease liabilities. If the amounts allocated in 2025 and 2024 to below market lease liabilities and building assets were each reduced by 5% of the total purchase price, annual below market lease liability amortization increasing rental income would decrease by approximately $3.8 million (using the weighted average life of below market liabilities at each respective acquired property) and annual depreciation expense would decrease by approximately $1.5 million (using a depreciable life of 35 years).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231F20"/>
        </w:rPr>
        <w:t>Long-Lived Assets and Impairment</w:t>
      </w:r>
    </w:p>
    <w:p>
      <w:pPr>
        <w:spacing w:after="0" w:line="107"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9"/>
          <w:szCs w:val="19"/>
          <w:color w:val="231F20"/>
        </w:rPr>
        <w:t>There are estimates and assumptions made by management in preparing the consolidated financial statements for which the actual results will be determined over long periods of time. This includes the recoverability of long-lived assets, including our properties that have been acquired or redeveloped and our investment in certain joint ventures. Management’s evaluation of impairment includes review for possible indicators of impairment as well as, in certain circumstances, undiscounted and discounted cash flow analysis. Since most of our investments in real estate are wholly-owned or controlled assets which are held for use, a property with impairment indicators is first tested for impairment by comparing the undiscounted cash flows, taking into account the anticipated hold period, including residual value, to the current net book value of the property. If the undiscounted cash flows are less than the net book value, the property is written down to expected fair value.</w:t>
      </w:r>
    </w:p>
    <w:p>
      <w:pPr>
        <w:spacing w:after="0" w:line="13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9"/>
          <w:szCs w:val="19"/>
          <w:color w:val="231F20"/>
        </w:rPr>
        <w:t>The calculation of both discounted and undiscounted cash flows requires management to make estimates of future cash flows including revenues, operating expenses, required maintenance and development expenditures, market conditions, demand for space by tenants and rental rates over long periods. Because our properties typically have a long life, the assumptions used to estimate the future recoverability of book value requires significant management judgment. We are also required to estimate the anticipated hold period. A change in the expected holding period from a long term hold to a short term would cause a significant change in the undiscounted cash flows and could result in an impairment charge. Actual results could be significantly different from the estimates. These estimates have a direct impact on net income, because recording an impairment charge results in a negative adjustment to net income. During the fourth quarter of 2025, we recognized a $7.4 million impairment charge related to our North Dartmouth property, as a result of an impairment analysis.</w:t>
      </w:r>
    </w:p>
    <w:p>
      <w:pPr>
        <w:sectPr>
          <w:pgSz w:w="11880" w:h="15480" w:orient="portrait"/>
          <w:cols w:equalWidth="0" w:num="1">
            <w:col w:w="9740"/>
          </w:cols>
          <w:pgMar w:left="1060" w:top="961" w:right="1080" w:bottom="0" w:gutter="0" w:footer="0" w:header="0"/>
        </w:sectPr>
      </w:pPr>
    </w:p>
    <w:p>
      <w:pPr>
        <w:spacing w:after="0" w:line="234" w:lineRule="exact"/>
        <w:rPr>
          <w:sz w:val="20"/>
          <w:szCs w:val="20"/>
          <w:color w:val="auto"/>
        </w:rPr>
      </w:pPr>
    </w:p>
    <w:p>
      <w:pPr>
        <w:ind w:right="1200"/>
        <w:spacing w:after="0" w:line="394" w:lineRule="auto"/>
        <w:rPr>
          <w:sz w:val="20"/>
          <w:szCs w:val="20"/>
          <w:color w:val="auto"/>
        </w:rPr>
      </w:pPr>
      <w:r>
        <w:rPr>
          <w:rFonts w:ascii="Times New Roman" w:cs="Times New Roman" w:eastAsia="Times New Roman" w:hAnsi="Times New Roman"/>
          <w:sz w:val="19"/>
          <w:szCs w:val="19"/>
          <w:b w:val="1"/>
          <w:bCs w:val="1"/>
          <w:color w:val="231F20"/>
        </w:rPr>
        <w:t xml:space="preserve">Recently Adopted and Recently Issued Accounting Pronouncements </w:t>
      </w:r>
      <w:r>
        <w:rPr>
          <w:rFonts w:ascii="Times New Roman" w:cs="Times New Roman" w:eastAsia="Times New Roman" w:hAnsi="Times New Roman"/>
          <w:sz w:val="19"/>
          <w:szCs w:val="19"/>
          <w:color w:val="231F20"/>
        </w:rPr>
        <w:t>See Note 2 to the consolidated financial statements.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2025 and 2026 Acquisitions and Dispositions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During the year ended December 31, 2025, we acquired the following properties:</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2020" w:type="dxa"/>
            <w:vAlign w:val="bottom"/>
            <w:tcBorders>
              <w:bottom w:val="single" w:sz="8" w:color="231F20"/>
            </w:tcBorders>
          </w:tcPr>
          <w:p>
            <w:pPr>
              <w:ind w:left="60"/>
              <w:spacing w:after="0"/>
              <w:rPr>
                <w:sz w:val="20"/>
                <w:szCs w:val="20"/>
                <w:color w:val="auto"/>
              </w:rPr>
            </w:pPr>
            <w:r>
              <w:rPr>
                <w:rFonts w:ascii="Times New Roman" w:cs="Times New Roman" w:eastAsia="Times New Roman" w:hAnsi="Times New Roman"/>
                <w:sz w:val="19"/>
                <w:szCs w:val="19"/>
                <w:b w:val="1"/>
                <w:bCs w:val="1"/>
                <w:color w:val="231F20"/>
              </w:rPr>
              <w:t>Date Acquired</w:t>
            </w:r>
          </w:p>
        </w:tc>
        <w:tc>
          <w:tcPr>
            <w:tcW w:w="60" w:type="dxa"/>
            <w:vAlign w:val="bottom"/>
          </w:tcPr>
          <w:p>
            <w:pPr>
              <w:spacing w:after="0"/>
              <w:rPr>
                <w:sz w:val="21"/>
                <w:szCs w:val="21"/>
                <w:color w:val="auto"/>
              </w:rPr>
            </w:pPr>
          </w:p>
        </w:tc>
        <w:tc>
          <w:tcPr>
            <w:tcW w:w="2580" w:type="dxa"/>
            <w:vAlign w:val="bottom"/>
            <w:tcBorders>
              <w:bottom w:val="single" w:sz="8" w:color="231F20"/>
            </w:tcBorders>
          </w:tcPr>
          <w:p>
            <w:pPr>
              <w:ind w:left="40"/>
              <w:spacing w:after="0"/>
              <w:rPr>
                <w:sz w:val="20"/>
                <w:szCs w:val="20"/>
                <w:color w:val="auto"/>
              </w:rPr>
            </w:pPr>
            <w:r>
              <w:rPr>
                <w:rFonts w:ascii="Times New Roman" w:cs="Times New Roman" w:eastAsia="Times New Roman" w:hAnsi="Times New Roman"/>
                <w:sz w:val="19"/>
                <w:szCs w:val="19"/>
                <w:b w:val="1"/>
                <w:bCs w:val="1"/>
                <w:color w:val="231F20"/>
              </w:rPr>
              <w:t>Property</w:t>
            </w:r>
          </w:p>
        </w:tc>
        <w:tc>
          <w:tcPr>
            <w:tcW w:w="40" w:type="dxa"/>
            <w:vAlign w:val="bottom"/>
          </w:tcPr>
          <w:p>
            <w:pPr>
              <w:spacing w:after="0"/>
              <w:rPr>
                <w:sz w:val="21"/>
                <w:szCs w:val="21"/>
                <w:color w:val="auto"/>
              </w:rPr>
            </w:pPr>
          </w:p>
        </w:tc>
        <w:tc>
          <w:tcPr>
            <w:tcW w:w="2020" w:type="dxa"/>
            <w:vAlign w:val="bottom"/>
            <w:tcBorders>
              <w:bottom w:val="single" w:sz="8" w:color="231F20"/>
            </w:tcBorders>
          </w:tcPr>
          <w:p>
            <w:pPr>
              <w:ind w:left="60"/>
              <w:spacing w:after="0"/>
              <w:rPr>
                <w:sz w:val="20"/>
                <w:szCs w:val="20"/>
                <w:color w:val="auto"/>
              </w:rPr>
            </w:pPr>
            <w:r>
              <w:rPr>
                <w:rFonts w:ascii="Times New Roman" w:cs="Times New Roman" w:eastAsia="Times New Roman" w:hAnsi="Times New Roman"/>
                <w:sz w:val="19"/>
                <w:szCs w:val="19"/>
                <w:b w:val="1"/>
                <w:bCs w:val="1"/>
                <w:color w:val="231F20"/>
              </w:rPr>
              <w:t>City/State</w:t>
            </w:r>
          </w:p>
        </w:tc>
      </w:tr>
      <w:tr>
        <w:trPr>
          <w:trHeight w:val="530"/>
        </w:trPr>
        <w:tc>
          <w:tcPr>
            <w:tcW w:w="2020" w:type="dxa"/>
            <w:vAlign w:val="bottom"/>
          </w:tcPr>
          <w:p>
            <w:pPr>
              <w:ind w:left="60"/>
              <w:spacing w:after="0"/>
              <w:rPr>
                <w:sz w:val="20"/>
                <w:szCs w:val="20"/>
                <w:color w:val="auto"/>
              </w:rPr>
            </w:pPr>
            <w:r>
              <w:rPr>
                <w:rFonts w:ascii="Times New Roman" w:cs="Times New Roman" w:eastAsia="Times New Roman" w:hAnsi="Times New Roman"/>
                <w:sz w:val="19"/>
                <w:szCs w:val="19"/>
                <w:color w:val="231F20"/>
              </w:rPr>
              <w:t>February 25, 2025</w:t>
            </w:r>
          </w:p>
        </w:tc>
        <w:tc>
          <w:tcPr>
            <w:tcW w:w="60" w:type="dxa"/>
            <w:vAlign w:val="bottom"/>
          </w:tcPr>
          <w:p>
            <w:pPr>
              <w:spacing w:after="0"/>
              <w:rPr>
                <w:sz w:val="24"/>
                <w:szCs w:val="24"/>
                <w:color w:val="auto"/>
              </w:rPr>
            </w:pPr>
          </w:p>
        </w:tc>
        <w:tc>
          <w:tcPr>
            <w:tcW w:w="2580" w:type="dxa"/>
            <w:vAlign w:val="bottom"/>
          </w:tcPr>
          <w:p>
            <w:pPr>
              <w:ind w:left="40"/>
              <w:spacing w:after="0"/>
              <w:rPr>
                <w:sz w:val="20"/>
                <w:szCs w:val="20"/>
                <w:color w:val="auto"/>
              </w:rPr>
            </w:pPr>
            <w:r>
              <w:rPr>
                <w:rFonts w:ascii="Times New Roman" w:cs="Times New Roman" w:eastAsia="Times New Roman" w:hAnsi="Times New Roman"/>
                <w:sz w:val="19"/>
                <w:szCs w:val="19"/>
                <w:color w:val="231F20"/>
              </w:rPr>
              <w:t>Del Monte Shopping Center</w:t>
            </w:r>
          </w:p>
        </w:tc>
        <w:tc>
          <w:tcPr>
            <w:tcW w:w="40" w:type="dxa"/>
            <w:vAlign w:val="bottom"/>
          </w:tcPr>
          <w:p>
            <w:pPr>
              <w:spacing w:after="0"/>
              <w:rPr>
                <w:sz w:val="24"/>
                <w:szCs w:val="24"/>
                <w:color w:val="auto"/>
              </w:rPr>
            </w:pPr>
          </w:p>
        </w:tc>
        <w:tc>
          <w:tcPr>
            <w:tcW w:w="2020" w:type="dxa"/>
            <w:vAlign w:val="bottom"/>
          </w:tcPr>
          <w:p>
            <w:pPr>
              <w:ind w:left="60"/>
              <w:spacing w:after="0"/>
              <w:rPr>
                <w:sz w:val="20"/>
                <w:szCs w:val="20"/>
                <w:color w:val="auto"/>
              </w:rPr>
            </w:pPr>
            <w:r>
              <w:rPr>
                <w:rFonts w:ascii="Times New Roman" w:cs="Times New Roman" w:eastAsia="Times New Roman" w:hAnsi="Times New Roman"/>
                <w:sz w:val="19"/>
                <w:szCs w:val="19"/>
                <w:color w:val="231F20"/>
              </w:rPr>
              <w:t>Monterey, California</w:t>
            </w:r>
          </w:p>
        </w:tc>
      </w:tr>
      <w:tr>
        <w:trPr>
          <w:trHeight w:val="384"/>
        </w:trPr>
        <w:tc>
          <w:tcPr>
            <w:tcW w:w="2020" w:type="dxa"/>
            <w:vAlign w:val="bottom"/>
          </w:tcPr>
          <w:p>
            <w:pPr>
              <w:ind w:left="60"/>
              <w:spacing w:after="0"/>
              <w:rPr>
                <w:sz w:val="20"/>
                <w:szCs w:val="20"/>
                <w:color w:val="auto"/>
              </w:rPr>
            </w:pPr>
            <w:r>
              <w:rPr>
                <w:rFonts w:ascii="Times New Roman" w:cs="Times New Roman" w:eastAsia="Times New Roman" w:hAnsi="Times New Roman"/>
                <w:sz w:val="19"/>
                <w:szCs w:val="19"/>
                <w:color w:val="231F20"/>
              </w:rPr>
              <w:t>July 1, 2025</w:t>
            </w:r>
          </w:p>
        </w:tc>
        <w:tc>
          <w:tcPr>
            <w:tcW w:w="60" w:type="dxa"/>
            <w:vAlign w:val="bottom"/>
          </w:tcPr>
          <w:p>
            <w:pPr>
              <w:spacing w:after="0"/>
              <w:rPr>
                <w:sz w:val="24"/>
                <w:szCs w:val="24"/>
                <w:color w:val="auto"/>
              </w:rPr>
            </w:pPr>
          </w:p>
        </w:tc>
        <w:tc>
          <w:tcPr>
            <w:tcW w:w="2580" w:type="dxa"/>
            <w:vAlign w:val="bottom"/>
          </w:tcPr>
          <w:p>
            <w:pPr>
              <w:ind w:left="40"/>
              <w:spacing w:after="0"/>
              <w:rPr>
                <w:sz w:val="20"/>
                <w:szCs w:val="20"/>
                <w:color w:val="auto"/>
              </w:rPr>
            </w:pPr>
            <w:r>
              <w:rPr>
                <w:rFonts w:ascii="Times New Roman" w:cs="Times New Roman" w:eastAsia="Times New Roman" w:hAnsi="Times New Roman"/>
                <w:sz w:val="19"/>
                <w:szCs w:val="19"/>
                <w:color w:val="231F20"/>
              </w:rPr>
              <w:t>Town Center Crossing and</w:t>
            </w:r>
          </w:p>
        </w:tc>
        <w:tc>
          <w:tcPr>
            <w:tcW w:w="40" w:type="dxa"/>
            <w:vAlign w:val="bottom"/>
          </w:tcPr>
          <w:p>
            <w:pPr>
              <w:spacing w:after="0"/>
              <w:rPr>
                <w:sz w:val="24"/>
                <w:szCs w:val="24"/>
                <w:color w:val="auto"/>
              </w:rPr>
            </w:pPr>
          </w:p>
        </w:tc>
        <w:tc>
          <w:tcPr>
            <w:tcW w:w="2020" w:type="dxa"/>
            <w:vAlign w:val="bottom"/>
          </w:tcPr>
          <w:p>
            <w:pPr>
              <w:ind w:left="60"/>
              <w:spacing w:after="0"/>
              <w:rPr>
                <w:sz w:val="20"/>
                <w:szCs w:val="20"/>
                <w:color w:val="auto"/>
              </w:rPr>
            </w:pPr>
            <w:r>
              <w:rPr>
                <w:rFonts w:ascii="Times New Roman" w:cs="Times New Roman" w:eastAsia="Times New Roman" w:hAnsi="Times New Roman"/>
                <w:sz w:val="19"/>
                <w:szCs w:val="19"/>
                <w:color w:val="231F20"/>
              </w:rPr>
              <w:t>Leawood, Kansas</w:t>
            </w:r>
          </w:p>
        </w:tc>
      </w:tr>
      <w:tr>
        <w:trPr>
          <w:trHeight w:val="249"/>
        </w:trPr>
        <w:tc>
          <w:tcPr>
            <w:tcW w:w="2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580" w:type="dxa"/>
            <w:vAlign w:val="bottom"/>
          </w:tcPr>
          <w:p>
            <w:pPr>
              <w:ind w:left="40"/>
              <w:spacing w:after="0"/>
              <w:rPr>
                <w:sz w:val="20"/>
                <w:szCs w:val="20"/>
                <w:color w:val="auto"/>
              </w:rPr>
            </w:pPr>
            <w:r>
              <w:rPr>
                <w:rFonts w:ascii="Times New Roman" w:cs="Times New Roman" w:eastAsia="Times New Roman" w:hAnsi="Times New Roman"/>
                <w:sz w:val="19"/>
                <w:szCs w:val="19"/>
                <w:color w:val="231F20"/>
              </w:rPr>
              <w:t>Town Center Plaza</w:t>
            </w:r>
          </w:p>
        </w:tc>
        <w:tc>
          <w:tcPr>
            <w:tcW w:w="40" w:type="dxa"/>
            <w:vAlign w:val="bottom"/>
          </w:tcPr>
          <w:p>
            <w:pPr>
              <w:spacing w:after="0"/>
              <w:rPr>
                <w:sz w:val="21"/>
                <w:szCs w:val="21"/>
                <w:color w:val="auto"/>
              </w:rPr>
            </w:pPr>
          </w:p>
        </w:tc>
        <w:tc>
          <w:tcPr>
            <w:tcW w:w="2020" w:type="dxa"/>
            <w:vAlign w:val="bottom"/>
          </w:tcPr>
          <w:p>
            <w:pPr>
              <w:spacing w:after="0"/>
              <w:rPr>
                <w:sz w:val="21"/>
                <w:szCs w:val="21"/>
                <w:color w:val="auto"/>
              </w:rPr>
            </w:pPr>
          </w:p>
        </w:tc>
      </w:tr>
      <w:tr>
        <w:trPr>
          <w:trHeight w:val="251"/>
        </w:trPr>
        <w:tc>
          <w:tcPr>
            <w:tcW w:w="2020" w:type="dxa"/>
            <w:vAlign w:val="bottom"/>
          </w:tcPr>
          <w:p>
            <w:pPr>
              <w:ind w:left="60"/>
              <w:spacing w:after="0"/>
              <w:rPr>
                <w:sz w:val="20"/>
                <w:szCs w:val="20"/>
                <w:color w:val="auto"/>
              </w:rPr>
            </w:pPr>
            <w:r>
              <w:rPr>
                <w:rFonts w:ascii="Times New Roman" w:cs="Times New Roman" w:eastAsia="Times New Roman" w:hAnsi="Times New Roman"/>
                <w:sz w:val="19"/>
                <w:szCs w:val="19"/>
                <w:color w:val="231F20"/>
              </w:rPr>
              <w:t>October 10, 2025</w:t>
            </w:r>
          </w:p>
        </w:tc>
        <w:tc>
          <w:tcPr>
            <w:tcW w:w="60" w:type="dxa"/>
            <w:vAlign w:val="bottom"/>
          </w:tcPr>
          <w:p>
            <w:pPr>
              <w:spacing w:after="0"/>
              <w:rPr>
                <w:sz w:val="21"/>
                <w:szCs w:val="21"/>
                <w:color w:val="auto"/>
              </w:rPr>
            </w:pPr>
          </w:p>
        </w:tc>
        <w:tc>
          <w:tcPr>
            <w:tcW w:w="2580" w:type="dxa"/>
            <w:vAlign w:val="bottom"/>
          </w:tcPr>
          <w:p>
            <w:pPr>
              <w:ind w:left="40"/>
              <w:spacing w:after="0"/>
              <w:rPr>
                <w:sz w:val="20"/>
                <w:szCs w:val="20"/>
                <w:color w:val="auto"/>
              </w:rPr>
            </w:pPr>
            <w:r>
              <w:rPr>
                <w:rFonts w:ascii="Times New Roman" w:cs="Times New Roman" w:eastAsia="Times New Roman" w:hAnsi="Times New Roman"/>
                <w:sz w:val="19"/>
                <w:szCs w:val="19"/>
                <w:color w:val="231F20"/>
              </w:rPr>
              <w:t>Annapolis Town Center</w:t>
            </w:r>
          </w:p>
        </w:tc>
        <w:tc>
          <w:tcPr>
            <w:tcW w:w="40" w:type="dxa"/>
            <w:vAlign w:val="bottom"/>
          </w:tcPr>
          <w:p>
            <w:pPr>
              <w:spacing w:after="0"/>
              <w:rPr>
                <w:sz w:val="21"/>
                <w:szCs w:val="21"/>
                <w:color w:val="auto"/>
              </w:rPr>
            </w:pPr>
          </w:p>
        </w:tc>
        <w:tc>
          <w:tcPr>
            <w:tcW w:w="2020" w:type="dxa"/>
            <w:vAlign w:val="bottom"/>
          </w:tcPr>
          <w:p>
            <w:pPr>
              <w:ind w:left="60"/>
              <w:spacing w:after="0"/>
              <w:rPr>
                <w:sz w:val="20"/>
                <w:szCs w:val="20"/>
                <w:color w:val="auto"/>
              </w:rPr>
            </w:pPr>
            <w:r>
              <w:rPr>
                <w:rFonts w:ascii="Times New Roman" w:cs="Times New Roman" w:eastAsia="Times New Roman" w:hAnsi="Times New Roman"/>
                <w:sz w:val="19"/>
                <w:szCs w:val="19"/>
                <w:color w:val="231F20"/>
              </w:rPr>
              <w:t>Annapolis, Maryland</w:t>
            </w:r>
          </w:p>
        </w:tc>
      </w:tr>
      <w:tr>
        <w:trPr>
          <w:trHeight w:val="299"/>
        </w:trPr>
        <w:tc>
          <w:tcPr>
            <w:tcW w:w="2020" w:type="dxa"/>
            <w:vAlign w:val="bottom"/>
          </w:tcPr>
          <w:p>
            <w:pPr>
              <w:ind w:left="60"/>
              <w:spacing w:after="0"/>
              <w:rPr>
                <w:sz w:val="20"/>
                <w:szCs w:val="20"/>
                <w:color w:val="auto"/>
              </w:rPr>
            </w:pPr>
            <w:r>
              <w:rPr>
                <w:rFonts w:ascii="Times New Roman" w:cs="Times New Roman" w:eastAsia="Times New Roman" w:hAnsi="Times New Roman"/>
                <w:sz w:val="19"/>
                <w:szCs w:val="19"/>
                <w:color w:val="231F20"/>
              </w:rPr>
              <w:t>November 24, 2025</w:t>
            </w:r>
          </w:p>
        </w:tc>
        <w:tc>
          <w:tcPr>
            <w:tcW w:w="60" w:type="dxa"/>
            <w:vAlign w:val="bottom"/>
          </w:tcPr>
          <w:p>
            <w:pPr>
              <w:spacing w:after="0"/>
              <w:rPr>
                <w:sz w:val="24"/>
                <w:szCs w:val="24"/>
                <w:color w:val="auto"/>
              </w:rPr>
            </w:pPr>
          </w:p>
        </w:tc>
        <w:tc>
          <w:tcPr>
            <w:tcW w:w="2580" w:type="dxa"/>
            <w:vAlign w:val="bottom"/>
          </w:tcPr>
          <w:p>
            <w:pPr>
              <w:ind w:left="40"/>
              <w:spacing w:after="0"/>
              <w:rPr>
                <w:sz w:val="20"/>
                <w:szCs w:val="20"/>
                <w:color w:val="auto"/>
              </w:rPr>
            </w:pPr>
            <w:r>
              <w:rPr>
                <w:rFonts w:ascii="Times New Roman" w:cs="Times New Roman" w:eastAsia="Times New Roman" w:hAnsi="Times New Roman"/>
                <w:sz w:val="19"/>
                <w:szCs w:val="19"/>
                <w:color w:val="231F20"/>
              </w:rPr>
              <w:t>Village Pointe</w:t>
            </w:r>
          </w:p>
        </w:tc>
        <w:tc>
          <w:tcPr>
            <w:tcW w:w="40" w:type="dxa"/>
            <w:vAlign w:val="bottom"/>
          </w:tcPr>
          <w:p>
            <w:pPr>
              <w:spacing w:after="0"/>
              <w:rPr>
                <w:sz w:val="24"/>
                <w:szCs w:val="24"/>
                <w:color w:val="auto"/>
              </w:rPr>
            </w:pPr>
          </w:p>
        </w:tc>
        <w:tc>
          <w:tcPr>
            <w:tcW w:w="2020" w:type="dxa"/>
            <w:vAlign w:val="bottom"/>
          </w:tcPr>
          <w:p>
            <w:pPr>
              <w:ind w:left="60"/>
              <w:spacing w:after="0"/>
              <w:rPr>
                <w:sz w:val="20"/>
                <w:szCs w:val="20"/>
                <w:color w:val="auto"/>
              </w:rPr>
            </w:pPr>
            <w:r>
              <w:rPr>
                <w:rFonts w:ascii="Times New Roman" w:cs="Times New Roman" w:eastAsia="Times New Roman" w:hAnsi="Times New Roman"/>
                <w:sz w:val="19"/>
                <w:szCs w:val="19"/>
                <w:color w:val="231F20"/>
              </w:rPr>
              <w:t>Omaha, Nebraska</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8"/>
        </w:trPr>
        <w:tc>
          <w:tcPr>
            <w:tcW w:w="130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231F20"/>
              </w:rPr>
              <w:t>Gross</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vMerge w:val="restart"/>
          </w:tcPr>
          <w:p>
            <w:pPr>
              <w:jc w:val="center"/>
              <w:ind w:right="66"/>
              <w:spacing w:after="0"/>
              <w:rPr>
                <w:sz w:val="20"/>
                <w:szCs w:val="20"/>
                <w:color w:val="auto"/>
              </w:rPr>
            </w:pPr>
            <w:r>
              <w:rPr>
                <w:rFonts w:ascii="Times New Roman" w:cs="Times New Roman" w:eastAsia="Times New Roman" w:hAnsi="Times New Roman"/>
                <w:sz w:val="19"/>
                <w:szCs w:val="19"/>
                <w:b w:val="1"/>
                <w:bCs w:val="1"/>
                <w:color w:val="231F20"/>
              </w:rPr>
              <w:t>Purchase</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1300" w:type="dxa"/>
            <w:vAlign w:val="bottom"/>
          </w:tcPr>
          <w:p>
            <w:pPr>
              <w:jc w:val="center"/>
              <w:spacing w:after="0" w:line="190" w:lineRule="exact"/>
              <w:rPr>
                <w:sz w:val="20"/>
                <w:szCs w:val="20"/>
                <w:color w:val="auto"/>
              </w:rPr>
            </w:pPr>
            <w:r>
              <w:rPr>
                <w:rFonts w:ascii="Times New Roman" w:cs="Times New Roman" w:eastAsia="Times New Roman" w:hAnsi="Times New Roman"/>
                <w:sz w:val="19"/>
                <w:szCs w:val="19"/>
                <w:b w:val="1"/>
                <w:bCs w:val="1"/>
                <w:color w:val="231F20"/>
                <w:w w:val="99"/>
              </w:rPr>
              <w:t>Leasable Area</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130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9"/>
                <w:szCs w:val="19"/>
                <w:b w:val="1"/>
                <w:bCs w:val="1"/>
                <w:color w:val="231F20"/>
              </w:rPr>
              <w:t>(GLA)</w:t>
            </w:r>
          </w:p>
        </w:tc>
        <w:tc>
          <w:tcPr>
            <w:tcW w:w="60" w:type="dxa"/>
            <w:vAlign w:val="bottom"/>
          </w:tcPr>
          <w:p>
            <w:pPr>
              <w:spacing w:after="0"/>
              <w:rPr>
                <w:sz w:val="20"/>
                <w:szCs w:val="20"/>
                <w:color w:val="auto"/>
              </w:rPr>
            </w:pPr>
          </w:p>
        </w:tc>
        <w:tc>
          <w:tcPr>
            <w:tcW w:w="160" w:type="dxa"/>
            <w:vAlign w:val="bottom"/>
            <w:tcBorders>
              <w:bottom w:val="single" w:sz="8" w:color="231F20"/>
            </w:tcBorders>
          </w:tcPr>
          <w:p>
            <w:pPr>
              <w:spacing w:after="0"/>
              <w:rPr>
                <w:sz w:val="20"/>
                <w:szCs w:val="20"/>
                <w:color w:val="auto"/>
              </w:rPr>
            </w:pPr>
          </w:p>
        </w:tc>
        <w:tc>
          <w:tcPr>
            <w:tcW w:w="1120" w:type="dxa"/>
            <w:vAlign w:val="bottom"/>
            <w:tcBorders>
              <w:bottom w:val="single" w:sz="8" w:color="231F20"/>
            </w:tcBorders>
          </w:tcPr>
          <w:p>
            <w:pPr>
              <w:jc w:val="center"/>
              <w:ind w:right="66"/>
              <w:spacing w:after="0"/>
              <w:rPr>
                <w:sz w:val="20"/>
                <w:szCs w:val="20"/>
                <w:color w:val="auto"/>
              </w:rPr>
            </w:pPr>
            <w:r>
              <w:rPr>
                <w:rFonts w:ascii="Times New Roman" w:cs="Times New Roman" w:eastAsia="Times New Roman" w:hAnsi="Times New Roman"/>
                <w:sz w:val="19"/>
                <w:szCs w:val="19"/>
                <w:b w:val="1"/>
                <w:bCs w:val="1"/>
                <w:color w:val="231F20"/>
              </w:rPr>
              <w:t>Price</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13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231F20"/>
              </w:rPr>
              <w:t>(in square feet)</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jc w:val="center"/>
              <w:ind w:right="66"/>
              <w:spacing w:after="0"/>
              <w:rPr>
                <w:sz w:val="20"/>
                <w:szCs w:val="20"/>
                <w:color w:val="auto"/>
              </w:rPr>
            </w:pPr>
            <w:r>
              <w:rPr>
                <w:rFonts w:ascii="Times New Roman" w:cs="Times New Roman" w:eastAsia="Times New Roman" w:hAnsi="Times New Roman"/>
                <w:sz w:val="17"/>
                <w:szCs w:val="17"/>
                <w:b w:val="1"/>
                <w:bCs w:val="1"/>
                <w:color w:val="231F20"/>
              </w:rPr>
              <w:t>(in millions)</w:t>
            </w:r>
          </w:p>
        </w:tc>
        <w:tc>
          <w:tcPr>
            <w:tcW w:w="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2"/>
        </w:trPr>
        <w:tc>
          <w:tcPr>
            <w:tcW w:w="13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675,000</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231F2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123.5</w:t>
            </w:r>
          </w:p>
        </w:tc>
        <w:tc>
          <w:tcPr>
            <w:tcW w:w="300" w:type="dxa"/>
            <w:vAlign w:val="bottom"/>
          </w:tcPr>
          <w:p>
            <w:pPr>
              <w:jc w:val="right"/>
              <w:spacing w:after="0"/>
              <w:rPr>
                <w:sz w:val="20"/>
                <w:szCs w:val="20"/>
                <w:color w:val="auto"/>
              </w:rPr>
            </w:pPr>
            <w:r>
              <w:rPr>
                <w:rFonts w:ascii="PMingLiU" w:cs="PMingLiU" w:eastAsia="PMingLiU" w:hAnsi="PMingLiU"/>
                <w:sz w:val="19"/>
                <w:szCs w:val="19"/>
                <w:color w:val="231F20"/>
              </w:rPr>
              <w:t/>
            </w:r>
            <w:r>
              <w:rPr>
                <w:rFonts w:ascii="Times New Roman" w:cs="Times New Roman" w:eastAsia="Times New Roman" w:hAnsi="Times New Roman"/>
                <w:sz w:val="19"/>
                <w:szCs w:val="19"/>
                <w:color w:val="231F20"/>
              </w:rPr>
              <w:t>1)</w:t>
            </w:r>
          </w:p>
        </w:tc>
        <w:tc>
          <w:tcPr>
            <w:tcW w:w="0" w:type="dxa"/>
            <w:vAlign w:val="bottom"/>
          </w:tcPr>
          <w:p>
            <w:pPr>
              <w:spacing w:after="0"/>
              <w:rPr>
                <w:sz w:val="1"/>
                <w:szCs w:val="1"/>
                <w:color w:val="auto"/>
              </w:rPr>
            </w:pPr>
          </w:p>
        </w:tc>
      </w:tr>
      <w:tr>
        <w:trPr>
          <w:trHeight w:val="424"/>
        </w:trPr>
        <w:tc>
          <w:tcPr>
            <w:tcW w:w="13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552,000</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231F2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289.0</w:t>
            </w:r>
          </w:p>
        </w:tc>
        <w:tc>
          <w:tcPr>
            <w:tcW w:w="3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(2)</w:t>
            </w:r>
          </w:p>
        </w:tc>
        <w:tc>
          <w:tcPr>
            <w:tcW w:w="0" w:type="dxa"/>
            <w:vAlign w:val="bottom"/>
          </w:tcPr>
          <w:p>
            <w:pPr>
              <w:spacing w:after="0"/>
              <w:rPr>
                <w:sz w:val="1"/>
                <w:szCs w:val="1"/>
                <w:color w:val="auto"/>
              </w:rPr>
            </w:pPr>
          </w:p>
        </w:tc>
      </w:tr>
      <w:tr>
        <w:trPr>
          <w:trHeight w:val="473"/>
        </w:trPr>
        <w:tc>
          <w:tcPr>
            <w:tcW w:w="13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479,000</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231F2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187.0</w:t>
            </w:r>
          </w:p>
        </w:tc>
        <w:tc>
          <w:tcPr>
            <w:tcW w:w="3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w:t>
            </w:r>
            <w:r>
              <w:rPr>
                <w:rFonts w:ascii="PMingLiU" w:cs="PMingLiU" w:eastAsia="PMingLiU" w:hAnsi="PMingLiU"/>
                <w:sz w:val="19"/>
                <w:szCs w:val="19"/>
                <w:color w:val="231F20"/>
              </w:rPr>
              <w:t/>
            </w:r>
          </w:p>
        </w:tc>
        <w:tc>
          <w:tcPr>
            <w:tcW w:w="0" w:type="dxa"/>
            <w:vAlign w:val="bottom"/>
          </w:tcPr>
          <w:p>
            <w:pPr>
              <w:spacing w:after="0"/>
              <w:rPr>
                <w:sz w:val="1"/>
                <w:szCs w:val="1"/>
                <w:color w:val="auto"/>
              </w:rPr>
            </w:pPr>
          </w:p>
        </w:tc>
      </w:tr>
      <w:tr>
        <w:trPr>
          <w:trHeight w:val="268"/>
        </w:trPr>
        <w:tc>
          <w:tcPr>
            <w:tcW w:w="13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452,000</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231F2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153.3</w:t>
            </w:r>
          </w:p>
        </w:tc>
        <w:tc>
          <w:tcPr>
            <w:tcW w:w="3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(4)</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2">
            <w:col w:w="6720" w:space="60"/>
            <w:col w:w="2960"/>
          </w:cols>
          <w:pgMar w:left="1060" w:top="961" w:right="1080" w:bottom="0" w:gutter="0" w:footer="0" w:header="0"/>
          <w:type w:val="continuous"/>
        </w:sect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231F20"/>
        </w:rPr>
        <w:t>33</w:t>
      </w:r>
    </w:p>
    <w:p>
      <w:pPr>
        <w:sectPr>
          <w:pgSz w:w="11880" w:h="15480" w:orient="portrait"/>
          <w:cols w:equalWidth="0" w:num="1">
            <w:col w:w="9740"/>
          </w:cols>
          <w:pgMar w:left="1060" w:top="961" w:right="1080" w:bottom="0" w:gutter="0" w:footer="0" w:header="0"/>
          <w:type w:val="continuous"/>
        </w:sectPr>
      </w:pPr>
    </w:p>
    <w:bookmarkStart w:id="41" w:name="page42"/>
    <w:bookmarkEnd w:id="41"/>
    <w:p>
      <w:pPr>
        <w:ind w:left="340" w:right="180" w:hanging="337"/>
        <w:spacing w:after="0" w:line="258" w:lineRule="auto"/>
        <w:tabs>
          <w:tab w:leader="none" w:pos="340" w:val="left"/>
        </w:tabs>
        <w:numPr>
          <w:ilvl w:val="0"/>
          <w:numId w:val="31"/>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Approximately $17.7 million and $0.8 million of net assets were allocated to other assets for "acquired lease costs" and "above market leases," respectively, and $23.5 million of net assets acquired were allocated to other liabilities for "below market leases."</w:t>
      </w:r>
    </w:p>
    <w:p>
      <w:pPr>
        <w:spacing w:after="0" w:line="1" w:lineRule="exact"/>
        <w:rPr>
          <w:rFonts w:ascii="Times New Roman" w:cs="Times New Roman" w:eastAsia="Times New Roman" w:hAnsi="Times New Roman"/>
          <w:sz w:val="19"/>
          <w:szCs w:val="19"/>
          <w:color w:val="231F20"/>
        </w:rPr>
      </w:pPr>
    </w:p>
    <w:p>
      <w:pPr>
        <w:ind w:left="340" w:right="180" w:hanging="337"/>
        <w:spacing w:after="0" w:line="250" w:lineRule="auto"/>
        <w:tabs>
          <w:tab w:leader="none" w:pos="340" w:val="left"/>
        </w:tabs>
        <w:numPr>
          <w:ilvl w:val="0"/>
          <w:numId w:val="31"/>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Approximately $31.0 million and $6.5 million of net assets were allocated to other assets for "acquired lease costs" and "above market leases," respectively, and $11.4 million of net assets acquired were allocated to other liabilities for "below market leases."</w:t>
      </w:r>
    </w:p>
    <w:p>
      <w:pPr>
        <w:spacing w:after="0" w:line="1" w:lineRule="exact"/>
        <w:rPr>
          <w:rFonts w:ascii="Times New Roman" w:cs="Times New Roman" w:eastAsia="Times New Roman" w:hAnsi="Times New Roman"/>
          <w:sz w:val="19"/>
          <w:szCs w:val="19"/>
          <w:color w:val="231F20"/>
        </w:rPr>
      </w:pPr>
    </w:p>
    <w:p>
      <w:pPr>
        <w:ind w:left="340" w:right="40" w:hanging="337"/>
        <w:spacing w:after="0" w:line="257" w:lineRule="auto"/>
        <w:tabs>
          <w:tab w:leader="none" w:pos="340" w:val="left"/>
        </w:tabs>
        <w:numPr>
          <w:ilvl w:val="0"/>
          <w:numId w:val="31"/>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Approximately $18.0 million and $2.9 million of net assets acquired were allocated to other assets for "acquired lease costs" and "above market leases," respectively, and $9.0 million of net assets acquired were allocated to other liabilities for "below market leases."</w:t>
      </w:r>
    </w:p>
    <w:p>
      <w:pPr>
        <w:spacing w:after="0" w:line="1" w:lineRule="exact"/>
        <w:rPr>
          <w:rFonts w:ascii="Times New Roman" w:cs="Times New Roman" w:eastAsia="Times New Roman" w:hAnsi="Times New Roman"/>
          <w:sz w:val="19"/>
          <w:szCs w:val="19"/>
          <w:color w:val="231F20"/>
        </w:rPr>
      </w:pPr>
    </w:p>
    <w:p>
      <w:pPr>
        <w:ind w:left="340" w:right="220" w:hanging="337"/>
        <w:spacing w:after="0" w:line="266" w:lineRule="auto"/>
        <w:tabs>
          <w:tab w:leader="none" w:pos="340" w:val="left"/>
        </w:tabs>
        <w:numPr>
          <w:ilvl w:val="0"/>
          <w:numId w:val="31"/>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Approximately $18.1 million and $1.0 million of net assets acquired were allocated to other assets for "acquired lease costs" and "above market leases," respectively, and $10.5 million of net assets acquired were allocated to other liabilities for "below market leases."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During the year ended December 31, 2025, we sold the following properties: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5580" w:type="dxa"/>
            <w:vAlign w:val="bottom"/>
            <w:tcBorders>
              <w:bottom w:val="single" w:sz="8" w:color="231F20"/>
            </w:tcBorders>
          </w:tcPr>
          <w:p>
            <w:pPr>
              <w:ind w:left="60"/>
              <w:spacing w:after="0"/>
              <w:rPr>
                <w:sz w:val="20"/>
                <w:szCs w:val="20"/>
                <w:color w:val="auto"/>
              </w:rPr>
            </w:pPr>
            <w:r>
              <w:rPr>
                <w:rFonts w:ascii="Times New Roman" w:cs="Times New Roman" w:eastAsia="Times New Roman" w:hAnsi="Times New Roman"/>
                <w:sz w:val="19"/>
                <w:szCs w:val="19"/>
                <w:b w:val="1"/>
                <w:bCs w:val="1"/>
                <w:color w:val="231F20"/>
              </w:rPr>
              <w:t>Property</w:t>
            </w:r>
          </w:p>
        </w:tc>
        <w:tc>
          <w:tcPr>
            <w:tcW w:w="60" w:type="dxa"/>
            <w:vAlign w:val="bottom"/>
          </w:tcPr>
          <w:p>
            <w:pPr>
              <w:spacing w:after="0"/>
              <w:rPr>
                <w:sz w:val="21"/>
                <w:szCs w:val="21"/>
                <w:color w:val="auto"/>
              </w:rPr>
            </w:pPr>
          </w:p>
        </w:tc>
        <w:tc>
          <w:tcPr>
            <w:tcW w:w="320" w:type="dxa"/>
            <w:vAlign w:val="bottom"/>
            <w:tcBorders>
              <w:bottom w:val="single" w:sz="8" w:color="231F20"/>
            </w:tcBorders>
          </w:tcPr>
          <w:p>
            <w:pPr>
              <w:spacing w:after="0"/>
              <w:rPr>
                <w:sz w:val="21"/>
                <w:szCs w:val="21"/>
                <w:color w:val="auto"/>
              </w:rPr>
            </w:pPr>
          </w:p>
        </w:tc>
        <w:tc>
          <w:tcPr>
            <w:tcW w:w="1620" w:type="dxa"/>
            <w:vAlign w:val="bottom"/>
            <w:tcBorders>
              <w:bottom w:val="single" w:sz="8" w:color="231F20"/>
            </w:tcBorders>
          </w:tcPr>
          <w:p>
            <w:pPr>
              <w:jc w:val="right"/>
              <w:ind w:right="445"/>
              <w:spacing w:after="0"/>
              <w:rPr>
                <w:sz w:val="20"/>
                <w:szCs w:val="20"/>
                <w:color w:val="auto"/>
              </w:rPr>
            </w:pPr>
            <w:r>
              <w:rPr>
                <w:rFonts w:ascii="Times New Roman" w:cs="Times New Roman" w:eastAsia="Times New Roman" w:hAnsi="Times New Roman"/>
                <w:sz w:val="19"/>
                <w:szCs w:val="19"/>
                <w:b w:val="1"/>
                <w:bCs w:val="1"/>
                <w:color w:val="231F20"/>
              </w:rPr>
              <w:t>Sales Price</w:t>
            </w:r>
          </w:p>
        </w:tc>
        <w:tc>
          <w:tcPr>
            <w:tcW w:w="60" w:type="dxa"/>
            <w:vAlign w:val="bottom"/>
          </w:tcPr>
          <w:p>
            <w:pPr>
              <w:spacing w:after="0"/>
              <w:rPr>
                <w:sz w:val="21"/>
                <w:szCs w:val="21"/>
                <w:color w:val="auto"/>
              </w:rPr>
            </w:pPr>
          </w:p>
        </w:tc>
        <w:tc>
          <w:tcPr>
            <w:tcW w:w="320" w:type="dxa"/>
            <w:vAlign w:val="bottom"/>
            <w:tcBorders>
              <w:bottom w:val="single" w:sz="8" w:color="231F20"/>
            </w:tcBorders>
          </w:tcPr>
          <w:p>
            <w:pPr>
              <w:spacing w:after="0"/>
              <w:rPr>
                <w:sz w:val="21"/>
                <w:szCs w:val="21"/>
                <w:color w:val="auto"/>
              </w:rPr>
            </w:pPr>
          </w:p>
        </w:tc>
        <w:tc>
          <w:tcPr>
            <w:tcW w:w="1620" w:type="dxa"/>
            <w:vAlign w:val="bottom"/>
            <w:tcBorders>
              <w:bottom w:val="single" w:sz="8" w:color="231F20"/>
            </w:tcBorders>
          </w:tcPr>
          <w:p>
            <w:pPr>
              <w:jc w:val="right"/>
              <w:ind w:right="685"/>
              <w:spacing w:after="0"/>
              <w:rPr>
                <w:sz w:val="20"/>
                <w:szCs w:val="20"/>
                <w:color w:val="auto"/>
              </w:rPr>
            </w:pPr>
            <w:r>
              <w:rPr>
                <w:rFonts w:ascii="Times New Roman" w:cs="Times New Roman" w:eastAsia="Times New Roman" w:hAnsi="Times New Roman"/>
                <w:sz w:val="19"/>
                <w:szCs w:val="19"/>
                <w:b w:val="1"/>
                <w:bCs w:val="1"/>
                <w:color w:val="231F20"/>
              </w:rPr>
              <w:t>Gain</w:t>
            </w:r>
          </w:p>
        </w:tc>
      </w:tr>
      <w:tr>
        <w:trPr>
          <w:trHeight w:val="279"/>
        </w:trPr>
        <w:tc>
          <w:tcPr>
            <w:tcW w:w="5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20" w:type="dxa"/>
            <w:vAlign w:val="bottom"/>
          </w:tcPr>
          <w:p>
            <w:pPr>
              <w:jc w:val="right"/>
              <w:ind w:right="405"/>
              <w:spacing w:after="0"/>
              <w:rPr>
                <w:sz w:val="20"/>
                <w:szCs w:val="20"/>
                <w:color w:val="auto"/>
              </w:rPr>
            </w:pPr>
            <w:r>
              <w:rPr>
                <w:rFonts w:ascii="Times New Roman" w:cs="Times New Roman" w:eastAsia="Times New Roman" w:hAnsi="Times New Roman"/>
                <w:sz w:val="19"/>
                <w:szCs w:val="19"/>
                <w:color w:val="231F20"/>
              </w:rPr>
              <w:t>(in millions)</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20" w:type="dxa"/>
            <w:vAlign w:val="bottom"/>
          </w:tcPr>
          <w:p>
            <w:pPr>
              <w:jc w:val="right"/>
              <w:ind w:right="405"/>
              <w:spacing w:after="0"/>
              <w:rPr>
                <w:sz w:val="20"/>
                <w:szCs w:val="20"/>
                <w:color w:val="auto"/>
              </w:rPr>
            </w:pPr>
            <w:r>
              <w:rPr>
                <w:rFonts w:ascii="Times New Roman" w:cs="Times New Roman" w:eastAsia="Times New Roman" w:hAnsi="Times New Roman"/>
                <w:sz w:val="19"/>
                <w:szCs w:val="19"/>
                <w:color w:val="231F20"/>
              </w:rPr>
              <w:t>(in millions)</w:t>
            </w:r>
          </w:p>
        </w:tc>
      </w:tr>
      <w:tr>
        <w:trPr>
          <w:trHeight w:val="271"/>
        </w:trPr>
        <w:tc>
          <w:tcPr>
            <w:tcW w:w="5580" w:type="dxa"/>
            <w:vAlign w:val="bottom"/>
          </w:tcPr>
          <w:p>
            <w:pPr>
              <w:ind w:left="60"/>
              <w:spacing w:after="0"/>
              <w:rPr>
                <w:sz w:val="20"/>
                <w:szCs w:val="20"/>
                <w:color w:val="auto"/>
              </w:rPr>
            </w:pPr>
            <w:r>
              <w:rPr>
                <w:rFonts w:ascii="Times New Roman" w:cs="Times New Roman" w:eastAsia="Times New Roman" w:hAnsi="Times New Roman"/>
                <w:sz w:val="19"/>
                <w:szCs w:val="19"/>
                <w:color w:val="231F20"/>
              </w:rPr>
              <w:t>Pike &amp; Rose (one residential building)</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9"/>
                <w:szCs w:val="19"/>
                <w:color w:val="231F20"/>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125.0</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9"/>
                <w:szCs w:val="19"/>
                <w:color w:val="231F20"/>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41.9</w:t>
            </w:r>
          </w:p>
        </w:tc>
      </w:tr>
      <w:tr>
        <w:trPr>
          <w:trHeight w:val="271"/>
        </w:trPr>
        <w:tc>
          <w:tcPr>
            <w:tcW w:w="5580" w:type="dxa"/>
            <w:vAlign w:val="bottom"/>
          </w:tcPr>
          <w:p>
            <w:pPr>
              <w:ind w:left="60"/>
              <w:spacing w:after="0"/>
              <w:rPr>
                <w:sz w:val="20"/>
                <w:szCs w:val="20"/>
                <w:color w:val="auto"/>
              </w:rPr>
            </w:pPr>
            <w:r>
              <w:rPr>
                <w:rFonts w:ascii="Times New Roman" w:cs="Times New Roman" w:eastAsia="Times New Roman" w:hAnsi="Times New Roman"/>
                <w:sz w:val="19"/>
                <w:szCs w:val="19"/>
                <w:color w:val="231F20"/>
              </w:rPr>
              <w:t>Santana Row (one residential building)</w:t>
            </w: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73.9</w:t>
            </w: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49.1</w:t>
            </w:r>
          </w:p>
        </w:tc>
      </w:tr>
      <w:tr>
        <w:trPr>
          <w:trHeight w:val="271"/>
        </w:trPr>
        <w:tc>
          <w:tcPr>
            <w:tcW w:w="5580" w:type="dxa"/>
            <w:vAlign w:val="bottom"/>
          </w:tcPr>
          <w:p>
            <w:pPr>
              <w:ind w:left="60"/>
              <w:spacing w:after="0"/>
              <w:rPr>
                <w:sz w:val="20"/>
                <w:szCs w:val="20"/>
                <w:color w:val="auto"/>
              </w:rPr>
            </w:pPr>
            <w:r>
              <w:rPr>
                <w:rFonts w:ascii="Times New Roman" w:cs="Times New Roman" w:eastAsia="Times New Roman" w:hAnsi="Times New Roman"/>
                <w:sz w:val="19"/>
                <w:szCs w:val="19"/>
                <w:color w:val="231F20"/>
              </w:rPr>
              <w:t>Hollywood Boulevard</w:t>
            </w: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69.0</w:t>
            </w: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27.2</w:t>
            </w:r>
          </w:p>
        </w:tc>
      </w:tr>
      <w:tr>
        <w:trPr>
          <w:trHeight w:val="271"/>
        </w:trPr>
        <w:tc>
          <w:tcPr>
            <w:tcW w:w="5580" w:type="dxa"/>
            <w:vAlign w:val="bottom"/>
          </w:tcPr>
          <w:p>
            <w:pPr>
              <w:ind w:left="60"/>
              <w:spacing w:after="0"/>
              <w:rPr>
                <w:sz w:val="20"/>
                <w:szCs w:val="20"/>
                <w:color w:val="auto"/>
              </w:rPr>
            </w:pPr>
            <w:r>
              <w:rPr>
                <w:rFonts w:ascii="Times New Roman" w:cs="Times New Roman" w:eastAsia="Times New Roman" w:hAnsi="Times New Roman"/>
                <w:sz w:val="19"/>
                <w:szCs w:val="19"/>
                <w:color w:val="231F20"/>
              </w:rPr>
              <w:t>Bristol Plaza</w:t>
            </w: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44.4</w:t>
            </w: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30.6</w:t>
            </w:r>
          </w:p>
        </w:tc>
      </w:tr>
      <w:tr>
        <w:trPr>
          <w:trHeight w:val="244"/>
        </w:trPr>
        <w:tc>
          <w:tcPr>
            <w:tcW w:w="5580" w:type="dxa"/>
            <w:vAlign w:val="bottom"/>
          </w:tcPr>
          <w:p>
            <w:pPr>
              <w:ind w:left="60"/>
              <w:spacing w:after="0"/>
              <w:rPr>
                <w:sz w:val="20"/>
                <w:szCs w:val="20"/>
                <w:color w:val="auto"/>
              </w:rPr>
            </w:pPr>
            <w:r>
              <w:rPr>
                <w:rFonts w:ascii="Times New Roman" w:cs="Times New Roman" w:eastAsia="Times New Roman" w:hAnsi="Times New Roman"/>
                <w:sz w:val="19"/>
                <w:szCs w:val="19"/>
                <w:color w:val="231F20"/>
              </w:rPr>
              <w:t>White Marsh Other (portion)</w:t>
            </w:r>
          </w:p>
        </w:tc>
        <w:tc>
          <w:tcPr>
            <w:tcW w:w="60" w:type="dxa"/>
            <w:vAlign w:val="bottom"/>
          </w:tcPr>
          <w:p>
            <w:pPr>
              <w:spacing w:after="0"/>
              <w:rPr>
                <w:sz w:val="21"/>
                <w:szCs w:val="21"/>
                <w:color w:val="auto"/>
              </w:rPr>
            </w:pPr>
          </w:p>
        </w:tc>
        <w:tc>
          <w:tcPr>
            <w:tcW w:w="320" w:type="dxa"/>
            <w:vAlign w:val="bottom"/>
            <w:tcBorders>
              <w:bottom w:val="single" w:sz="8" w:color="231F20"/>
            </w:tcBorders>
          </w:tcPr>
          <w:p>
            <w:pPr>
              <w:spacing w:after="0"/>
              <w:rPr>
                <w:sz w:val="21"/>
                <w:szCs w:val="21"/>
                <w:color w:val="auto"/>
              </w:rPr>
            </w:pPr>
          </w:p>
        </w:tc>
        <w:tc>
          <w:tcPr>
            <w:tcW w:w="16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3.4</w:t>
            </w:r>
          </w:p>
        </w:tc>
        <w:tc>
          <w:tcPr>
            <w:tcW w:w="60" w:type="dxa"/>
            <w:vAlign w:val="bottom"/>
          </w:tcPr>
          <w:p>
            <w:pPr>
              <w:spacing w:after="0"/>
              <w:rPr>
                <w:sz w:val="21"/>
                <w:szCs w:val="21"/>
                <w:color w:val="auto"/>
              </w:rPr>
            </w:pPr>
          </w:p>
        </w:tc>
        <w:tc>
          <w:tcPr>
            <w:tcW w:w="320" w:type="dxa"/>
            <w:vAlign w:val="bottom"/>
            <w:tcBorders>
              <w:bottom w:val="single" w:sz="8" w:color="231F20"/>
            </w:tcBorders>
          </w:tcPr>
          <w:p>
            <w:pPr>
              <w:spacing w:after="0"/>
              <w:rPr>
                <w:sz w:val="21"/>
                <w:szCs w:val="21"/>
                <w:color w:val="auto"/>
              </w:rPr>
            </w:pPr>
          </w:p>
        </w:tc>
        <w:tc>
          <w:tcPr>
            <w:tcW w:w="16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0.8</w:t>
            </w:r>
          </w:p>
        </w:tc>
      </w:tr>
      <w:tr>
        <w:trPr>
          <w:trHeight w:val="260"/>
        </w:trPr>
        <w:tc>
          <w:tcPr>
            <w:tcW w:w="5580" w:type="dxa"/>
            <w:vAlign w:val="bottom"/>
          </w:tcPr>
          <w:p>
            <w:pPr>
              <w:spacing w:after="0"/>
              <w:rPr>
                <w:sz w:val="22"/>
                <w:szCs w:val="22"/>
                <w:color w:val="auto"/>
              </w:rPr>
            </w:pP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9"/>
                <w:szCs w:val="19"/>
                <w:color w:val="231F20"/>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315.7</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9"/>
                <w:szCs w:val="19"/>
                <w:color w:val="231F20"/>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149.6</w:t>
            </w:r>
          </w:p>
        </w:tc>
      </w:tr>
      <w:tr>
        <w:trPr>
          <w:trHeight w:val="20"/>
        </w:trPr>
        <w:tc>
          <w:tcPr>
            <w:tcW w:w="5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231F20"/>
              <w:bottom w:val="single" w:sz="8" w:color="231F20"/>
            </w:tcBorders>
          </w:tcPr>
          <w:p>
            <w:pPr>
              <w:spacing w:after="0" w:line="20" w:lineRule="exact"/>
              <w:rPr>
                <w:sz w:val="1"/>
                <w:szCs w:val="1"/>
                <w:color w:val="auto"/>
              </w:rPr>
            </w:pPr>
          </w:p>
        </w:tc>
        <w:tc>
          <w:tcPr>
            <w:tcW w:w="162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231F20"/>
              <w:bottom w:val="single" w:sz="8" w:color="231F20"/>
            </w:tcBorders>
          </w:tcPr>
          <w:p>
            <w:pPr>
              <w:spacing w:after="0" w:line="20" w:lineRule="exact"/>
              <w:rPr>
                <w:sz w:val="1"/>
                <w:szCs w:val="1"/>
                <w:color w:val="auto"/>
              </w:rPr>
            </w:pPr>
          </w:p>
        </w:tc>
        <w:tc>
          <w:tcPr>
            <w:tcW w:w="1620" w:type="dxa"/>
            <w:vAlign w:val="bottom"/>
            <w:tcBorders>
              <w:top w:val="single" w:sz="8" w:color="231F20"/>
              <w:bottom w:val="single" w:sz="8" w:color="231F20"/>
            </w:tcBorders>
          </w:tcPr>
          <w:p>
            <w:pPr>
              <w:spacing w:after="0" w:line="20" w:lineRule="exact"/>
              <w:rPr>
                <w:sz w:val="1"/>
                <w:szCs w:val="1"/>
                <w:color w:val="auto"/>
              </w:rPr>
            </w:pPr>
          </w:p>
        </w:tc>
      </w:tr>
    </w:tbl>
    <w:p>
      <w:pPr>
        <w:spacing w:after="0" w:line="102" w:lineRule="exact"/>
        <w:rPr>
          <w:sz w:val="20"/>
          <w:szCs w:val="20"/>
          <w:color w:val="auto"/>
        </w:rPr>
      </w:pPr>
    </w:p>
    <w:p>
      <w:pPr>
        <w:ind w:right="120"/>
        <w:spacing w:after="0" w:line="284" w:lineRule="auto"/>
        <w:rPr>
          <w:sz w:val="20"/>
          <w:szCs w:val="20"/>
          <w:color w:val="auto"/>
        </w:rPr>
      </w:pPr>
      <w:r>
        <w:rPr>
          <w:rFonts w:ascii="Times New Roman" w:cs="Times New Roman" w:eastAsia="Times New Roman" w:hAnsi="Times New Roman"/>
          <w:sz w:val="19"/>
          <w:szCs w:val="19"/>
          <w:color w:val="231F20"/>
        </w:rPr>
        <w:t>On February 5, 2026, we sold a residential building at our Santana Row property and our Courthouse Center property for sales prices totaling $158.5 million.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2025 Significant Debt and Equity Transactions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On January 9, 2025 and October 1, 2025 we repaid two mortgage loans at our Hoboken property totaling $4.3 million,at par.</w:t>
      </w:r>
    </w:p>
    <w:p>
      <w:pPr>
        <w:spacing w:after="0" w:line="105" w:lineRule="exact"/>
        <w:rPr>
          <w:sz w:val="20"/>
          <w:szCs w:val="20"/>
          <w:color w:val="auto"/>
        </w:rPr>
      </w:pPr>
    </w:p>
    <w:p>
      <w:pPr>
        <w:ind w:right="200"/>
        <w:spacing w:after="0" w:line="257" w:lineRule="auto"/>
        <w:rPr>
          <w:sz w:val="20"/>
          <w:szCs w:val="20"/>
          <w:color w:val="auto"/>
        </w:rPr>
      </w:pPr>
      <w:r>
        <w:rPr>
          <w:rFonts w:ascii="Times New Roman" w:cs="Times New Roman" w:eastAsia="Times New Roman" w:hAnsi="Times New Roman"/>
          <w:sz w:val="19"/>
          <w:szCs w:val="19"/>
          <w:color w:val="231F20"/>
        </w:rPr>
        <w:t>On March 20, 2025, we amended and restated our $600.0 million unsecured term loan, extending the maturity date to March 20, 2028, plus two one-year extensions, at our option. We also had the right to borrow up to an additional $150.0 million, which we exercised on September 22, 2025, bringing our total amount outstanding under this agreement to $750.0 million as of December 31, 2025. Debt issuance costs related to our term loan were $4.9 million. Under an accordion feature, we have the right to request additional loans, subject to an aggregate maximum of $1.0 billion borrowed under the restated agreement. Additionally, on May 1, 2025, the interest rate was reduced by removing the 0.10% adjustment to SOFR.</w:t>
      </w:r>
    </w:p>
    <w:p>
      <w:pPr>
        <w:spacing w:after="0" w:line="137" w:lineRule="exact"/>
        <w:rPr>
          <w:sz w:val="20"/>
          <w:szCs w:val="20"/>
          <w:color w:val="auto"/>
        </w:rPr>
      </w:pPr>
    </w:p>
    <w:p>
      <w:pPr>
        <w:ind w:right="240"/>
        <w:spacing w:after="0" w:line="267" w:lineRule="auto"/>
        <w:rPr>
          <w:sz w:val="20"/>
          <w:szCs w:val="20"/>
          <w:color w:val="auto"/>
        </w:rPr>
      </w:pPr>
      <w:r>
        <w:rPr>
          <w:rFonts w:ascii="Times New Roman" w:cs="Times New Roman" w:eastAsia="Times New Roman" w:hAnsi="Times New Roman"/>
          <w:sz w:val="19"/>
          <w:szCs w:val="19"/>
          <w:color w:val="231F20"/>
        </w:rPr>
        <w:t>On October 30, 2025, we refinanced the $40.0 million mortgage loan at Azalea, with a new $55.0 million mortgage loan that bears interest at SOFR + 85 basis points, based on our credit rating, and matures on October 30, 2028, plus two one-year extensions, at our option. Debt issuance costs related to this mortgage loan were $0.6 million.</w:t>
      </w:r>
    </w:p>
    <w:p>
      <w:pPr>
        <w:spacing w:after="0" w:line="126"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9"/>
          <w:szCs w:val="19"/>
          <w:color w:val="231F20"/>
        </w:rPr>
        <w:t>On November 17, 2025, we entered into an additional unsecured term loan agreement, which gives us the capacity to borrow up to $250.0 million at an interest rate of SOFR + 85 basis points, based on our current credit rating. The loan matures on January 31, 2031, and as of December 31, 2025, we do not have any outstanding borrowings under this agreement. Debt issuance costs related to this term loan were $1.5 million. Under an accordion feature, we have the right to request additional loans, subject to an aggregate maximum of $500.0 million.</w:t>
      </w:r>
    </w:p>
    <w:p>
      <w:pPr>
        <w:spacing w:after="0" w:line="133" w:lineRule="exact"/>
        <w:rPr>
          <w:sz w:val="20"/>
          <w:szCs w:val="20"/>
          <w:color w:val="auto"/>
        </w:rPr>
      </w:pPr>
    </w:p>
    <w:p>
      <w:pPr>
        <w:ind w:right="60"/>
        <w:spacing w:after="0" w:line="284" w:lineRule="auto"/>
        <w:rPr>
          <w:sz w:val="20"/>
          <w:szCs w:val="20"/>
          <w:color w:val="auto"/>
        </w:rPr>
      </w:pPr>
      <w:r>
        <w:rPr>
          <w:rFonts w:ascii="Times New Roman" w:cs="Times New Roman" w:eastAsia="Times New Roman" w:hAnsi="Times New Roman"/>
          <w:sz w:val="19"/>
          <w:szCs w:val="19"/>
          <w:color w:val="231F20"/>
        </w:rPr>
        <w:t>On December 17, 2025, we exercised our first option to extend our $200.0 million mortgage loan at Bethesda Row by one year to December 28, 2026. We have one one-year extension, at our option remaining to extend the loan to December 28, 2027.</w:t>
      </w:r>
    </w:p>
    <w:p>
      <w:pPr>
        <w:spacing w:after="0" w:line="110"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9"/>
          <w:szCs w:val="19"/>
          <w:color w:val="231F20"/>
        </w:rPr>
        <w:t>During 2025, the maximum amount of borrowings outstanding under our revolving credit facility was $461.6 million. The weighted average amount of borrowings outstanding was $153.2 million, and the weighted average interest rate, before amortization of debt fees, was 5.0%. The revolving credit facility requires an annual facility fee which is $1.9 million under the amended credit agreement. At December 31, 2025, our revolving credit facility had $310.0 million outstanding. On October 30, 2025, the interest rate on our revolving credit facility was reduced by removing the 0.10% adjustment to SOFR.</w:t>
      </w:r>
    </w:p>
    <w:p>
      <w:pPr>
        <w:spacing w:after="0" w:line="133" w:lineRule="exact"/>
        <w:rPr>
          <w:sz w:val="20"/>
          <w:szCs w:val="20"/>
          <w:color w:val="auto"/>
        </w:rPr>
      </w:pPr>
    </w:p>
    <w:p>
      <w:pPr>
        <w:ind w:right="100"/>
        <w:spacing w:after="0" w:line="267" w:lineRule="auto"/>
        <w:rPr>
          <w:sz w:val="20"/>
          <w:szCs w:val="20"/>
          <w:color w:val="auto"/>
        </w:rPr>
      </w:pPr>
      <w:r>
        <w:rPr>
          <w:rFonts w:ascii="Times New Roman" w:cs="Times New Roman" w:eastAsia="Times New Roman" w:hAnsi="Times New Roman"/>
          <w:sz w:val="19"/>
          <w:szCs w:val="19"/>
          <w:color w:val="231F20"/>
        </w:rPr>
        <w:t>Our revolving credit facility, term loans, and certain notes require us to comply with various financial covenants, including the maintenance of minimum shareholders’ equity and debt coverage ratios and a maximum ratio of debt to net worth. As of December 31, 2025, we were in compliance with all default related debt covenants.</w:t>
      </w:r>
    </w:p>
    <w:p>
      <w:pPr>
        <w:sectPr>
          <w:pgSz w:w="11880" w:h="15480" w:orient="portrait"/>
          <w:cols w:equalWidth="0" w:num="1">
            <w:col w:w="9740"/>
          </w:cols>
          <w:pgMar w:left="1060" w:top="963" w:right="1080" w:bottom="0" w:gutter="0" w:footer="0" w:header="0"/>
        </w:sect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231F20"/>
        </w:rPr>
        <w:t>34</w:t>
      </w:r>
    </w:p>
    <w:p>
      <w:pPr>
        <w:sectPr>
          <w:pgSz w:w="11880" w:h="15480" w:orient="portrait"/>
          <w:cols w:equalWidth="0" w:num="1">
            <w:col w:w="9740"/>
          </w:cols>
          <w:pgMar w:left="1060" w:top="963" w:right="1080" w:bottom="0" w:gutter="0" w:footer="0" w:header="0"/>
          <w:type w:val="continuous"/>
        </w:sectPr>
      </w:pPr>
    </w:p>
    <w:bookmarkStart w:id="42" w:name="page43"/>
    <w:bookmarkEnd w:id="42"/>
    <w:p>
      <w:pPr>
        <w:spacing w:after="0" w:line="257" w:lineRule="auto"/>
        <w:rPr>
          <w:sz w:val="20"/>
          <w:szCs w:val="20"/>
          <w:color w:val="auto"/>
        </w:rPr>
      </w:pPr>
      <w:r>
        <w:rPr>
          <w:rFonts w:ascii="Times New Roman" w:cs="Times New Roman" w:eastAsia="Times New Roman" w:hAnsi="Times New Roman"/>
          <w:sz w:val="19"/>
          <w:szCs w:val="19"/>
          <w:color w:val="231F20"/>
        </w:rPr>
        <w:t>On February 14, 2025, we amended our existing at-the-market (“ATM”) equity program under which we may from time to time offer and sell common shares. This amendment reset the aggregate offering price of the program to $750.0 million. Our ATM equity program also allows shares to be sold through forward sales contracts. We intend to use the net proceeds to fund potential acquisition opportunities, fund our development and redevelopment pipeline, repay indebtedness and/or for general corporate purposes. As of December 31, 2025, we have the capacity to issue up to $750.0 million in common shares under this program.</w:t>
      </w:r>
    </w:p>
    <w:p>
      <w:pPr>
        <w:spacing w:after="0" w:line="136" w:lineRule="exact"/>
        <w:rPr>
          <w:sz w:val="20"/>
          <w:szCs w:val="20"/>
          <w:color w:val="auto"/>
        </w:rPr>
      </w:pPr>
    </w:p>
    <w:p>
      <w:pPr>
        <w:ind w:right="540"/>
        <w:spacing w:after="0" w:line="284" w:lineRule="auto"/>
        <w:rPr>
          <w:sz w:val="20"/>
          <w:szCs w:val="20"/>
          <w:color w:val="auto"/>
        </w:rPr>
      </w:pPr>
      <w:r>
        <w:rPr>
          <w:rFonts w:ascii="Times New Roman" w:cs="Times New Roman" w:eastAsia="Times New Roman" w:hAnsi="Times New Roman"/>
          <w:sz w:val="19"/>
          <w:szCs w:val="19"/>
          <w:color w:val="231F20"/>
        </w:rPr>
        <w:t>During 2025, we settled our open forward sales agreements by issuing 476,497 common shares for net proceeds of $54.2 million.</w:t>
      </w:r>
    </w:p>
    <w:p>
      <w:pPr>
        <w:spacing w:after="0" w:line="11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9"/>
          <w:szCs w:val="19"/>
          <w:color w:val="231F20"/>
        </w:rPr>
        <w:t>In April 2025, our Board of Trustees approved a new common share repurchase program, under which we may purchase up to $300.0 million of our outstanding common shares of beneficial interest, $0.01 par value per share from time to time using a variety of methods, including open market, privately negotiated transactions or otherwise. The specific timing and amount of common share repurchases, if any, will depend on a number of factors, including prevailing share prices, trading volume and general market conditions, along with our working capital requirements, cash flow, and other factors. The program does not require us to repurchase any dollar amount or number of common shares and may be suspended or discontinued at any time. As of December 31, 2025, no common shares have been repurchased through the program.</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Other Transaction</w:t>
      </w:r>
    </w:p>
    <w:p>
      <w:pPr>
        <w:spacing w:after="0" w:line="11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9"/>
          <w:szCs w:val="19"/>
          <w:color w:val="231F20"/>
        </w:rPr>
        <w:t>In June 2018, we formed a joint venture to develop Freedom Plaza (formerly Jordan Downs Plaza), for which we own 92%. The investment in this development qualified for tax credits under the New Market Tax Credit ("NMTC") Program, established by the Community Renewal Tax Relief Act of 2000. In 2018, we transferred the earned tax credits to a third-party bank in exchange for cash proceeds. The proceeds received and related transaction costs were deferred until the end of the seven-year NMTC compliance period, which concluded in June 2025. As a result, for the year ended December 31, 2025, we recognized $14.2 million ($13.0 million, net of income attributable to noncontrolling interest) in income related to the sale of the new market tax credits.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Capitalized Costs</w:t>
      </w:r>
    </w:p>
    <w:p>
      <w:pPr>
        <w:spacing w:after="0" w:line="11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9"/>
          <w:szCs w:val="19"/>
          <w:color w:val="231F20"/>
        </w:rPr>
        <w:t>Certain external and internal costs directly related to the development, redevelopment and leasing of real estate, including pre-construction costs, real estate taxes, insurance, and construction costs and salaries and related costs of personnel directly involved, are capitalized. We capitalized external and internal costs related to both development and redevelopment activities of $185 million and $9 million, respectively, for 2025 and $136 million and $8 million, respectively, for 2024. We capitalized external and internal costs related to other property improvements of $105 million and $5 million, respectively, for 2025 and $103 million and $5 million, respectively, for 2024. We capitalized external and internal costs related to leasing activities of $19 million and $4 million, respectively, for 2025 and $27 million and $4 million, respectively, for 2024. The amount of capitalized internal costs for salaries and related benefits for development and redevelopment activities, other property improvements, and leasing activities were $8 million, $4 million, and $4 million, respectively, for both 2025 and 2024. Total capitalized costs were $326 million for 2025 and $283 million for 2024, respectively.</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Outlook</w:t>
      </w:r>
    </w:p>
    <w:p>
      <w:pPr>
        <w:spacing w:after="0" w:line="110" w:lineRule="exact"/>
        <w:rPr>
          <w:sz w:val="20"/>
          <w:szCs w:val="20"/>
          <w:color w:val="auto"/>
        </w:rPr>
      </w:pPr>
    </w:p>
    <w:p>
      <w:pPr>
        <w:ind w:right="360"/>
        <w:spacing w:after="0" w:line="281" w:lineRule="auto"/>
        <w:rPr>
          <w:sz w:val="20"/>
          <w:szCs w:val="20"/>
          <w:color w:val="auto"/>
        </w:rPr>
      </w:pPr>
      <w:r>
        <w:rPr>
          <w:rFonts w:ascii="Times New Roman" w:cs="Times New Roman" w:eastAsia="Times New Roman" w:hAnsi="Times New Roman"/>
          <w:sz w:val="19"/>
          <w:szCs w:val="19"/>
          <w:color w:val="231F20"/>
        </w:rPr>
        <w:t>Our long-term growth strategy is focused on growth in earnings, funds from operations, and cash flows primarily through a combination of the following:</w:t>
      </w:r>
    </w:p>
    <w:p>
      <w:pPr>
        <w:spacing w:after="0" w:line="1" w:lineRule="exact"/>
        <w:rPr>
          <w:sz w:val="20"/>
          <w:szCs w:val="20"/>
          <w:color w:val="auto"/>
        </w:rPr>
      </w:pPr>
    </w:p>
    <w:p>
      <w:pPr>
        <w:ind w:left="1800" w:hanging="856"/>
        <w:spacing w:after="0"/>
        <w:tabs>
          <w:tab w:leader="none" w:pos="1800" w:val="left"/>
        </w:tabs>
        <w:numPr>
          <w:ilvl w:val="0"/>
          <w:numId w:val="32"/>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growth in our comparable property portfolio,</w:t>
      </w:r>
    </w:p>
    <w:p>
      <w:pPr>
        <w:spacing w:after="0" w:line="66" w:lineRule="exact"/>
        <w:rPr>
          <w:rFonts w:ascii="Times New Roman" w:cs="Times New Roman" w:eastAsia="Times New Roman" w:hAnsi="Times New Roman"/>
          <w:sz w:val="19"/>
          <w:szCs w:val="19"/>
          <w:color w:val="231F20"/>
        </w:rPr>
      </w:pPr>
    </w:p>
    <w:p>
      <w:pPr>
        <w:ind w:left="1800" w:hanging="856"/>
        <w:spacing w:after="0"/>
        <w:tabs>
          <w:tab w:leader="none" w:pos="1800" w:val="left"/>
        </w:tabs>
        <w:numPr>
          <w:ilvl w:val="0"/>
          <w:numId w:val="32"/>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expansion of our portfolio through property acquisitions, and</w:t>
      </w:r>
    </w:p>
    <w:p>
      <w:pPr>
        <w:spacing w:after="0" w:line="66" w:lineRule="exact"/>
        <w:rPr>
          <w:rFonts w:ascii="Times New Roman" w:cs="Times New Roman" w:eastAsia="Times New Roman" w:hAnsi="Times New Roman"/>
          <w:sz w:val="19"/>
          <w:szCs w:val="19"/>
          <w:color w:val="231F20"/>
        </w:rPr>
      </w:pPr>
    </w:p>
    <w:p>
      <w:pPr>
        <w:ind w:left="1800" w:hanging="856"/>
        <w:spacing w:after="0"/>
        <w:tabs>
          <w:tab w:leader="none" w:pos="1800" w:val="left"/>
        </w:tabs>
        <w:numPr>
          <w:ilvl w:val="0"/>
          <w:numId w:val="32"/>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growth in our portfolio from property redevelopments and expansions.</w:t>
      </w:r>
    </w:p>
    <w:p>
      <w:pPr>
        <w:spacing w:after="0" w:line="181" w:lineRule="exact"/>
        <w:rPr>
          <w:sz w:val="20"/>
          <w:szCs w:val="20"/>
          <w:color w:val="auto"/>
        </w:rPr>
      </w:pPr>
    </w:p>
    <w:p>
      <w:pPr>
        <w:ind w:right="180"/>
        <w:spacing w:after="0" w:line="284" w:lineRule="auto"/>
        <w:rPr>
          <w:sz w:val="20"/>
          <w:szCs w:val="20"/>
          <w:color w:val="auto"/>
        </w:rPr>
      </w:pPr>
      <w:r>
        <w:rPr>
          <w:rFonts w:ascii="Times New Roman" w:cs="Times New Roman" w:eastAsia="Times New Roman" w:hAnsi="Times New Roman"/>
          <w:sz w:val="19"/>
          <w:szCs w:val="19"/>
          <w:color w:val="231F20"/>
        </w:rPr>
        <w:t>Although general economic impacts of elevated levels of inflation and higher interest rates are impacting us in the short-term, our long-term focus has not changed.</w:t>
      </w:r>
    </w:p>
    <w:p>
      <w:pPr>
        <w:spacing w:after="0" w:line="110"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8"/>
          <w:szCs w:val="18"/>
          <w:color w:val="231F20"/>
        </w:rPr>
        <w:t>Our comparable property growth is primarily driven by increases in rental rates on new leases and lease renewals, changes in portfolio occupancy, and the redevelopment of those assets. Over the long-term, the infill nature and strong demographics of our properties provide a strategic advantage allowing us to maintain relatively high occupancy and generally increase rental rates. We continue to experience strong demand for our commercial space as evidenced by the 2.3 million square feet of comparable space leasing we've completed in 2025, and the 2.0% spread between our leased rate of 96.1% and our occupied rate of 94.1%. However, the effects of inflationary pressures and elevated interest rates continue to negatively impact our business with the largest impacts being higher interest costs, increased material costs, and higher operating costs. Additionally, significant impacts from supply chain disruptions or tariffs could also result in extended time frames and/or increased costs for completion of our projects and tenant build-outs, which could delay the commencement of rent payments under new leases.</w:t>
      </w:r>
    </w:p>
    <w:p>
      <w:pPr>
        <w:sectPr>
          <w:pgSz w:w="11880" w:h="15480" w:orient="portrait"/>
          <w:cols w:equalWidth="0" w:num="1">
            <w:col w:w="9740"/>
          </w:cols>
          <w:pgMar w:left="1060" w:top="963" w:right="1080" w:bottom="0" w:gutter="0" w:footer="0" w:header="0"/>
        </w:sect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231F20"/>
        </w:rPr>
        <w:t>35</w:t>
      </w:r>
    </w:p>
    <w:p>
      <w:pPr>
        <w:sectPr>
          <w:pgSz w:w="11880" w:h="15480" w:orient="portrait"/>
          <w:cols w:equalWidth="0" w:num="1">
            <w:col w:w="9740"/>
          </w:cols>
          <w:pgMar w:left="1060" w:top="963" w:right="1080" w:bottom="0" w:gutter="0" w:footer="0" w:header="0"/>
          <w:type w:val="continuous"/>
        </w:sectPr>
      </w:pPr>
    </w:p>
    <w:bookmarkStart w:id="43" w:name="page44"/>
    <w:bookmarkEnd w:id="43"/>
    <w:p>
      <w:pPr>
        <w:ind w:right="80"/>
        <w:spacing w:after="0" w:line="261" w:lineRule="auto"/>
        <w:rPr>
          <w:sz w:val="20"/>
          <w:szCs w:val="20"/>
          <w:color w:val="auto"/>
        </w:rPr>
      </w:pPr>
      <w:r>
        <w:rPr>
          <w:rFonts w:ascii="Times New Roman" w:cs="Times New Roman" w:eastAsia="Times New Roman" w:hAnsi="Times New Roman"/>
          <w:sz w:val="19"/>
          <w:szCs w:val="19"/>
          <w:color w:val="231F20"/>
        </w:rPr>
        <w:t>Similarly, if our tenants experience significant disruptions in supply chains and unexpected impacts of tariffs supporting their own products, staffing issues due to labor shortages, or are otherwise impacted by worsening economic conditions, their ability to pay rent may be adversely affected. We continue to monitor these macroeconomic developments and are working with our tenants and our vendors to limit the overall impact to our business.</w:t>
      </w:r>
    </w:p>
    <w:p>
      <w:pPr>
        <w:spacing w:after="0" w:line="133"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9"/>
          <w:szCs w:val="19"/>
          <w:color w:val="231F20"/>
        </w:rPr>
        <w:t>We believe the locations and nature of our centers and diverse tenant base partially mitigates any potential negative changes in the economic environment. However, any significant reduction in our tenants' abilities to pay base rent, percentage rent or other charges, will adversely affect our financial condition and results of operations. We seek to maintain a mix of strong national, regional, and local retailers. At December 31, 2025, no single tenant accounted for more than 2.4% of annualized base rent.</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We continue to have several development projects in process being delivered as follows:</w:t>
      </w:r>
    </w:p>
    <w:p>
      <w:pPr>
        <w:spacing w:after="0" w:line="336" w:lineRule="exact"/>
        <w:rPr>
          <w:sz w:val="20"/>
          <w:szCs w:val="20"/>
          <w:color w:val="auto"/>
        </w:rPr>
      </w:pPr>
    </w:p>
    <w:p>
      <w:pPr>
        <w:ind w:left="680" w:right="240" w:hanging="335"/>
        <w:spacing w:after="0" w:line="258" w:lineRule="auto"/>
        <w:tabs>
          <w:tab w:leader="none" w:pos="680" w:val="left"/>
        </w:tabs>
        <w:numPr>
          <w:ilvl w:val="0"/>
          <w:numId w:val="33"/>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Phase IV at Pike &amp; Rose is a 272,000 square foot office building (which includes 10,000 square feet of ground floor retail space). All of the space is leased, of which, 249,000 square feet is occupied. The building is expected to cost between $180 million and $190 million, and began delivering in late September 2023.</w:t>
      </w:r>
    </w:p>
    <w:p>
      <w:pPr>
        <w:spacing w:after="0" w:line="1" w:lineRule="exact"/>
        <w:rPr>
          <w:rFonts w:ascii="Times New Roman" w:cs="Times New Roman" w:eastAsia="Times New Roman" w:hAnsi="Times New Roman"/>
          <w:sz w:val="19"/>
          <w:szCs w:val="19"/>
          <w:color w:val="231F20"/>
        </w:rPr>
      </w:pPr>
    </w:p>
    <w:p>
      <w:pPr>
        <w:ind w:left="680" w:right="260" w:hanging="335"/>
        <w:spacing w:after="0" w:line="250" w:lineRule="auto"/>
        <w:tabs>
          <w:tab w:leader="none" w:pos="680" w:val="left"/>
        </w:tabs>
        <w:numPr>
          <w:ilvl w:val="0"/>
          <w:numId w:val="33"/>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Construction on Santana West includes an eight story 369,000 square foot office building, which is expected to cost between $325 million and $335 million. Approximately 345,000 square feet of space is leased, of which 317,000 square feet is occupied.</w:t>
      </w:r>
    </w:p>
    <w:p>
      <w:pPr>
        <w:spacing w:after="0" w:line="1" w:lineRule="exact"/>
        <w:rPr>
          <w:rFonts w:ascii="Times New Roman" w:cs="Times New Roman" w:eastAsia="Times New Roman" w:hAnsi="Times New Roman"/>
          <w:sz w:val="19"/>
          <w:szCs w:val="19"/>
          <w:color w:val="231F20"/>
        </w:rPr>
      </w:pPr>
    </w:p>
    <w:p>
      <w:pPr>
        <w:ind w:left="680" w:right="380" w:hanging="335"/>
        <w:spacing w:after="0" w:line="250" w:lineRule="auto"/>
        <w:tabs>
          <w:tab w:leader="none" w:pos="680" w:val="left"/>
        </w:tabs>
        <w:numPr>
          <w:ilvl w:val="0"/>
          <w:numId w:val="33"/>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Construction of a 258-unit residential project at Santana Row, which is expected to cost between $140 million and $148 million.</w:t>
      </w:r>
    </w:p>
    <w:p>
      <w:pPr>
        <w:spacing w:after="0" w:line="1" w:lineRule="exact"/>
        <w:rPr>
          <w:rFonts w:ascii="Times New Roman" w:cs="Times New Roman" w:eastAsia="Times New Roman" w:hAnsi="Times New Roman"/>
          <w:sz w:val="19"/>
          <w:szCs w:val="19"/>
          <w:color w:val="231F20"/>
        </w:rPr>
      </w:pPr>
    </w:p>
    <w:p>
      <w:pPr>
        <w:ind w:left="680" w:right="880" w:hanging="335"/>
        <w:spacing w:after="0" w:line="261" w:lineRule="auto"/>
        <w:tabs>
          <w:tab w:leader="none" w:pos="680" w:val="left"/>
        </w:tabs>
        <w:numPr>
          <w:ilvl w:val="0"/>
          <w:numId w:val="33"/>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Throughout the portfolio, we currently have redevelopment projects underway with a projected total cost of approximately $304 million that we expect to stabilize over the next several years.</w:t>
      </w:r>
    </w:p>
    <w:p>
      <w:pPr>
        <w:spacing w:after="0" w:line="188" w:lineRule="exact"/>
        <w:rPr>
          <w:sz w:val="20"/>
          <w:szCs w:val="20"/>
          <w:color w:val="auto"/>
        </w:rPr>
      </w:pPr>
    </w:p>
    <w:p>
      <w:pPr>
        <w:jc w:val="both"/>
        <w:ind w:right="240"/>
        <w:spacing w:after="0" w:line="261" w:lineRule="auto"/>
        <w:rPr>
          <w:sz w:val="20"/>
          <w:szCs w:val="20"/>
          <w:color w:val="auto"/>
        </w:rPr>
      </w:pPr>
      <w:r>
        <w:rPr>
          <w:rFonts w:ascii="Times New Roman" w:cs="Times New Roman" w:eastAsia="Times New Roman" w:hAnsi="Times New Roman"/>
          <w:sz w:val="19"/>
          <w:szCs w:val="19"/>
          <w:color w:val="231F20"/>
        </w:rPr>
        <w:t>The above includes our best estimates based on information currently known, however, the completion of construction, final costs, and the timing of leasing and openings may be further impacted by the current environment including the duration and severity of the economic impacts of broader, as well as local, economic conditions, inflation, tariffs, higher interest rates, and higher operating costs.</w:t>
      </w:r>
    </w:p>
    <w:p>
      <w:pPr>
        <w:spacing w:after="0" w:line="133" w:lineRule="exact"/>
        <w:rPr>
          <w:sz w:val="20"/>
          <w:szCs w:val="20"/>
          <w:color w:val="auto"/>
        </w:rPr>
      </w:pPr>
    </w:p>
    <w:p>
      <w:pPr>
        <w:ind w:right="140"/>
        <w:spacing w:after="0" w:line="267" w:lineRule="auto"/>
        <w:rPr>
          <w:sz w:val="20"/>
          <w:szCs w:val="20"/>
          <w:color w:val="auto"/>
        </w:rPr>
      </w:pPr>
      <w:r>
        <w:rPr>
          <w:rFonts w:ascii="Times New Roman" w:cs="Times New Roman" w:eastAsia="Times New Roman" w:hAnsi="Times New Roman"/>
          <w:sz w:val="19"/>
          <w:szCs w:val="19"/>
          <w:color w:val="231F20"/>
        </w:rPr>
        <w:t>The development of future phases of Assembly Row, Pike &amp; Rose, Santana Row, and other properties will be pursued opportunistically based on, among other things, market conditions, tenant demand, and our evaluation of whether those phases will generate an appropriate financial return.</w:t>
      </w:r>
    </w:p>
    <w:p>
      <w:pPr>
        <w:spacing w:after="0" w:line="12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9"/>
          <w:szCs w:val="19"/>
          <w:color w:val="231F20"/>
        </w:rPr>
        <w:t>We continue to review acquisition opportunities that complement our portfolio and provide long-term growth opportunities. Initially, some of our acquisitions do not contribute significantly to earnings growth; however, we believe they provide long-term re-leasing growth, redevelopment opportunities, and other strategic opportunities. Any growth from acquisitions is contingent on our ability to find properties that meet our qualitative standards at prices that meet our financial hurdles. Changes in interest rates may affect our success in achieving earnings growth through acquisitions by affecting both the price that must be paid to acquire a property, as well as our ability to economically finance the property acquisition. Generally, our acquisitions are initially financed by available cash and/or borrowings under our revolving credit facility which may be repaid later with funds raised through the issuance of new equity or new long-term debt. We may also finance our acquisitions through the issuance of common shares, preferred shares, or units in the Operating Partnership, as well as through assumed mortgages and property sales.</w:t>
      </w:r>
    </w:p>
    <w:p>
      <w:pPr>
        <w:spacing w:after="0" w:line="141"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9"/>
          <w:szCs w:val="19"/>
          <w:color w:val="231F20"/>
        </w:rPr>
        <w:t>At December 31, 2025, the leasable commercial square feet in our properties was 96.1% leased and 94.1% occupied. The leased rate is higher than the occupied rate due to leased spaces that are being redeveloped or improved or that are awaiting permits and, therefore, are not yet ready to be occupied. Our occupancy and leased rates are subject to variability over time due to factors including acquisitions, the timing of the start and stabilization of our redevelopment projects, lease expirations and tenant closings and bankruptcies.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Comparable Properties</w:t>
      </w:r>
    </w:p>
    <w:p>
      <w:pPr>
        <w:spacing w:after="0" w:line="11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9"/>
          <w:szCs w:val="19"/>
          <w:color w:val="231F20"/>
        </w:rPr>
        <w:t>Throughout this section, we have provided certain information on a “comparable property” basis. Information provided on a comparable property basis includes the results of properties that we owned and operated for the entirety of both periods being compared except for properties that are currently under development or are being repositioned for significant redevelopment and investment. For the year ended December 31, 2025 and the comparison of 2024, all or a portion of 94 properties were considered comparable properties and seven were considered non-comparable properties. For the year ended December 31, 2025, one property was moved from comparable properties to non-comparable properties, and two properties and one portion of three properties were removed from comparable properties, as they were sold, compared to the designations as of December 31, 2024. While there is judgment surrounding changes in designations, we typically move non-comparable properties to comparable properties once they have stabilized, which is typically considered 90% physical occupancy or when the growth expected from the redevelopment has been included in the comparable periods. We typically remove properties from</w:t>
      </w:r>
    </w:p>
    <w:p>
      <w:pPr>
        <w:sectPr>
          <w:pgSz w:w="11880" w:h="15480" w:orient="portrait"/>
          <w:cols w:equalWidth="0" w:num="1">
            <w:col w:w="9760"/>
          </w:cols>
          <w:pgMar w:left="1060" w:top="408" w:right="1060" w:bottom="0" w:gutter="0" w:footer="0" w:header="0"/>
        </w:sect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36</w:t>
      </w:r>
    </w:p>
    <w:p>
      <w:pPr>
        <w:sectPr>
          <w:pgSz w:w="11880" w:h="15480" w:orient="portrait"/>
          <w:cols w:equalWidth="0" w:num="1">
            <w:col w:w="9760"/>
          </w:cols>
          <w:pgMar w:left="1060" w:top="408" w:right="1060" w:bottom="0" w:gutter="0" w:footer="0" w:header="0"/>
          <w:type w:val="continuous"/>
        </w:sectPr>
      </w:pPr>
    </w:p>
    <w:bookmarkStart w:id="44" w:name="page45"/>
    <w:bookmarkEnd w:id="44"/>
    <w:p>
      <w:pPr>
        <w:spacing w:after="0" w:line="261" w:lineRule="auto"/>
        <w:rPr>
          <w:sz w:val="20"/>
          <w:szCs w:val="20"/>
          <w:color w:val="auto"/>
        </w:rPr>
      </w:pPr>
      <w:r>
        <w:rPr>
          <w:rFonts w:ascii="Times New Roman" w:cs="Times New Roman" w:eastAsia="Times New Roman" w:hAnsi="Times New Roman"/>
          <w:sz w:val="19"/>
          <w:szCs w:val="19"/>
          <w:color w:val="231F20"/>
        </w:rPr>
        <w:t>comparable properties when the repositioning of the asset has commenced and has or is expected to have a significant impact to property operating income within the calendar year. Acquisitions are moved to comparable properties once we have owned the property for the entirety of comparable periods and the property is not under development or being repositioned for significant redevelopment and investment.</w:t>
      </w:r>
    </w:p>
    <w:p>
      <w:pPr>
        <w:sectPr>
          <w:pgSz w:w="11880" w:h="15480" w:orient="portrait"/>
          <w:cols w:equalWidth="0" w:num="1">
            <w:col w:w="9720"/>
          </w:cols>
          <w:pgMar w:left="1060" w:top="963" w:right="11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231F20"/>
        </w:rPr>
        <w:t>37</w:t>
      </w:r>
    </w:p>
    <w:p>
      <w:pPr>
        <w:sectPr>
          <w:pgSz w:w="11880" w:h="15480" w:orient="portrait"/>
          <w:cols w:equalWidth="0" w:num="1">
            <w:col w:w="9720"/>
          </w:cols>
          <w:pgMar w:left="1060" w:top="963" w:right="1100" w:bottom="0" w:gutter="0" w:footer="0" w:header="0"/>
          <w:type w:val="continuous"/>
        </w:sectPr>
      </w:pPr>
    </w:p>
    <w:bookmarkStart w:id="45" w:name="page46"/>
    <w:bookmarkEnd w:id="45"/>
    <w:p>
      <w:pPr>
        <w:jc w:val="center"/>
        <w:spacing w:after="0"/>
        <w:rPr>
          <w:sz w:val="20"/>
          <w:szCs w:val="20"/>
          <w:color w:val="auto"/>
        </w:rPr>
      </w:pPr>
      <w:r>
        <w:rPr>
          <w:rFonts w:ascii="Times New Roman" w:cs="Times New Roman" w:eastAsia="Times New Roman" w:hAnsi="Times New Roman"/>
          <w:sz w:val="19"/>
          <w:szCs w:val="19"/>
          <w:b w:val="1"/>
          <w:bCs w:val="1"/>
          <w:color w:val="231F20"/>
        </w:rPr>
        <w:t>YEAR ENDED DECEMBER 31, 2025 COMPARED TO YEAR ENDED DECEMBER 31, 2024</w:t>
      </w:r>
    </w:p>
    <w:p>
      <w:pPr>
        <w:spacing w:after="0" w:line="400" w:lineRule="exact"/>
        <w:rPr>
          <w:sz w:val="20"/>
          <w:szCs w:val="20"/>
          <w:color w:val="auto"/>
        </w:rPr>
      </w:pPr>
    </w:p>
    <w:tbl>
      <w:tblPr>
        <w:tblLayout w:type="fixed"/>
        <w:tblInd w:w="60" w:type="dxa"/>
        <w:tblCellMar>
          <w:top w:w="0" w:type="dxa"/>
          <w:left w:w="0" w:type="dxa"/>
          <w:bottom w:w="0" w:type="dxa"/>
          <w:right w:w="0" w:type="dxa"/>
        </w:tblCellMar>
      </w:tblPr>
      <w:tr>
        <w:trPr>
          <w:trHeight w:val="206"/>
        </w:trPr>
        <w:tc>
          <w:tcPr>
            <w:tcW w:w="5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bottom w:val="single" w:sz="8" w:color="231F20"/>
            </w:tcBorders>
          </w:tcPr>
          <w:p>
            <w:pPr>
              <w:spacing w:after="0"/>
              <w:rPr>
                <w:sz w:val="17"/>
                <w:szCs w:val="17"/>
                <w:color w:val="auto"/>
              </w:rPr>
            </w:pPr>
          </w:p>
        </w:tc>
        <w:tc>
          <w:tcPr>
            <w:tcW w:w="1140" w:type="dxa"/>
            <w:vAlign w:val="bottom"/>
            <w:tcBorders>
              <w:bottom w:val="single" w:sz="8" w:color="231F20"/>
            </w:tcBorders>
            <w:gridSpan w:val="3"/>
          </w:tcPr>
          <w:p>
            <w:pPr>
              <w:ind w:left="560"/>
              <w:spacing w:after="0"/>
              <w:rPr>
                <w:sz w:val="20"/>
                <w:szCs w:val="20"/>
                <w:color w:val="auto"/>
              </w:rPr>
            </w:pPr>
            <w:r>
              <w:rPr>
                <w:rFonts w:ascii="Times New Roman" w:cs="Times New Roman" w:eastAsia="Times New Roman" w:hAnsi="Times New Roman"/>
                <w:sz w:val="15"/>
                <w:szCs w:val="15"/>
                <w:b w:val="1"/>
                <w:bCs w:val="1"/>
                <w:color w:val="231F20"/>
              </w:rPr>
              <w:t>Change</w:t>
            </w:r>
          </w:p>
        </w:tc>
        <w:tc>
          <w:tcPr>
            <w:tcW w:w="720" w:type="dxa"/>
            <w:vAlign w:val="bottom"/>
            <w:tcBorders>
              <w:bottom w:val="single" w:sz="8" w:color="231F20"/>
            </w:tcBorders>
          </w:tcPr>
          <w:p>
            <w:pPr>
              <w:spacing w:after="0"/>
              <w:rPr>
                <w:sz w:val="17"/>
                <w:szCs w:val="17"/>
                <w:color w:val="auto"/>
              </w:rPr>
            </w:pPr>
          </w:p>
        </w:tc>
      </w:tr>
      <w:tr>
        <w:trPr>
          <w:trHeight w:val="222"/>
        </w:trPr>
        <w:tc>
          <w:tcPr>
            <w:tcW w:w="5140" w:type="dxa"/>
            <w:vAlign w:val="bottom"/>
          </w:tcPr>
          <w:p>
            <w:pPr>
              <w:spacing w:after="0"/>
              <w:rPr>
                <w:sz w:val="19"/>
                <w:szCs w:val="19"/>
                <w:color w:val="auto"/>
              </w:rPr>
            </w:pPr>
          </w:p>
        </w:tc>
        <w:tc>
          <w:tcPr>
            <w:tcW w:w="220" w:type="dxa"/>
            <w:vAlign w:val="bottom"/>
            <w:tcBorders>
              <w:bottom w:val="single" w:sz="8" w:color="231F20"/>
            </w:tcBorders>
          </w:tcPr>
          <w:p>
            <w:pPr>
              <w:spacing w:after="0"/>
              <w:rPr>
                <w:sz w:val="19"/>
                <w:szCs w:val="19"/>
                <w:color w:val="auto"/>
              </w:rPr>
            </w:pPr>
          </w:p>
        </w:tc>
        <w:tc>
          <w:tcPr>
            <w:tcW w:w="920" w:type="dxa"/>
            <w:vAlign w:val="bottom"/>
            <w:tcBorders>
              <w:bottom w:val="single" w:sz="8" w:color="231F20"/>
            </w:tcBorders>
          </w:tcPr>
          <w:p>
            <w:pPr>
              <w:jc w:val="right"/>
              <w:ind w:right="326"/>
              <w:spacing w:after="0"/>
              <w:rPr>
                <w:sz w:val="20"/>
                <w:szCs w:val="20"/>
                <w:color w:val="auto"/>
              </w:rPr>
            </w:pPr>
            <w:r>
              <w:rPr>
                <w:rFonts w:ascii="Times New Roman" w:cs="Times New Roman" w:eastAsia="Times New Roman" w:hAnsi="Times New Roman"/>
                <w:sz w:val="15"/>
                <w:szCs w:val="15"/>
                <w:b w:val="1"/>
                <w:bCs w:val="1"/>
                <w:color w:val="231F20"/>
              </w:rPr>
              <w:t>2025</w:t>
            </w:r>
          </w:p>
        </w:tc>
        <w:tc>
          <w:tcPr>
            <w:tcW w:w="60" w:type="dxa"/>
            <w:vAlign w:val="bottom"/>
          </w:tcPr>
          <w:p>
            <w:pPr>
              <w:spacing w:after="0"/>
              <w:rPr>
                <w:sz w:val="19"/>
                <w:szCs w:val="19"/>
                <w:color w:val="auto"/>
              </w:rPr>
            </w:pPr>
          </w:p>
        </w:tc>
        <w:tc>
          <w:tcPr>
            <w:tcW w:w="220" w:type="dxa"/>
            <w:vAlign w:val="bottom"/>
            <w:tcBorders>
              <w:bottom w:val="single" w:sz="8" w:color="231F20"/>
            </w:tcBorders>
          </w:tcPr>
          <w:p>
            <w:pPr>
              <w:spacing w:after="0"/>
              <w:rPr>
                <w:sz w:val="19"/>
                <w:szCs w:val="19"/>
                <w:color w:val="auto"/>
              </w:rPr>
            </w:pPr>
          </w:p>
        </w:tc>
        <w:tc>
          <w:tcPr>
            <w:tcW w:w="920" w:type="dxa"/>
            <w:vAlign w:val="bottom"/>
            <w:tcBorders>
              <w:bottom w:val="single" w:sz="8" w:color="231F20"/>
            </w:tcBorders>
          </w:tcPr>
          <w:p>
            <w:pPr>
              <w:jc w:val="right"/>
              <w:ind w:right="326"/>
              <w:spacing w:after="0"/>
              <w:rPr>
                <w:sz w:val="20"/>
                <w:szCs w:val="20"/>
                <w:color w:val="auto"/>
              </w:rPr>
            </w:pPr>
            <w:r>
              <w:rPr>
                <w:rFonts w:ascii="Times New Roman" w:cs="Times New Roman" w:eastAsia="Times New Roman" w:hAnsi="Times New Roman"/>
                <w:sz w:val="15"/>
                <w:szCs w:val="15"/>
                <w:b w:val="1"/>
                <w:bCs w:val="1"/>
                <w:color w:val="231F20"/>
              </w:rPr>
              <w:t>2024</w:t>
            </w:r>
          </w:p>
        </w:tc>
        <w:tc>
          <w:tcPr>
            <w:tcW w:w="80" w:type="dxa"/>
            <w:vAlign w:val="bottom"/>
          </w:tcPr>
          <w:p>
            <w:pPr>
              <w:spacing w:after="0"/>
              <w:rPr>
                <w:sz w:val="19"/>
                <w:szCs w:val="19"/>
                <w:color w:val="auto"/>
              </w:rPr>
            </w:pPr>
          </w:p>
        </w:tc>
        <w:tc>
          <w:tcPr>
            <w:tcW w:w="240" w:type="dxa"/>
            <w:vAlign w:val="bottom"/>
            <w:tcBorders>
              <w:bottom w:val="single" w:sz="8" w:color="231F20"/>
            </w:tcBorders>
          </w:tcPr>
          <w:p>
            <w:pPr>
              <w:spacing w:after="0"/>
              <w:rPr>
                <w:sz w:val="19"/>
                <w:szCs w:val="19"/>
                <w:color w:val="auto"/>
              </w:rPr>
            </w:pPr>
          </w:p>
        </w:tc>
        <w:tc>
          <w:tcPr>
            <w:tcW w:w="900" w:type="dxa"/>
            <w:vAlign w:val="bottom"/>
            <w:tcBorders>
              <w:bottom w:val="single" w:sz="8" w:color="231F20"/>
            </w:tcBorders>
          </w:tcPr>
          <w:p>
            <w:pPr>
              <w:jc w:val="right"/>
              <w:ind w:right="247"/>
              <w:spacing w:after="0"/>
              <w:rPr>
                <w:sz w:val="20"/>
                <w:szCs w:val="20"/>
                <w:color w:val="auto"/>
              </w:rPr>
            </w:pPr>
            <w:r>
              <w:rPr>
                <w:rFonts w:ascii="Times New Roman" w:cs="Times New Roman" w:eastAsia="Times New Roman" w:hAnsi="Times New Roman"/>
                <w:sz w:val="15"/>
                <w:szCs w:val="15"/>
                <w:b w:val="1"/>
                <w:bCs w:val="1"/>
                <w:color w:val="231F20"/>
              </w:rPr>
              <w:t>Dollars</w:t>
            </w:r>
          </w:p>
        </w:tc>
        <w:tc>
          <w:tcPr>
            <w:tcW w:w="80" w:type="dxa"/>
            <w:vAlign w:val="bottom"/>
          </w:tcPr>
          <w:p>
            <w:pPr>
              <w:spacing w:after="0"/>
              <w:rPr>
                <w:sz w:val="19"/>
                <w:szCs w:val="19"/>
                <w:color w:val="auto"/>
              </w:rPr>
            </w:pPr>
          </w:p>
        </w:tc>
        <w:tc>
          <w:tcPr>
            <w:tcW w:w="160" w:type="dxa"/>
            <w:vAlign w:val="bottom"/>
            <w:tcBorders>
              <w:bottom w:val="single" w:sz="8" w:color="231F20"/>
            </w:tcBorders>
          </w:tcPr>
          <w:p>
            <w:pPr>
              <w:spacing w:after="0"/>
              <w:rPr>
                <w:sz w:val="19"/>
                <w:szCs w:val="19"/>
                <w:color w:val="auto"/>
              </w:rPr>
            </w:pPr>
          </w:p>
        </w:tc>
        <w:tc>
          <w:tcPr>
            <w:tcW w:w="720" w:type="dxa"/>
            <w:vAlign w:val="bottom"/>
            <w:tcBorders>
              <w:bottom w:val="single" w:sz="8" w:color="231F20"/>
            </w:tcBorders>
          </w:tcPr>
          <w:p>
            <w:pPr>
              <w:jc w:val="right"/>
              <w:ind w:right="266"/>
              <w:spacing w:after="0"/>
              <w:rPr>
                <w:sz w:val="20"/>
                <w:szCs w:val="20"/>
                <w:color w:val="auto"/>
              </w:rPr>
            </w:pPr>
            <w:r>
              <w:rPr>
                <w:rFonts w:ascii="Times New Roman" w:cs="Times New Roman" w:eastAsia="Times New Roman" w:hAnsi="Times New Roman"/>
                <w:sz w:val="15"/>
                <w:szCs w:val="15"/>
                <w:b w:val="1"/>
                <w:bCs w:val="1"/>
                <w:color w:val="231F20"/>
              </w:rPr>
              <w:t>%</w:t>
            </w:r>
          </w:p>
        </w:tc>
      </w:tr>
      <w:tr>
        <w:trPr>
          <w:trHeight w:val="218"/>
        </w:trPr>
        <w:tc>
          <w:tcPr>
            <w:tcW w:w="5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0" w:type="dxa"/>
            <w:vAlign w:val="bottom"/>
            <w:gridSpan w:val="7"/>
          </w:tcPr>
          <w:p>
            <w:pPr>
              <w:ind w:left="80"/>
              <w:spacing w:after="0"/>
              <w:rPr>
                <w:sz w:val="20"/>
                <w:szCs w:val="20"/>
                <w:color w:val="auto"/>
              </w:rPr>
            </w:pPr>
            <w:r>
              <w:rPr>
                <w:rFonts w:ascii="Times New Roman" w:cs="Times New Roman" w:eastAsia="Times New Roman" w:hAnsi="Times New Roman"/>
                <w:sz w:val="15"/>
                <w:szCs w:val="15"/>
                <w:b w:val="1"/>
                <w:bCs w:val="1"/>
                <w:color w:val="231F20"/>
              </w:rPr>
              <w:t>(Dollar amounts in thousands)</w:t>
            </w:r>
          </w:p>
        </w:tc>
        <w:tc>
          <w:tcPr>
            <w:tcW w:w="720" w:type="dxa"/>
            <w:vAlign w:val="bottom"/>
          </w:tcPr>
          <w:p>
            <w:pPr>
              <w:spacing w:after="0"/>
              <w:rPr>
                <w:sz w:val="18"/>
                <w:szCs w:val="18"/>
                <w:color w:val="auto"/>
              </w:rPr>
            </w:pPr>
          </w:p>
        </w:tc>
      </w:tr>
      <w:tr>
        <w:trPr>
          <w:trHeight w:val="289"/>
        </w:trPr>
        <w:tc>
          <w:tcPr>
            <w:tcW w:w="5140" w:type="dxa"/>
            <w:vAlign w:val="bottom"/>
          </w:tcPr>
          <w:p>
            <w:pPr>
              <w:spacing w:after="0"/>
              <w:rPr>
                <w:sz w:val="20"/>
                <w:szCs w:val="20"/>
                <w:color w:val="auto"/>
              </w:rPr>
            </w:pPr>
            <w:r>
              <w:rPr>
                <w:rFonts w:ascii="Times New Roman" w:cs="Times New Roman" w:eastAsia="Times New Roman" w:hAnsi="Times New Roman"/>
                <w:sz w:val="19"/>
                <w:szCs w:val="19"/>
                <w:color w:val="231F20"/>
              </w:rPr>
              <w:t>Rental income</w:t>
            </w: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1,245,491</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9"/>
                <w:szCs w:val="19"/>
                <w:color w:val="231F2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1,170,078</w:t>
            </w:r>
          </w:p>
        </w:tc>
        <w:tc>
          <w:tcPr>
            <w:tcW w:w="80" w:type="dxa"/>
            <w:vAlign w:val="bottom"/>
          </w:tcPr>
          <w:p>
            <w:pPr>
              <w:spacing w:after="0"/>
              <w:rPr>
                <w:sz w:val="24"/>
                <w:szCs w:val="24"/>
                <w:color w:val="auto"/>
              </w:rPr>
            </w:pPr>
          </w:p>
        </w:tc>
        <w:tc>
          <w:tcPr>
            <w:tcW w:w="240" w:type="dxa"/>
            <w:vAlign w:val="bottom"/>
          </w:tcPr>
          <w:p>
            <w:pPr>
              <w:jc w:val="right"/>
              <w:ind w:right="5"/>
              <w:spacing w:after="0"/>
              <w:rPr>
                <w:sz w:val="20"/>
                <w:szCs w:val="20"/>
                <w:color w:val="auto"/>
              </w:rPr>
            </w:pPr>
            <w:r>
              <w:rPr>
                <w:rFonts w:ascii="Times New Roman" w:cs="Times New Roman" w:eastAsia="Times New Roman" w:hAnsi="Times New Roman"/>
                <w:sz w:val="19"/>
                <w:szCs w:val="19"/>
                <w:color w:val="231F2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75,413</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6.4 %</w:t>
            </w:r>
          </w:p>
        </w:tc>
      </w:tr>
      <w:tr>
        <w:trPr>
          <w:trHeight w:val="285"/>
        </w:trPr>
        <w:tc>
          <w:tcPr>
            <w:tcW w:w="5140" w:type="dxa"/>
            <w:vAlign w:val="bottom"/>
          </w:tcPr>
          <w:p>
            <w:pPr>
              <w:spacing w:after="0"/>
              <w:rPr>
                <w:sz w:val="20"/>
                <w:szCs w:val="20"/>
                <w:color w:val="auto"/>
              </w:rPr>
            </w:pPr>
            <w:r>
              <w:rPr>
                <w:rFonts w:ascii="Times New Roman" w:cs="Times New Roman" w:eastAsia="Times New Roman" w:hAnsi="Times New Roman"/>
                <w:sz w:val="19"/>
                <w:szCs w:val="19"/>
                <w:color w:val="231F20"/>
              </w:rPr>
              <w:t>Other property income</w:t>
            </w: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32,371</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31,258</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1,113</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3.6 %</w:t>
            </w:r>
          </w:p>
        </w:tc>
      </w:tr>
      <w:tr>
        <w:trPr>
          <w:trHeight w:val="286"/>
        </w:trPr>
        <w:tc>
          <w:tcPr>
            <w:tcW w:w="5140" w:type="dxa"/>
            <w:vAlign w:val="bottom"/>
          </w:tcPr>
          <w:p>
            <w:pPr>
              <w:spacing w:after="0"/>
              <w:rPr>
                <w:sz w:val="20"/>
                <w:szCs w:val="20"/>
                <w:color w:val="auto"/>
              </w:rPr>
            </w:pPr>
            <w:r>
              <w:rPr>
                <w:rFonts w:ascii="Times New Roman" w:cs="Times New Roman" w:eastAsia="Times New Roman" w:hAnsi="Times New Roman"/>
                <w:sz w:val="19"/>
                <w:szCs w:val="19"/>
                <w:color w:val="231F20"/>
              </w:rPr>
              <w:t>Mortgage interest income</w:t>
            </w:r>
          </w:p>
        </w:tc>
        <w:tc>
          <w:tcPr>
            <w:tcW w:w="220" w:type="dxa"/>
            <w:vAlign w:val="bottom"/>
            <w:tcBorders>
              <w:bottom w:val="single" w:sz="8" w:color="231F20"/>
            </w:tcBorders>
          </w:tcPr>
          <w:p>
            <w:pPr>
              <w:spacing w:after="0"/>
              <w:rPr>
                <w:sz w:val="24"/>
                <w:szCs w:val="24"/>
                <w:color w:val="auto"/>
              </w:rPr>
            </w:pPr>
          </w:p>
        </w:tc>
        <w:tc>
          <w:tcPr>
            <w:tcW w:w="9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1,113</w:t>
            </w:r>
          </w:p>
        </w:tc>
        <w:tc>
          <w:tcPr>
            <w:tcW w:w="60" w:type="dxa"/>
            <w:vAlign w:val="bottom"/>
          </w:tcPr>
          <w:p>
            <w:pPr>
              <w:spacing w:after="0"/>
              <w:rPr>
                <w:sz w:val="24"/>
                <w:szCs w:val="24"/>
                <w:color w:val="auto"/>
              </w:rPr>
            </w:pPr>
          </w:p>
        </w:tc>
        <w:tc>
          <w:tcPr>
            <w:tcW w:w="220" w:type="dxa"/>
            <w:vAlign w:val="bottom"/>
            <w:tcBorders>
              <w:bottom w:val="single" w:sz="8" w:color="231F20"/>
            </w:tcBorders>
          </w:tcPr>
          <w:p>
            <w:pPr>
              <w:spacing w:after="0"/>
              <w:rPr>
                <w:sz w:val="24"/>
                <w:szCs w:val="24"/>
                <w:color w:val="auto"/>
              </w:rPr>
            </w:pPr>
          </w:p>
        </w:tc>
        <w:tc>
          <w:tcPr>
            <w:tcW w:w="9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1,116</w:t>
            </w:r>
          </w:p>
        </w:tc>
        <w:tc>
          <w:tcPr>
            <w:tcW w:w="80" w:type="dxa"/>
            <w:vAlign w:val="bottom"/>
          </w:tcPr>
          <w:p>
            <w:pPr>
              <w:spacing w:after="0"/>
              <w:rPr>
                <w:sz w:val="24"/>
                <w:szCs w:val="24"/>
                <w:color w:val="auto"/>
              </w:rPr>
            </w:pPr>
          </w:p>
        </w:tc>
        <w:tc>
          <w:tcPr>
            <w:tcW w:w="240" w:type="dxa"/>
            <w:vAlign w:val="bottom"/>
            <w:tcBorders>
              <w:bottom w:val="single" w:sz="8" w:color="231F20"/>
            </w:tcBorders>
          </w:tcPr>
          <w:p>
            <w:pPr>
              <w:spacing w:after="0"/>
              <w:rPr>
                <w:sz w:val="24"/>
                <w:szCs w:val="24"/>
                <w:color w:val="auto"/>
              </w:rPr>
            </w:pPr>
          </w:p>
        </w:tc>
        <w:tc>
          <w:tcPr>
            <w:tcW w:w="9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(3)</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(0.3)%</w:t>
            </w:r>
          </w:p>
        </w:tc>
      </w:tr>
      <w:tr>
        <w:trPr>
          <w:trHeight w:val="265"/>
        </w:trPr>
        <w:tc>
          <w:tcPr>
            <w:tcW w:w="5140" w:type="dxa"/>
            <w:vAlign w:val="bottom"/>
          </w:tcPr>
          <w:p>
            <w:pPr>
              <w:ind w:left="340"/>
              <w:spacing w:after="0"/>
              <w:rPr>
                <w:sz w:val="20"/>
                <w:szCs w:val="20"/>
                <w:color w:val="auto"/>
              </w:rPr>
            </w:pPr>
            <w:r>
              <w:rPr>
                <w:rFonts w:ascii="Times New Roman" w:cs="Times New Roman" w:eastAsia="Times New Roman" w:hAnsi="Times New Roman"/>
                <w:sz w:val="19"/>
                <w:szCs w:val="19"/>
                <w:color w:val="231F20"/>
              </w:rPr>
              <w:t>Total property revenue</w:t>
            </w:r>
          </w:p>
        </w:tc>
        <w:tc>
          <w:tcPr>
            <w:tcW w:w="220" w:type="dxa"/>
            <w:vAlign w:val="bottom"/>
            <w:tcBorders>
              <w:bottom w:val="single" w:sz="8" w:color="231F20"/>
            </w:tcBorders>
          </w:tcPr>
          <w:p>
            <w:pPr>
              <w:spacing w:after="0"/>
              <w:rPr>
                <w:sz w:val="23"/>
                <w:szCs w:val="23"/>
                <w:color w:val="auto"/>
              </w:rPr>
            </w:pPr>
          </w:p>
        </w:tc>
        <w:tc>
          <w:tcPr>
            <w:tcW w:w="9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1,278,975</w:t>
            </w:r>
          </w:p>
        </w:tc>
        <w:tc>
          <w:tcPr>
            <w:tcW w:w="60" w:type="dxa"/>
            <w:vAlign w:val="bottom"/>
          </w:tcPr>
          <w:p>
            <w:pPr>
              <w:spacing w:after="0"/>
              <w:rPr>
                <w:sz w:val="23"/>
                <w:szCs w:val="23"/>
                <w:color w:val="auto"/>
              </w:rPr>
            </w:pPr>
          </w:p>
        </w:tc>
        <w:tc>
          <w:tcPr>
            <w:tcW w:w="220" w:type="dxa"/>
            <w:vAlign w:val="bottom"/>
            <w:tcBorders>
              <w:bottom w:val="single" w:sz="8" w:color="231F20"/>
            </w:tcBorders>
          </w:tcPr>
          <w:p>
            <w:pPr>
              <w:spacing w:after="0"/>
              <w:rPr>
                <w:sz w:val="23"/>
                <w:szCs w:val="23"/>
                <w:color w:val="auto"/>
              </w:rPr>
            </w:pPr>
          </w:p>
        </w:tc>
        <w:tc>
          <w:tcPr>
            <w:tcW w:w="9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1,202,452</w:t>
            </w:r>
          </w:p>
        </w:tc>
        <w:tc>
          <w:tcPr>
            <w:tcW w:w="80" w:type="dxa"/>
            <w:vAlign w:val="bottom"/>
          </w:tcPr>
          <w:p>
            <w:pPr>
              <w:spacing w:after="0"/>
              <w:rPr>
                <w:sz w:val="23"/>
                <w:szCs w:val="23"/>
                <w:color w:val="auto"/>
              </w:rPr>
            </w:pPr>
          </w:p>
        </w:tc>
        <w:tc>
          <w:tcPr>
            <w:tcW w:w="240" w:type="dxa"/>
            <w:vAlign w:val="bottom"/>
            <w:tcBorders>
              <w:bottom w:val="single" w:sz="8" w:color="231F20"/>
            </w:tcBorders>
          </w:tcPr>
          <w:p>
            <w:pPr>
              <w:spacing w:after="0"/>
              <w:rPr>
                <w:sz w:val="23"/>
                <w:szCs w:val="23"/>
                <w:color w:val="auto"/>
              </w:rPr>
            </w:pPr>
          </w:p>
        </w:tc>
        <w:tc>
          <w:tcPr>
            <w:tcW w:w="9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76,523</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6.4 %</w:t>
            </w:r>
          </w:p>
        </w:tc>
      </w:tr>
      <w:tr>
        <w:trPr>
          <w:trHeight w:val="264"/>
        </w:trPr>
        <w:tc>
          <w:tcPr>
            <w:tcW w:w="5140" w:type="dxa"/>
            <w:vAlign w:val="bottom"/>
          </w:tcPr>
          <w:p>
            <w:pPr>
              <w:spacing w:after="0"/>
              <w:rPr>
                <w:sz w:val="20"/>
                <w:szCs w:val="20"/>
                <w:color w:val="auto"/>
              </w:rPr>
            </w:pPr>
            <w:r>
              <w:rPr>
                <w:rFonts w:ascii="Times New Roman" w:cs="Times New Roman" w:eastAsia="Times New Roman" w:hAnsi="Times New Roman"/>
                <w:sz w:val="19"/>
                <w:szCs w:val="19"/>
                <w:color w:val="231F20"/>
              </w:rPr>
              <w:t>Rental expenses</w:t>
            </w:r>
          </w:p>
        </w:tc>
        <w:tc>
          <w:tcPr>
            <w:tcW w:w="2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267,445</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249,569</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17,876</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7.2 %</w:t>
            </w:r>
          </w:p>
        </w:tc>
      </w:tr>
      <w:tr>
        <w:trPr>
          <w:trHeight w:val="286"/>
        </w:trPr>
        <w:tc>
          <w:tcPr>
            <w:tcW w:w="5140" w:type="dxa"/>
            <w:vAlign w:val="bottom"/>
          </w:tcPr>
          <w:p>
            <w:pPr>
              <w:spacing w:after="0"/>
              <w:rPr>
                <w:sz w:val="20"/>
                <w:szCs w:val="20"/>
                <w:color w:val="auto"/>
              </w:rPr>
            </w:pPr>
            <w:r>
              <w:rPr>
                <w:rFonts w:ascii="Times New Roman" w:cs="Times New Roman" w:eastAsia="Times New Roman" w:hAnsi="Times New Roman"/>
                <w:sz w:val="19"/>
                <w:szCs w:val="19"/>
                <w:color w:val="231F20"/>
              </w:rPr>
              <w:t>Real estate taxes</w:t>
            </w:r>
          </w:p>
        </w:tc>
        <w:tc>
          <w:tcPr>
            <w:tcW w:w="220" w:type="dxa"/>
            <w:vAlign w:val="bottom"/>
            <w:tcBorders>
              <w:bottom w:val="single" w:sz="8" w:color="231F20"/>
            </w:tcBorders>
          </w:tcPr>
          <w:p>
            <w:pPr>
              <w:spacing w:after="0"/>
              <w:rPr>
                <w:sz w:val="24"/>
                <w:szCs w:val="24"/>
                <w:color w:val="auto"/>
              </w:rPr>
            </w:pPr>
          </w:p>
        </w:tc>
        <w:tc>
          <w:tcPr>
            <w:tcW w:w="9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151,438</w:t>
            </w:r>
          </w:p>
        </w:tc>
        <w:tc>
          <w:tcPr>
            <w:tcW w:w="60" w:type="dxa"/>
            <w:vAlign w:val="bottom"/>
          </w:tcPr>
          <w:p>
            <w:pPr>
              <w:spacing w:after="0"/>
              <w:rPr>
                <w:sz w:val="24"/>
                <w:szCs w:val="24"/>
                <w:color w:val="auto"/>
              </w:rPr>
            </w:pPr>
          </w:p>
        </w:tc>
        <w:tc>
          <w:tcPr>
            <w:tcW w:w="220" w:type="dxa"/>
            <w:vAlign w:val="bottom"/>
            <w:tcBorders>
              <w:bottom w:val="single" w:sz="8" w:color="231F20"/>
            </w:tcBorders>
          </w:tcPr>
          <w:p>
            <w:pPr>
              <w:spacing w:after="0"/>
              <w:rPr>
                <w:sz w:val="24"/>
                <w:szCs w:val="24"/>
                <w:color w:val="auto"/>
              </w:rPr>
            </w:pPr>
          </w:p>
        </w:tc>
        <w:tc>
          <w:tcPr>
            <w:tcW w:w="9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142,230</w:t>
            </w:r>
          </w:p>
        </w:tc>
        <w:tc>
          <w:tcPr>
            <w:tcW w:w="80" w:type="dxa"/>
            <w:vAlign w:val="bottom"/>
          </w:tcPr>
          <w:p>
            <w:pPr>
              <w:spacing w:after="0"/>
              <w:rPr>
                <w:sz w:val="24"/>
                <w:szCs w:val="24"/>
                <w:color w:val="auto"/>
              </w:rPr>
            </w:pPr>
          </w:p>
        </w:tc>
        <w:tc>
          <w:tcPr>
            <w:tcW w:w="240" w:type="dxa"/>
            <w:vAlign w:val="bottom"/>
            <w:tcBorders>
              <w:bottom w:val="single" w:sz="8" w:color="231F20"/>
            </w:tcBorders>
          </w:tcPr>
          <w:p>
            <w:pPr>
              <w:spacing w:after="0"/>
              <w:rPr>
                <w:sz w:val="24"/>
                <w:szCs w:val="24"/>
                <w:color w:val="auto"/>
              </w:rPr>
            </w:pPr>
          </w:p>
        </w:tc>
        <w:tc>
          <w:tcPr>
            <w:tcW w:w="9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9,208</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6.5 %</w:t>
            </w:r>
          </w:p>
        </w:tc>
      </w:tr>
      <w:tr>
        <w:trPr>
          <w:trHeight w:val="265"/>
        </w:trPr>
        <w:tc>
          <w:tcPr>
            <w:tcW w:w="5140" w:type="dxa"/>
            <w:vAlign w:val="bottom"/>
          </w:tcPr>
          <w:p>
            <w:pPr>
              <w:ind w:left="340"/>
              <w:spacing w:after="0"/>
              <w:rPr>
                <w:sz w:val="20"/>
                <w:szCs w:val="20"/>
                <w:color w:val="auto"/>
              </w:rPr>
            </w:pPr>
            <w:r>
              <w:rPr>
                <w:rFonts w:ascii="Times New Roman" w:cs="Times New Roman" w:eastAsia="Times New Roman" w:hAnsi="Times New Roman"/>
                <w:sz w:val="19"/>
                <w:szCs w:val="19"/>
                <w:color w:val="231F20"/>
              </w:rPr>
              <w:t>Total property expenses</w:t>
            </w:r>
          </w:p>
        </w:tc>
        <w:tc>
          <w:tcPr>
            <w:tcW w:w="220" w:type="dxa"/>
            <w:vAlign w:val="bottom"/>
            <w:tcBorders>
              <w:bottom w:val="single" w:sz="8" w:color="231F20"/>
            </w:tcBorders>
          </w:tcPr>
          <w:p>
            <w:pPr>
              <w:spacing w:after="0"/>
              <w:rPr>
                <w:sz w:val="23"/>
                <w:szCs w:val="23"/>
                <w:color w:val="auto"/>
              </w:rPr>
            </w:pPr>
          </w:p>
        </w:tc>
        <w:tc>
          <w:tcPr>
            <w:tcW w:w="9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418,883</w:t>
            </w:r>
          </w:p>
        </w:tc>
        <w:tc>
          <w:tcPr>
            <w:tcW w:w="60" w:type="dxa"/>
            <w:vAlign w:val="bottom"/>
          </w:tcPr>
          <w:p>
            <w:pPr>
              <w:spacing w:after="0"/>
              <w:rPr>
                <w:sz w:val="23"/>
                <w:szCs w:val="23"/>
                <w:color w:val="auto"/>
              </w:rPr>
            </w:pPr>
          </w:p>
        </w:tc>
        <w:tc>
          <w:tcPr>
            <w:tcW w:w="220" w:type="dxa"/>
            <w:vAlign w:val="bottom"/>
            <w:tcBorders>
              <w:bottom w:val="single" w:sz="8" w:color="231F20"/>
            </w:tcBorders>
          </w:tcPr>
          <w:p>
            <w:pPr>
              <w:spacing w:after="0"/>
              <w:rPr>
                <w:sz w:val="23"/>
                <w:szCs w:val="23"/>
                <w:color w:val="auto"/>
              </w:rPr>
            </w:pPr>
          </w:p>
        </w:tc>
        <w:tc>
          <w:tcPr>
            <w:tcW w:w="9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391,799</w:t>
            </w:r>
          </w:p>
        </w:tc>
        <w:tc>
          <w:tcPr>
            <w:tcW w:w="80" w:type="dxa"/>
            <w:vAlign w:val="bottom"/>
          </w:tcPr>
          <w:p>
            <w:pPr>
              <w:spacing w:after="0"/>
              <w:rPr>
                <w:sz w:val="23"/>
                <w:szCs w:val="23"/>
                <w:color w:val="auto"/>
              </w:rPr>
            </w:pPr>
          </w:p>
        </w:tc>
        <w:tc>
          <w:tcPr>
            <w:tcW w:w="240" w:type="dxa"/>
            <w:vAlign w:val="bottom"/>
            <w:tcBorders>
              <w:bottom w:val="single" w:sz="8" w:color="231F20"/>
            </w:tcBorders>
          </w:tcPr>
          <w:p>
            <w:pPr>
              <w:spacing w:after="0"/>
              <w:rPr>
                <w:sz w:val="23"/>
                <w:szCs w:val="23"/>
                <w:color w:val="auto"/>
              </w:rPr>
            </w:pPr>
          </w:p>
        </w:tc>
        <w:tc>
          <w:tcPr>
            <w:tcW w:w="9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27,084</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6.9 %</w:t>
            </w:r>
          </w:p>
        </w:tc>
      </w:tr>
      <w:tr>
        <w:trPr>
          <w:trHeight w:val="264"/>
        </w:trPr>
        <w:tc>
          <w:tcPr>
            <w:tcW w:w="5140" w:type="dxa"/>
            <w:vAlign w:val="bottom"/>
          </w:tcPr>
          <w:p>
            <w:pPr>
              <w:spacing w:after="0"/>
              <w:rPr>
                <w:sz w:val="20"/>
                <w:szCs w:val="20"/>
                <w:color w:val="auto"/>
              </w:rPr>
            </w:pPr>
            <w:r>
              <w:rPr>
                <w:rFonts w:ascii="Times New Roman" w:cs="Times New Roman" w:eastAsia="Times New Roman" w:hAnsi="Times New Roman"/>
                <w:sz w:val="19"/>
                <w:szCs w:val="19"/>
                <w:color w:val="231F20"/>
              </w:rPr>
              <w:t xml:space="preserve">Property operating income </w:t>
            </w:r>
            <w:r>
              <w:rPr>
                <w:rFonts w:ascii="Times New Roman" w:cs="Times New Roman" w:eastAsia="Times New Roman" w:hAnsi="Times New Roman"/>
                <w:sz w:val="17"/>
                <w:szCs w:val="17"/>
                <w:color w:val="231F20"/>
              </w:rPr>
              <w:t>(1)</w:t>
            </w:r>
          </w:p>
        </w:tc>
        <w:tc>
          <w:tcPr>
            <w:tcW w:w="2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860,092</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810,653</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49,439</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6.1 %</w:t>
            </w:r>
          </w:p>
        </w:tc>
      </w:tr>
      <w:tr>
        <w:trPr>
          <w:trHeight w:val="285"/>
        </w:trPr>
        <w:tc>
          <w:tcPr>
            <w:tcW w:w="5140" w:type="dxa"/>
            <w:vAlign w:val="bottom"/>
          </w:tcPr>
          <w:p>
            <w:pPr>
              <w:spacing w:after="0"/>
              <w:rPr>
                <w:sz w:val="20"/>
                <w:szCs w:val="20"/>
                <w:color w:val="auto"/>
              </w:rPr>
            </w:pPr>
            <w:r>
              <w:rPr>
                <w:rFonts w:ascii="Times New Roman" w:cs="Times New Roman" w:eastAsia="Times New Roman" w:hAnsi="Times New Roman"/>
                <w:sz w:val="19"/>
                <w:szCs w:val="19"/>
                <w:color w:val="231F20"/>
              </w:rPr>
              <w:t>General and administrative expense</w:t>
            </w: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(46,913)</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(49,739)</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2,826</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(5.7)%</w:t>
            </w:r>
          </w:p>
        </w:tc>
      </w:tr>
      <w:tr>
        <w:trPr>
          <w:trHeight w:val="285"/>
        </w:trPr>
        <w:tc>
          <w:tcPr>
            <w:tcW w:w="5140" w:type="dxa"/>
            <w:vAlign w:val="bottom"/>
          </w:tcPr>
          <w:p>
            <w:pPr>
              <w:spacing w:after="0"/>
              <w:rPr>
                <w:sz w:val="20"/>
                <w:szCs w:val="20"/>
                <w:color w:val="auto"/>
              </w:rPr>
            </w:pPr>
            <w:r>
              <w:rPr>
                <w:rFonts w:ascii="Times New Roman" w:cs="Times New Roman" w:eastAsia="Times New Roman" w:hAnsi="Times New Roman"/>
                <w:sz w:val="19"/>
                <w:szCs w:val="19"/>
                <w:color w:val="231F20"/>
              </w:rPr>
              <w:t>Depreciation and amortization</w:t>
            </w: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(367,842)</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(342,598)</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(25,244)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7.4 %</w:t>
            </w:r>
          </w:p>
        </w:tc>
      </w:tr>
      <w:tr>
        <w:trPr>
          <w:trHeight w:val="285"/>
        </w:trPr>
        <w:tc>
          <w:tcPr>
            <w:tcW w:w="5140" w:type="dxa"/>
            <w:vAlign w:val="bottom"/>
          </w:tcPr>
          <w:p>
            <w:pPr>
              <w:spacing w:after="0"/>
              <w:rPr>
                <w:sz w:val="20"/>
                <w:szCs w:val="20"/>
                <w:color w:val="auto"/>
              </w:rPr>
            </w:pPr>
            <w:r>
              <w:rPr>
                <w:rFonts w:ascii="Times New Roman" w:cs="Times New Roman" w:eastAsia="Times New Roman" w:hAnsi="Times New Roman"/>
                <w:sz w:val="19"/>
                <w:szCs w:val="19"/>
                <w:color w:val="231F20"/>
              </w:rPr>
              <w:t>New market tax credit transaction income</w:t>
            </w: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14,176</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9"/>
                <w:szCs w:val="19"/>
                <w:color w:val="231F20"/>
              </w:rPr>
              <w:t>—</w:t>
            </w: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14,176</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100.0 %</w:t>
            </w:r>
          </w:p>
        </w:tc>
      </w:tr>
      <w:tr>
        <w:trPr>
          <w:trHeight w:val="285"/>
        </w:trPr>
        <w:tc>
          <w:tcPr>
            <w:tcW w:w="5140" w:type="dxa"/>
            <w:vAlign w:val="bottom"/>
          </w:tcPr>
          <w:p>
            <w:pPr>
              <w:spacing w:after="0"/>
              <w:rPr>
                <w:sz w:val="20"/>
                <w:szCs w:val="20"/>
                <w:color w:val="auto"/>
              </w:rPr>
            </w:pPr>
            <w:r>
              <w:rPr>
                <w:rFonts w:ascii="Times New Roman" w:cs="Times New Roman" w:eastAsia="Times New Roman" w:hAnsi="Times New Roman"/>
                <w:sz w:val="19"/>
                <w:szCs w:val="19"/>
                <w:color w:val="231F20"/>
              </w:rPr>
              <w:t>Gain on sale of real estate</w:t>
            </w: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150,111</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54,040</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96,071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177.8 %</w:t>
            </w:r>
          </w:p>
        </w:tc>
      </w:tr>
      <w:tr>
        <w:trPr>
          <w:trHeight w:val="286"/>
        </w:trPr>
        <w:tc>
          <w:tcPr>
            <w:tcW w:w="5140" w:type="dxa"/>
            <w:vAlign w:val="bottom"/>
          </w:tcPr>
          <w:p>
            <w:pPr>
              <w:spacing w:after="0"/>
              <w:rPr>
                <w:sz w:val="20"/>
                <w:szCs w:val="20"/>
                <w:color w:val="auto"/>
              </w:rPr>
            </w:pPr>
            <w:r>
              <w:rPr>
                <w:rFonts w:ascii="Times New Roman" w:cs="Times New Roman" w:eastAsia="Times New Roman" w:hAnsi="Times New Roman"/>
                <w:sz w:val="19"/>
                <w:szCs w:val="19"/>
                <w:color w:val="231F20"/>
              </w:rPr>
              <w:t>Impairment charge</w:t>
            </w: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(7,425)</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9"/>
                <w:szCs w:val="19"/>
                <w:color w:val="231F20"/>
              </w:rPr>
              <w:t>—</w:t>
            </w: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(7,425)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100.0 %</w:t>
            </w:r>
          </w:p>
        </w:tc>
      </w:tr>
      <w:tr>
        <w:trPr>
          <w:trHeight w:val="264"/>
        </w:trPr>
        <w:tc>
          <w:tcPr>
            <w:tcW w:w="5140" w:type="dxa"/>
            <w:vAlign w:val="bottom"/>
          </w:tcPr>
          <w:p>
            <w:pPr>
              <w:ind w:left="340"/>
              <w:spacing w:after="0"/>
              <w:rPr>
                <w:sz w:val="20"/>
                <w:szCs w:val="20"/>
                <w:color w:val="auto"/>
              </w:rPr>
            </w:pPr>
            <w:r>
              <w:rPr>
                <w:rFonts w:ascii="Times New Roman" w:cs="Times New Roman" w:eastAsia="Times New Roman" w:hAnsi="Times New Roman"/>
                <w:sz w:val="19"/>
                <w:szCs w:val="19"/>
                <w:color w:val="231F20"/>
              </w:rPr>
              <w:t>Operating income</w:t>
            </w:r>
          </w:p>
        </w:tc>
        <w:tc>
          <w:tcPr>
            <w:tcW w:w="220" w:type="dxa"/>
            <w:vAlign w:val="bottom"/>
            <w:tcBorders>
              <w:top w:val="single" w:sz="8" w:color="231F20"/>
            </w:tcBorders>
          </w:tcPr>
          <w:p>
            <w:pPr>
              <w:spacing w:after="0"/>
              <w:rPr>
                <w:sz w:val="22"/>
                <w:szCs w:val="22"/>
                <w:color w:val="auto"/>
              </w:rPr>
            </w:pPr>
          </w:p>
        </w:tc>
        <w:tc>
          <w:tcPr>
            <w:tcW w:w="92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602,199</w:t>
            </w:r>
          </w:p>
        </w:tc>
        <w:tc>
          <w:tcPr>
            <w:tcW w:w="60" w:type="dxa"/>
            <w:vAlign w:val="bottom"/>
          </w:tcPr>
          <w:p>
            <w:pPr>
              <w:spacing w:after="0"/>
              <w:rPr>
                <w:sz w:val="22"/>
                <w:szCs w:val="22"/>
                <w:color w:val="auto"/>
              </w:rPr>
            </w:pPr>
          </w:p>
        </w:tc>
        <w:tc>
          <w:tcPr>
            <w:tcW w:w="220" w:type="dxa"/>
            <w:vAlign w:val="bottom"/>
            <w:tcBorders>
              <w:top w:val="single" w:sz="8" w:color="231F20"/>
            </w:tcBorders>
          </w:tcPr>
          <w:p>
            <w:pPr>
              <w:spacing w:after="0"/>
              <w:rPr>
                <w:sz w:val="22"/>
                <w:szCs w:val="22"/>
                <w:color w:val="auto"/>
              </w:rPr>
            </w:pPr>
          </w:p>
        </w:tc>
        <w:tc>
          <w:tcPr>
            <w:tcW w:w="92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472,356</w:t>
            </w:r>
          </w:p>
        </w:tc>
        <w:tc>
          <w:tcPr>
            <w:tcW w:w="80" w:type="dxa"/>
            <w:vAlign w:val="bottom"/>
          </w:tcPr>
          <w:p>
            <w:pPr>
              <w:spacing w:after="0"/>
              <w:rPr>
                <w:sz w:val="22"/>
                <w:szCs w:val="22"/>
                <w:color w:val="auto"/>
              </w:rPr>
            </w:pPr>
          </w:p>
        </w:tc>
        <w:tc>
          <w:tcPr>
            <w:tcW w:w="240" w:type="dxa"/>
            <w:vAlign w:val="bottom"/>
            <w:tcBorders>
              <w:top w:val="single" w:sz="8" w:color="231F20"/>
            </w:tcBorders>
          </w:tcPr>
          <w:p>
            <w:pPr>
              <w:spacing w:after="0"/>
              <w:rPr>
                <w:sz w:val="22"/>
                <w:szCs w:val="22"/>
                <w:color w:val="auto"/>
              </w:rPr>
            </w:pPr>
          </w:p>
        </w:tc>
        <w:tc>
          <w:tcPr>
            <w:tcW w:w="90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129,843</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27.5 %</w:t>
            </w:r>
          </w:p>
        </w:tc>
      </w:tr>
      <w:tr>
        <w:trPr>
          <w:trHeight w:val="285"/>
        </w:trPr>
        <w:tc>
          <w:tcPr>
            <w:tcW w:w="5140" w:type="dxa"/>
            <w:vAlign w:val="bottom"/>
          </w:tcPr>
          <w:p>
            <w:pPr>
              <w:spacing w:after="0"/>
              <w:rPr>
                <w:sz w:val="20"/>
                <w:szCs w:val="20"/>
                <w:color w:val="auto"/>
              </w:rPr>
            </w:pPr>
            <w:r>
              <w:rPr>
                <w:rFonts w:ascii="Times New Roman" w:cs="Times New Roman" w:eastAsia="Times New Roman" w:hAnsi="Times New Roman"/>
                <w:sz w:val="19"/>
                <w:szCs w:val="19"/>
                <w:color w:val="231F20"/>
              </w:rPr>
              <w:t>Other interest income</w:t>
            </w: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3,143</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4,294</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(1,151)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(26.8)%</w:t>
            </w:r>
          </w:p>
        </w:tc>
      </w:tr>
      <w:tr>
        <w:trPr>
          <w:trHeight w:val="285"/>
        </w:trPr>
        <w:tc>
          <w:tcPr>
            <w:tcW w:w="5140" w:type="dxa"/>
            <w:vAlign w:val="bottom"/>
          </w:tcPr>
          <w:p>
            <w:pPr>
              <w:spacing w:after="0"/>
              <w:rPr>
                <w:sz w:val="20"/>
                <w:szCs w:val="20"/>
                <w:color w:val="auto"/>
              </w:rPr>
            </w:pPr>
            <w:r>
              <w:rPr>
                <w:rFonts w:ascii="Times New Roman" w:cs="Times New Roman" w:eastAsia="Times New Roman" w:hAnsi="Times New Roman"/>
                <w:sz w:val="19"/>
                <w:szCs w:val="19"/>
                <w:color w:val="231F20"/>
              </w:rPr>
              <w:t>Interest expense</w:t>
            </w: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(183,614)</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(175,476)</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(8,138)</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4.6 %</w:t>
            </w:r>
          </w:p>
        </w:tc>
      </w:tr>
      <w:tr>
        <w:trPr>
          <w:trHeight w:val="286"/>
        </w:trPr>
        <w:tc>
          <w:tcPr>
            <w:tcW w:w="5140" w:type="dxa"/>
            <w:vAlign w:val="bottom"/>
          </w:tcPr>
          <w:p>
            <w:pPr>
              <w:spacing w:after="0"/>
              <w:rPr>
                <w:sz w:val="20"/>
                <w:szCs w:val="20"/>
                <w:color w:val="auto"/>
              </w:rPr>
            </w:pPr>
            <w:r>
              <w:rPr>
                <w:rFonts w:ascii="Times New Roman" w:cs="Times New Roman" w:eastAsia="Times New Roman" w:hAnsi="Times New Roman"/>
                <w:sz w:val="19"/>
                <w:szCs w:val="19"/>
                <w:color w:val="231F20"/>
              </w:rPr>
              <w:t>Income from partnerships</w:t>
            </w:r>
          </w:p>
        </w:tc>
        <w:tc>
          <w:tcPr>
            <w:tcW w:w="220" w:type="dxa"/>
            <w:vAlign w:val="bottom"/>
            <w:tcBorders>
              <w:bottom w:val="single" w:sz="8" w:color="231F20"/>
            </w:tcBorders>
          </w:tcPr>
          <w:p>
            <w:pPr>
              <w:spacing w:after="0"/>
              <w:rPr>
                <w:sz w:val="24"/>
                <w:szCs w:val="24"/>
                <w:color w:val="auto"/>
              </w:rPr>
            </w:pPr>
          </w:p>
        </w:tc>
        <w:tc>
          <w:tcPr>
            <w:tcW w:w="9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1,920</w:t>
            </w:r>
          </w:p>
        </w:tc>
        <w:tc>
          <w:tcPr>
            <w:tcW w:w="60" w:type="dxa"/>
            <w:vAlign w:val="bottom"/>
          </w:tcPr>
          <w:p>
            <w:pPr>
              <w:spacing w:after="0"/>
              <w:rPr>
                <w:sz w:val="24"/>
                <w:szCs w:val="24"/>
                <w:color w:val="auto"/>
              </w:rPr>
            </w:pPr>
          </w:p>
        </w:tc>
        <w:tc>
          <w:tcPr>
            <w:tcW w:w="220" w:type="dxa"/>
            <w:vAlign w:val="bottom"/>
            <w:tcBorders>
              <w:bottom w:val="single" w:sz="8" w:color="231F20"/>
            </w:tcBorders>
          </w:tcPr>
          <w:p>
            <w:pPr>
              <w:spacing w:after="0"/>
              <w:rPr>
                <w:sz w:val="24"/>
                <w:szCs w:val="24"/>
                <w:color w:val="auto"/>
              </w:rPr>
            </w:pPr>
          </w:p>
        </w:tc>
        <w:tc>
          <w:tcPr>
            <w:tcW w:w="9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3,160</w:t>
            </w:r>
          </w:p>
        </w:tc>
        <w:tc>
          <w:tcPr>
            <w:tcW w:w="80" w:type="dxa"/>
            <w:vAlign w:val="bottom"/>
          </w:tcPr>
          <w:p>
            <w:pPr>
              <w:spacing w:after="0"/>
              <w:rPr>
                <w:sz w:val="24"/>
                <w:szCs w:val="24"/>
                <w:color w:val="auto"/>
              </w:rPr>
            </w:pPr>
          </w:p>
        </w:tc>
        <w:tc>
          <w:tcPr>
            <w:tcW w:w="240" w:type="dxa"/>
            <w:vAlign w:val="bottom"/>
            <w:tcBorders>
              <w:bottom w:val="single" w:sz="8" w:color="231F20"/>
            </w:tcBorders>
          </w:tcPr>
          <w:p>
            <w:pPr>
              <w:spacing w:after="0"/>
              <w:rPr>
                <w:sz w:val="24"/>
                <w:szCs w:val="24"/>
                <w:color w:val="auto"/>
              </w:rPr>
            </w:pPr>
          </w:p>
        </w:tc>
        <w:tc>
          <w:tcPr>
            <w:tcW w:w="9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(1,240)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(39.2)%</w:t>
            </w:r>
          </w:p>
        </w:tc>
      </w:tr>
      <w:tr>
        <w:trPr>
          <w:trHeight w:val="265"/>
        </w:trPr>
        <w:tc>
          <w:tcPr>
            <w:tcW w:w="5140" w:type="dxa"/>
            <w:vAlign w:val="bottom"/>
          </w:tcPr>
          <w:p>
            <w:pPr>
              <w:ind w:left="340"/>
              <w:spacing w:after="0"/>
              <w:rPr>
                <w:sz w:val="20"/>
                <w:szCs w:val="20"/>
                <w:color w:val="auto"/>
              </w:rPr>
            </w:pPr>
            <w:r>
              <w:rPr>
                <w:rFonts w:ascii="Times New Roman" w:cs="Times New Roman" w:eastAsia="Times New Roman" w:hAnsi="Times New Roman"/>
                <w:sz w:val="19"/>
                <w:szCs w:val="19"/>
                <w:color w:val="231F20"/>
              </w:rPr>
              <w:t>Total other, net</w:t>
            </w:r>
          </w:p>
        </w:tc>
        <w:tc>
          <w:tcPr>
            <w:tcW w:w="220" w:type="dxa"/>
            <w:vAlign w:val="bottom"/>
            <w:tcBorders>
              <w:bottom w:val="single" w:sz="8" w:color="231F20"/>
            </w:tcBorders>
          </w:tcPr>
          <w:p>
            <w:pPr>
              <w:spacing w:after="0"/>
              <w:rPr>
                <w:sz w:val="23"/>
                <w:szCs w:val="23"/>
                <w:color w:val="auto"/>
              </w:rPr>
            </w:pPr>
          </w:p>
        </w:tc>
        <w:tc>
          <w:tcPr>
            <w:tcW w:w="9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(178,551)</w:t>
            </w:r>
          </w:p>
        </w:tc>
        <w:tc>
          <w:tcPr>
            <w:tcW w:w="60" w:type="dxa"/>
            <w:vAlign w:val="bottom"/>
          </w:tcPr>
          <w:p>
            <w:pPr>
              <w:spacing w:after="0"/>
              <w:rPr>
                <w:sz w:val="23"/>
                <w:szCs w:val="23"/>
                <w:color w:val="auto"/>
              </w:rPr>
            </w:pPr>
          </w:p>
        </w:tc>
        <w:tc>
          <w:tcPr>
            <w:tcW w:w="220" w:type="dxa"/>
            <w:vAlign w:val="bottom"/>
            <w:tcBorders>
              <w:bottom w:val="single" w:sz="8" w:color="231F20"/>
            </w:tcBorders>
          </w:tcPr>
          <w:p>
            <w:pPr>
              <w:spacing w:after="0"/>
              <w:rPr>
                <w:sz w:val="23"/>
                <w:szCs w:val="23"/>
                <w:color w:val="auto"/>
              </w:rPr>
            </w:pPr>
          </w:p>
        </w:tc>
        <w:tc>
          <w:tcPr>
            <w:tcW w:w="9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(168,022)</w:t>
            </w:r>
          </w:p>
        </w:tc>
        <w:tc>
          <w:tcPr>
            <w:tcW w:w="80" w:type="dxa"/>
            <w:vAlign w:val="bottom"/>
          </w:tcPr>
          <w:p>
            <w:pPr>
              <w:spacing w:after="0"/>
              <w:rPr>
                <w:sz w:val="23"/>
                <w:szCs w:val="23"/>
                <w:color w:val="auto"/>
              </w:rPr>
            </w:pPr>
          </w:p>
        </w:tc>
        <w:tc>
          <w:tcPr>
            <w:tcW w:w="240" w:type="dxa"/>
            <w:vAlign w:val="bottom"/>
            <w:tcBorders>
              <w:bottom w:val="single" w:sz="8" w:color="231F20"/>
            </w:tcBorders>
          </w:tcPr>
          <w:p>
            <w:pPr>
              <w:spacing w:after="0"/>
              <w:rPr>
                <w:sz w:val="23"/>
                <w:szCs w:val="23"/>
                <w:color w:val="auto"/>
              </w:rPr>
            </w:pPr>
          </w:p>
        </w:tc>
        <w:tc>
          <w:tcPr>
            <w:tcW w:w="9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(10,529)</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6.3 %</w:t>
            </w:r>
          </w:p>
        </w:tc>
      </w:tr>
      <w:tr>
        <w:trPr>
          <w:trHeight w:val="264"/>
        </w:trPr>
        <w:tc>
          <w:tcPr>
            <w:tcW w:w="5140" w:type="dxa"/>
            <w:vAlign w:val="bottom"/>
          </w:tcPr>
          <w:p>
            <w:pPr>
              <w:spacing w:after="0"/>
              <w:rPr>
                <w:sz w:val="20"/>
                <w:szCs w:val="20"/>
                <w:color w:val="auto"/>
              </w:rPr>
            </w:pPr>
            <w:r>
              <w:rPr>
                <w:rFonts w:ascii="Times New Roman" w:cs="Times New Roman" w:eastAsia="Times New Roman" w:hAnsi="Times New Roman"/>
                <w:sz w:val="19"/>
                <w:szCs w:val="19"/>
                <w:color w:val="231F20"/>
              </w:rPr>
              <w:t>Net income</w:t>
            </w:r>
          </w:p>
        </w:tc>
        <w:tc>
          <w:tcPr>
            <w:tcW w:w="2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423,648</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304,334</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119,314</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39.2 %</w:t>
            </w:r>
          </w:p>
        </w:tc>
      </w:tr>
      <w:tr>
        <w:trPr>
          <w:trHeight w:val="286"/>
        </w:trPr>
        <w:tc>
          <w:tcPr>
            <w:tcW w:w="5140" w:type="dxa"/>
            <w:vAlign w:val="bottom"/>
          </w:tcPr>
          <w:p>
            <w:pPr>
              <w:spacing w:after="0"/>
              <w:rPr>
                <w:sz w:val="20"/>
                <w:szCs w:val="20"/>
                <w:color w:val="auto"/>
              </w:rPr>
            </w:pPr>
            <w:r>
              <w:rPr>
                <w:rFonts w:ascii="Times New Roman" w:cs="Times New Roman" w:eastAsia="Times New Roman" w:hAnsi="Times New Roman"/>
                <w:sz w:val="19"/>
                <w:szCs w:val="19"/>
                <w:color w:val="231F20"/>
              </w:rPr>
              <w:t>Net income attributable to noncontrolling interests</w:t>
            </w:r>
          </w:p>
        </w:tc>
        <w:tc>
          <w:tcPr>
            <w:tcW w:w="220" w:type="dxa"/>
            <w:vAlign w:val="bottom"/>
            <w:tcBorders>
              <w:bottom w:val="single" w:sz="8" w:color="231F20"/>
            </w:tcBorders>
          </w:tcPr>
          <w:p>
            <w:pPr>
              <w:spacing w:after="0"/>
              <w:rPr>
                <w:sz w:val="24"/>
                <w:szCs w:val="24"/>
                <w:color w:val="auto"/>
              </w:rPr>
            </w:pPr>
          </w:p>
        </w:tc>
        <w:tc>
          <w:tcPr>
            <w:tcW w:w="9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(12,571)</w:t>
            </w:r>
          </w:p>
        </w:tc>
        <w:tc>
          <w:tcPr>
            <w:tcW w:w="60" w:type="dxa"/>
            <w:vAlign w:val="bottom"/>
          </w:tcPr>
          <w:p>
            <w:pPr>
              <w:spacing w:after="0"/>
              <w:rPr>
                <w:sz w:val="24"/>
                <w:szCs w:val="24"/>
                <w:color w:val="auto"/>
              </w:rPr>
            </w:pPr>
          </w:p>
        </w:tc>
        <w:tc>
          <w:tcPr>
            <w:tcW w:w="220" w:type="dxa"/>
            <w:vAlign w:val="bottom"/>
            <w:tcBorders>
              <w:bottom w:val="single" w:sz="8" w:color="231F20"/>
            </w:tcBorders>
          </w:tcPr>
          <w:p>
            <w:pPr>
              <w:spacing w:after="0"/>
              <w:rPr>
                <w:sz w:val="24"/>
                <w:szCs w:val="24"/>
                <w:color w:val="auto"/>
              </w:rPr>
            </w:pPr>
          </w:p>
        </w:tc>
        <w:tc>
          <w:tcPr>
            <w:tcW w:w="9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(9,126)</w:t>
            </w:r>
          </w:p>
        </w:tc>
        <w:tc>
          <w:tcPr>
            <w:tcW w:w="80" w:type="dxa"/>
            <w:vAlign w:val="bottom"/>
          </w:tcPr>
          <w:p>
            <w:pPr>
              <w:spacing w:after="0"/>
              <w:rPr>
                <w:sz w:val="24"/>
                <w:szCs w:val="24"/>
                <w:color w:val="auto"/>
              </w:rPr>
            </w:pPr>
          </w:p>
        </w:tc>
        <w:tc>
          <w:tcPr>
            <w:tcW w:w="240" w:type="dxa"/>
            <w:vAlign w:val="bottom"/>
            <w:tcBorders>
              <w:bottom w:val="single" w:sz="8" w:color="231F20"/>
            </w:tcBorders>
          </w:tcPr>
          <w:p>
            <w:pPr>
              <w:spacing w:after="0"/>
              <w:rPr>
                <w:sz w:val="24"/>
                <w:szCs w:val="24"/>
                <w:color w:val="auto"/>
              </w:rPr>
            </w:pPr>
          </w:p>
        </w:tc>
        <w:tc>
          <w:tcPr>
            <w:tcW w:w="9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(3,445)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37.7 %</w:t>
            </w:r>
          </w:p>
        </w:tc>
      </w:tr>
      <w:tr>
        <w:trPr>
          <w:trHeight w:val="247"/>
        </w:trPr>
        <w:tc>
          <w:tcPr>
            <w:tcW w:w="5140" w:type="dxa"/>
            <w:vAlign w:val="bottom"/>
          </w:tcPr>
          <w:p>
            <w:pPr>
              <w:spacing w:after="0"/>
              <w:rPr>
                <w:sz w:val="20"/>
                <w:szCs w:val="20"/>
                <w:color w:val="auto"/>
              </w:rPr>
            </w:pPr>
            <w:r>
              <w:rPr>
                <w:rFonts w:ascii="Times New Roman" w:cs="Times New Roman" w:eastAsia="Times New Roman" w:hAnsi="Times New Roman"/>
                <w:sz w:val="19"/>
                <w:szCs w:val="19"/>
                <w:color w:val="231F20"/>
              </w:rPr>
              <w:t>Net income attributable to the Trust</w:t>
            </w: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411,077</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9"/>
                <w:szCs w:val="19"/>
                <w:color w:val="231F2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295,208</w:t>
            </w:r>
          </w:p>
        </w:tc>
        <w:tc>
          <w:tcPr>
            <w:tcW w:w="80" w:type="dxa"/>
            <w:vAlign w:val="bottom"/>
          </w:tcPr>
          <w:p>
            <w:pPr>
              <w:spacing w:after="0"/>
              <w:rPr>
                <w:sz w:val="21"/>
                <w:szCs w:val="21"/>
                <w:color w:val="auto"/>
              </w:rPr>
            </w:pPr>
          </w:p>
        </w:tc>
        <w:tc>
          <w:tcPr>
            <w:tcW w:w="240" w:type="dxa"/>
            <w:vAlign w:val="bottom"/>
          </w:tcPr>
          <w:p>
            <w:pPr>
              <w:jc w:val="right"/>
              <w:ind w:right="5"/>
              <w:spacing w:after="0"/>
              <w:rPr>
                <w:sz w:val="20"/>
                <w:szCs w:val="20"/>
                <w:color w:val="auto"/>
              </w:rPr>
            </w:pPr>
            <w:r>
              <w:rPr>
                <w:rFonts w:ascii="Times New Roman" w:cs="Times New Roman" w:eastAsia="Times New Roman" w:hAnsi="Times New Roman"/>
                <w:sz w:val="19"/>
                <w:szCs w:val="19"/>
                <w:color w:val="231F2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115,869</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39.2 %</w:t>
            </w:r>
          </w:p>
        </w:tc>
      </w:tr>
      <w:tr>
        <w:trPr>
          <w:trHeight w:val="20"/>
        </w:trPr>
        <w:tc>
          <w:tcPr>
            <w:tcW w:w="5140" w:type="dxa"/>
            <w:vAlign w:val="bottom"/>
          </w:tcPr>
          <w:p>
            <w:pPr>
              <w:spacing w:after="0" w:line="20" w:lineRule="exact"/>
              <w:rPr>
                <w:sz w:val="1"/>
                <w:szCs w:val="1"/>
                <w:color w:val="auto"/>
              </w:rPr>
            </w:pPr>
          </w:p>
        </w:tc>
        <w:tc>
          <w:tcPr>
            <w:tcW w:w="220" w:type="dxa"/>
            <w:vAlign w:val="bottom"/>
            <w:tcBorders>
              <w:top w:val="single" w:sz="8" w:color="231F20"/>
              <w:bottom w:val="single" w:sz="8" w:color="231F20"/>
            </w:tcBorders>
          </w:tcPr>
          <w:p>
            <w:pPr>
              <w:spacing w:after="0" w:line="20" w:lineRule="exact"/>
              <w:rPr>
                <w:sz w:val="1"/>
                <w:szCs w:val="1"/>
                <w:color w:val="auto"/>
              </w:rPr>
            </w:pPr>
          </w:p>
        </w:tc>
        <w:tc>
          <w:tcPr>
            <w:tcW w:w="92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231F20"/>
              <w:bottom w:val="single" w:sz="8" w:color="231F20"/>
            </w:tcBorders>
          </w:tcPr>
          <w:p>
            <w:pPr>
              <w:spacing w:after="0" w:line="20" w:lineRule="exact"/>
              <w:rPr>
                <w:sz w:val="1"/>
                <w:szCs w:val="1"/>
                <w:color w:val="auto"/>
              </w:rPr>
            </w:pPr>
          </w:p>
        </w:tc>
        <w:tc>
          <w:tcPr>
            <w:tcW w:w="92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231F20"/>
              <w:bottom w:val="single" w:sz="8" w:color="231F20"/>
            </w:tcBorders>
          </w:tcPr>
          <w:p>
            <w:pPr>
              <w:spacing w:after="0" w:line="20" w:lineRule="exact"/>
              <w:rPr>
                <w:sz w:val="1"/>
                <w:szCs w:val="1"/>
                <w:color w:val="auto"/>
              </w:rPr>
            </w:pPr>
          </w:p>
        </w:tc>
        <w:tc>
          <w:tcPr>
            <w:tcW w:w="90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bl>
    <w:p>
      <w:pPr>
        <w:spacing w:after="0" w:line="7" w:lineRule="exact"/>
        <w:rPr>
          <w:sz w:val="20"/>
          <w:szCs w:val="20"/>
          <w:color w:val="auto"/>
        </w:rPr>
      </w:pPr>
    </w:p>
    <w:p>
      <w:pPr>
        <w:ind w:left="260" w:right="20" w:hanging="257"/>
        <w:spacing w:after="0" w:line="254" w:lineRule="auto"/>
        <w:tabs>
          <w:tab w:leader="none" w:pos="272" w:val="left"/>
        </w:tabs>
        <w:numPr>
          <w:ilvl w:val="0"/>
          <w:numId w:val="34"/>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Property operating income is a non-GAAP measure that consists of rental income and mortgage interest income, less rental expenses and real estate taxes. This measure is used internally to evaluate the performance of property operations to the previous period and we consider it be a significant measure. We believe that property operating income is useful to investors in measuring the operating performance of our property portfolio because the definition excludes various items included in operating income that do not relate to, or are not indicative of, the operating performance of our properties, such as general and administrative expenses and depreciation and amortization, and allows us to isolate disparities in operating income caused by acquisitions, dispositions, and stabilization of properties. Property operating income may, therefore, provide a more consistent metric for comparing the operating performance of our real estate between periods. Property operating income should not be considered an alternative measure of operating results or cash flow from operations as determined in accordance with GAAP. The reconciliation of operating income to property operating income for 2025 and 2024 is as follows:</w:t>
      </w:r>
    </w:p>
    <w:p>
      <w:pPr>
        <w:spacing w:after="0" w:line="49" w:lineRule="exact"/>
        <w:rPr>
          <w:sz w:val="20"/>
          <w:szCs w:val="20"/>
          <w:color w:val="auto"/>
        </w:rPr>
      </w:pPr>
    </w:p>
    <w:tbl>
      <w:tblPr>
        <w:tblLayout w:type="fixed"/>
        <w:tblInd w:w="60" w:type="dxa"/>
        <w:tblCellMar>
          <w:top w:w="0" w:type="dxa"/>
          <w:left w:w="0" w:type="dxa"/>
          <w:bottom w:w="0" w:type="dxa"/>
          <w:right w:w="0" w:type="dxa"/>
        </w:tblCellMar>
      </w:tblPr>
      <w:tr>
        <w:trPr>
          <w:trHeight w:val="252"/>
        </w:trPr>
        <w:tc>
          <w:tcPr>
            <w:tcW w:w="7360" w:type="dxa"/>
            <w:vAlign w:val="bottom"/>
          </w:tcPr>
          <w:p>
            <w:pPr>
              <w:spacing w:after="0"/>
              <w:rPr>
                <w:sz w:val="21"/>
                <w:szCs w:val="21"/>
                <w:color w:val="auto"/>
              </w:rPr>
            </w:pPr>
          </w:p>
        </w:tc>
        <w:tc>
          <w:tcPr>
            <w:tcW w:w="260" w:type="dxa"/>
            <w:vAlign w:val="bottom"/>
            <w:tcBorders>
              <w:bottom w:val="single" w:sz="8" w:color="231F20"/>
            </w:tcBorders>
          </w:tcPr>
          <w:p>
            <w:pPr>
              <w:spacing w:after="0"/>
              <w:rPr>
                <w:sz w:val="21"/>
                <w:szCs w:val="21"/>
                <w:color w:val="auto"/>
              </w:rPr>
            </w:pPr>
          </w:p>
        </w:tc>
        <w:tc>
          <w:tcPr>
            <w:tcW w:w="880" w:type="dxa"/>
            <w:vAlign w:val="bottom"/>
            <w:tcBorders>
              <w:bottom w:val="single" w:sz="8" w:color="231F20"/>
            </w:tcBorders>
          </w:tcPr>
          <w:p>
            <w:pPr>
              <w:jc w:val="right"/>
              <w:ind w:right="286"/>
              <w:spacing w:after="0"/>
              <w:rPr>
                <w:sz w:val="20"/>
                <w:szCs w:val="20"/>
                <w:color w:val="auto"/>
              </w:rPr>
            </w:pPr>
            <w:r>
              <w:rPr>
                <w:rFonts w:ascii="Times New Roman" w:cs="Times New Roman" w:eastAsia="Times New Roman" w:hAnsi="Times New Roman"/>
                <w:sz w:val="19"/>
                <w:szCs w:val="19"/>
                <w:b w:val="1"/>
                <w:bCs w:val="1"/>
                <w:color w:val="231F20"/>
              </w:rPr>
              <w:t>2025</w:t>
            </w:r>
          </w:p>
        </w:tc>
        <w:tc>
          <w:tcPr>
            <w:tcW w:w="60" w:type="dxa"/>
            <w:vAlign w:val="bottom"/>
          </w:tcPr>
          <w:p>
            <w:pPr>
              <w:spacing w:after="0"/>
              <w:rPr>
                <w:sz w:val="21"/>
                <w:szCs w:val="21"/>
                <w:color w:val="auto"/>
              </w:rPr>
            </w:pPr>
          </w:p>
        </w:tc>
        <w:tc>
          <w:tcPr>
            <w:tcW w:w="260" w:type="dxa"/>
            <w:vAlign w:val="bottom"/>
            <w:tcBorders>
              <w:bottom w:val="single" w:sz="8" w:color="231F20"/>
            </w:tcBorders>
          </w:tcPr>
          <w:p>
            <w:pPr>
              <w:spacing w:after="0"/>
              <w:rPr>
                <w:sz w:val="21"/>
                <w:szCs w:val="21"/>
                <w:color w:val="auto"/>
              </w:rPr>
            </w:pPr>
          </w:p>
        </w:tc>
        <w:tc>
          <w:tcPr>
            <w:tcW w:w="880" w:type="dxa"/>
            <w:vAlign w:val="bottom"/>
            <w:tcBorders>
              <w:bottom w:val="single" w:sz="8" w:color="231F20"/>
            </w:tcBorders>
          </w:tcPr>
          <w:p>
            <w:pPr>
              <w:jc w:val="right"/>
              <w:ind w:right="285"/>
              <w:spacing w:after="0"/>
              <w:rPr>
                <w:sz w:val="20"/>
                <w:szCs w:val="20"/>
                <w:color w:val="auto"/>
              </w:rPr>
            </w:pPr>
            <w:r>
              <w:rPr>
                <w:rFonts w:ascii="Times New Roman" w:cs="Times New Roman" w:eastAsia="Times New Roman" w:hAnsi="Times New Roman"/>
                <w:sz w:val="19"/>
                <w:szCs w:val="19"/>
                <w:b w:val="1"/>
                <w:bCs w:val="1"/>
                <w:color w:val="231F20"/>
              </w:rPr>
              <w:t>2024</w:t>
            </w:r>
          </w:p>
        </w:tc>
      </w:tr>
      <w:tr>
        <w:trPr>
          <w:trHeight w:val="209"/>
        </w:trPr>
        <w:tc>
          <w:tcPr>
            <w:tcW w:w="7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80" w:type="dxa"/>
            <w:vAlign w:val="bottom"/>
            <w:gridSpan w:val="4"/>
          </w:tcPr>
          <w:p>
            <w:pPr>
              <w:jc w:val="right"/>
              <w:ind w:right="565"/>
              <w:spacing w:after="0"/>
              <w:rPr>
                <w:sz w:val="20"/>
                <w:szCs w:val="20"/>
                <w:color w:val="auto"/>
              </w:rPr>
            </w:pPr>
            <w:r>
              <w:rPr>
                <w:rFonts w:ascii="Times New Roman" w:cs="Times New Roman" w:eastAsia="Times New Roman" w:hAnsi="Times New Roman"/>
                <w:sz w:val="17"/>
                <w:szCs w:val="17"/>
                <w:b w:val="1"/>
                <w:bCs w:val="1"/>
                <w:color w:val="231F20"/>
              </w:rPr>
              <w:t>(in thousands)</w:t>
            </w:r>
          </w:p>
        </w:tc>
      </w:tr>
      <w:tr>
        <w:trPr>
          <w:trHeight w:val="263"/>
        </w:trPr>
        <w:tc>
          <w:tcPr>
            <w:tcW w:w="7360" w:type="dxa"/>
            <w:vAlign w:val="bottom"/>
          </w:tcPr>
          <w:p>
            <w:pPr>
              <w:spacing w:after="0"/>
              <w:rPr>
                <w:sz w:val="20"/>
                <w:szCs w:val="20"/>
                <w:color w:val="auto"/>
              </w:rPr>
            </w:pPr>
            <w:r>
              <w:rPr>
                <w:rFonts w:ascii="Times New Roman" w:cs="Times New Roman" w:eastAsia="Times New Roman" w:hAnsi="Times New Roman"/>
                <w:sz w:val="19"/>
                <w:szCs w:val="19"/>
                <w:color w:val="231F20"/>
              </w:rPr>
              <w:t>Operating income</w:t>
            </w:r>
          </w:p>
        </w:tc>
        <w:tc>
          <w:tcPr>
            <w:tcW w:w="260" w:type="dxa"/>
            <w:vAlign w:val="bottom"/>
          </w:tcPr>
          <w:p>
            <w:pPr>
              <w:jc w:val="right"/>
              <w:ind w:right="25"/>
              <w:spacing w:after="0"/>
              <w:rPr>
                <w:sz w:val="20"/>
                <w:szCs w:val="20"/>
                <w:color w:val="auto"/>
              </w:rPr>
            </w:pPr>
            <w:r>
              <w:rPr>
                <w:rFonts w:ascii="Times New Roman" w:cs="Times New Roman" w:eastAsia="Times New Roman" w:hAnsi="Times New Roman"/>
                <w:sz w:val="19"/>
                <w:szCs w:val="19"/>
                <w:color w:val="231F2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602,199</w:t>
            </w:r>
          </w:p>
        </w:tc>
        <w:tc>
          <w:tcPr>
            <w:tcW w:w="60" w:type="dxa"/>
            <w:vAlign w:val="bottom"/>
          </w:tcPr>
          <w:p>
            <w:pPr>
              <w:spacing w:after="0"/>
              <w:rPr>
                <w:sz w:val="22"/>
                <w:szCs w:val="22"/>
                <w:color w:val="auto"/>
              </w:rPr>
            </w:pPr>
          </w:p>
        </w:tc>
        <w:tc>
          <w:tcPr>
            <w:tcW w:w="260" w:type="dxa"/>
            <w:vAlign w:val="bottom"/>
            <w:tcBorders>
              <w:top w:val="single" w:sz="8" w:color="231F20"/>
            </w:tcBorders>
          </w:tcPr>
          <w:p>
            <w:pPr>
              <w:jc w:val="right"/>
              <w:ind w:right="25"/>
              <w:spacing w:after="0"/>
              <w:rPr>
                <w:sz w:val="20"/>
                <w:szCs w:val="20"/>
                <w:color w:val="auto"/>
              </w:rPr>
            </w:pPr>
            <w:r>
              <w:rPr>
                <w:rFonts w:ascii="Times New Roman" w:cs="Times New Roman" w:eastAsia="Times New Roman" w:hAnsi="Times New Roman"/>
                <w:sz w:val="19"/>
                <w:szCs w:val="19"/>
                <w:color w:val="231F20"/>
              </w:rPr>
              <w:t>$</w:t>
            </w:r>
          </w:p>
        </w:tc>
        <w:tc>
          <w:tcPr>
            <w:tcW w:w="88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472,356</w:t>
            </w:r>
          </w:p>
        </w:tc>
      </w:tr>
      <w:tr>
        <w:trPr>
          <w:trHeight w:val="285"/>
        </w:trPr>
        <w:tc>
          <w:tcPr>
            <w:tcW w:w="7360" w:type="dxa"/>
            <w:vAlign w:val="bottom"/>
          </w:tcPr>
          <w:p>
            <w:pPr>
              <w:spacing w:after="0"/>
              <w:rPr>
                <w:sz w:val="20"/>
                <w:szCs w:val="20"/>
                <w:color w:val="auto"/>
              </w:rPr>
            </w:pPr>
            <w:r>
              <w:rPr>
                <w:rFonts w:ascii="Times New Roman" w:cs="Times New Roman" w:eastAsia="Times New Roman" w:hAnsi="Times New Roman"/>
                <w:sz w:val="19"/>
                <w:szCs w:val="19"/>
                <w:color w:val="231F20"/>
              </w:rPr>
              <w:t>General and administrative</w:t>
            </w: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46,913</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49,739</w:t>
            </w:r>
          </w:p>
        </w:tc>
      </w:tr>
      <w:tr>
        <w:trPr>
          <w:trHeight w:val="285"/>
        </w:trPr>
        <w:tc>
          <w:tcPr>
            <w:tcW w:w="7360" w:type="dxa"/>
            <w:vAlign w:val="bottom"/>
          </w:tcPr>
          <w:p>
            <w:pPr>
              <w:spacing w:after="0"/>
              <w:rPr>
                <w:sz w:val="20"/>
                <w:szCs w:val="20"/>
                <w:color w:val="auto"/>
              </w:rPr>
            </w:pPr>
            <w:r>
              <w:rPr>
                <w:rFonts w:ascii="Times New Roman" w:cs="Times New Roman" w:eastAsia="Times New Roman" w:hAnsi="Times New Roman"/>
                <w:sz w:val="19"/>
                <w:szCs w:val="19"/>
                <w:color w:val="231F20"/>
              </w:rPr>
              <w:t>Depreciation and amortization</w:t>
            </w: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367,842</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342,598</w:t>
            </w:r>
          </w:p>
        </w:tc>
      </w:tr>
      <w:tr>
        <w:trPr>
          <w:trHeight w:val="285"/>
        </w:trPr>
        <w:tc>
          <w:tcPr>
            <w:tcW w:w="7360" w:type="dxa"/>
            <w:vAlign w:val="bottom"/>
          </w:tcPr>
          <w:p>
            <w:pPr>
              <w:spacing w:after="0"/>
              <w:rPr>
                <w:sz w:val="20"/>
                <w:szCs w:val="20"/>
                <w:color w:val="auto"/>
              </w:rPr>
            </w:pPr>
            <w:r>
              <w:rPr>
                <w:rFonts w:ascii="Times New Roman" w:cs="Times New Roman" w:eastAsia="Times New Roman" w:hAnsi="Times New Roman"/>
                <w:sz w:val="19"/>
                <w:szCs w:val="19"/>
                <w:color w:val="231F20"/>
              </w:rPr>
              <w:t>New market tax credit transaction income</w:t>
            </w: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(14,176)</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w:t>
            </w:r>
          </w:p>
        </w:tc>
      </w:tr>
      <w:tr>
        <w:trPr>
          <w:trHeight w:val="285"/>
        </w:trPr>
        <w:tc>
          <w:tcPr>
            <w:tcW w:w="7360" w:type="dxa"/>
            <w:vAlign w:val="bottom"/>
          </w:tcPr>
          <w:p>
            <w:pPr>
              <w:spacing w:after="0"/>
              <w:rPr>
                <w:sz w:val="20"/>
                <w:szCs w:val="20"/>
                <w:color w:val="auto"/>
              </w:rPr>
            </w:pPr>
            <w:r>
              <w:rPr>
                <w:rFonts w:ascii="Times New Roman" w:cs="Times New Roman" w:eastAsia="Times New Roman" w:hAnsi="Times New Roman"/>
                <w:sz w:val="19"/>
                <w:szCs w:val="19"/>
                <w:color w:val="231F20"/>
              </w:rPr>
              <w:t>Gain on sale of real estate</w:t>
            </w: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(150,111)</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(54,040)</w:t>
            </w:r>
          </w:p>
        </w:tc>
      </w:tr>
      <w:tr>
        <w:trPr>
          <w:trHeight w:val="286"/>
        </w:trPr>
        <w:tc>
          <w:tcPr>
            <w:tcW w:w="7360" w:type="dxa"/>
            <w:vAlign w:val="bottom"/>
          </w:tcPr>
          <w:p>
            <w:pPr>
              <w:spacing w:after="0"/>
              <w:rPr>
                <w:sz w:val="20"/>
                <w:szCs w:val="20"/>
                <w:color w:val="auto"/>
              </w:rPr>
            </w:pPr>
            <w:r>
              <w:rPr>
                <w:rFonts w:ascii="Times New Roman" w:cs="Times New Roman" w:eastAsia="Times New Roman" w:hAnsi="Times New Roman"/>
                <w:sz w:val="19"/>
                <w:szCs w:val="19"/>
                <w:color w:val="231F20"/>
              </w:rPr>
              <w:t>Impairment charge</w:t>
            </w:r>
          </w:p>
        </w:tc>
        <w:tc>
          <w:tcPr>
            <w:tcW w:w="260" w:type="dxa"/>
            <w:vAlign w:val="bottom"/>
            <w:tcBorders>
              <w:bottom w:val="single" w:sz="8" w:color="231F20"/>
            </w:tcBorders>
          </w:tcPr>
          <w:p>
            <w:pPr>
              <w:spacing w:after="0"/>
              <w:rPr>
                <w:sz w:val="24"/>
                <w:szCs w:val="24"/>
                <w:color w:val="auto"/>
              </w:rPr>
            </w:pPr>
          </w:p>
        </w:tc>
        <w:tc>
          <w:tcPr>
            <w:tcW w:w="8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7,425</w:t>
            </w:r>
          </w:p>
        </w:tc>
        <w:tc>
          <w:tcPr>
            <w:tcW w:w="60" w:type="dxa"/>
            <w:vAlign w:val="bottom"/>
          </w:tcPr>
          <w:p>
            <w:pPr>
              <w:spacing w:after="0"/>
              <w:rPr>
                <w:sz w:val="24"/>
                <w:szCs w:val="24"/>
                <w:color w:val="auto"/>
              </w:rPr>
            </w:pPr>
          </w:p>
        </w:tc>
        <w:tc>
          <w:tcPr>
            <w:tcW w:w="260" w:type="dxa"/>
            <w:vAlign w:val="bottom"/>
            <w:tcBorders>
              <w:bottom w:val="single" w:sz="8" w:color="231F20"/>
            </w:tcBorders>
          </w:tcPr>
          <w:p>
            <w:pPr>
              <w:spacing w:after="0"/>
              <w:rPr>
                <w:sz w:val="24"/>
                <w:szCs w:val="24"/>
                <w:color w:val="auto"/>
              </w:rPr>
            </w:pPr>
          </w:p>
        </w:tc>
        <w:tc>
          <w:tcPr>
            <w:tcW w:w="8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w:t>
            </w:r>
          </w:p>
        </w:tc>
      </w:tr>
      <w:tr>
        <w:trPr>
          <w:trHeight w:val="247"/>
        </w:trPr>
        <w:tc>
          <w:tcPr>
            <w:tcW w:w="7360" w:type="dxa"/>
            <w:vAlign w:val="bottom"/>
          </w:tcPr>
          <w:p>
            <w:pPr>
              <w:spacing w:after="0"/>
              <w:rPr>
                <w:sz w:val="20"/>
                <w:szCs w:val="20"/>
                <w:color w:val="auto"/>
              </w:rPr>
            </w:pPr>
            <w:r>
              <w:rPr>
                <w:rFonts w:ascii="Times New Roman" w:cs="Times New Roman" w:eastAsia="Times New Roman" w:hAnsi="Times New Roman"/>
                <w:sz w:val="19"/>
                <w:szCs w:val="19"/>
                <w:color w:val="231F20"/>
              </w:rPr>
              <w:t>Property operating income</w:t>
            </w:r>
          </w:p>
        </w:tc>
        <w:tc>
          <w:tcPr>
            <w:tcW w:w="260" w:type="dxa"/>
            <w:vAlign w:val="bottom"/>
          </w:tcPr>
          <w:p>
            <w:pPr>
              <w:jc w:val="right"/>
              <w:ind w:right="25"/>
              <w:spacing w:after="0"/>
              <w:rPr>
                <w:sz w:val="20"/>
                <w:szCs w:val="20"/>
                <w:color w:val="auto"/>
              </w:rPr>
            </w:pPr>
            <w:r>
              <w:rPr>
                <w:rFonts w:ascii="Times New Roman" w:cs="Times New Roman" w:eastAsia="Times New Roman" w:hAnsi="Times New Roman"/>
                <w:sz w:val="19"/>
                <w:szCs w:val="19"/>
                <w:color w:val="231F2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860,092</w:t>
            </w:r>
          </w:p>
        </w:tc>
        <w:tc>
          <w:tcPr>
            <w:tcW w:w="320" w:type="dxa"/>
            <w:vAlign w:val="bottom"/>
            <w:gridSpan w:val="2"/>
          </w:tcPr>
          <w:p>
            <w:pPr>
              <w:jc w:val="right"/>
              <w:ind w:right="25"/>
              <w:spacing w:after="0"/>
              <w:rPr>
                <w:sz w:val="20"/>
                <w:szCs w:val="20"/>
                <w:color w:val="auto"/>
              </w:rPr>
            </w:pPr>
            <w:r>
              <w:rPr>
                <w:rFonts w:ascii="Times New Roman" w:cs="Times New Roman" w:eastAsia="Times New Roman" w:hAnsi="Times New Roman"/>
                <w:sz w:val="19"/>
                <w:szCs w:val="19"/>
                <w:color w:val="231F2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810,653</w:t>
            </w:r>
          </w:p>
        </w:tc>
      </w:tr>
      <w:tr>
        <w:trPr>
          <w:trHeight w:val="20"/>
        </w:trPr>
        <w:tc>
          <w:tcPr>
            <w:tcW w:w="7360" w:type="dxa"/>
            <w:vAlign w:val="bottom"/>
          </w:tcPr>
          <w:p>
            <w:pPr>
              <w:spacing w:after="0" w:line="20" w:lineRule="exact"/>
              <w:rPr>
                <w:sz w:val="1"/>
                <w:szCs w:val="1"/>
                <w:color w:val="auto"/>
              </w:rPr>
            </w:pPr>
          </w:p>
        </w:tc>
        <w:tc>
          <w:tcPr>
            <w:tcW w:w="260" w:type="dxa"/>
            <w:vAlign w:val="bottom"/>
            <w:tcBorders>
              <w:top w:val="single" w:sz="8" w:color="231F20"/>
              <w:bottom w:val="single" w:sz="8" w:color="231F20"/>
            </w:tcBorders>
          </w:tcPr>
          <w:p>
            <w:pPr>
              <w:spacing w:after="0" w:line="20" w:lineRule="exact"/>
              <w:rPr>
                <w:sz w:val="1"/>
                <w:szCs w:val="1"/>
                <w:color w:val="auto"/>
              </w:rPr>
            </w:pPr>
          </w:p>
        </w:tc>
        <w:tc>
          <w:tcPr>
            <w:tcW w:w="88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231F20"/>
              <w:bottom w:val="single" w:sz="8" w:color="231F20"/>
            </w:tcBorders>
          </w:tcPr>
          <w:p>
            <w:pPr>
              <w:spacing w:after="0" w:line="20" w:lineRule="exact"/>
              <w:rPr>
                <w:sz w:val="1"/>
                <w:szCs w:val="1"/>
                <w:color w:val="auto"/>
              </w:rPr>
            </w:pPr>
          </w:p>
        </w:tc>
        <w:tc>
          <w:tcPr>
            <w:tcW w:w="880" w:type="dxa"/>
            <w:vAlign w:val="bottom"/>
            <w:tcBorders>
              <w:top w:val="single" w:sz="8" w:color="231F20"/>
              <w:bottom w:val="single" w:sz="8" w:color="231F20"/>
            </w:tcBorders>
          </w:tcPr>
          <w:p>
            <w:pPr>
              <w:spacing w:after="0" w:line="20" w:lineRule="exact"/>
              <w:rPr>
                <w:sz w:val="1"/>
                <w:szCs w:val="1"/>
                <w:color w:val="auto"/>
              </w:rPr>
            </w:pPr>
          </w:p>
        </w:tc>
      </w:tr>
    </w:tbl>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Property Revenues</w:t>
      </w:r>
    </w:p>
    <w:p>
      <w:pPr>
        <w:spacing w:after="0" w:line="110" w:lineRule="exact"/>
        <w:rPr>
          <w:sz w:val="20"/>
          <w:szCs w:val="20"/>
          <w:color w:val="auto"/>
        </w:rPr>
      </w:pPr>
    </w:p>
    <w:p>
      <w:pPr>
        <w:ind w:right="40"/>
        <w:spacing w:after="0" w:line="284" w:lineRule="auto"/>
        <w:rPr>
          <w:sz w:val="20"/>
          <w:szCs w:val="20"/>
          <w:color w:val="auto"/>
        </w:rPr>
      </w:pPr>
      <w:r>
        <w:rPr>
          <w:rFonts w:ascii="Times New Roman" w:cs="Times New Roman" w:eastAsia="Times New Roman" w:hAnsi="Times New Roman"/>
          <w:sz w:val="19"/>
          <w:szCs w:val="19"/>
          <w:color w:val="231F20"/>
        </w:rPr>
        <w:t>Total property revenue increased $76.5 million, or 6.4%, to $1.28 billion in 2025 compared to $1.20 billion in 2024. The percentage occupied at our shopping centers was 94.1% at both December 31, 2025 and 2024. Rental income consists primarily</w:t>
      </w:r>
    </w:p>
    <w:p>
      <w:pPr>
        <w:sectPr>
          <w:pgSz w:w="11880" w:h="15480" w:orient="portrait"/>
          <w:cols w:equalWidth="0" w:num="1">
            <w:col w:w="9760"/>
          </w:cols>
          <w:pgMar w:left="1060" w:top="958" w:right="1060" w:bottom="0" w:gutter="0" w:footer="0" w:header="0"/>
        </w:sect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38</w:t>
      </w:r>
    </w:p>
    <w:p>
      <w:pPr>
        <w:sectPr>
          <w:pgSz w:w="11880" w:h="15480" w:orient="portrait"/>
          <w:cols w:equalWidth="0" w:num="1">
            <w:col w:w="9760"/>
          </w:cols>
          <w:pgMar w:left="1060" w:top="958" w:right="1060" w:bottom="0" w:gutter="0" w:footer="0" w:header="0"/>
          <w:type w:val="continuous"/>
        </w:sectPr>
      </w:pPr>
    </w:p>
    <w:bookmarkStart w:id="46" w:name="page47"/>
    <w:bookmarkEnd w:id="46"/>
    <w:p>
      <w:pPr>
        <w:jc w:val="both"/>
        <w:ind w:right="60"/>
        <w:spacing w:after="0" w:line="267" w:lineRule="auto"/>
        <w:rPr>
          <w:sz w:val="20"/>
          <w:szCs w:val="20"/>
          <w:color w:val="auto"/>
        </w:rPr>
      </w:pPr>
      <w:r>
        <w:rPr>
          <w:rFonts w:ascii="Times New Roman" w:cs="Times New Roman" w:eastAsia="Times New Roman" w:hAnsi="Times New Roman"/>
          <w:sz w:val="19"/>
          <w:szCs w:val="19"/>
          <w:color w:val="231F20"/>
        </w:rPr>
        <w:t>of minimum rent, cost reimbursements from tenants and percentage rent, and is net of collectibility related adjustments. Other property income includes revenue for our Pike &amp; Rose hotel, parking income, and other incidental income from our properties. The increase in property revenues is due primarily to the following:</w:t>
      </w:r>
    </w:p>
    <w:p>
      <w:pPr>
        <w:spacing w:after="0" w:line="12" w:lineRule="exact"/>
        <w:rPr>
          <w:sz w:val="20"/>
          <w:szCs w:val="20"/>
          <w:color w:val="auto"/>
        </w:rPr>
      </w:pPr>
    </w:p>
    <w:p>
      <w:pPr>
        <w:ind w:left="1200" w:hanging="256"/>
        <w:spacing w:after="0"/>
        <w:tabs>
          <w:tab w:leader="none" w:pos="1200" w:val="left"/>
        </w:tabs>
        <w:numPr>
          <w:ilvl w:val="0"/>
          <w:numId w:val="35"/>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an increase of $49.2 million from 2025 and 2024 acquisitions,</w:t>
      </w:r>
    </w:p>
    <w:p>
      <w:pPr>
        <w:spacing w:after="0" w:line="66" w:lineRule="exact"/>
        <w:rPr>
          <w:rFonts w:ascii="Times New Roman" w:cs="Times New Roman" w:eastAsia="Times New Roman" w:hAnsi="Times New Roman"/>
          <w:sz w:val="19"/>
          <w:szCs w:val="19"/>
          <w:color w:val="231F20"/>
        </w:rPr>
      </w:pPr>
    </w:p>
    <w:p>
      <w:pPr>
        <w:ind w:left="1200" w:hanging="256"/>
        <w:spacing w:after="0" w:line="261" w:lineRule="auto"/>
        <w:tabs>
          <w:tab w:leader="none" w:pos="1200" w:val="left"/>
        </w:tabs>
        <w:numPr>
          <w:ilvl w:val="0"/>
          <w:numId w:val="35"/>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an increase of $36.4 million from comparable properties primarily related to higher rental rates of approximately $14.5 million, an $11.9 million increase in recoveries from tenants primarily on higher expenses and occupancy, higher average occupancy of approximately $8.6 million, and a $2.0 million increase in parking income, partially offset by a $1.9 million increase in collectibility related adjustments, and</w:t>
      </w:r>
    </w:p>
    <w:p>
      <w:pPr>
        <w:spacing w:after="0" w:line="19" w:lineRule="exact"/>
        <w:rPr>
          <w:rFonts w:ascii="Times New Roman" w:cs="Times New Roman" w:eastAsia="Times New Roman" w:hAnsi="Times New Roman"/>
          <w:sz w:val="19"/>
          <w:szCs w:val="19"/>
          <w:color w:val="231F20"/>
        </w:rPr>
      </w:pPr>
    </w:p>
    <w:p>
      <w:pPr>
        <w:ind w:left="1200" w:hanging="256"/>
        <w:spacing w:after="0"/>
        <w:tabs>
          <w:tab w:leader="none" w:pos="1200" w:val="left"/>
        </w:tabs>
        <w:numPr>
          <w:ilvl w:val="0"/>
          <w:numId w:val="35"/>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an increase of $8.3 million from non-comparable properties primarily driven by occupancy increases,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partially offset by</w:t>
      </w:r>
    </w:p>
    <w:p>
      <w:pPr>
        <w:spacing w:after="0" w:line="67" w:lineRule="exact"/>
        <w:rPr>
          <w:sz w:val="20"/>
          <w:szCs w:val="20"/>
          <w:color w:val="auto"/>
        </w:rPr>
      </w:pPr>
    </w:p>
    <w:p>
      <w:pPr>
        <w:ind w:left="1200" w:hanging="256"/>
        <w:spacing w:after="0"/>
        <w:tabs>
          <w:tab w:leader="none" w:pos="1200" w:val="left"/>
        </w:tabs>
        <w:numPr>
          <w:ilvl w:val="0"/>
          <w:numId w:val="36"/>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a decrease of $15.8 million from property dispositions.</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Property Expenses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Total property expenses increased $27.1 million, or 6.9%, to $418.9 million in 2025 compared to $391.8 million in 2024.</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Changes in the components of property expenses are discussed below.</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231F20"/>
        </w:rPr>
        <w:t>Rental Expenses</w:t>
      </w:r>
    </w:p>
    <w:p>
      <w:pPr>
        <w:spacing w:after="0" w:line="107"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9"/>
          <w:szCs w:val="19"/>
          <w:color w:val="231F20"/>
        </w:rPr>
        <w:t>Rental expenses increased $17.9 million, or 7.2%, to $267.4 million in 2025 compared to $249.6 million in 2024. This increase is primarily due to the following:</w:t>
      </w:r>
    </w:p>
    <w:p>
      <w:pPr>
        <w:spacing w:after="0" w:line="2" w:lineRule="exact"/>
        <w:rPr>
          <w:sz w:val="20"/>
          <w:szCs w:val="20"/>
          <w:color w:val="auto"/>
        </w:rPr>
      </w:pPr>
    </w:p>
    <w:p>
      <w:pPr>
        <w:ind w:left="1200" w:hanging="256"/>
        <w:spacing w:after="0"/>
        <w:tabs>
          <w:tab w:leader="none" w:pos="1200" w:val="left"/>
        </w:tabs>
        <w:numPr>
          <w:ilvl w:val="0"/>
          <w:numId w:val="37"/>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and increase of $10.6 million from 2025 and 2024 acquisitions,</w:t>
      </w:r>
    </w:p>
    <w:p>
      <w:pPr>
        <w:spacing w:after="0" w:line="66" w:lineRule="exact"/>
        <w:rPr>
          <w:rFonts w:ascii="Times New Roman" w:cs="Times New Roman" w:eastAsia="Times New Roman" w:hAnsi="Times New Roman"/>
          <w:sz w:val="19"/>
          <w:szCs w:val="19"/>
          <w:color w:val="231F20"/>
        </w:rPr>
      </w:pPr>
    </w:p>
    <w:p>
      <w:pPr>
        <w:ind w:left="1200" w:right="40" w:hanging="256"/>
        <w:spacing w:after="0" w:line="267" w:lineRule="auto"/>
        <w:tabs>
          <w:tab w:leader="none" w:pos="1200" w:val="left"/>
        </w:tabs>
        <w:numPr>
          <w:ilvl w:val="0"/>
          <w:numId w:val="37"/>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an increase of $7.3 million from comparable properties due primarily to higher snow removal, higher utilities, and an increase in management fees on higher revenues, partially offset by lower repairs and maintenance costs and insurance costs, and</w:t>
      </w:r>
    </w:p>
    <w:p>
      <w:pPr>
        <w:spacing w:after="0" w:line="12" w:lineRule="exact"/>
        <w:rPr>
          <w:rFonts w:ascii="Times New Roman" w:cs="Times New Roman" w:eastAsia="Times New Roman" w:hAnsi="Times New Roman"/>
          <w:sz w:val="19"/>
          <w:szCs w:val="19"/>
          <w:color w:val="231F20"/>
        </w:rPr>
      </w:pPr>
    </w:p>
    <w:p>
      <w:pPr>
        <w:ind w:left="1200" w:hanging="256"/>
        <w:spacing w:after="0" w:line="281" w:lineRule="auto"/>
        <w:tabs>
          <w:tab w:leader="none" w:pos="1200" w:val="left"/>
        </w:tabs>
        <w:numPr>
          <w:ilvl w:val="0"/>
          <w:numId w:val="37"/>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an increase of $4.2 million from non-comparable properties due primarily to openings at Santana West and Pike &amp; Rose Phase IV,</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partially offset by</w:t>
      </w:r>
    </w:p>
    <w:p>
      <w:pPr>
        <w:spacing w:after="0" w:line="67" w:lineRule="exact"/>
        <w:rPr>
          <w:sz w:val="20"/>
          <w:szCs w:val="20"/>
          <w:color w:val="auto"/>
        </w:rPr>
      </w:pPr>
    </w:p>
    <w:p>
      <w:pPr>
        <w:ind w:left="1200" w:hanging="256"/>
        <w:spacing w:after="0"/>
        <w:tabs>
          <w:tab w:leader="none" w:pos="1200" w:val="left"/>
        </w:tabs>
        <w:numPr>
          <w:ilvl w:val="0"/>
          <w:numId w:val="38"/>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a decrease of $3.7 million from property dispositions.</w:t>
      </w:r>
    </w:p>
    <w:p>
      <w:pPr>
        <w:spacing w:after="0" w:line="181" w:lineRule="exact"/>
        <w:rPr>
          <w:sz w:val="20"/>
          <w:szCs w:val="20"/>
          <w:color w:val="auto"/>
        </w:rPr>
      </w:pPr>
    </w:p>
    <w:p>
      <w:pPr>
        <w:ind w:right="300"/>
        <w:spacing w:after="0" w:line="284" w:lineRule="auto"/>
        <w:rPr>
          <w:sz w:val="20"/>
          <w:szCs w:val="20"/>
          <w:color w:val="auto"/>
        </w:rPr>
      </w:pPr>
      <w:r>
        <w:rPr>
          <w:rFonts w:ascii="Times New Roman" w:cs="Times New Roman" w:eastAsia="Times New Roman" w:hAnsi="Times New Roman"/>
          <w:sz w:val="19"/>
          <w:szCs w:val="19"/>
          <w:color w:val="231F20"/>
        </w:rPr>
        <w:t>As a result of the changes in rental income and rental expenses as discussed above, rental expenses as a percentage of rental income increased to 21.5% for the year ended December 31, 2025 from 21.3% for the year ended December 31, 2024.</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231F20"/>
        </w:rPr>
        <w:t>Real Estate Taxes</w:t>
      </w:r>
    </w:p>
    <w:p>
      <w:pPr>
        <w:spacing w:after="0" w:line="107" w:lineRule="exact"/>
        <w:rPr>
          <w:sz w:val="20"/>
          <w:szCs w:val="20"/>
          <w:color w:val="auto"/>
        </w:rPr>
      </w:pPr>
    </w:p>
    <w:p>
      <w:pPr>
        <w:ind w:right="420"/>
        <w:spacing w:after="0" w:line="281" w:lineRule="auto"/>
        <w:rPr>
          <w:sz w:val="20"/>
          <w:szCs w:val="20"/>
          <w:color w:val="auto"/>
        </w:rPr>
      </w:pPr>
      <w:r>
        <w:rPr>
          <w:rFonts w:ascii="Times New Roman" w:cs="Times New Roman" w:eastAsia="Times New Roman" w:hAnsi="Times New Roman"/>
          <w:sz w:val="19"/>
          <w:szCs w:val="19"/>
          <w:color w:val="231F20"/>
        </w:rPr>
        <w:t>Real estate tax expense increased $9.2 million, or 6.5% to $151.4 million in 2025 compared to $142.2 million in 2024 due primarily to the following:</w:t>
      </w:r>
    </w:p>
    <w:p>
      <w:pPr>
        <w:spacing w:after="0" w:line="2" w:lineRule="exact"/>
        <w:rPr>
          <w:sz w:val="20"/>
          <w:szCs w:val="20"/>
          <w:color w:val="auto"/>
        </w:rPr>
      </w:pPr>
    </w:p>
    <w:p>
      <w:pPr>
        <w:ind w:left="1200" w:hanging="256"/>
        <w:spacing w:after="0"/>
        <w:tabs>
          <w:tab w:leader="none" w:pos="1200" w:val="left"/>
        </w:tabs>
        <w:numPr>
          <w:ilvl w:val="0"/>
          <w:numId w:val="39"/>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an increase of $5.6 million from 2025 and 2024 acquisitions,</w:t>
      </w:r>
    </w:p>
    <w:p>
      <w:pPr>
        <w:spacing w:after="0" w:line="66" w:lineRule="exact"/>
        <w:rPr>
          <w:rFonts w:ascii="Times New Roman" w:cs="Times New Roman" w:eastAsia="Times New Roman" w:hAnsi="Times New Roman"/>
          <w:sz w:val="19"/>
          <w:szCs w:val="19"/>
          <w:color w:val="231F20"/>
        </w:rPr>
      </w:pPr>
    </w:p>
    <w:p>
      <w:pPr>
        <w:ind w:left="1200" w:right="580" w:hanging="256"/>
        <w:spacing w:after="0" w:line="281" w:lineRule="auto"/>
        <w:tabs>
          <w:tab w:leader="none" w:pos="1200" w:val="left"/>
        </w:tabs>
        <w:numPr>
          <w:ilvl w:val="0"/>
          <w:numId w:val="39"/>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an increase of $2.8 million from comparable properties due to higher assessments and prior year refunds received during 2024, and</w:t>
      </w:r>
    </w:p>
    <w:p>
      <w:pPr>
        <w:spacing w:after="0" w:line="1" w:lineRule="exact"/>
        <w:rPr>
          <w:rFonts w:ascii="Times New Roman" w:cs="Times New Roman" w:eastAsia="Times New Roman" w:hAnsi="Times New Roman"/>
          <w:sz w:val="19"/>
          <w:szCs w:val="19"/>
          <w:color w:val="231F20"/>
        </w:rPr>
      </w:pPr>
    </w:p>
    <w:p>
      <w:pPr>
        <w:ind w:left="1200" w:hanging="256"/>
        <w:spacing w:after="0" w:line="281" w:lineRule="auto"/>
        <w:tabs>
          <w:tab w:leader="none" w:pos="1200" w:val="left"/>
        </w:tabs>
        <w:numPr>
          <w:ilvl w:val="0"/>
          <w:numId w:val="39"/>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an increase of $2.6 million from non-comparable properties primarily due to openings at Santana West and Pike &amp; Rose Phase IV,</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partially offset by</w:t>
      </w:r>
    </w:p>
    <w:p>
      <w:pPr>
        <w:spacing w:after="0" w:line="67" w:lineRule="exact"/>
        <w:rPr>
          <w:sz w:val="20"/>
          <w:szCs w:val="20"/>
          <w:color w:val="auto"/>
        </w:rPr>
      </w:pPr>
    </w:p>
    <w:p>
      <w:pPr>
        <w:ind w:left="1200" w:hanging="256"/>
        <w:spacing w:after="0"/>
        <w:tabs>
          <w:tab w:leader="none" w:pos="1200" w:val="left"/>
        </w:tabs>
        <w:numPr>
          <w:ilvl w:val="0"/>
          <w:numId w:val="40"/>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a decrease of $1.8 million from property dispositions.</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Property Operating Income</w:t>
      </w:r>
    </w:p>
    <w:p>
      <w:pPr>
        <w:spacing w:after="0" w:line="72" w:lineRule="exact"/>
        <w:rPr>
          <w:sz w:val="20"/>
          <w:szCs w:val="20"/>
          <w:color w:val="auto"/>
        </w:rPr>
      </w:pPr>
    </w:p>
    <w:p>
      <w:pPr>
        <w:ind w:right="100"/>
        <w:spacing w:after="0" w:line="267" w:lineRule="auto"/>
        <w:rPr>
          <w:sz w:val="20"/>
          <w:szCs w:val="20"/>
          <w:color w:val="auto"/>
        </w:rPr>
      </w:pPr>
      <w:r>
        <w:rPr>
          <w:rFonts w:ascii="Times New Roman" w:cs="Times New Roman" w:eastAsia="Times New Roman" w:hAnsi="Times New Roman"/>
          <w:sz w:val="19"/>
          <w:szCs w:val="19"/>
          <w:color w:val="231F20"/>
        </w:rPr>
        <w:t>Property operating income increased $49.4 million, or 6.1%, to $860.1 million in 2025 compared to $810.7 million in 2024. This increase is primarily driven by 2025 and 2024 acquisitions and higher rental rates and average occupancy, partially offset by property dispositions and higher collectibility related adjustments.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231F20"/>
        </w:rPr>
        <w:t>General and administrative expenses</w:t>
      </w:r>
    </w:p>
    <w:p>
      <w:pPr>
        <w:spacing w:after="0" w:line="107" w:lineRule="exact"/>
        <w:rPr>
          <w:sz w:val="20"/>
          <w:szCs w:val="20"/>
          <w:color w:val="auto"/>
        </w:rPr>
      </w:pPr>
    </w:p>
    <w:p>
      <w:pPr>
        <w:jc w:val="both"/>
        <w:ind w:right="340"/>
        <w:spacing w:after="0" w:line="267" w:lineRule="auto"/>
        <w:rPr>
          <w:sz w:val="20"/>
          <w:szCs w:val="20"/>
          <w:color w:val="auto"/>
        </w:rPr>
      </w:pPr>
      <w:r>
        <w:rPr>
          <w:rFonts w:ascii="Times New Roman" w:cs="Times New Roman" w:eastAsia="Times New Roman" w:hAnsi="Times New Roman"/>
          <w:sz w:val="19"/>
          <w:szCs w:val="19"/>
          <w:color w:val="231F20"/>
        </w:rPr>
        <w:t>General and administrative expense decreased $2.8 million, or 5.7%, to $46.9 million in 2025 compared to $49.7 million in 2024. This decrease is primarily driven by the $3.7 million one-time charge in 2024 related to the departure of an executive officer, partially offset by higher employee compensation expense.</w:t>
      </w:r>
    </w:p>
    <w:p>
      <w:pPr>
        <w:sectPr>
          <w:pgSz w:w="11880" w:h="15480" w:orient="portrait"/>
          <w:cols w:equalWidth="0" w:num="1">
            <w:col w:w="9720"/>
          </w:cols>
          <w:pgMar w:left="1060" w:top="963" w:right="11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231F20"/>
        </w:rPr>
        <w:t>39</w:t>
      </w:r>
    </w:p>
    <w:p>
      <w:pPr>
        <w:sectPr>
          <w:pgSz w:w="11880" w:h="15480" w:orient="portrait"/>
          <w:cols w:equalWidth="0" w:num="1">
            <w:col w:w="9720"/>
          </w:cols>
          <w:pgMar w:left="1060" w:top="963" w:right="1100" w:bottom="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19"/>
          <w:szCs w:val="19"/>
          <w:i w:val="1"/>
          <w:iCs w:val="1"/>
          <w:color w:val="231F20"/>
        </w:rPr>
        <w:t>Depreciation and amortization</w:t>
      </w:r>
    </w:p>
    <w:p>
      <w:pPr>
        <w:spacing w:after="0" w:line="107" w:lineRule="exact"/>
        <w:rPr>
          <w:sz w:val="20"/>
          <w:szCs w:val="20"/>
          <w:color w:val="auto"/>
        </w:rPr>
      </w:pPr>
    </w:p>
    <w:p>
      <w:pPr>
        <w:ind w:right="240"/>
        <w:spacing w:after="0" w:line="267" w:lineRule="auto"/>
        <w:rPr>
          <w:sz w:val="20"/>
          <w:szCs w:val="20"/>
          <w:color w:val="auto"/>
        </w:rPr>
      </w:pPr>
      <w:r>
        <w:rPr>
          <w:rFonts w:ascii="Times New Roman" w:cs="Times New Roman" w:eastAsia="Times New Roman" w:hAnsi="Times New Roman"/>
          <w:sz w:val="19"/>
          <w:szCs w:val="19"/>
          <w:color w:val="231F20"/>
        </w:rPr>
        <w:t>Depreciation and amortization expense increased $25.2 million, or 7.4%, to $367.8 million in 2025 from $342.6 million in 2024. This increase is due primarily to 2025 and 2024 acquisitions and openings at Santana West and Pike &amp; Rose Phase IV, partially offset by fully depreciated lease assets related to our Grossmont property and property dispositions.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231F20"/>
        </w:rPr>
        <w:t>New Market Tax Credit Transaction Income</w:t>
      </w:r>
    </w:p>
    <w:p>
      <w:pPr>
        <w:spacing w:after="0" w:line="59" w:lineRule="exact"/>
        <w:rPr>
          <w:sz w:val="20"/>
          <w:szCs w:val="20"/>
          <w:color w:val="auto"/>
        </w:rPr>
      </w:pPr>
    </w:p>
    <w:p>
      <w:pPr>
        <w:jc w:val="both"/>
        <w:ind w:right="340"/>
        <w:spacing w:after="0" w:line="368" w:lineRule="auto"/>
        <w:rPr>
          <w:sz w:val="20"/>
          <w:szCs w:val="20"/>
          <w:color w:val="auto"/>
        </w:rPr>
      </w:pPr>
      <w:r>
        <w:rPr>
          <w:rFonts w:ascii="Times New Roman" w:cs="Times New Roman" w:eastAsia="Times New Roman" w:hAnsi="Times New Roman"/>
          <w:sz w:val="18"/>
          <w:szCs w:val="18"/>
          <w:color w:val="231F20"/>
        </w:rPr>
        <w:t>The $14.2 million new market tax credit transaction income for the year ended December 31, 2025 is due to the sale of new market tax credits related to Freedom Plaza (see Note 7 to the consolidated financial statements for additional information).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231F20"/>
        </w:rPr>
        <w:t>Gain on Sale of Real Estate</w:t>
      </w:r>
    </w:p>
    <w:p>
      <w:pPr>
        <w:spacing w:after="0" w:line="43" w:lineRule="exact"/>
        <w:rPr>
          <w:sz w:val="20"/>
          <w:szCs w:val="20"/>
          <w:color w:val="auto"/>
        </w:rPr>
      </w:pPr>
    </w:p>
    <w:p>
      <w:pPr>
        <w:ind w:right="380"/>
        <w:spacing w:after="0" w:line="325" w:lineRule="auto"/>
        <w:rPr>
          <w:sz w:val="20"/>
          <w:szCs w:val="20"/>
          <w:color w:val="auto"/>
        </w:rPr>
      </w:pPr>
      <w:r>
        <w:rPr>
          <w:rFonts w:ascii="Times New Roman" w:cs="Times New Roman" w:eastAsia="Times New Roman" w:hAnsi="Times New Roman"/>
          <w:sz w:val="18"/>
          <w:szCs w:val="18"/>
          <w:color w:val="231F20"/>
        </w:rPr>
        <w:t>The $150.1 million gain on sale of real estate for the year ended December 31, 2025 is due primarily to the sale of one residential building at both Santana Row and Pike &amp; Rose, our Bristol Plaza and Hollywood Boulevard properties, and a portion of our White Marsh Other property (see Note 3 to the consolidated financial statements for additional information).</w:t>
      </w:r>
    </w:p>
    <w:p>
      <w:pPr>
        <w:spacing w:after="0" w:line="22"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9"/>
          <w:szCs w:val="19"/>
          <w:color w:val="231F20"/>
        </w:rPr>
        <w:t>The $54.0 million gain on sale of real estate for the year ended December 31, 2024 is due primarily to the sale of Third Street Promenade and a portion of our White Marsh Other property (see Note 3 to the consolidated financial statements for additional information).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231F20"/>
        </w:rPr>
        <w:t>Impairment Charge</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The $7.4 million impairment charge for the year ended December 31, 2025 relates to our North Dartmouth property.</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Operating Income</w:t>
      </w:r>
    </w:p>
    <w:p>
      <w:pPr>
        <w:spacing w:after="0" w:line="11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9"/>
          <w:szCs w:val="19"/>
          <w:color w:val="231F20"/>
        </w:rPr>
        <w:t>Operating income increased $129.8 million, or 27.5%, to $602.2 million in 2025 compared to $472.4 million in 2024. This increase is primarily driven by higher gains on sale of real estate, higher rental rates and average occupancy, income related to the sale of the new market tax credits, and 2025 and 2024 acquisitions, partially offset by property dispositions, impairment charge, and higher collectibility related adjustments.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Other</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231F20"/>
        </w:rPr>
        <w:t>Interest Expense</w:t>
      </w:r>
    </w:p>
    <w:p>
      <w:pPr>
        <w:spacing w:after="0" w:line="107"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9"/>
          <w:szCs w:val="19"/>
          <w:color w:val="231F20"/>
        </w:rPr>
        <w:t>Interest expense increased $8.1 million, or 4.6%, to $183.6 million in 2025 compared to $175.5 million in 2024. This increase is due primarily to the following:</w:t>
      </w:r>
    </w:p>
    <w:p>
      <w:pPr>
        <w:spacing w:after="0" w:line="2" w:lineRule="exact"/>
        <w:rPr>
          <w:sz w:val="20"/>
          <w:szCs w:val="20"/>
          <w:color w:val="auto"/>
        </w:rPr>
      </w:pPr>
    </w:p>
    <w:p>
      <w:pPr>
        <w:ind w:left="1200" w:hanging="256"/>
        <w:spacing w:after="0"/>
        <w:tabs>
          <w:tab w:leader="none" w:pos="1200" w:val="left"/>
        </w:tabs>
        <w:numPr>
          <w:ilvl w:val="0"/>
          <w:numId w:val="41"/>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a decrease of $7.3 million in capitalized interest, and</w:t>
      </w:r>
    </w:p>
    <w:p>
      <w:pPr>
        <w:spacing w:after="0" w:line="104" w:lineRule="exact"/>
        <w:rPr>
          <w:rFonts w:ascii="Times New Roman" w:cs="Times New Roman" w:eastAsia="Times New Roman" w:hAnsi="Times New Roman"/>
          <w:sz w:val="19"/>
          <w:szCs w:val="19"/>
          <w:color w:val="231F20"/>
        </w:rPr>
      </w:pPr>
    </w:p>
    <w:p>
      <w:pPr>
        <w:ind w:left="600" w:right="3120" w:firstLine="344"/>
        <w:spacing w:after="0" w:line="355" w:lineRule="auto"/>
        <w:tabs>
          <w:tab w:leader="none" w:pos="1199" w:val="left"/>
        </w:tabs>
        <w:numPr>
          <w:ilvl w:val="0"/>
          <w:numId w:val="41"/>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an increase of $6.2 million due to higher weighted average borrowings, partially offset by,</w:t>
      </w:r>
    </w:p>
    <w:p>
      <w:pPr>
        <w:ind w:left="1200" w:hanging="256"/>
        <w:spacing w:after="0"/>
        <w:tabs>
          <w:tab w:leader="none" w:pos="1200" w:val="left"/>
        </w:tabs>
        <w:numPr>
          <w:ilvl w:val="0"/>
          <w:numId w:val="41"/>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a decrease of $5.4 million due to a lower overall weighted average borrowing rate.</w:t>
      </w:r>
    </w:p>
    <w:p>
      <w:pPr>
        <w:spacing w:after="0" w:line="181" w:lineRule="exact"/>
        <w:rPr>
          <w:sz w:val="20"/>
          <w:szCs w:val="20"/>
          <w:color w:val="auto"/>
        </w:rPr>
      </w:pPr>
    </w:p>
    <w:p>
      <w:pPr>
        <w:ind w:right="900"/>
        <w:spacing w:after="0" w:line="284" w:lineRule="auto"/>
        <w:rPr>
          <w:sz w:val="20"/>
          <w:szCs w:val="20"/>
          <w:color w:val="auto"/>
        </w:rPr>
      </w:pPr>
      <w:r>
        <w:rPr>
          <w:rFonts w:ascii="Times New Roman" w:cs="Times New Roman" w:eastAsia="Times New Roman" w:hAnsi="Times New Roman"/>
          <w:sz w:val="19"/>
          <w:szCs w:val="19"/>
          <w:color w:val="231F20"/>
        </w:rPr>
        <w:t>Gross interest costs were $196.8 million and $196.0 million in 2025 and 2024, respectively. Capitalized interest was $13.2 million and $20.5 million in 2025 and 2024, respectively.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Net income attributable to noncontrolling interests</w:t>
      </w:r>
    </w:p>
    <w:p>
      <w:pPr>
        <w:spacing w:after="0" w:line="11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9"/>
          <w:szCs w:val="19"/>
          <w:color w:val="231F20"/>
        </w:rPr>
        <w:t>Net income attributable to noncontrolling interests increased $3.4 million, or 37.7%, to $12.6 million in 2025 compared to $9.1 million in 2024. The increase is primarily attributable to the new market tax credit transaction income in 2025, as well as higher income at our properties where there is a noncontrolling interest.</w:t>
      </w:r>
    </w:p>
    <w:p>
      <w:pPr>
        <w:spacing w:after="0" w:line="50" w:lineRule="exact"/>
        <w:rPr>
          <w:sz w:val="20"/>
          <w:szCs w:val="20"/>
          <w:color w:val="auto"/>
        </w:rPr>
      </w:pPr>
    </w:p>
    <w:p>
      <w:pPr>
        <w:ind w:right="180"/>
        <w:spacing w:after="0" w:line="267" w:lineRule="auto"/>
        <w:rPr>
          <w:sz w:val="20"/>
          <w:szCs w:val="20"/>
          <w:color w:val="auto"/>
        </w:rPr>
      </w:pPr>
      <w:r>
        <w:rPr>
          <w:rFonts w:ascii="Times New Roman" w:cs="Times New Roman" w:eastAsia="Times New Roman" w:hAnsi="Times New Roman"/>
          <w:sz w:val="19"/>
          <w:szCs w:val="19"/>
          <w:color w:val="231F20"/>
        </w:rPr>
        <w:t>Discussions of year-to-year comparisons between 2024 and 2023 can be found in “Management’s Discussion and Analysis of Financial Condition and Results of Operations” in Part II, Item 7 of our Annual Report on Form 10-K for the fiscal year ended December 31, 2024 filed with the Securities and Exchange Commission on February 13, 2025.</w:t>
      </w:r>
    </w:p>
    <w:p>
      <w:pPr>
        <w:sectPr>
          <w:pgSz w:w="11880" w:h="15480" w:orient="portrait"/>
          <w:cols w:equalWidth="0" w:num="1">
            <w:col w:w="9740"/>
          </w:cols>
          <w:pgMar w:left="1060" w:top="961"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231F20"/>
        </w:rPr>
        <w:t>40</w:t>
      </w:r>
    </w:p>
    <w:p>
      <w:pPr>
        <w:sectPr>
          <w:pgSz w:w="11880" w:h="15480" w:orient="portrait"/>
          <w:cols w:equalWidth="0" w:num="1">
            <w:col w:w="9740"/>
          </w:cols>
          <w:pgMar w:left="1060" w:top="961" w:right="1080" w:bottom="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19"/>
          <w:szCs w:val="19"/>
          <w:b w:val="1"/>
          <w:bCs w:val="1"/>
          <w:color w:val="231F20"/>
        </w:rPr>
        <w:t>Liquidity and Capital Resources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Due to the nature of our business and strategy, we typically generate significant amounts of cash from operations which is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largely paid to our common and preferred shareholders in the form of dividends because as a REIT, the Trust is generally</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required to make annual distributions to shareholders of at least 90% of our taxable income (cash dividends paid in 2025 were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approximately $389.7 million). Remaining cash flow from operations after regular debt service requirements (including debt</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service relating to additional or replacement debt, as well as scheduled debt maturities) and dividend payments is used to fund</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recurring and non-recurring capital projects (such as tenant improvements and redevelopments). We maintain an unsecured</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$1.25 billion revolving credit facility to fund short term cash flow needs and also look to the public and private debt and equity</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markets, joint venture relationships, and property dispositions to fund capital expenditures on a long-term basis.</w:t>
      </w:r>
    </w:p>
    <w:p>
      <w:pPr>
        <w:spacing w:after="0" w:line="16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9"/>
          <w:szCs w:val="19"/>
          <w:color w:val="231F20"/>
        </w:rPr>
        <w:t>On March 20, 2025, we amended and restated our $600.0 million unsecured term loan, extending the maturity date to March 20, 2028, plus two one-year extensions, at our option. We also increased the size of our term loan by $150.0 million, which we exercised in September 2025, bringing our total amount outstanding under this agreement to $750.0 million as of December 31, 2025. In October 2025, we refinanced the $40.0 million loan at Azalea, with a new $55.0 million mortgage loan. In the next twelve months, we have $652.4 million of debt maturing, of which $200.0 million is the mortgage loan secured by Bethesda Row, for which we have one additional one-year extension remaining, under which we could extend the maturity date to December 28, 2027.</w:t>
      </w:r>
    </w:p>
    <w:p>
      <w:pPr>
        <w:spacing w:after="0" w:line="137"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9"/>
          <w:szCs w:val="19"/>
          <w:color w:val="231F20"/>
        </w:rPr>
        <w:t>As of December 31, 2025, we had cash and cash equivalents of $107.4 million, $310.0 million outstanding on our $1.25 billion unsecured revolving credit facility, and the capacity to issue up to $750.0 million in common shares under the ATM program. We also have the ability to borrow $250.0 million through a new term loan agreement that we entered into on November 17, 2025 (see Note 5 to our consolidated financial statements for additional information); we expect to borrow the $250.0 million in February 2026 to fund debt maturities.</w:t>
      </w:r>
    </w:p>
    <w:p>
      <w:pPr>
        <w:spacing w:after="0" w:line="133" w:lineRule="exact"/>
        <w:rPr>
          <w:sz w:val="20"/>
          <w:szCs w:val="20"/>
          <w:color w:val="auto"/>
        </w:rPr>
      </w:pPr>
    </w:p>
    <w:p>
      <w:pPr>
        <w:ind w:right="240"/>
        <w:spacing w:after="0" w:line="284" w:lineRule="auto"/>
        <w:rPr>
          <w:sz w:val="20"/>
          <w:szCs w:val="20"/>
          <w:color w:val="auto"/>
        </w:rPr>
      </w:pPr>
      <w:r>
        <w:rPr>
          <w:rFonts w:ascii="Times New Roman" w:cs="Times New Roman" w:eastAsia="Times New Roman" w:hAnsi="Times New Roman"/>
          <w:sz w:val="19"/>
          <w:szCs w:val="19"/>
          <w:color w:val="231F20"/>
        </w:rPr>
        <w:t>For the year ended 2025, the weighted average amount of borrowings outstanding on our revolving credit facility was $153.2 million, and the weighted average interest rate, before amortization of debt fees, was 5.0%.</w:t>
      </w:r>
    </w:p>
    <w:p>
      <w:pPr>
        <w:spacing w:after="0" w:line="110"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9"/>
          <w:szCs w:val="19"/>
          <w:color w:val="231F20"/>
        </w:rPr>
        <w:t>Our capital requirements in 2026 will depend on acquisition opportunities, the level and general timing of our redevelopment and development activities, and the overall economic environment. We currently have development and redevelopment projects in various stages of construction with remaining costs of $322 million. We expect to incur the majority of those costs in the next two years. We expect other capital costs (excluding acquisitions) to be at levels consistent with 2025. During 2025, we acquired properties for $752.8 million, and will continue to evaluate additional opportunities in 2026.</w:t>
      </w:r>
    </w:p>
    <w:p>
      <w:pPr>
        <w:spacing w:after="0" w:line="133"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9"/>
          <w:szCs w:val="19"/>
          <w:color w:val="231F20"/>
        </w:rPr>
        <w:t>We believe cash flow from operations, the cash on our balance sheet, and our $1.25 billion revolving credit facility will allow us to continue to operate our business in the short-term. Given our ability to access the capital markets, we also expect debt or equity financing to be available to us, although newly issued debt would likely be at higher interest rates than the debt we are refinancing. We also have the ability to delay the timing of certain development and redevelopment projects as well as limit future acquisitions, reduce our operating expenditures, or re-evaluate our dividend policy. We expect these sources of liquidity and opportunities for operating flexibility to allow us to meet our financial obligations over the long term. We intend to operate with and to maintain our long term commitment to a conservative capital structure that will allow us to maintain strong debt service coverage and fixed-charge coverage ratios as part of our commitment to investment-grade debt ratings.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231F20"/>
        </w:rPr>
        <w:t>Summary of Cash Flows</w:t>
      </w:r>
    </w:p>
    <w:p>
      <w:pPr>
        <w:spacing w:after="0" w:line="397" w:lineRule="exact"/>
        <w:rPr>
          <w:sz w:val="20"/>
          <w:szCs w:val="20"/>
          <w:color w:val="auto"/>
        </w:rPr>
      </w:pPr>
    </w:p>
    <w:tbl>
      <w:tblPr>
        <w:tblLayout w:type="fixed"/>
        <w:tblInd w:w="60" w:type="dxa"/>
        <w:tblCellMar>
          <w:top w:w="0" w:type="dxa"/>
          <w:left w:w="0" w:type="dxa"/>
          <w:bottom w:w="0" w:type="dxa"/>
          <w:right w:w="0" w:type="dxa"/>
        </w:tblCellMar>
      </w:tblPr>
      <w:tr>
        <w:trPr>
          <w:trHeight w:val="206"/>
        </w:trPr>
        <w:tc>
          <w:tcPr>
            <w:tcW w:w="6040" w:type="dxa"/>
            <w:vAlign w:val="bottom"/>
          </w:tcPr>
          <w:p>
            <w:pPr>
              <w:spacing w:after="0"/>
              <w:rPr>
                <w:sz w:val="17"/>
                <w:szCs w:val="17"/>
                <w:color w:val="auto"/>
              </w:rPr>
            </w:pPr>
          </w:p>
        </w:tc>
        <w:tc>
          <w:tcPr>
            <w:tcW w:w="240" w:type="dxa"/>
            <w:vAlign w:val="bottom"/>
            <w:tcBorders>
              <w:bottom w:val="single" w:sz="8" w:color="231F20"/>
            </w:tcBorders>
          </w:tcPr>
          <w:p>
            <w:pPr>
              <w:spacing w:after="0"/>
              <w:rPr>
                <w:sz w:val="17"/>
                <w:szCs w:val="17"/>
                <w:color w:val="auto"/>
              </w:rPr>
            </w:pPr>
          </w:p>
        </w:tc>
        <w:tc>
          <w:tcPr>
            <w:tcW w:w="2140" w:type="dxa"/>
            <w:vAlign w:val="bottom"/>
            <w:tcBorders>
              <w:bottom w:val="single" w:sz="8" w:color="231F20"/>
            </w:tcBorders>
            <w:gridSpan w:val="4"/>
          </w:tcPr>
          <w:p>
            <w:pPr>
              <w:jc w:val="right"/>
              <w:ind w:right="248"/>
              <w:spacing w:after="0"/>
              <w:rPr>
                <w:sz w:val="20"/>
                <w:szCs w:val="20"/>
                <w:color w:val="auto"/>
              </w:rPr>
            </w:pPr>
            <w:r>
              <w:rPr>
                <w:rFonts w:ascii="Times New Roman" w:cs="Times New Roman" w:eastAsia="Times New Roman" w:hAnsi="Times New Roman"/>
                <w:sz w:val="15"/>
                <w:szCs w:val="15"/>
                <w:b w:val="1"/>
                <w:bCs w:val="1"/>
                <w:color w:val="231F20"/>
              </w:rPr>
              <w:t>Year Ended December 31,</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22"/>
        </w:trPr>
        <w:tc>
          <w:tcPr>
            <w:tcW w:w="6040" w:type="dxa"/>
            <w:vAlign w:val="bottom"/>
          </w:tcPr>
          <w:p>
            <w:pPr>
              <w:spacing w:after="0"/>
              <w:rPr>
                <w:sz w:val="19"/>
                <w:szCs w:val="19"/>
                <w:color w:val="auto"/>
              </w:rPr>
            </w:pPr>
          </w:p>
        </w:tc>
        <w:tc>
          <w:tcPr>
            <w:tcW w:w="240" w:type="dxa"/>
            <w:vAlign w:val="bottom"/>
            <w:tcBorders>
              <w:bottom w:val="single" w:sz="8" w:color="231F20"/>
            </w:tcBorders>
          </w:tcPr>
          <w:p>
            <w:pPr>
              <w:spacing w:after="0"/>
              <w:rPr>
                <w:sz w:val="19"/>
                <w:szCs w:val="19"/>
                <w:color w:val="auto"/>
              </w:rPr>
            </w:pPr>
          </w:p>
        </w:tc>
        <w:tc>
          <w:tcPr>
            <w:tcW w:w="900" w:type="dxa"/>
            <w:vAlign w:val="bottom"/>
            <w:tcBorders>
              <w:bottom w:val="single" w:sz="8" w:color="231F20"/>
            </w:tcBorders>
          </w:tcPr>
          <w:p>
            <w:pPr>
              <w:jc w:val="right"/>
              <w:ind w:right="330"/>
              <w:spacing w:after="0"/>
              <w:rPr>
                <w:sz w:val="20"/>
                <w:szCs w:val="20"/>
                <w:color w:val="auto"/>
              </w:rPr>
            </w:pPr>
            <w:r>
              <w:rPr>
                <w:rFonts w:ascii="Times New Roman" w:cs="Times New Roman" w:eastAsia="Times New Roman" w:hAnsi="Times New Roman"/>
                <w:sz w:val="15"/>
                <w:szCs w:val="15"/>
                <w:b w:val="1"/>
                <w:bCs w:val="1"/>
                <w:color w:val="231F20"/>
              </w:rPr>
              <w:t>2025</w:t>
            </w:r>
          </w:p>
        </w:tc>
        <w:tc>
          <w:tcPr>
            <w:tcW w:w="100" w:type="dxa"/>
            <w:vAlign w:val="bottom"/>
          </w:tcPr>
          <w:p>
            <w:pPr>
              <w:spacing w:after="0"/>
              <w:rPr>
                <w:sz w:val="19"/>
                <w:szCs w:val="19"/>
                <w:color w:val="auto"/>
              </w:rPr>
            </w:pPr>
          </w:p>
        </w:tc>
        <w:tc>
          <w:tcPr>
            <w:tcW w:w="280" w:type="dxa"/>
            <w:vAlign w:val="bottom"/>
            <w:tcBorders>
              <w:bottom w:val="single" w:sz="8" w:color="231F20"/>
            </w:tcBorders>
          </w:tcPr>
          <w:p>
            <w:pPr>
              <w:spacing w:after="0"/>
              <w:rPr>
                <w:sz w:val="19"/>
                <w:szCs w:val="19"/>
                <w:color w:val="auto"/>
              </w:rPr>
            </w:pPr>
          </w:p>
        </w:tc>
        <w:tc>
          <w:tcPr>
            <w:tcW w:w="860" w:type="dxa"/>
            <w:vAlign w:val="bottom"/>
            <w:tcBorders>
              <w:bottom w:val="single" w:sz="8" w:color="231F20"/>
            </w:tcBorders>
          </w:tcPr>
          <w:p>
            <w:pPr>
              <w:jc w:val="right"/>
              <w:ind w:right="328"/>
              <w:spacing w:after="0"/>
              <w:rPr>
                <w:sz w:val="20"/>
                <w:szCs w:val="20"/>
                <w:color w:val="auto"/>
              </w:rPr>
            </w:pPr>
            <w:r>
              <w:rPr>
                <w:rFonts w:ascii="Times New Roman" w:cs="Times New Roman" w:eastAsia="Times New Roman" w:hAnsi="Times New Roman"/>
                <w:sz w:val="15"/>
                <w:szCs w:val="15"/>
                <w:b w:val="1"/>
                <w:bCs w:val="1"/>
                <w:color w:val="231F20"/>
              </w:rPr>
              <w:t>2024</w:t>
            </w:r>
          </w:p>
        </w:tc>
        <w:tc>
          <w:tcPr>
            <w:tcW w:w="140" w:type="dxa"/>
            <w:vAlign w:val="bottom"/>
          </w:tcPr>
          <w:p>
            <w:pPr>
              <w:spacing w:after="0"/>
              <w:rPr>
                <w:sz w:val="19"/>
                <w:szCs w:val="19"/>
                <w:color w:val="auto"/>
              </w:rPr>
            </w:pPr>
          </w:p>
        </w:tc>
        <w:tc>
          <w:tcPr>
            <w:tcW w:w="220" w:type="dxa"/>
            <w:vAlign w:val="bottom"/>
            <w:tcBorders>
              <w:bottom w:val="single" w:sz="8" w:color="231F20"/>
            </w:tcBorders>
          </w:tcPr>
          <w:p>
            <w:pPr>
              <w:spacing w:after="0"/>
              <w:rPr>
                <w:sz w:val="19"/>
                <w:szCs w:val="19"/>
                <w:color w:val="auto"/>
              </w:rPr>
            </w:pPr>
          </w:p>
        </w:tc>
        <w:tc>
          <w:tcPr>
            <w:tcW w:w="920" w:type="dxa"/>
            <w:vAlign w:val="bottom"/>
            <w:tcBorders>
              <w:bottom w:val="single" w:sz="8" w:color="231F20"/>
            </w:tcBorders>
          </w:tcPr>
          <w:p>
            <w:pPr>
              <w:jc w:val="right"/>
              <w:ind w:right="228"/>
              <w:spacing w:after="0"/>
              <w:rPr>
                <w:sz w:val="20"/>
                <w:szCs w:val="20"/>
                <w:color w:val="auto"/>
              </w:rPr>
            </w:pPr>
            <w:r>
              <w:rPr>
                <w:rFonts w:ascii="Times New Roman" w:cs="Times New Roman" w:eastAsia="Times New Roman" w:hAnsi="Times New Roman"/>
                <w:sz w:val="15"/>
                <w:szCs w:val="15"/>
                <w:b w:val="1"/>
                <w:bCs w:val="1"/>
                <w:color w:val="231F20"/>
              </w:rPr>
              <w:t>Change</w:t>
            </w:r>
          </w:p>
        </w:tc>
      </w:tr>
      <w:tr>
        <w:trPr>
          <w:trHeight w:val="218"/>
        </w:trPr>
        <w:tc>
          <w:tcPr>
            <w:tcW w:w="6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231F20"/>
              </w:rPr>
              <w:t>(In thousands)</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89"/>
        </w:trPr>
        <w:tc>
          <w:tcPr>
            <w:tcW w:w="6040" w:type="dxa"/>
            <w:vAlign w:val="bottom"/>
          </w:tcPr>
          <w:p>
            <w:pPr>
              <w:jc w:val="right"/>
              <w:spacing w:after="0"/>
              <w:rPr>
                <w:sz w:val="20"/>
                <w:szCs w:val="20"/>
                <w:color w:val="auto"/>
              </w:rPr>
            </w:pPr>
            <w:r>
              <w:rPr>
                <w:rFonts w:ascii="Times New Roman" w:cs="Times New Roman" w:eastAsia="Times New Roman" w:hAnsi="Times New Roman"/>
                <w:sz w:val="19"/>
                <w:szCs w:val="19"/>
                <w:color w:val="231F20"/>
                <w:w w:val="99"/>
              </w:rPr>
              <w:t>Net cash provided by operating activities</w:t>
            </w:r>
            <w:r>
              <w:rPr>
                <w:rFonts w:ascii="Times New Roman" w:cs="Times New Roman" w:eastAsia="Times New Roman" w:hAnsi="Times New Roman"/>
                <w:sz w:val="19"/>
                <w:szCs w:val="19"/>
                <w:color w:val="C3C5C7"/>
                <w:w w:val="99"/>
              </w:rPr>
              <w:t>............................................................</w:t>
            </w:r>
          </w:p>
        </w:tc>
        <w:tc>
          <w:tcPr>
            <w:tcW w:w="240" w:type="dxa"/>
            <w:vAlign w:val="bottom"/>
          </w:tcPr>
          <w:p>
            <w:pPr>
              <w:jc w:val="right"/>
              <w:ind w:right="5"/>
              <w:spacing w:after="0"/>
              <w:rPr>
                <w:sz w:val="20"/>
                <w:szCs w:val="20"/>
                <w:color w:val="auto"/>
              </w:rPr>
            </w:pPr>
            <w:r>
              <w:rPr>
                <w:rFonts w:ascii="Times New Roman" w:cs="Times New Roman" w:eastAsia="Times New Roman" w:hAnsi="Times New Roman"/>
                <w:sz w:val="19"/>
                <w:szCs w:val="19"/>
                <w:color w:val="231F2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622,378</w:t>
            </w:r>
          </w:p>
        </w:tc>
        <w:tc>
          <w:tcPr>
            <w:tcW w:w="380" w:type="dxa"/>
            <w:vAlign w:val="bottom"/>
            <w:gridSpan w:val="2"/>
          </w:tcPr>
          <w:p>
            <w:pPr>
              <w:jc w:val="right"/>
              <w:ind w:right="44"/>
              <w:spacing w:after="0"/>
              <w:rPr>
                <w:sz w:val="20"/>
                <w:szCs w:val="20"/>
                <w:color w:val="auto"/>
              </w:rPr>
            </w:pPr>
            <w:r>
              <w:rPr>
                <w:rFonts w:ascii="Times New Roman" w:cs="Times New Roman" w:eastAsia="Times New Roman" w:hAnsi="Times New Roman"/>
                <w:sz w:val="19"/>
                <w:szCs w:val="19"/>
                <w:color w:val="231F2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574,563</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9"/>
                <w:szCs w:val="19"/>
                <w:color w:val="231F2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47,815</w:t>
            </w:r>
          </w:p>
        </w:tc>
      </w:tr>
      <w:tr>
        <w:trPr>
          <w:trHeight w:val="285"/>
        </w:trPr>
        <w:tc>
          <w:tcPr>
            <w:tcW w:w="6040" w:type="dxa"/>
            <w:vAlign w:val="bottom"/>
          </w:tcPr>
          <w:p>
            <w:pPr>
              <w:jc w:val="right"/>
              <w:spacing w:after="0"/>
              <w:rPr>
                <w:sz w:val="20"/>
                <w:szCs w:val="20"/>
                <w:color w:val="auto"/>
              </w:rPr>
            </w:pPr>
            <w:r>
              <w:rPr>
                <w:rFonts w:ascii="Times New Roman" w:cs="Times New Roman" w:eastAsia="Times New Roman" w:hAnsi="Times New Roman"/>
                <w:sz w:val="19"/>
                <w:szCs w:val="19"/>
                <w:color w:val="231F20"/>
                <w:w w:val="99"/>
              </w:rPr>
              <w:t xml:space="preserve">Net cash used in investing activities </w:t>
            </w:r>
            <w:r>
              <w:rPr>
                <w:rFonts w:ascii="Times New Roman" w:cs="Times New Roman" w:eastAsia="Times New Roman" w:hAnsi="Times New Roman"/>
                <w:sz w:val="19"/>
                <w:szCs w:val="19"/>
                <w:color w:val="C3C5C7"/>
                <w:w w:val="99"/>
              </w:rPr>
              <w:t>....................................................................</w:t>
            </w: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(743,068)</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(446,826)</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(296,242)</w:t>
            </w:r>
          </w:p>
        </w:tc>
      </w:tr>
      <w:tr>
        <w:trPr>
          <w:trHeight w:val="286"/>
        </w:trPr>
        <w:tc>
          <w:tcPr>
            <w:tcW w:w="6040" w:type="dxa"/>
            <w:vAlign w:val="bottom"/>
          </w:tcPr>
          <w:p>
            <w:pPr>
              <w:jc w:val="right"/>
              <w:spacing w:after="0"/>
              <w:rPr>
                <w:sz w:val="20"/>
                <w:szCs w:val="20"/>
                <w:color w:val="auto"/>
              </w:rPr>
            </w:pPr>
            <w:r>
              <w:rPr>
                <w:rFonts w:ascii="Times New Roman" w:cs="Times New Roman" w:eastAsia="Times New Roman" w:hAnsi="Times New Roman"/>
                <w:sz w:val="19"/>
                <w:szCs w:val="19"/>
                <w:color w:val="231F20"/>
                <w:w w:val="99"/>
              </w:rPr>
              <w:t>Net cash provided by (used in) financing activities</w:t>
            </w:r>
            <w:r>
              <w:rPr>
                <w:rFonts w:ascii="Times New Roman" w:cs="Times New Roman" w:eastAsia="Times New Roman" w:hAnsi="Times New Roman"/>
                <w:sz w:val="19"/>
                <w:szCs w:val="19"/>
                <w:color w:val="C3C5C7"/>
                <w:w w:val="99"/>
              </w:rPr>
              <w:t>.............................................</w:t>
            </w:r>
          </w:p>
        </w:tc>
        <w:tc>
          <w:tcPr>
            <w:tcW w:w="240" w:type="dxa"/>
            <w:vAlign w:val="bottom"/>
            <w:tcBorders>
              <w:bottom w:val="single" w:sz="8" w:color="231F20"/>
            </w:tcBorders>
          </w:tcPr>
          <w:p>
            <w:pPr>
              <w:spacing w:after="0"/>
              <w:rPr>
                <w:sz w:val="24"/>
                <w:szCs w:val="24"/>
                <w:color w:val="auto"/>
              </w:rPr>
            </w:pPr>
          </w:p>
        </w:tc>
        <w:tc>
          <w:tcPr>
            <w:tcW w:w="9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102,953</w:t>
            </w:r>
          </w:p>
        </w:tc>
        <w:tc>
          <w:tcPr>
            <w:tcW w:w="100" w:type="dxa"/>
            <w:vAlign w:val="bottom"/>
          </w:tcPr>
          <w:p>
            <w:pPr>
              <w:spacing w:after="0"/>
              <w:rPr>
                <w:sz w:val="24"/>
                <w:szCs w:val="24"/>
                <w:color w:val="auto"/>
              </w:rPr>
            </w:pPr>
          </w:p>
        </w:tc>
        <w:tc>
          <w:tcPr>
            <w:tcW w:w="280" w:type="dxa"/>
            <w:vAlign w:val="bottom"/>
            <w:tcBorders>
              <w:bottom w:val="single" w:sz="8" w:color="231F20"/>
            </w:tcBorders>
          </w:tcPr>
          <w:p>
            <w:pPr>
              <w:spacing w:after="0"/>
              <w:rPr>
                <w:sz w:val="24"/>
                <w:szCs w:val="24"/>
                <w:color w:val="auto"/>
              </w:rPr>
            </w:pPr>
          </w:p>
        </w:tc>
        <w:tc>
          <w:tcPr>
            <w:tcW w:w="8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(252,298)</w:t>
            </w:r>
          </w:p>
        </w:tc>
        <w:tc>
          <w:tcPr>
            <w:tcW w:w="140" w:type="dxa"/>
            <w:vAlign w:val="bottom"/>
          </w:tcPr>
          <w:p>
            <w:pPr>
              <w:spacing w:after="0"/>
              <w:rPr>
                <w:sz w:val="24"/>
                <w:szCs w:val="24"/>
                <w:color w:val="auto"/>
              </w:rPr>
            </w:pPr>
          </w:p>
        </w:tc>
        <w:tc>
          <w:tcPr>
            <w:tcW w:w="220" w:type="dxa"/>
            <w:vAlign w:val="bottom"/>
            <w:tcBorders>
              <w:bottom w:val="single" w:sz="8" w:color="231F20"/>
            </w:tcBorders>
          </w:tcPr>
          <w:p>
            <w:pPr>
              <w:spacing w:after="0"/>
              <w:rPr>
                <w:sz w:val="24"/>
                <w:szCs w:val="24"/>
                <w:color w:val="auto"/>
              </w:rPr>
            </w:pPr>
          </w:p>
        </w:tc>
        <w:tc>
          <w:tcPr>
            <w:tcW w:w="9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355,251</w:t>
            </w:r>
          </w:p>
        </w:tc>
      </w:tr>
      <w:tr>
        <w:trPr>
          <w:trHeight w:val="264"/>
        </w:trPr>
        <w:tc>
          <w:tcPr>
            <w:tcW w:w="6040" w:type="dxa"/>
            <w:vAlign w:val="bottom"/>
          </w:tcPr>
          <w:p>
            <w:pPr>
              <w:jc w:val="right"/>
              <w:spacing w:after="0"/>
              <w:rPr>
                <w:sz w:val="20"/>
                <w:szCs w:val="20"/>
                <w:color w:val="auto"/>
              </w:rPr>
            </w:pPr>
            <w:r>
              <w:rPr>
                <w:rFonts w:ascii="Times New Roman" w:cs="Times New Roman" w:eastAsia="Times New Roman" w:hAnsi="Times New Roman"/>
                <w:sz w:val="19"/>
                <w:szCs w:val="19"/>
                <w:color w:val="C3C5C7"/>
              </w:rPr>
              <w:t>.................................................................</w:t>
            </w:r>
            <w:r>
              <w:rPr>
                <w:rFonts w:ascii="Times New Roman" w:cs="Times New Roman" w:eastAsia="Times New Roman" w:hAnsi="Times New Roman"/>
                <w:sz w:val="19"/>
                <w:szCs w:val="19"/>
                <w:color w:val="231F20"/>
              </w:rPr>
              <w:t>Decreaseincashandcashequivalents</w:t>
            </w:r>
          </w:p>
        </w:tc>
        <w:tc>
          <w:tcPr>
            <w:tcW w:w="2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(17,737)</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(124,561)</w:t>
            </w: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106,824</w:t>
            </w:r>
          </w:p>
        </w:tc>
      </w:tr>
      <w:tr>
        <w:trPr>
          <w:trHeight w:val="286"/>
        </w:trPr>
        <w:tc>
          <w:tcPr>
            <w:tcW w:w="6040" w:type="dxa"/>
            <w:vAlign w:val="bottom"/>
          </w:tcPr>
          <w:p>
            <w:pPr>
              <w:jc w:val="right"/>
              <w:spacing w:after="0"/>
              <w:rPr>
                <w:sz w:val="20"/>
                <w:szCs w:val="20"/>
                <w:color w:val="auto"/>
              </w:rPr>
            </w:pPr>
            <w:r>
              <w:rPr>
                <w:rFonts w:ascii="Times New Roman" w:cs="Times New Roman" w:eastAsia="Times New Roman" w:hAnsi="Times New Roman"/>
                <w:sz w:val="19"/>
                <w:szCs w:val="19"/>
                <w:color w:val="231F20"/>
                <w:w w:val="99"/>
              </w:rPr>
              <w:t xml:space="preserve">Cash, cash equivalents, and restricted cash, beginning of year </w:t>
            </w:r>
            <w:r>
              <w:rPr>
                <w:rFonts w:ascii="Times New Roman" w:cs="Times New Roman" w:eastAsia="Times New Roman" w:hAnsi="Times New Roman"/>
                <w:sz w:val="19"/>
                <w:szCs w:val="19"/>
                <w:color w:val="C3C5C7"/>
                <w:w w:val="99"/>
              </w:rPr>
              <w:t>...........................</w:t>
            </w:r>
          </w:p>
        </w:tc>
        <w:tc>
          <w:tcPr>
            <w:tcW w:w="240" w:type="dxa"/>
            <w:vAlign w:val="bottom"/>
            <w:tcBorders>
              <w:bottom w:val="single" w:sz="8" w:color="231F20"/>
            </w:tcBorders>
          </w:tcPr>
          <w:p>
            <w:pPr>
              <w:spacing w:after="0"/>
              <w:rPr>
                <w:sz w:val="24"/>
                <w:szCs w:val="24"/>
                <w:color w:val="auto"/>
              </w:rPr>
            </w:pPr>
          </w:p>
        </w:tc>
        <w:tc>
          <w:tcPr>
            <w:tcW w:w="9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135,443</w:t>
            </w:r>
          </w:p>
        </w:tc>
        <w:tc>
          <w:tcPr>
            <w:tcW w:w="100" w:type="dxa"/>
            <w:vAlign w:val="bottom"/>
          </w:tcPr>
          <w:p>
            <w:pPr>
              <w:spacing w:after="0"/>
              <w:rPr>
                <w:sz w:val="24"/>
                <w:szCs w:val="24"/>
                <w:color w:val="auto"/>
              </w:rPr>
            </w:pPr>
          </w:p>
        </w:tc>
        <w:tc>
          <w:tcPr>
            <w:tcW w:w="280" w:type="dxa"/>
            <w:vAlign w:val="bottom"/>
            <w:tcBorders>
              <w:bottom w:val="single" w:sz="8" w:color="231F20"/>
            </w:tcBorders>
          </w:tcPr>
          <w:p>
            <w:pPr>
              <w:spacing w:after="0"/>
              <w:rPr>
                <w:sz w:val="24"/>
                <w:szCs w:val="24"/>
                <w:color w:val="auto"/>
              </w:rPr>
            </w:pPr>
          </w:p>
        </w:tc>
        <w:tc>
          <w:tcPr>
            <w:tcW w:w="8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260,004</w:t>
            </w:r>
          </w:p>
        </w:tc>
        <w:tc>
          <w:tcPr>
            <w:tcW w:w="140" w:type="dxa"/>
            <w:vAlign w:val="bottom"/>
          </w:tcPr>
          <w:p>
            <w:pPr>
              <w:spacing w:after="0"/>
              <w:rPr>
                <w:sz w:val="24"/>
                <w:szCs w:val="24"/>
                <w:color w:val="auto"/>
              </w:rPr>
            </w:pPr>
          </w:p>
        </w:tc>
        <w:tc>
          <w:tcPr>
            <w:tcW w:w="220" w:type="dxa"/>
            <w:vAlign w:val="bottom"/>
            <w:tcBorders>
              <w:bottom w:val="single" w:sz="8" w:color="231F20"/>
            </w:tcBorders>
          </w:tcPr>
          <w:p>
            <w:pPr>
              <w:spacing w:after="0"/>
              <w:rPr>
                <w:sz w:val="24"/>
                <w:szCs w:val="24"/>
                <w:color w:val="auto"/>
              </w:rPr>
            </w:pPr>
          </w:p>
        </w:tc>
        <w:tc>
          <w:tcPr>
            <w:tcW w:w="9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(124,561)</w:t>
            </w:r>
          </w:p>
        </w:tc>
      </w:tr>
      <w:tr>
        <w:trPr>
          <w:trHeight w:val="247"/>
        </w:trPr>
        <w:tc>
          <w:tcPr>
            <w:tcW w:w="6040" w:type="dxa"/>
            <w:vAlign w:val="bottom"/>
          </w:tcPr>
          <w:p>
            <w:pPr>
              <w:jc w:val="right"/>
              <w:spacing w:after="0"/>
              <w:rPr>
                <w:sz w:val="20"/>
                <w:szCs w:val="20"/>
                <w:color w:val="auto"/>
              </w:rPr>
            </w:pPr>
            <w:r>
              <w:rPr>
                <w:rFonts w:ascii="Times New Roman" w:cs="Times New Roman" w:eastAsia="Times New Roman" w:hAnsi="Times New Roman"/>
                <w:sz w:val="19"/>
                <w:szCs w:val="19"/>
                <w:color w:val="C3C5C7"/>
              </w:rPr>
              <w:t>.....................................</w:t>
            </w:r>
            <w:r>
              <w:rPr>
                <w:rFonts w:ascii="Times New Roman" w:cs="Times New Roman" w:eastAsia="Times New Roman" w:hAnsi="Times New Roman"/>
                <w:sz w:val="19"/>
                <w:szCs w:val="19"/>
                <w:color w:val="231F20"/>
              </w:rPr>
              <w:t>Cash,cashequivalents,andrestrictedcash,endofyear</w:t>
            </w:r>
          </w:p>
        </w:tc>
        <w:tc>
          <w:tcPr>
            <w:tcW w:w="240" w:type="dxa"/>
            <w:vAlign w:val="bottom"/>
          </w:tcPr>
          <w:p>
            <w:pPr>
              <w:jc w:val="right"/>
              <w:ind w:right="5"/>
              <w:spacing w:after="0"/>
              <w:rPr>
                <w:sz w:val="20"/>
                <w:szCs w:val="20"/>
                <w:color w:val="auto"/>
              </w:rPr>
            </w:pPr>
            <w:r>
              <w:rPr>
                <w:rFonts w:ascii="Times New Roman" w:cs="Times New Roman" w:eastAsia="Times New Roman" w:hAnsi="Times New Roman"/>
                <w:sz w:val="19"/>
                <w:szCs w:val="19"/>
                <w:color w:val="231F2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117,706</w:t>
            </w:r>
          </w:p>
        </w:tc>
        <w:tc>
          <w:tcPr>
            <w:tcW w:w="380" w:type="dxa"/>
            <w:vAlign w:val="bottom"/>
            <w:gridSpan w:val="2"/>
          </w:tcPr>
          <w:p>
            <w:pPr>
              <w:jc w:val="right"/>
              <w:ind w:right="44"/>
              <w:spacing w:after="0"/>
              <w:rPr>
                <w:sz w:val="20"/>
                <w:szCs w:val="20"/>
                <w:color w:val="auto"/>
              </w:rPr>
            </w:pPr>
            <w:r>
              <w:rPr>
                <w:rFonts w:ascii="Times New Roman" w:cs="Times New Roman" w:eastAsia="Times New Roman" w:hAnsi="Times New Roman"/>
                <w:sz w:val="19"/>
                <w:szCs w:val="19"/>
                <w:color w:val="231F2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135,443</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9"/>
                <w:szCs w:val="19"/>
                <w:color w:val="231F2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(17,737)</w:t>
            </w:r>
          </w:p>
        </w:tc>
      </w:tr>
      <w:tr>
        <w:trPr>
          <w:trHeight w:val="20"/>
        </w:trPr>
        <w:tc>
          <w:tcPr>
            <w:tcW w:w="6040" w:type="dxa"/>
            <w:vAlign w:val="bottom"/>
          </w:tcPr>
          <w:p>
            <w:pPr>
              <w:spacing w:after="0" w:line="20" w:lineRule="exact"/>
              <w:rPr>
                <w:sz w:val="1"/>
                <w:szCs w:val="1"/>
                <w:color w:val="auto"/>
              </w:rPr>
            </w:pPr>
          </w:p>
        </w:tc>
        <w:tc>
          <w:tcPr>
            <w:tcW w:w="240" w:type="dxa"/>
            <w:vAlign w:val="bottom"/>
            <w:tcBorders>
              <w:top w:val="single" w:sz="8" w:color="231F20"/>
              <w:bottom w:val="single" w:sz="8" w:color="231F20"/>
            </w:tcBorders>
          </w:tcPr>
          <w:p>
            <w:pPr>
              <w:spacing w:after="0" w:line="20" w:lineRule="exact"/>
              <w:rPr>
                <w:sz w:val="1"/>
                <w:szCs w:val="1"/>
                <w:color w:val="auto"/>
              </w:rPr>
            </w:pPr>
          </w:p>
        </w:tc>
        <w:tc>
          <w:tcPr>
            <w:tcW w:w="900" w:type="dxa"/>
            <w:vAlign w:val="bottom"/>
            <w:tcBorders>
              <w:top w:val="single" w:sz="8" w:color="231F20"/>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231F20"/>
              <w:bottom w:val="single" w:sz="8" w:color="231F20"/>
            </w:tcBorders>
          </w:tcPr>
          <w:p>
            <w:pPr>
              <w:spacing w:after="0" w:line="20" w:lineRule="exact"/>
              <w:rPr>
                <w:sz w:val="1"/>
                <w:szCs w:val="1"/>
                <w:color w:val="auto"/>
              </w:rPr>
            </w:pPr>
          </w:p>
        </w:tc>
        <w:tc>
          <w:tcPr>
            <w:tcW w:w="860" w:type="dxa"/>
            <w:vAlign w:val="bottom"/>
            <w:tcBorders>
              <w:top w:val="single" w:sz="8" w:color="231F20"/>
              <w:bottom w:val="single" w:sz="8" w:color="231F2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231F20"/>
              <w:bottom w:val="single" w:sz="8" w:color="231F20"/>
            </w:tcBorders>
          </w:tcPr>
          <w:p>
            <w:pPr>
              <w:spacing w:after="0" w:line="20" w:lineRule="exact"/>
              <w:rPr>
                <w:sz w:val="1"/>
                <w:szCs w:val="1"/>
                <w:color w:val="auto"/>
              </w:rPr>
            </w:pPr>
          </w:p>
        </w:tc>
        <w:tc>
          <w:tcPr>
            <w:tcW w:w="920" w:type="dxa"/>
            <w:vAlign w:val="bottom"/>
            <w:tcBorders>
              <w:top w:val="single" w:sz="8" w:color="231F20"/>
              <w:bottom w:val="single" w:sz="8" w:color="231F20"/>
            </w:tcBorders>
          </w:tcPr>
          <w:p>
            <w:pPr>
              <w:spacing w:after="0" w:line="20" w:lineRule="exact"/>
              <w:rPr>
                <w:sz w:val="1"/>
                <w:szCs w:val="1"/>
                <w:color w:val="auto"/>
              </w:rPr>
            </w:pPr>
          </w:p>
        </w:tc>
      </w:tr>
    </w:tbl>
    <w:p>
      <w:pPr>
        <w:spacing w:after="0" w:line="235" w:lineRule="exact"/>
        <w:rPr>
          <w:sz w:val="20"/>
          <w:szCs w:val="20"/>
          <w:color w:val="auto"/>
        </w:rPr>
      </w:pPr>
    </w:p>
    <w:p>
      <w:pPr>
        <w:ind w:right="200"/>
        <w:spacing w:after="0" w:line="267" w:lineRule="auto"/>
        <w:rPr>
          <w:sz w:val="20"/>
          <w:szCs w:val="20"/>
          <w:color w:val="auto"/>
        </w:rPr>
      </w:pPr>
      <w:r>
        <w:rPr>
          <w:rFonts w:ascii="Times New Roman" w:cs="Times New Roman" w:eastAsia="Times New Roman" w:hAnsi="Times New Roman"/>
          <w:sz w:val="19"/>
          <w:szCs w:val="19"/>
          <w:color w:val="231F20"/>
        </w:rPr>
        <w:t>Net cash provided by operating activities increased $47.8 million to $622.4 million during 2025 from $574.6 million during 2024. The increase was primarily attributable to higher net income after adjusting for non-cash items and gains on sale of real estate and the timing of payments.</w:t>
      </w:r>
    </w:p>
    <w:p>
      <w:pPr>
        <w:sectPr>
          <w:pgSz w:w="11880" w:h="15480" w:orient="portrait"/>
          <w:cols w:equalWidth="0" w:num="1">
            <w:col w:w="9760"/>
          </w:cols>
          <w:pgMar w:left="1060" w:top="958" w:right="1060" w:bottom="0" w:gutter="0" w:footer="0" w:header="0"/>
        </w:sect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41</w:t>
      </w:r>
    </w:p>
    <w:p>
      <w:pPr>
        <w:sectPr>
          <w:pgSz w:w="11880" w:h="15480" w:orient="portrait"/>
          <w:cols w:equalWidth="0" w:num="1">
            <w:col w:w="9760"/>
          </w:cols>
          <w:pgMar w:left="1060" w:top="958" w:right="1060" w:bottom="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19"/>
          <w:szCs w:val="19"/>
          <w:color w:val="231F20"/>
        </w:rPr>
        <w:t>Net cash used in investing activities increased $296.2 million to $743.1 million during 2025 from $446.8 million during 2024.</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The increase was primarily attributable to:</w:t>
      </w:r>
    </w:p>
    <w:p>
      <w:pPr>
        <w:spacing w:after="0" w:line="45" w:lineRule="exact"/>
        <w:rPr>
          <w:sz w:val="20"/>
          <w:szCs w:val="20"/>
          <w:color w:val="auto"/>
        </w:rPr>
      </w:pPr>
    </w:p>
    <w:p>
      <w:pPr>
        <w:ind w:left="1200" w:right="160" w:hanging="256"/>
        <w:spacing w:after="0" w:line="259" w:lineRule="auto"/>
        <w:tabs>
          <w:tab w:leader="none" w:pos="1200" w:val="left"/>
        </w:tabs>
        <w:numPr>
          <w:ilvl w:val="0"/>
          <w:numId w:val="42"/>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a $461.3 million increase in acquisition of real estate primarily due to the acquisitions of the fee interest in Village Pointe in November 2025, Annapolis Town Center in October 2025, Town Center Crossing and Town Center Plaza in July 2025 and Del Monte Shopping Center in February 2025 (see Note 3 to the consolidated financial statements for additional information), as compared to the acquisitions of the fee interest in Virginia Gateway in May 2024 and Pinole Vista Crossing in July 2024, and</w:t>
      </w:r>
    </w:p>
    <w:p>
      <w:pPr>
        <w:spacing w:after="0" w:line="18" w:lineRule="exact"/>
        <w:rPr>
          <w:rFonts w:ascii="Times New Roman" w:cs="Times New Roman" w:eastAsia="Times New Roman" w:hAnsi="Times New Roman"/>
          <w:sz w:val="19"/>
          <w:szCs w:val="19"/>
          <w:color w:val="231F20"/>
        </w:rPr>
      </w:pPr>
    </w:p>
    <w:p>
      <w:pPr>
        <w:ind w:left="1200" w:hanging="256"/>
        <w:spacing w:after="0"/>
        <w:tabs>
          <w:tab w:leader="none" w:pos="1200" w:val="left"/>
        </w:tabs>
        <w:numPr>
          <w:ilvl w:val="0"/>
          <w:numId w:val="42"/>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$44.6 million increase in capital expenditures,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partially offset by,</w:t>
      </w:r>
    </w:p>
    <w:p>
      <w:pPr>
        <w:spacing w:after="0" w:line="67" w:lineRule="exact"/>
        <w:rPr>
          <w:sz w:val="20"/>
          <w:szCs w:val="20"/>
          <w:color w:val="auto"/>
        </w:rPr>
      </w:pPr>
    </w:p>
    <w:p>
      <w:pPr>
        <w:ind w:left="1200" w:right="140" w:hanging="256"/>
        <w:spacing w:after="0" w:line="259" w:lineRule="auto"/>
        <w:tabs>
          <w:tab w:leader="none" w:pos="1200" w:val="left"/>
        </w:tabs>
        <w:numPr>
          <w:ilvl w:val="0"/>
          <w:numId w:val="43"/>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a $205.7 million increase in net proceeds from the sale of real estate primarily due to $305.6 million of net proceeds from the sale of a residential building at both Santana Row and Pike &amp; Rose, our Hollywood Boulevard and Bristol properties, and a portion of our White Marsh Other property in 2025, as compared to $99.9 million of net proceeds from the sale of Third Street Promenade and a portion of our White Marsh Other property in 2024.</w:t>
      </w:r>
    </w:p>
    <w:p>
      <w:pPr>
        <w:spacing w:after="0" w:line="133" w:lineRule="exact"/>
        <w:rPr>
          <w:sz w:val="20"/>
          <w:szCs w:val="20"/>
          <w:color w:val="auto"/>
        </w:rPr>
      </w:pPr>
    </w:p>
    <w:p>
      <w:pPr>
        <w:ind w:right="260"/>
        <w:spacing w:after="0" w:line="281" w:lineRule="auto"/>
        <w:rPr>
          <w:sz w:val="20"/>
          <w:szCs w:val="20"/>
          <w:color w:val="auto"/>
        </w:rPr>
      </w:pPr>
      <w:r>
        <w:rPr>
          <w:rFonts w:ascii="Times New Roman" w:cs="Times New Roman" w:eastAsia="Times New Roman" w:hAnsi="Times New Roman"/>
          <w:sz w:val="19"/>
          <w:szCs w:val="19"/>
          <w:color w:val="231F20"/>
        </w:rPr>
        <w:t>Net cash used in financing activities decreased $355.3 million to $103.0 million provided by financing activities during 2025 from $252.3 million used in financing activities during 2024. The decrease was primarily attributable to:</w:t>
      </w:r>
    </w:p>
    <w:p>
      <w:pPr>
        <w:spacing w:after="0" w:line="2" w:lineRule="exact"/>
        <w:rPr>
          <w:sz w:val="20"/>
          <w:szCs w:val="20"/>
          <w:color w:val="auto"/>
        </w:rPr>
      </w:pPr>
    </w:p>
    <w:p>
      <w:pPr>
        <w:ind w:left="1200" w:right="660" w:hanging="256"/>
        <w:spacing w:after="0" w:line="281" w:lineRule="auto"/>
        <w:tabs>
          <w:tab w:leader="none" w:pos="1200" w:val="left"/>
        </w:tabs>
        <w:numPr>
          <w:ilvl w:val="0"/>
          <w:numId w:val="44"/>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$600.0 million from the January 2024 repayment of our $600.0 million 3.95% senior unsecured notes at maturity,</w:t>
      </w:r>
    </w:p>
    <w:p>
      <w:pPr>
        <w:spacing w:after="0" w:line="1" w:lineRule="exact"/>
        <w:rPr>
          <w:rFonts w:ascii="Times New Roman" w:cs="Times New Roman" w:eastAsia="Times New Roman" w:hAnsi="Times New Roman"/>
          <w:sz w:val="19"/>
          <w:szCs w:val="19"/>
          <w:color w:val="231F20"/>
        </w:rPr>
      </w:pPr>
    </w:p>
    <w:p>
      <w:pPr>
        <w:ind w:left="1200" w:hanging="256"/>
        <w:spacing w:after="0"/>
        <w:tabs>
          <w:tab w:leader="none" w:pos="1200" w:val="left"/>
        </w:tabs>
        <w:numPr>
          <w:ilvl w:val="0"/>
          <w:numId w:val="44"/>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$310.0 million in borrowings on our revolving credit facility at December 31, 2025,</w:t>
      </w:r>
    </w:p>
    <w:p>
      <w:pPr>
        <w:spacing w:after="0" w:line="66" w:lineRule="exact"/>
        <w:rPr>
          <w:rFonts w:ascii="Times New Roman" w:cs="Times New Roman" w:eastAsia="Times New Roman" w:hAnsi="Times New Roman"/>
          <w:sz w:val="19"/>
          <w:szCs w:val="19"/>
          <w:color w:val="231F20"/>
        </w:rPr>
      </w:pPr>
    </w:p>
    <w:p>
      <w:pPr>
        <w:ind w:left="1200" w:hanging="256"/>
        <w:spacing w:after="0"/>
        <w:tabs>
          <w:tab w:leader="none" w:pos="1200" w:val="left"/>
        </w:tabs>
        <w:numPr>
          <w:ilvl w:val="0"/>
          <w:numId w:val="44"/>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$145.0 million in net proceeds from our unsecured term loan in 2025,</w:t>
      </w:r>
    </w:p>
    <w:p>
      <w:pPr>
        <w:spacing w:after="0" w:line="41" w:lineRule="exact"/>
        <w:rPr>
          <w:rFonts w:ascii="Times New Roman" w:cs="Times New Roman" w:eastAsia="Times New Roman" w:hAnsi="Times New Roman"/>
          <w:sz w:val="19"/>
          <w:szCs w:val="19"/>
          <w:color w:val="231F20"/>
        </w:rPr>
      </w:pPr>
    </w:p>
    <w:p>
      <w:pPr>
        <w:ind w:left="1200" w:right="300" w:hanging="256"/>
        <w:spacing w:after="0" w:line="254" w:lineRule="auto"/>
        <w:tabs>
          <w:tab w:leader="none" w:pos="1200" w:val="left"/>
        </w:tabs>
        <w:numPr>
          <w:ilvl w:val="0"/>
          <w:numId w:val="44"/>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a $19.4 million premium paid for the capped call transactions entered into in connection with the issuance of $485.0 million 3.25% exchangeable senior notes in January 2024, and</w:t>
      </w:r>
    </w:p>
    <w:p>
      <w:pPr>
        <w:spacing w:after="0" w:line="1" w:lineRule="exact"/>
        <w:rPr>
          <w:rFonts w:ascii="Times New Roman" w:cs="Times New Roman" w:eastAsia="Times New Roman" w:hAnsi="Times New Roman"/>
          <w:sz w:val="19"/>
          <w:szCs w:val="19"/>
          <w:color w:val="231F20"/>
        </w:rPr>
      </w:pPr>
    </w:p>
    <w:p>
      <w:pPr>
        <w:ind w:left="1200" w:right="200" w:hanging="256"/>
        <w:spacing w:after="0" w:line="254" w:lineRule="auto"/>
        <w:tabs>
          <w:tab w:leader="none" w:pos="1200" w:val="left"/>
        </w:tabs>
        <w:numPr>
          <w:ilvl w:val="0"/>
          <w:numId w:val="44"/>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$14.4 million in net proceeds from the refinance of the $40.0 million loan at Azalea, with a new $55.0 million mortgage loan (see Note 5 to the consolidated financial statements for additional information),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partially offset by</w:t>
      </w:r>
    </w:p>
    <w:p>
      <w:pPr>
        <w:spacing w:after="0" w:line="42" w:lineRule="exact"/>
        <w:rPr>
          <w:sz w:val="20"/>
          <w:szCs w:val="20"/>
          <w:color w:val="auto"/>
        </w:rPr>
      </w:pPr>
    </w:p>
    <w:p>
      <w:pPr>
        <w:ind w:left="1200" w:right="60" w:hanging="256"/>
        <w:spacing w:after="0" w:line="254" w:lineRule="auto"/>
        <w:tabs>
          <w:tab w:leader="none" w:pos="1200" w:val="left"/>
        </w:tabs>
        <w:numPr>
          <w:ilvl w:val="0"/>
          <w:numId w:val="45"/>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$471.5 million in net proceeds from the issuance of $485.0 million 3.25% exchangeable senior notes in January 2024,</w:t>
      </w:r>
    </w:p>
    <w:p>
      <w:pPr>
        <w:spacing w:after="0" w:line="1" w:lineRule="exact"/>
        <w:rPr>
          <w:rFonts w:ascii="Times New Roman" w:cs="Times New Roman" w:eastAsia="Times New Roman" w:hAnsi="Times New Roman"/>
          <w:sz w:val="19"/>
          <w:szCs w:val="19"/>
          <w:color w:val="231F20"/>
        </w:rPr>
      </w:pPr>
    </w:p>
    <w:p>
      <w:pPr>
        <w:ind w:left="1200" w:hanging="256"/>
        <w:spacing w:after="0"/>
        <w:tabs>
          <w:tab w:leader="none" w:pos="1200" w:val="left"/>
        </w:tabs>
        <w:numPr>
          <w:ilvl w:val="0"/>
          <w:numId w:val="45"/>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a $249.6 million decrease in net proceeds from the issuance of common shares under our ATM program, and</w:t>
      </w:r>
    </w:p>
    <w:p>
      <w:pPr>
        <w:spacing w:after="0" w:line="42" w:lineRule="exact"/>
        <w:rPr>
          <w:rFonts w:ascii="Times New Roman" w:cs="Times New Roman" w:eastAsia="Times New Roman" w:hAnsi="Times New Roman"/>
          <w:sz w:val="19"/>
          <w:szCs w:val="19"/>
          <w:color w:val="231F20"/>
        </w:rPr>
      </w:pPr>
    </w:p>
    <w:p>
      <w:pPr>
        <w:ind w:left="1200" w:right="500" w:hanging="256"/>
        <w:spacing w:after="0" w:line="257" w:lineRule="auto"/>
        <w:tabs>
          <w:tab w:leader="none" w:pos="1200" w:val="left"/>
        </w:tabs>
        <w:numPr>
          <w:ilvl w:val="0"/>
          <w:numId w:val="45"/>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a $16.5 million increase in dividends paid to common and preferred shareholders due to an increase in the number of outstanding shares, as well as an increase to the common share dividend rate.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231F20"/>
        </w:rPr>
        <w:t>Cash Requirements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The following table provides a summary of material cash requirements comprising our fixed, noncancelable obligations as of</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December 31, 2025:</w:t>
      </w:r>
    </w:p>
    <w:p>
      <w:pPr>
        <w:spacing w:after="0" w:line="155" w:lineRule="exact"/>
        <w:rPr>
          <w:sz w:val="20"/>
          <w:szCs w:val="20"/>
          <w:color w:val="auto"/>
        </w:rPr>
      </w:pPr>
    </w:p>
    <w:tbl>
      <w:tblPr>
        <w:tblLayout w:type="fixed"/>
        <w:tblInd w:w="20" w:type="dxa"/>
        <w:tblCellMar>
          <w:top w:w="0" w:type="dxa"/>
          <w:left w:w="0" w:type="dxa"/>
          <w:bottom w:w="0" w:type="dxa"/>
          <w:right w:w="0" w:type="dxa"/>
        </w:tblCellMar>
      </w:tblPr>
      <w:tr>
        <w:trPr>
          <w:trHeight w:val="206"/>
        </w:trPr>
        <w:tc>
          <w:tcPr>
            <w:tcW w:w="5620" w:type="dxa"/>
            <w:vAlign w:val="bottom"/>
          </w:tcPr>
          <w:p>
            <w:pPr>
              <w:spacing w:after="0"/>
              <w:rPr>
                <w:sz w:val="17"/>
                <w:szCs w:val="17"/>
                <w:color w:val="auto"/>
              </w:rPr>
            </w:pPr>
          </w:p>
        </w:tc>
        <w:tc>
          <w:tcPr>
            <w:tcW w:w="320" w:type="dxa"/>
            <w:vAlign w:val="bottom"/>
            <w:tcBorders>
              <w:bottom w:val="single" w:sz="8" w:color="231F20"/>
            </w:tcBorders>
          </w:tcPr>
          <w:p>
            <w:pPr>
              <w:spacing w:after="0"/>
              <w:rPr>
                <w:sz w:val="17"/>
                <w:szCs w:val="17"/>
                <w:color w:val="auto"/>
              </w:rPr>
            </w:pPr>
          </w:p>
        </w:tc>
        <w:tc>
          <w:tcPr>
            <w:tcW w:w="3800" w:type="dxa"/>
            <w:vAlign w:val="bottom"/>
            <w:tcBorders>
              <w:bottom w:val="single" w:sz="8" w:color="231F20"/>
            </w:tcBorders>
            <w:gridSpan w:val="7"/>
          </w:tcPr>
          <w:p>
            <w:pPr>
              <w:jc w:val="center"/>
              <w:ind w:right="230"/>
              <w:spacing w:after="0"/>
              <w:rPr>
                <w:sz w:val="20"/>
                <w:szCs w:val="20"/>
                <w:color w:val="auto"/>
              </w:rPr>
            </w:pPr>
            <w:r>
              <w:rPr>
                <w:rFonts w:ascii="Times New Roman" w:cs="Times New Roman" w:eastAsia="Times New Roman" w:hAnsi="Times New Roman"/>
                <w:sz w:val="15"/>
                <w:szCs w:val="15"/>
                <w:b w:val="1"/>
                <w:bCs w:val="1"/>
                <w:color w:val="231F20"/>
              </w:rPr>
              <w:t>Cash Requirements by Period</w:t>
            </w:r>
          </w:p>
        </w:tc>
        <w:tc>
          <w:tcPr>
            <w:tcW w:w="0" w:type="dxa"/>
            <w:vAlign w:val="bottom"/>
          </w:tcPr>
          <w:p>
            <w:pPr>
              <w:spacing w:after="0"/>
              <w:rPr>
                <w:sz w:val="1"/>
                <w:szCs w:val="1"/>
                <w:color w:val="auto"/>
              </w:rPr>
            </w:pPr>
          </w:p>
        </w:tc>
      </w:tr>
      <w:tr>
        <w:trPr>
          <w:trHeight w:val="162"/>
        </w:trPr>
        <w:tc>
          <w:tcPr>
            <w:tcW w:w="5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vMerge w:val="restart"/>
          </w:tcPr>
          <w:p>
            <w:pPr>
              <w:jc w:val="right"/>
              <w:ind w:right="390"/>
              <w:spacing w:after="0"/>
              <w:rPr>
                <w:sz w:val="20"/>
                <w:szCs w:val="20"/>
                <w:color w:val="auto"/>
              </w:rPr>
            </w:pPr>
            <w:r>
              <w:rPr>
                <w:rFonts w:ascii="Times New Roman" w:cs="Times New Roman" w:eastAsia="Times New Roman" w:hAnsi="Times New Roman"/>
                <w:sz w:val="15"/>
                <w:szCs w:val="15"/>
                <w:b w:val="1"/>
                <w:bCs w:val="1"/>
                <w:color w:val="231F20"/>
              </w:rPr>
              <w:t>Total</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jc w:val="center"/>
              <w:ind w:right="71"/>
              <w:spacing w:after="0" w:line="162" w:lineRule="exact"/>
              <w:rPr>
                <w:sz w:val="20"/>
                <w:szCs w:val="20"/>
                <w:color w:val="auto"/>
              </w:rPr>
            </w:pPr>
            <w:r>
              <w:rPr>
                <w:rFonts w:ascii="Times New Roman" w:cs="Times New Roman" w:eastAsia="Times New Roman" w:hAnsi="Times New Roman"/>
                <w:sz w:val="15"/>
                <w:szCs w:val="15"/>
                <w:b w:val="1"/>
                <w:bCs w:val="1"/>
                <w:color w:val="231F20"/>
              </w:rPr>
              <w:t>Next Twelve</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jc w:val="right"/>
              <w:ind w:right="150"/>
              <w:spacing w:after="0" w:line="162" w:lineRule="exact"/>
              <w:rPr>
                <w:sz w:val="20"/>
                <w:szCs w:val="20"/>
                <w:color w:val="auto"/>
              </w:rPr>
            </w:pPr>
            <w:r>
              <w:rPr>
                <w:rFonts w:ascii="Times New Roman" w:cs="Times New Roman" w:eastAsia="Times New Roman" w:hAnsi="Times New Roman"/>
                <w:sz w:val="15"/>
                <w:szCs w:val="15"/>
                <w:b w:val="1"/>
                <w:bCs w:val="1"/>
                <w:color w:val="231F20"/>
              </w:rPr>
              <w:t>Greater than</w:t>
            </w:r>
          </w:p>
        </w:tc>
        <w:tc>
          <w:tcPr>
            <w:tcW w:w="0" w:type="dxa"/>
            <w:vAlign w:val="bottom"/>
          </w:tcPr>
          <w:p>
            <w:pPr>
              <w:spacing w:after="0"/>
              <w:rPr>
                <w:sz w:val="1"/>
                <w:szCs w:val="1"/>
                <w:color w:val="auto"/>
              </w:rPr>
            </w:pPr>
          </w:p>
        </w:tc>
      </w:tr>
      <w:tr>
        <w:trPr>
          <w:trHeight w:val="203"/>
        </w:trPr>
        <w:tc>
          <w:tcPr>
            <w:tcW w:w="5620" w:type="dxa"/>
            <w:vAlign w:val="bottom"/>
          </w:tcPr>
          <w:p>
            <w:pPr>
              <w:spacing w:after="0"/>
              <w:rPr>
                <w:sz w:val="17"/>
                <w:szCs w:val="17"/>
                <w:color w:val="auto"/>
              </w:rPr>
            </w:pPr>
          </w:p>
        </w:tc>
        <w:tc>
          <w:tcPr>
            <w:tcW w:w="320" w:type="dxa"/>
            <w:vAlign w:val="bottom"/>
            <w:tcBorders>
              <w:bottom w:val="single" w:sz="8" w:color="231F20"/>
            </w:tcBorders>
          </w:tcPr>
          <w:p>
            <w:pPr>
              <w:spacing w:after="0"/>
              <w:rPr>
                <w:sz w:val="17"/>
                <w:szCs w:val="17"/>
                <w:color w:val="auto"/>
              </w:rPr>
            </w:pPr>
          </w:p>
        </w:tc>
        <w:tc>
          <w:tcPr>
            <w:tcW w:w="1000" w:type="dxa"/>
            <w:vAlign w:val="bottom"/>
            <w:tcBorders>
              <w:bottom w:val="single" w:sz="8" w:color="231F20"/>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231F20"/>
            </w:tcBorders>
          </w:tcPr>
          <w:p>
            <w:pPr>
              <w:spacing w:after="0"/>
              <w:rPr>
                <w:sz w:val="17"/>
                <w:szCs w:val="17"/>
                <w:color w:val="auto"/>
              </w:rPr>
            </w:pPr>
          </w:p>
        </w:tc>
        <w:tc>
          <w:tcPr>
            <w:tcW w:w="1160" w:type="dxa"/>
            <w:vAlign w:val="bottom"/>
            <w:tcBorders>
              <w:bottom w:val="single" w:sz="8" w:color="231F20"/>
            </w:tcBorders>
          </w:tcPr>
          <w:p>
            <w:pPr>
              <w:jc w:val="center"/>
              <w:ind w:right="91"/>
              <w:spacing w:after="0"/>
              <w:rPr>
                <w:sz w:val="20"/>
                <w:szCs w:val="20"/>
                <w:color w:val="auto"/>
              </w:rPr>
            </w:pPr>
            <w:r>
              <w:rPr>
                <w:rFonts w:ascii="Times New Roman" w:cs="Times New Roman" w:eastAsia="Times New Roman" w:hAnsi="Times New Roman"/>
                <w:sz w:val="15"/>
                <w:szCs w:val="15"/>
                <w:b w:val="1"/>
                <w:bCs w:val="1"/>
                <w:color w:val="231F20"/>
              </w:rPr>
              <w:t>Months</w:t>
            </w:r>
          </w:p>
        </w:tc>
        <w:tc>
          <w:tcPr>
            <w:tcW w:w="80" w:type="dxa"/>
            <w:vAlign w:val="bottom"/>
          </w:tcPr>
          <w:p>
            <w:pPr>
              <w:spacing w:after="0"/>
              <w:rPr>
                <w:sz w:val="17"/>
                <w:szCs w:val="17"/>
                <w:color w:val="auto"/>
              </w:rPr>
            </w:pPr>
          </w:p>
        </w:tc>
        <w:tc>
          <w:tcPr>
            <w:tcW w:w="140" w:type="dxa"/>
            <w:vAlign w:val="bottom"/>
            <w:tcBorders>
              <w:bottom w:val="single" w:sz="8" w:color="231F20"/>
            </w:tcBorders>
          </w:tcPr>
          <w:p>
            <w:pPr>
              <w:spacing w:after="0"/>
              <w:rPr>
                <w:sz w:val="17"/>
                <w:szCs w:val="17"/>
                <w:color w:val="auto"/>
              </w:rPr>
            </w:pPr>
          </w:p>
        </w:tc>
        <w:tc>
          <w:tcPr>
            <w:tcW w:w="1180" w:type="dxa"/>
            <w:vAlign w:val="bottom"/>
            <w:tcBorders>
              <w:bottom w:val="single" w:sz="8" w:color="231F20"/>
            </w:tcBorders>
          </w:tcPr>
          <w:p>
            <w:pPr>
              <w:jc w:val="right"/>
              <w:ind w:right="70"/>
              <w:spacing w:after="0"/>
              <w:rPr>
                <w:sz w:val="20"/>
                <w:szCs w:val="20"/>
                <w:color w:val="auto"/>
              </w:rPr>
            </w:pPr>
            <w:r>
              <w:rPr>
                <w:rFonts w:ascii="Times New Roman" w:cs="Times New Roman" w:eastAsia="Times New Roman" w:hAnsi="Times New Roman"/>
                <w:sz w:val="15"/>
                <w:szCs w:val="15"/>
                <w:b w:val="1"/>
                <w:bCs w:val="1"/>
                <w:color w:val="231F20"/>
              </w:rPr>
              <w:t>Twelve Months</w:t>
            </w:r>
          </w:p>
        </w:tc>
        <w:tc>
          <w:tcPr>
            <w:tcW w:w="0" w:type="dxa"/>
            <w:vAlign w:val="bottom"/>
          </w:tcPr>
          <w:p>
            <w:pPr>
              <w:spacing w:after="0"/>
              <w:rPr>
                <w:sz w:val="1"/>
                <w:szCs w:val="1"/>
                <w:color w:val="auto"/>
              </w:rPr>
            </w:pPr>
          </w:p>
        </w:tc>
      </w:tr>
      <w:tr>
        <w:trPr>
          <w:trHeight w:val="203"/>
        </w:trPr>
        <w:tc>
          <w:tcPr>
            <w:tcW w:w="5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center"/>
              <w:ind w:right="91"/>
              <w:spacing w:after="0"/>
              <w:rPr>
                <w:sz w:val="20"/>
                <w:szCs w:val="20"/>
                <w:color w:val="auto"/>
              </w:rPr>
            </w:pPr>
            <w:r>
              <w:rPr>
                <w:rFonts w:ascii="Times New Roman" w:cs="Times New Roman" w:eastAsia="Times New Roman" w:hAnsi="Times New Roman"/>
                <w:sz w:val="15"/>
                <w:szCs w:val="15"/>
                <w:b w:val="1"/>
                <w:bCs w:val="1"/>
                <w:color w:val="231F20"/>
              </w:rPr>
              <w:t>(In thousands)</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5"/>
        </w:trPr>
        <w:tc>
          <w:tcPr>
            <w:tcW w:w="5620" w:type="dxa"/>
            <w:vAlign w:val="bottom"/>
          </w:tcPr>
          <w:p>
            <w:pPr>
              <w:spacing w:after="0"/>
              <w:rPr>
                <w:sz w:val="20"/>
                <w:szCs w:val="20"/>
                <w:color w:val="auto"/>
              </w:rPr>
            </w:pPr>
            <w:r>
              <w:rPr>
                <w:rFonts w:ascii="Times New Roman" w:cs="Times New Roman" w:eastAsia="Times New Roman" w:hAnsi="Times New Roman"/>
                <w:sz w:val="19"/>
                <w:szCs w:val="19"/>
                <w:color w:val="231F20"/>
              </w:rPr>
              <w:t>Fixed and variable rate debt (principal only) (1)</w:t>
            </w:r>
            <w:r>
              <w:rPr>
                <w:rFonts w:ascii="Times New Roman" w:cs="Times New Roman" w:eastAsia="Times New Roman" w:hAnsi="Times New Roman"/>
                <w:sz w:val="19"/>
                <w:szCs w:val="19"/>
                <w:color w:val="C3C5C7"/>
              </w:rPr>
              <w:t>....................................</w:t>
            </w:r>
          </w:p>
        </w:tc>
        <w:tc>
          <w:tcPr>
            <w:tcW w:w="320" w:type="dxa"/>
            <w:vAlign w:val="bottom"/>
          </w:tcPr>
          <w:p>
            <w:pPr>
              <w:jc w:val="right"/>
              <w:ind w:right="85"/>
              <w:spacing w:after="0"/>
              <w:rPr>
                <w:sz w:val="20"/>
                <w:szCs w:val="20"/>
                <w:color w:val="auto"/>
              </w:rPr>
            </w:pPr>
            <w:r>
              <w:rPr>
                <w:rFonts w:ascii="Times New Roman" w:cs="Times New Roman" w:eastAsia="Times New Roman" w:hAnsi="Times New Roman"/>
                <w:sz w:val="19"/>
                <w:szCs w:val="19"/>
                <w:color w:val="231F2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4,963,602</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231F2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655,595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4,308,007</w:t>
            </w:r>
          </w:p>
        </w:tc>
        <w:tc>
          <w:tcPr>
            <w:tcW w:w="0" w:type="dxa"/>
            <w:vAlign w:val="bottom"/>
          </w:tcPr>
          <w:p>
            <w:pPr>
              <w:spacing w:after="0"/>
              <w:rPr>
                <w:sz w:val="1"/>
                <w:szCs w:val="1"/>
                <w:color w:val="auto"/>
              </w:rPr>
            </w:pPr>
          </w:p>
        </w:tc>
      </w:tr>
      <w:tr>
        <w:trPr>
          <w:trHeight w:val="193"/>
        </w:trPr>
        <w:tc>
          <w:tcPr>
            <w:tcW w:w="5620" w:type="dxa"/>
            <w:vAlign w:val="bottom"/>
          </w:tcPr>
          <w:p>
            <w:pPr>
              <w:ind w:left="40"/>
              <w:spacing w:after="0" w:line="193" w:lineRule="exact"/>
              <w:rPr>
                <w:sz w:val="20"/>
                <w:szCs w:val="20"/>
                <w:color w:val="auto"/>
              </w:rPr>
            </w:pPr>
            <w:r>
              <w:rPr>
                <w:rFonts w:ascii="Times New Roman" w:cs="Times New Roman" w:eastAsia="Times New Roman" w:hAnsi="Times New Roman"/>
                <w:sz w:val="19"/>
                <w:szCs w:val="19"/>
                <w:color w:val="231F20"/>
              </w:rPr>
              <w:t>Fixed and variable rate debt - our share of unconsolidated real estate</w:t>
            </w:r>
          </w:p>
        </w:tc>
        <w:tc>
          <w:tcPr>
            <w:tcW w:w="32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231F20"/>
              </w:rPr>
              <w:t>62,384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231F20"/>
              </w:rPr>
              <w:t>378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231F20"/>
              </w:rPr>
              <w:t>62,006</w:t>
            </w:r>
          </w:p>
        </w:tc>
        <w:tc>
          <w:tcPr>
            <w:tcW w:w="0" w:type="dxa"/>
            <w:vAlign w:val="bottom"/>
          </w:tcPr>
          <w:p>
            <w:pPr>
              <w:spacing w:after="0"/>
              <w:rPr>
                <w:sz w:val="1"/>
                <w:szCs w:val="1"/>
                <w:color w:val="auto"/>
              </w:rPr>
            </w:pPr>
          </w:p>
        </w:tc>
      </w:tr>
      <w:tr>
        <w:trPr>
          <w:trHeight w:val="236"/>
        </w:trPr>
        <w:tc>
          <w:tcPr>
            <w:tcW w:w="5620" w:type="dxa"/>
            <w:vAlign w:val="bottom"/>
          </w:tcPr>
          <w:p>
            <w:pPr>
              <w:ind w:left="40"/>
              <w:spacing w:after="0"/>
              <w:rPr>
                <w:sz w:val="20"/>
                <w:szCs w:val="20"/>
                <w:color w:val="auto"/>
              </w:rPr>
            </w:pPr>
            <w:r>
              <w:rPr>
                <w:rFonts w:ascii="Times New Roman" w:cs="Times New Roman" w:eastAsia="Times New Roman" w:hAnsi="Times New Roman"/>
                <w:sz w:val="19"/>
                <w:szCs w:val="19"/>
                <w:color w:val="231F20"/>
              </w:rPr>
              <w:t>partnerships (principal only)(2)</w:t>
            </w:r>
            <w:r>
              <w:rPr>
                <w:rFonts w:ascii="Times New Roman" w:cs="Times New Roman" w:eastAsia="Times New Roman" w:hAnsi="Times New Roman"/>
                <w:sz w:val="19"/>
                <w:szCs w:val="19"/>
                <w:color w:val="C3C5C7"/>
              </w:rPr>
              <w:t>..................................................................</w:t>
            </w:r>
          </w:p>
        </w:tc>
        <w:tc>
          <w:tcPr>
            <w:tcW w:w="320" w:type="dxa"/>
            <w:vAlign w:val="bottom"/>
          </w:tcPr>
          <w:p>
            <w:pPr>
              <w:spacing w:after="0"/>
              <w:rPr>
                <w:sz w:val="20"/>
                <w:szCs w:val="20"/>
                <w:color w:val="auto"/>
              </w:rPr>
            </w:pPr>
          </w:p>
        </w:tc>
        <w:tc>
          <w:tcPr>
            <w:tcW w:w="10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5620" w:type="dxa"/>
            <w:vAlign w:val="bottom"/>
          </w:tcPr>
          <w:p>
            <w:pPr>
              <w:spacing w:after="0"/>
              <w:rPr>
                <w:sz w:val="20"/>
                <w:szCs w:val="20"/>
                <w:color w:val="auto"/>
              </w:rPr>
            </w:pPr>
            <w:r>
              <w:rPr>
                <w:rFonts w:ascii="Times New Roman" w:cs="Times New Roman" w:eastAsia="Times New Roman" w:hAnsi="Times New Roman"/>
                <w:sz w:val="19"/>
                <w:szCs w:val="19"/>
                <w:color w:val="231F20"/>
              </w:rPr>
              <w:t>Lease obligations (minimum rental payments) (3)</w:t>
            </w:r>
            <w:r>
              <w:rPr>
                <w:rFonts w:ascii="Times New Roman" w:cs="Times New Roman" w:eastAsia="Times New Roman" w:hAnsi="Times New Roman"/>
                <w:sz w:val="19"/>
                <w:szCs w:val="19"/>
                <w:color w:val="C3C5C7"/>
              </w:rPr>
              <w:t>...................................</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281,338</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6,331</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275,007</w:t>
            </w:r>
          </w:p>
        </w:tc>
        <w:tc>
          <w:tcPr>
            <w:tcW w:w="0" w:type="dxa"/>
            <w:vAlign w:val="bottom"/>
          </w:tcPr>
          <w:p>
            <w:pPr>
              <w:spacing w:after="0"/>
              <w:rPr>
                <w:sz w:val="1"/>
                <w:szCs w:val="1"/>
                <w:color w:val="auto"/>
              </w:rPr>
            </w:pPr>
          </w:p>
        </w:tc>
      </w:tr>
      <w:tr>
        <w:trPr>
          <w:trHeight w:val="258"/>
        </w:trPr>
        <w:tc>
          <w:tcPr>
            <w:tcW w:w="5620" w:type="dxa"/>
            <w:vAlign w:val="bottom"/>
          </w:tcPr>
          <w:p>
            <w:pPr>
              <w:ind w:left="40"/>
              <w:spacing w:after="0"/>
              <w:rPr>
                <w:sz w:val="20"/>
                <w:szCs w:val="20"/>
                <w:color w:val="auto"/>
              </w:rPr>
            </w:pPr>
            <w:r>
              <w:rPr>
                <w:rFonts w:ascii="Times New Roman" w:cs="Times New Roman" w:eastAsia="Times New Roman" w:hAnsi="Times New Roman"/>
                <w:sz w:val="19"/>
                <w:szCs w:val="19"/>
                <w:color w:val="231F20"/>
              </w:rPr>
              <w:t xml:space="preserve">Redevelopments/capital expenditure contracts </w:t>
            </w:r>
            <w:r>
              <w:rPr>
                <w:rFonts w:ascii="Times New Roman" w:cs="Times New Roman" w:eastAsia="Times New Roman" w:hAnsi="Times New Roman"/>
                <w:sz w:val="19"/>
                <w:szCs w:val="19"/>
                <w:color w:val="C3C5C7"/>
              </w:rPr>
              <w:t>..........................................</w:t>
            </w:r>
          </w:p>
        </w:tc>
        <w:tc>
          <w:tcPr>
            <w:tcW w:w="3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314,158</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238,613</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75,545</w:t>
            </w:r>
          </w:p>
        </w:tc>
        <w:tc>
          <w:tcPr>
            <w:tcW w:w="0" w:type="dxa"/>
            <w:vAlign w:val="bottom"/>
          </w:tcPr>
          <w:p>
            <w:pPr>
              <w:spacing w:after="0"/>
              <w:rPr>
                <w:sz w:val="1"/>
                <w:szCs w:val="1"/>
                <w:color w:val="auto"/>
              </w:rPr>
            </w:pPr>
          </w:p>
        </w:tc>
      </w:tr>
      <w:tr>
        <w:trPr>
          <w:trHeight w:val="285"/>
        </w:trPr>
        <w:tc>
          <w:tcPr>
            <w:tcW w:w="5620" w:type="dxa"/>
            <w:vAlign w:val="bottom"/>
          </w:tcPr>
          <w:p>
            <w:pPr>
              <w:ind w:left="40"/>
              <w:spacing w:after="0"/>
              <w:rPr>
                <w:sz w:val="20"/>
                <w:szCs w:val="20"/>
                <w:color w:val="auto"/>
              </w:rPr>
            </w:pPr>
            <w:r>
              <w:rPr>
                <w:rFonts w:ascii="Times New Roman" w:cs="Times New Roman" w:eastAsia="Times New Roman" w:hAnsi="Times New Roman"/>
                <w:sz w:val="19"/>
                <w:szCs w:val="19"/>
                <w:color w:val="231F20"/>
              </w:rPr>
              <w:t xml:space="preserve">Real estate commitments (4) </w:t>
            </w:r>
            <w:r>
              <w:rPr>
                <w:rFonts w:ascii="Times New Roman" w:cs="Times New Roman" w:eastAsia="Times New Roman" w:hAnsi="Times New Roman"/>
                <w:sz w:val="19"/>
                <w:szCs w:val="19"/>
                <w:color w:val="C3C5C7"/>
              </w:rPr>
              <w:t>...................................................................</w:t>
            </w:r>
          </w:p>
        </w:tc>
        <w:tc>
          <w:tcPr>
            <w:tcW w:w="320" w:type="dxa"/>
            <w:vAlign w:val="bottom"/>
            <w:tcBorders>
              <w:bottom w:val="single" w:sz="8" w:color="231F20"/>
            </w:tcBorders>
          </w:tcPr>
          <w:p>
            <w:pPr>
              <w:spacing w:after="0"/>
              <w:rPr>
                <w:sz w:val="24"/>
                <w:szCs w:val="24"/>
                <w:color w:val="auto"/>
              </w:rPr>
            </w:pPr>
          </w:p>
        </w:tc>
        <w:tc>
          <w:tcPr>
            <w:tcW w:w="10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10,438</w:t>
            </w:r>
          </w:p>
        </w:tc>
        <w:tc>
          <w:tcPr>
            <w:tcW w:w="80" w:type="dxa"/>
            <w:vAlign w:val="bottom"/>
          </w:tcPr>
          <w:p>
            <w:pPr>
              <w:spacing w:after="0"/>
              <w:rPr>
                <w:sz w:val="24"/>
                <w:szCs w:val="24"/>
                <w:color w:val="auto"/>
              </w:rPr>
            </w:pPr>
          </w:p>
        </w:tc>
        <w:tc>
          <w:tcPr>
            <w:tcW w:w="160" w:type="dxa"/>
            <w:vAlign w:val="bottom"/>
            <w:tcBorders>
              <w:bottom w:val="single" w:sz="8" w:color="231F20"/>
            </w:tcBorders>
          </w:tcPr>
          <w:p>
            <w:pPr>
              <w:spacing w:after="0"/>
              <w:rPr>
                <w:sz w:val="24"/>
                <w:szCs w:val="24"/>
                <w:color w:val="auto"/>
              </w:rPr>
            </w:pPr>
          </w:p>
        </w:tc>
        <w:tc>
          <w:tcPr>
            <w:tcW w:w="11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2,500</w:t>
            </w:r>
          </w:p>
        </w:tc>
        <w:tc>
          <w:tcPr>
            <w:tcW w:w="80" w:type="dxa"/>
            <w:vAlign w:val="bottom"/>
          </w:tcPr>
          <w:p>
            <w:pPr>
              <w:spacing w:after="0"/>
              <w:rPr>
                <w:sz w:val="24"/>
                <w:szCs w:val="24"/>
                <w:color w:val="auto"/>
              </w:rPr>
            </w:pPr>
          </w:p>
        </w:tc>
        <w:tc>
          <w:tcPr>
            <w:tcW w:w="140" w:type="dxa"/>
            <w:vAlign w:val="bottom"/>
            <w:tcBorders>
              <w:bottom w:val="single" w:sz="8" w:color="231F20"/>
            </w:tcBorders>
          </w:tcPr>
          <w:p>
            <w:pPr>
              <w:spacing w:after="0"/>
              <w:rPr>
                <w:sz w:val="24"/>
                <w:szCs w:val="24"/>
                <w:color w:val="auto"/>
              </w:rPr>
            </w:pPr>
          </w:p>
        </w:tc>
        <w:tc>
          <w:tcPr>
            <w:tcW w:w="11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7,938</w:t>
            </w:r>
          </w:p>
        </w:tc>
        <w:tc>
          <w:tcPr>
            <w:tcW w:w="0" w:type="dxa"/>
            <w:vAlign w:val="bottom"/>
          </w:tcPr>
          <w:p>
            <w:pPr>
              <w:spacing w:after="0"/>
              <w:rPr>
                <w:sz w:val="1"/>
                <w:szCs w:val="1"/>
                <w:color w:val="auto"/>
              </w:rPr>
            </w:pPr>
          </w:p>
        </w:tc>
      </w:tr>
      <w:tr>
        <w:trPr>
          <w:trHeight w:val="233"/>
        </w:trPr>
        <w:tc>
          <w:tcPr>
            <w:tcW w:w="5620" w:type="dxa"/>
            <w:vAlign w:val="bottom"/>
          </w:tcPr>
          <w:p>
            <w:pPr>
              <w:ind w:left="40"/>
              <w:spacing w:after="0"/>
              <w:rPr>
                <w:sz w:val="20"/>
                <w:szCs w:val="20"/>
                <w:color w:val="auto"/>
              </w:rPr>
            </w:pPr>
            <w:r>
              <w:rPr>
                <w:rFonts w:ascii="Times New Roman" w:cs="Times New Roman" w:eastAsia="Times New Roman" w:hAnsi="Times New Roman"/>
                <w:sz w:val="19"/>
                <w:szCs w:val="19"/>
                <w:color w:val="C3C5C7"/>
              </w:rPr>
              <w:t>.............................................................</w:t>
            </w:r>
            <w:r>
              <w:rPr>
                <w:rFonts w:ascii="Times New Roman" w:cs="Times New Roman" w:eastAsia="Times New Roman" w:hAnsi="Times New Roman"/>
                <w:sz w:val="19"/>
                <w:szCs w:val="19"/>
                <w:color w:val="231F20"/>
              </w:rPr>
              <w:t>Totalestimatedcashrequirements</w:t>
            </w:r>
          </w:p>
        </w:tc>
        <w:tc>
          <w:tcPr>
            <w:tcW w:w="320" w:type="dxa"/>
            <w:vAlign w:val="bottom"/>
          </w:tcPr>
          <w:p>
            <w:pPr>
              <w:jc w:val="right"/>
              <w:ind w:right="85"/>
              <w:spacing w:after="0"/>
              <w:rPr>
                <w:sz w:val="20"/>
                <w:szCs w:val="20"/>
                <w:color w:val="auto"/>
              </w:rPr>
            </w:pPr>
            <w:r>
              <w:rPr>
                <w:rFonts w:ascii="Times New Roman" w:cs="Times New Roman" w:eastAsia="Times New Roman" w:hAnsi="Times New Roman"/>
                <w:sz w:val="19"/>
                <w:szCs w:val="19"/>
                <w:color w:val="231F2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5,631,920</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231F2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903,417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4,728,503</w:t>
            </w:r>
          </w:p>
        </w:tc>
        <w:tc>
          <w:tcPr>
            <w:tcW w:w="0" w:type="dxa"/>
            <w:vAlign w:val="bottom"/>
          </w:tcPr>
          <w:p>
            <w:pPr>
              <w:spacing w:after="0"/>
              <w:rPr>
                <w:sz w:val="1"/>
                <w:szCs w:val="1"/>
                <w:color w:val="auto"/>
              </w:rPr>
            </w:pPr>
          </w:p>
        </w:tc>
      </w:tr>
      <w:tr>
        <w:trPr>
          <w:trHeight w:val="20"/>
        </w:trPr>
        <w:tc>
          <w:tcPr>
            <w:tcW w:w="5620" w:type="dxa"/>
            <w:vAlign w:val="bottom"/>
            <w:vMerge w:val="restart"/>
          </w:tcPr>
          <w:p>
            <w:pPr>
              <w:ind w:left="40"/>
              <w:spacing w:after="0"/>
              <w:rPr>
                <w:sz w:val="20"/>
                <w:szCs w:val="20"/>
                <w:color w:val="auto"/>
              </w:rPr>
            </w:pPr>
            <w:r>
              <w:rPr>
                <w:rFonts w:ascii="Times New Roman" w:cs="Times New Roman" w:eastAsia="Times New Roman" w:hAnsi="Times New Roman"/>
                <w:sz w:val="19"/>
                <w:szCs w:val="19"/>
                <w:color w:val="231F20"/>
              </w:rPr>
              <w:t>_____________________</w:t>
            </w:r>
          </w:p>
        </w:tc>
        <w:tc>
          <w:tcPr>
            <w:tcW w:w="320" w:type="dxa"/>
            <w:vAlign w:val="bottom"/>
            <w:tcBorders>
              <w:top w:val="single" w:sz="8" w:color="231F20"/>
              <w:bottom w:val="single" w:sz="8" w:color="231F20"/>
            </w:tcBorders>
          </w:tcPr>
          <w:p>
            <w:pPr>
              <w:spacing w:after="0" w:line="20" w:lineRule="exact"/>
              <w:rPr>
                <w:sz w:val="1"/>
                <w:szCs w:val="1"/>
                <w:color w:val="auto"/>
              </w:rPr>
            </w:pPr>
          </w:p>
        </w:tc>
        <w:tc>
          <w:tcPr>
            <w:tcW w:w="100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231F20"/>
              <w:bottom w:val="single" w:sz="8" w:color="231F20"/>
            </w:tcBorders>
          </w:tcPr>
          <w:p>
            <w:pPr>
              <w:spacing w:after="0" w:line="20" w:lineRule="exact"/>
              <w:rPr>
                <w:sz w:val="1"/>
                <w:szCs w:val="1"/>
                <w:color w:val="auto"/>
              </w:rPr>
            </w:pPr>
          </w:p>
        </w:tc>
        <w:tc>
          <w:tcPr>
            <w:tcW w:w="116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231F20"/>
              <w:bottom w:val="single" w:sz="8" w:color="231F20"/>
            </w:tcBorders>
          </w:tcPr>
          <w:p>
            <w:pPr>
              <w:spacing w:after="0" w:line="20" w:lineRule="exact"/>
              <w:rPr>
                <w:sz w:val="1"/>
                <w:szCs w:val="1"/>
                <w:color w:val="auto"/>
              </w:rPr>
            </w:pPr>
          </w:p>
        </w:tc>
        <w:tc>
          <w:tcPr>
            <w:tcW w:w="1180" w:type="dxa"/>
            <w:vAlign w:val="bottom"/>
            <w:tcBorders>
              <w:top w:val="single" w:sz="8" w:color="231F20"/>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5620" w:type="dxa"/>
            <w:vAlign w:val="bottom"/>
            <w:vMerge w:val="continue"/>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520" w:right="240" w:hanging="517"/>
        <w:spacing w:after="0" w:line="267" w:lineRule="auto"/>
        <w:tabs>
          <w:tab w:leader="none" w:pos="520" w:val="left"/>
        </w:tabs>
        <w:numPr>
          <w:ilvl w:val="0"/>
          <w:numId w:val="46"/>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The weighted average interest rate on our fixed and variable rate debt is 3.8% as of December 31, 2025. Of the $655.6 million of debt maturing in the next twelve months as of December 31, 2025, $200.0 million is our mortgage loan secured by Bethesda Row which has a one-year extension, at our option, to extend the loan to December 2027.</w:t>
      </w:r>
    </w:p>
    <w:p>
      <w:pPr>
        <w:spacing w:after="0" w:line="12" w:lineRule="exact"/>
        <w:rPr>
          <w:rFonts w:ascii="Times New Roman" w:cs="Times New Roman" w:eastAsia="Times New Roman" w:hAnsi="Times New Roman"/>
          <w:sz w:val="19"/>
          <w:szCs w:val="19"/>
          <w:color w:val="231F20"/>
        </w:rPr>
      </w:pPr>
    </w:p>
    <w:p>
      <w:pPr>
        <w:ind w:left="520" w:right="920" w:hanging="517"/>
        <w:spacing w:after="0" w:line="281" w:lineRule="auto"/>
        <w:tabs>
          <w:tab w:leader="none" w:pos="520" w:val="left"/>
        </w:tabs>
        <w:numPr>
          <w:ilvl w:val="0"/>
          <w:numId w:val="46"/>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The weighted average interest rate on the fixed and variable rate debt related to our unconsolidated real estate partnerships is 4.79% as of December 31, 2025.</w:t>
      </w:r>
    </w:p>
    <w:p>
      <w:pPr>
        <w:spacing w:after="0" w:line="1" w:lineRule="exact"/>
        <w:rPr>
          <w:rFonts w:ascii="Times New Roman" w:cs="Times New Roman" w:eastAsia="Times New Roman" w:hAnsi="Times New Roman"/>
          <w:sz w:val="19"/>
          <w:szCs w:val="19"/>
          <w:color w:val="231F20"/>
        </w:rPr>
      </w:pPr>
    </w:p>
    <w:p>
      <w:pPr>
        <w:ind w:left="520" w:hanging="517"/>
        <w:spacing w:after="0"/>
        <w:tabs>
          <w:tab w:leader="none" w:pos="520" w:val="left"/>
        </w:tabs>
        <w:numPr>
          <w:ilvl w:val="0"/>
          <w:numId w:val="46"/>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This includes minimum rental payments related to both finance and operating leases.</w:t>
      </w:r>
    </w:p>
    <w:p>
      <w:pPr>
        <w:sectPr>
          <w:pgSz w:w="11880" w:h="15480" w:orient="portrait"/>
          <w:cols w:equalWidth="0" w:num="1">
            <w:col w:w="9760"/>
          </w:cols>
          <w:pgMar w:left="1060" w:top="963"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42</w:t>
      </w:r>
    </w:p>
    <w:p>
      <w:pPr>
        <w:sectPr>
          <w:pgSz w:w="11880" w:h="15480" w:orient="portrait"/>
          <w:cols w:equalWidth="0" w:num="1">
            <w:col w:w="9760"/>
          </w:cols>
          <w:pgMar w:left="1060" w:top="963" w:right="1060" w:bottom="0" w:gutter="0" w:footer="0" w:header="0"/>
          <w:type w:val="continuous"/>
        </w:sectPr>
      </w:pPr>
    </w:p>
    <w:bookmarkStart w:id="50" w:name="page51"/>
    <w:bookmarkEnd w:id="50"/>
    <w:p>
      <w:pPr>
        <w:ind w:left="520" w:right="100" w:hanging="517"/>
        <w:spacing w:after="0" w:line="267" w:lineRule="auto"/>
        <w:tabs>
          <w:tab w:leader="none" w:pos="520" w:val="left"/>
        </w:tabs>
        <w:numPr>
          <w:ilvl w:val="0"/>
          <w:numId w:val="47"/>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On January 6, 2026, we purchased the fee interest under one of our ground leases at Bethesda Row for $2.5 million.The total also includes the liability related to the sale under threat of condemnation at San Antonio Center as further discussed in Note 7 to the consolidated financial statements.</w:t>
      </w:r>
    </w:p>
    <w:p>
      <w:pPr>
        <w:spacing w:after="0" w:line="126" w:lineRule="exact"/>
        <w:rPr>
          <w:sz w:val="20"/>
          <w:szCs w:val="20"/>
          <w:color w:val="auto"/>
        </w:rPr>
      </w:pPr>
    </w:p>
    <w:p>
      <w:pPr>
        <w:ind w:right="420"/>
        <w:spacing w:after="0" w:line="284" w:lineRule="auto"/>
        <w:rPr>
          <w:sz w:val="20"/>
          <w:szCs w:val="20"/>
          <w:color w:val="auto"/>
        </w:rPr>
      </w:pPr>
      <w:r>
        <w:rPr>
          <w:rFonts w:ascii="Times New Roman" w:cs="Times New Roman" w:eastAsia="Times New Roman" w:hAnsi="Times New Roman"/>
          <w:sz w:val="19"/>
          <w:szCs w:val="19"/>
          <w:color w:val="231F20"/>
        </w:rPr>
        <w:t>In addition to the amounts set forth in the table above and other liquidity requirements previously discussed, the following potential commitments exist:</w:t>
      </w:r>
    </w:p>
    <w:p>
      <w:pPr>
        <w:spacing w:after="0" w:line="110" w:lineRule="exact"/>
        <w:rPr>
          <w:sz w:val="20"/>
          <w:szCs w:val="20"/>
          <w:color w:val="auto"/>
        </w:rPr>
      </w:pPr>
    </w:p>
    <w:p>
      <w:pPr>
        <w:ind w:firstLine="431"/>
        <w:spacing w:after="0" w:line="259" w:lineRule="auto"/>
        <w:tabs>
          <w:tab w:leader="none" w:pos="685" w:val="left"/>
        </w:tabs>
        <w:numPr>
          <w:ilvl w:val="0"/>
          <w:numId w:val="48"/>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Under the terms of the Congressional Plaza partnership agreement, a minority partner has the right to require us and the other minority partner to purchase its 26.63% interest in Congressional Plaza at the interest’s then-current fair market value. If the other minority partner defaults in their obligation, we must purchase the full interest. Based on management’s current estimate of fair market value as of December 31, 2025, our estimated liability upon exercise of the put option would range from approximately $62 million to $63 million.</w:t>
      </w:r>
    </w:p>
    <w:p>
      <w:pPr>
        <w:spacing w:after="0" w:line="57" w:lineRule="exact"/>
        <w:rPr>
          <w:rFonts w:ascii="Times New Roman" w:cs="Times New Roman" w:eastAsia="Times New Roman" w:hAnsi="Times New Roman"/>
          <w:sz w:val="19"/>
          <w:szCs w:val="19"/>
          <w:color w:val="231F20"/>
        </w:rPr>
      </w:pPr>
    </w:p>
    <w:p>
      <w:pPr>
        <w:jc w:val="both"/>
        <w:ind w:right="540" w:firstLine="431"/>
        <w:spacing w:after="0" w:line="267" w:lineRule="auto"/>
        <w:tabs>
          <w:tab w:leader="none" w:pos="684" w:val="left"/>
        </w:tabs>
        <w:numPr>
          <w:ilvl w:val="0"/>
          <w:numId w:val="48"/>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Under the terms of various other partnership agreements, the partners have the right to exchange their operating partnership units for cash or the same number of our common shares, at our option. As of December 31, 2025, a total of 526,915 downREIT operating partnership units are outstanding.</w:t>
      </w:r>
    </w:p>
    <w:p>
      <w:pPr>
        <w:spacing w:after="0" w:line="50" w:lineRule="exact"/>
        <w:rPr>
          <w:rFonts w:ascii="Times New Roman" w:cs="Times New Roman" w:eastAsia="Times New Roman" w:hAnsi="Times New Roman"/>
          <w:sz w:val="19"/>
          <w:szCs w:val="19"/>
          <w:color w:val="231F20"/>
        </w:rPr>
      </w:pPr>
    </w:p>
    <w:p>
      <w:pPr>
        <w:ind w:right="20" w:firstLine="431"/>
        <w:spacing w:after="0" w:line="261" w:lineRule="auto"/>
        <w:tabs>
          <w:tab w:leader="none" w:pos="684" w:val="left"/>
        </w:tabs>
        <w:numPr>
          <w:ilvl w:val="0"/>
          <w:numId w:val="48"/>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The other member in The Grove at Shrewsbury and Brook 35 has the right to require us to purchase all of its approximately 4.1% interest in The Grove at Shrewsbury and approximately 6.5% interest in Brook 35 at the interests' then-current fair market value. Based on management's current estimate of fair market value as of December 31, 2025, our estimated maximum liability upon exercise of the put option would range from $9 million to $10 million.</w:t>
      </w:r>
    </w:p>
    <w:p>
      <w:pPr>
        <w:spacing w:after="0" w:line="57" w:lineRule="exact"/>
        <w:rPr>
          <w:rFonts w:ascii="Times New Roman" w:cs="Times New Roman" w:eastAsia="Times New Roman" w:hAnsi="Times New Roman"/>
          <w:sz w:val="19"/>
          <w:szCs w:val="19"/>
          <w:color w:val="231F20"/>
        </w:rPr>
      </w:pPr>
    </w:p>
    <w:p>
      <w:pPr>
        <w:ind w:right="100" w:firstLine="431"/>
        <w:spacing w:after="0" w:line="267" w:lineRule="auto"/>
        <w:tabs>
          <w:tab w:leader="none" w:pos="684" w:val="left"/>
        </w:tabs>
        <w:numPr>
          <w:ilvl w:val="0"/>
          <w:numId w:val="48"/>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The other member in Hoboken has the right to require us to purchase all of its 10% ownership interest at the interest's then-current fair market value. Based on management's current estimate of fair market value as of December 31, 2025, our estimated maximum liability upon exercise of the put option would range from $12 million to $13 million.</w:t>
      </w:r>
    </w:p>
    <w:p>
      <w:pPr>
        <w:spacing w:after="0" w:line="50" w:lineRule="exact"/>
        <w:rPr>
          <w:rFonts w:ascii="Times New Roman" w:cs="Times New Roman" w:eastAsia="Times New Roman" w:hAnsi="Times New Roman"/>
          <w:sz w:val="19"/>
          <w:szCs w:val="19"/>
          <w:color w:val="231F20"/>
        </w:rPr>
      </w:pPr>
    </w:p>
    <w:p>
      <w:pPr>
        <w:ind w:right="180" w:firstLine="431"/>
        <w:spacing w:after="0" w:line="261" w:lineRule="auto"/>
        <w:tabs>
          <w:tab w:leader="none" w:pos="685" w:val="left"/>
        </w:tabs>
        <w:numPr>
          <w:ilvl w:val="0"/>
          <w:numId w:val="48"/>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Effective June 14, 2026, the other member in Camelback Colonnade and Hilton Village has the right to require us to purchase all of its 2.0% ownership interest at the interest's then-current fair market value. Based on management's current estimate of fair value as of December 31, 2025, our estimated maximum liability upon exercise of the put option would range from $4 million to $5 million.</w:t>
      </w:r>
    </w:p>
    <w:p>
      <w:pPr>
        <w:spacing w:after="0" w:line="57" w:lineRule="exact"/>
        <w:rPr>
          <w:rFonts w:ascii="Times New Roman" w:cs="Times New Roman" w:eastAsia="Times New Roman" w:hAnsi="Times New Roman"/>
          <w:sz w:val="19"/>
          <w:szCs w:val="19"/>
          <w:color w:val="231F20"/>
        </w:rPr>
      </w:pPr>
    </w:p>
    <w:p>
      <w:pPr>
        <w:ind w:right="60" w:firstLine="431"/>
        <w:spacing w:after="0" w:line="261" w:lineRule="auto"/>
        <w:tabs>
          <w:tab w:leader="none" w:pos="684" w:val="left"/>
        </w:tabs>
        <w:numPr>
          <w:ilvl w:val="0"/>
          <w:numId w:val="48"/>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Effective October 6, 2027, the other member in the partnership that owns equity method investments in Chandler Festival and Chandler Gateway has the right to require us to purchase its 2.5% net ownership interest. Based on management's current estimate of fair value as of December 31, 2025, our estimated maximum liability upon exercise of the put option would range from $1 million and $2 million.</w:t>
      </w:r>
    </w:p>
    <w:p>
      <w:pPr>
        <w:spacing w:after="0" w:line="57" w:lineRule="exact"/>
        <w:rPr>
          <w:rFonts w:ascii="Times New Roman" w:cs="Times New Roman" w:eastAsia="Times New Roman" w:hAnsi="Times New Roman"/>
          <w:sz w:val="19"/>
          <w:szCs w:val="19"/>
          <w:color w:val="231F20"/>
        </w:rPr>
      </w:pPr>
    </w:p>
    <w:p>
      <w:pPr>
        <w:jc w:val="both"/>
        <w:ind w:right="140" w:firstLine="431"/>
        <w:spacing w:after="0" w:line="261" w:lineRule="auto"/>
        <w:tabs>
          <w:tab w:leader="none" w:pos="684" w:val="left"/>
        </w:tabs>
        <w:numPr>
          <w:ilvl w:val="0"/>
          <w:numId w:val="48"/>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Effective June 1, 2029, the other member in Grossmont Center has the right to require us to purchase all of its 40.0% ownership interest at the interest's then-current fair market value. Based on management's current estimate of fair value as of December 31, 2025, our estimated maximum liability upon exercise of the put option would range from $68 million to $73 million.</w:t>
      </w:r>
    </w:p>
    <w:p>
      <w:pPr>
        <w:spacing w:after="0" w:line="57" w:lineRule="exact"/>
        <w:rPr>
          <w:rFonts w:ascii="Times New Roman" w:cs="Times New Roman" w:eastAsia="Times New Roman" w:hAnsi="Times New Roman"/>
          <w:sz w:val="19"/>
          <w:szCs w:val="19"/>
          <w:color w:val="231F20"/>
        </w:rPr>
      </w:pPr>
    </w:p>
    <w:p>
      <w:pPr>
        <w:ind w:left="680" w:hanging="249"/>
        <w:spacing w:after="0"/>
        <w:tabs>
          <w:tab w:leader="none" w:pos="680" w:val="left"/>
        </w:tabs>
        <w:numPr>
          <w:ilvl w:val="0"/>
          <w:numId w:val="48"/>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At December 31, 2025, we had letters of credit outstanding of approximately $5.5 million.</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231F20"/>
        </w:rPr>
        <w:t>Off-Balance Sheet Arrangements</w:t>
      </w:r>
    </w:p>
    <w:p>
      <w:pPr>
        <w:spacing w:after="0" w:line="107" w:lineRule="exact"/>
        <w:rPr>
          <w:sz w:val="20"/>
          <w:szCs w:val="20"/>
          <w:color w:val="auto"/>
        </w:rPr>
      </w:pPr>
    </w:p>
    <w:p>
      <w:pPr>
        <w:jc w:val="both"/>
        <w:ind w:right="580"/>
        <w:spacing w:after="0" w:line="313" w:lineRule="auto"/>
        <w:rPr>
          <w:sz w:val="20"/>
          <w:szCs w:val="20"/>
          <w:color w:val="auto"/>
        </w:rPr>
      </w:pPr>
      <w:r>
        <w:rPr>
          <w:rFonts w:ascii="Times New Roman" w:cs="Times New Roman" w:eastAsia="Times New Roman" w:hAnsi="Times New Roman"/>
          <w:sz w:val="18"/>
          <w:szCs w:val="18"/>
          <w:color w:val="231F20"/>
        </w:rPr>
        <w:t>At December 31, 2025, we have four real estate related equity method investments with total debt outstanding of $151.1 million, of which our share is $62.4 million. Our investment in these ventures at December 31, 2025 was $27.9 million.</w:t>
      </w:r>
    </w:p>
    <w:p>
      <w:pPr>
        <w:spacing w:after="0" w:line="12"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9"/>
          <w:szCs w:val="19"/>
          <w:color w:val="231F20"/>
        </w:rPr>
        <w:t>Other than the items disclosed in the Cash Requirements table, we have no off-balance sheet arrangements as of December 31, 2025 that are reasonably likely to have a current or future material effect on our financial condition, changes in financial condition, revenues or expenses, results of operations, liquidity, cash requirements, or capital resources.</w:t>
      </w:r>
    </w:p>
    <w:p>
      <w:pPr>
        <w:sectPr>
          <w:pgSz w:w="11880" w:h="15480" w:orient="portrait"/>
          <w:cols w:equalWidth="0" w:num="1">
            <w:col w:w="9720"/>
          </w:cols>
          <w:pgMar w:left="1060" w:top="963" w:right="11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231F20"/>
        </w:rPr>
        <w:t>43</w:t>
      </w:r>
    </w:p>
    <w:p>
      <w:pPr>
        <w:sectPr>
          <w:pgSz w:w="11880" w:h="15480" w:orient="portrait"/>
          <w:cols w:equalWidth="0" w:num="1">
            <w:col w:w="9720"/>
          </w:cols>
          <w:pgMar w:left="1060" w:top="963" w:right="1100" w:bottom="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19"/>
          <w:szCs w:val="19"/>
          <w:i w:val="1"/>
          <w:iCs w:val="1"/>
          <w:color w:val="231F20"/>
        </w:rPr>
        <w:t>Debt Financing Arrangements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The following is a summary of our total debt outstanding as of December 31, 2025:</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jc w:val="right"/>
              <w:ind w:right="120"/>
              <w:spacing w:after="0"/>
              <w:rPr>
                <w:sz w:val="20"/>
                <w:szCs w:val="20"/>
                <w:color w:val="auto"/>
              </w:rPr>
            </w:pPr>
            <w:r>
              <w:rPr>
                <w:rFonts w:ascii="Times New Roman" w:cs="Times New Roman" w:eastAsia="Times New Roman" w:hAnsi="Times New Roman"/>
                <w:sz w:val="15"/>
                <w:szCs w:val="15"/>
                <w:b w:val="1"/>
                <w:bCs w:val="1"/>
                <w:color w:val="231F20"/>
              </w:rPr>
              <w:t>Original</w:t>
            </w:r>
          </w:p>
        </w:tc>
        <w:tc>
          <w:tcPr>
            <w:tcW w:w="80" w:type="dxa"/>
            <w:vAlign w:val="bottom"/>
          </w:tcPr>
          <w:p>
            <w:pPr>
              <w:spacing w:after="0"/>
              <w:rPr>
                <w:sz w:val="15"/>
                <w:szCs w:val="15"/>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5"/>
                <w:szCs w:val="15"/>
                <w:b w:val="1"/>
                <w:bCs w:val="1"/>
                <w:color w:val="231F20"/>
              </w:rPr>
              <w:t>Principal Balance as</w:t>
            </w:r>
          </w:p>
        </w:tc>
        <w:tc>
          <w:tcPr>
            <w:tcW w:w="80" w:type="dxa"/>
            <w:vAlign w:val="bottom"/>
          </w:tcPr>
          <w:p>
            <w:pPr>
              <w:spacing w:after="0"/>
              <w:rPr>
                <w:sz w:val="15"/>
                <w:szCs w:val="15"/>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231F20"/>
              </w:rPr>
              <w:t>Stated Interest Rate</w:t>
            </w:r>
          </w:p>
        </w:tc>
        <w:tc>
          <w:tcPr>
            <w:tcW w:w="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3940" w:type="dxa"/>
            <w:vAlign w:val="bottom"/>
            <w:vMerge w:val="restart"/>
          </w:tcPr>
          <w:p>
            <w:pPr>
              <w:ind w:left="60"/>
              <w:spacing w:after="0"/>
              <w:rPr>
                <w:sz w:val="20"/>
                <w:szCs w:val="20"/>
                <w:color w:val="auto"/>
              </w:rPr>
            </w:pPr>
            <w:r>
              <w:rPr>
                <w:rFonts w:ascii="Times New Roman" w:cs="Times New Roman" w:eastAsia="Times New Roman" w:hAnsi="Times New Roman"/>
                <w:sz w:val="15"/>
                <w:szCs w:val="15"/>
                <w:b w:val="1"/>
                <w:bCs w:val="1"/>
                <w:color w:val="231F20"/>
              </w:rPr>
              <w:t>Description of Debt</w:t>
            </w:r>
          </w:p>
        </w:tc>
        <w:tc>
          <w:tcPr>
            <w:tcW w:w="80" w:type="dxa"/>
            <w:vAlign w:val="bottom"/>
          </w:tcPr>
          <w:p>
            <w:pPr>
              <w:spacing w:after="0"/>
              <w:rPr>
                <w:sz w:val="13"/>
                <w:szCs w:val="13"/>
                <w:color w:val="auto"/>
              </w:rPr>
            </w:pPr>
          </w:p>
        </w:tc>
        <w:tc>
          <w:tcPr>
            <w:tcW w:w="960" w:type="dxa"/>
            <w:vAlign w:val="bottom"/>
          </w:tcPr>
          <w:p>
            <w:pPr>
              <w:jc w:val="right"/>
              <w:ind w:right="240"/>
              <w:spacing w:after="0" w:line="152" w:lineRule="exact"/>
              <w:rPr>
                <w:sz w:val="20"/>
                <w:szCs w:val="20"/>
                <w:color w:val="auto"/>
              </w:rPr>
            </w:pPr>
            <w:r>
              <w:rPr>
                <w:rFonts w:ascii="Times New Roman" w:cs="Times New Roman" w:eastAsia="Times New Roman" w:hAnsi="Times New Roman"/>
                <w:sz w:val="15"/>
                <w:szCs w:val="15"/>
                <w:b w:val="1"/>
                <w:bCs w:val="1"/>
                <w:color w:val="231F20"/>
              </w:rPr>
              <w:t>Debt</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tcPr>
          <w:p>
            <w:pPr>
              <w:jc w:val="right"/>
              <w:ind w:right="115"/>
              <w:spacing w:after="0" w:line="152" w:lineRule="exact"/>
              <w:rPr>
                <w:sz w:val="20"/>
                <w:szCs w:val="20"/>
                <w:color w:val="auto"/>
              </w:rPr>
            </w:pPr>
            <w:r>
              <w:rPr>
                <w:rFonts w:ascii="Times New Roman" w:cs="Times New Roman" w:eastAsia="Times New Roman" w:hAnsi="Times New Roman"/>
                <w:sz w:val="15"/>
                <w:szCs w:val="15"/>
                <w:b w:val="1"/>
                <w:bCs w:val="1"/>
                <w:color w:val="231F20"/>
              </w:rPr>
              <w:t>of December 31,</w:t>
            </w:r>
          </w:p>
        </w:tc>
        <w:tc>
          <w:tcPr>
            <w:tcW w:w="80" w:type="dxa"/>
            <w:vAlign w:val="bottom"/>
          </w:tcPr>
          <w:p>
            <w:pPr>
              <w:spacing w:after="0"/>
              <w:rPr>
                <w:sz w:val="13"/>
                <w:szCs w:val="13"/>
                <w:color w:val="auto"/>
              </w:rPr>
            </w:pPr>
          </w:p>
        </w:tc>
        <w:tc>
          <w:tcPr>
            <w:tcW w:w="1440" w:type="dxa"/>
            <w:vAlign w:val="bottom"/>
          </w:tcPr>
          <w:p>
            <w:pPr>
              <w:jc w:val="center"/>
              <w:spacing w:after="0" w:line="152" w:lineRule="exact"/>
              <w:rPr>
                <w:sz w:val="20"/>
                <w:szCs w:val="20"/>
                <w:color w:val="auto"/>
              </w:rPr>
            </w:pPr>
            <w:r>
              <w:rPr>
                <w:rFonts w:ascii="Times New Roman" w:cs="Times New Roman" w:eastAsia="Times New Roman" w:hAnsi="Times New Roman"/>
                <w:sz w:val="15"/>
                <w:szCs w:val="15"/>
                <w:b w:val="1"/>
                <w:bCs w:val="1"/>
                <w:color w:val="231F20"/>
              </w:rPr>
              <w:t>as of December 31,</w:t>
            </w:r>
          </w:p>
        </w:tc>
        <w:tc>
          <w:tcPr>
            <w:tcW w:w="60" w:type="dxa"/>
            <w:vAlign w:val="bottom"/>
          </w:tcPr>
          <w:p>
            <w:pPr>
              <w:spacing w:after="0"/>
              <w:rPr>
                <w:sz w:val="13"/>
                <w:szCs w:val="13"/>
                <w:color w:val="auto"/>
              </w:rPr>
            </w:pPr>
          </w:p>
        </w:tc>
        <w:tc>
          <w:tcPr>
            <w:tcW w:w="1620" w:type="dxa"/>
            <w:vAlign w:val="bottom"/>
            <w:vMerge w:val="restart"/>
          </w:tcPr>
          <w:p>
            <w:pPr>
              <w:jc w:val="right"/>
              <w:ind w:right="255"/>
              <w:spacing w:after="0"/>
              <w:rPr>
                <w:sz w:val="20"/>
                <w:szCs w:val="20"/>
                <w:color w:val="auto"/>
              </w:rPr>
            </w:pPr>
            <w:r>
              <w:rPr>
                <w:rFonts w:ascii="Times New Roman" w:cs="Times New Roman" w:eastAsia="Times New Roman" w:hAnsi="Times New Roman"/>
                <w:sz w:val="15"/>
                <w:szCs w:val="15"/>
                <w:b w:val="1"/>
                <w:bCs w:val="1"/>
                <w:color w:val="231F20"/>
              </w:rPr>
              <w:t>Maturity Date</w:t>
            </w:r>
          </w:p>
        </w:tc>
        <w:tc>
          <w:tcPr>
            <w:tcW w:w="0" w:type="dxa"/>
            <w:vAlign w:val="bottom"/>
          </w:tcPr>
          <w:p>
            <w:pPr>
              <w:spacing w:after="0"/>
              <w:rPr>
                <w:sz w:val="1"/>
                <w:szCs w:val="1"/>
                <w:color w:val="auto"/>
              </w:rPr>
            </w:pPr>
          </w:p>
        </w:tc>
      </w:tr>
      <w:tr>
        <w:trPr>
          <w:trHeight w:val="203"/>
        </w:trPr>
        <w:tc>
          <w:tcPr>
            <w:tcW w:w="39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ind w:left="260"/>
              <w:spacing w:after="0"/>
              <w:rPr>
                <w:sz w:val="20"/>
                <w:szCs w:val="20"/>
                <w:color w:val="auto"/>
              </w:rPr>
            </w:pPr>
            <w:r>
              <w:rPr>
                <w:rFonts w:ascii="Times New Roman" w:cs="Times New Roman" w:eastAsia="Times New Roman" w:hAnsi="Times New Roman"/>
                <w:sz w:val="15"/>
                <w:szCs w:val="15"/>
                <w:b w:val="1"/>
                <w:bCs w:val="1"/>
                <w:color w:val="231F20"/>
              </w:rPr>
              <w:t>Issued</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ind w:right="495"/>
              <w:spacing w:after="0"/>
              <w:rPr>
                <w:sz w:val="20"/>
                <w:szCs w:val="20"/>
                <w:color w:val="auto"/>
              </w:rPr>
            </w:pPr>
            <w:r>
              <w:rPr>
                <w:rFonts w:ascii="Times New Roman" w:cs="Times New Roman" w:eastAsia="Times New Roman" w:hAnsi="Times New Roman"/>
                <w:sz w:val="15"/>
                <w:szCs w:val="15"/>
                <w:b w:val="1"/>
                <w:bCs w:val="1"/>
                <w:color w:val="231F20"/>
              </w:rPr>
              <w:t>2025</w:t>
            </w:r>
          </w:p>
        </w:tc>
        <w:tc>
          <w:tcPr>
            <w:tcW w:w="1520" w:type="dxa"/>
            <w:vAlign w:val="bottom"/>
            <w:gridSpan w:val="2"/>
          </w:tcPr>
          <w:p>
            <w:pPr>
              <w:jc w:val="center"/>
              <w:spacing w:after="0"/>
              <w:rPr>
                <w:sz w:val="20"/>
                <w:szCs w:val="20"/>
                <w:color w:val="auto"/>
              </w:rPr>
            </w:pPr>
            <w:r>
              <w:rPr>
                <w:rFonts w:ascii="Times New Roman" w:cs="Times New Roman" w:eastAsia="Times New Roman" w:hAnsi="Times New Roman"/>
                <w:sz w:val="15"/>
                <w:szCs w:val="15"/>
                <w:b w:val="1"/>
                <w:bCs w:val="1"/>
                <w:color w:val="231F20"/>
                <w:w w:val="99"/>
              </w:rPr>
              <w:t>2025</w:t>
            </w:r>
          </w:p>
        </w:tc>
        <w:tc>
          <w:tcPr>
            <w:tcW w:w="60" w:type="dxa"/>
            <w:vAlign w:val="bottom"/>
          </w:tcPr>
          <w:p>
            <w:pPr>
              <w:spacing w:after="0"/>
              <w:rPr>
                <w:sz w:val="17"/>
                <w:szCs w:val="17"/>
                <w:color w:val="auto"/>
              </w:rPr>
            </w:pPr>
          </w:p>
        </w:tc>
        <w:tc>
          <w:tcPr>
            <w:tcW w:w="1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940" w:type="dxa"/>
            <w:vAlign w:val="bottom"/>
            <w:tcBorders>
              <w:top w:val="single" w:sz="8" w:color="231F20"/>
            </w:tcBorders>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15"/>
                <w:szCs w:val="15"/>
                <w:b w:val="1"/>
                <w:bCs w:val="1"/>
                <w:color w:val="231F20"/>
              </w:rPr>
              <w:t>(Dollars</w:t>
            </w:r>
          </w:p>
        </w:tc>
        <w:tc>
          <w:tcPr>
            <w:tcW w:w="80" w:type="dxa"/>
            <w:vAlign w:val="bottom"/>
          </w:tcPr>
          <w:p>
            <w:pPr>
              <w:spacing w:after="0"/>
              <w:rPr>
                <w:sz w:val="17"/>
                <w:szCs w:val="17"/>
                <w:color w:val="auto"/>
              </w:rPr>
            </w:pPr>
          </w:p>
        </w:tc>
        <w:tc>
          <w:tcPr>
            <w:tcW w:w="1460" w:type="dxa"/>
            <w:vAlign w:val="bottom"/>
            <w:tcBorders>
              <w:top w:val="single" w:sz="8" w:color="231F20"/>
            </w:tcBorders>
            <w:gridSpan w:val="2"/>
          </w:tcPr>
          <w:p>
            <w:pPr>
              <w:ind w:left="40"/>
              <w:spacing w:after="0"/>
              <w:rPr>
                <w:sz w:val="20"/>
                <w:szCs w:val="20"/>
                <w:color w:val="auto"/>
              </w:rPr>
            </w:pPr>
            <w:r>
              <w:rPr>
                <w:rFonts w:ascii="Times New Roman" w:cs="Times New Roman" w:eastAsia="Times New Roman" w:hAnsi="Times New Roman"/>
                <w:sz w:val="15"/>
                <w:szCs w:val="15"/>
                <w:b w:val="1"/>
                <w:bCs w:val="1"/>
                <w:color w:val="231F20"/>
              </w:rPr>
              <w:t>in thousands)</w:t>
            </w:r>
          </w:p>
        </w:tc>
        <w:tc>
          <w:tcPr>
            <w:tcW w:w="80" w:type="dxa"/>
            <w:vAlign w:val="bottom"/>
          </w:tcPr>
          <w:p>
            <w:pPr>
              <w:spacing w:after="0"/>
              <w:rPr>
                <w:sz w:val="17"/>
                <w:szCs w:val="17"/>
                <w:color w:val="auto"/>
              </w:rPr>
            </w:pPr>
          </w:p>
        </w:tc>
        <w:tc>
          <w:tcPr>
            <w:tcW w:w="1440" w:type="dxa"/>
            <w:vAlign w:val="bottom"/>
            <w:tcBorders>
              <w:top w:val="single" w:sz="8" w:color="231F20"/>
            </w:tcBorders>
          </w:tcPr>
          <w:p>
            <w:pPr>
              <w:spacing w:after="0"/>
              <w:rPr>
                <w:sz w:val="17"/>
                <w:szCs w:val="17"/>
                <w:color w:val="auto"/>
              </w:rPr>
            </w:pPr>
          </w:p>
        </w:tc>
        <w:tc>
          <w:tcPr>
            <w:tcW w:w="60" w:type="dxa"/>
            <w:vAlign w:val="bottom"/>
          </w:tcPr>
          <w:p>
            <w:pPr>
              <w:spacing w:after="0"/>
              <w:rPr>
                <w:sz w:val="17"/>
                <w:szCs w:val="17"/>
                <w:color w:val="auto"/>
              </w:rPr>
            </w:pPr>
          </w:p>
        </w:tc>
        <w:tc>
          <w:tcPr>
            <w:tcW w:w="1620" w:type="dxa"/>
            <w:vAlign w:val="bottom"/>
            <w:tcBorders>
              <w:top w:val="single" w:sz="8" w:color="231F20"/>
            </w:tcBorders>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3940" w:type="dxa"/>
            <w:vAlign w:val="bottom"/>
          </w:tcPr>
          <w:p>
            <w:pPr>
              <w:ind w:left="60"/>
              <w:spacing w:after="0"/>
              <w:rPr>
                <w:sz w:val="20"/>
                <w:szCs w:val="20"/>
                <w:color w:val="auto"/>
              </w:rPr>
            </w:pPr>
            <w:r>
              <w:rPr>
                <w:rFonts w:ascii="Times New Roman" w:cs="Times New Roman" w:eastAsia="Times New Roman" w:hAnsi="Times New Roman"/>
                <w:sz w:val="17"/>
                <w:szCs w:val="17"/>
                <w:b w:val="1"/>
                <w:bCs w:val="1"/>
                <w:color w:val="231F20"/>
              </w:rPr>
              <w:t>Mortgages payable</w:t>
            </w:r>
          </w:p>
        </w:tc>
        <w:tc>
          <w:tcPr>
            <w:tcW w:w="80" w:type="dxa"/>
            <w:vAlign w:val="bottom"/>
          </w:tcPr>
          <w:p>
            <w:pPr>
              <w:spacing w:after="0"/>
              <w:rPr>
                <w:sz w:val="19"/>
                <w:szCs w:val="19"/>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231F20"/>
              </w:rPr>
              <w:t>Acquired</w:t>
            </w:r>
          </w:p>
        </w:tc>
        <w:tc>
          <w:tcPr>
            <w:tcW w:w="2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231F20"/>
              </w:rPr>
              <w:t>$</w:t>
            </w: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231F20"/>
              </w:rPr>
              <w:t>10,885</w:t>
            </w:r>
          </w:p>
        </w:tc>
        <w:tc>
          <w:tcPr>
            <w:tcW w:w="15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231F20"/>
              </w:rPr>
              <w:t>4.06 %</w:t>
            </w:r>
          </w:p>
        </w:tc>
        <w:tc>
          <w:tcPr>
            <w:tcW w:w="60" w:type="dxa"/>
            <w:vAlign w:val="bottom"/>
          </w:tcPr>
          <w:p>
            <w:pPr>
              <w:spacing w:after="0"/>
              <w:rPr>
                <w:sz w:val="19"/>
                <w:szCs w:val="19"/>
                <w:color w:val="auto"/>
              </w:rPr>
            </w:pPr>
          </w:p>
        </w:tc>
        <w:tc>
          <w:tcPr>
            <w:tcW w:w="16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231F20"/>
              </w:rPr>
              <w:t>August 1, 2026</w:t>
            </w:r>
          </w:p>
        </w:tc>
        <w:tc>
          <w:tcPr>
            <w:tcW w:w="0" w:type="dxa"/>
            <w:vAlign w:val="bottom"/>
          </w:tcPr>
          <w:p>
            <w:pPr>
              <w:spacing w:after="0"/>
              <w:rPr>
                <w:sz w:val="1"/>
                <w:szCs w:val="1"/>
                <w:color w:val="auto"/>
              </w:rPr>
            </w:pPr>
          </w:p>
        </w:tc>
      </w:tr>
      <w:tr>
        <w:trPr>
          <w:trHeight w:val="194"/>
        </w:trPr>
        <w:tc>
          <w:tcPr>
            <w:tcW w:w="394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231F20"/>
              </w:rPr>
              <w:t xml:space="preserve">Bell Gardens </w:t>
            </w:r>
            <w:r>
              <w:rPr>
                <w:rFonts w:ascii="Times New Roman" w:cs="Times New Roman" w:eastAsia="Times New Roman" w:hAnsi="Times New Roman"/>
                <w:sz w:val="17"/>
                <w:szCs w:val="17"/>
                <w:color w:val="C3C5C7"/>
              </w:rPr>
              <w:t>............................................................</w:t>
            </w:r>
          </w:p>
        </w:tc>
        <w:tc>
          <w:tcPr>
            <w:tcW w:w="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240" w:type="dxa"/>
            <w:vAlign w:val="bottom"/>
            <w:gridSpan w:val="2"/>
            <w:vMerge w:val="continue"/>
          </w:tcPr>
          <w:p>
            <w:pPr>
              <w:spacing w:after="0"/>
              <w:rPr>
                <w:sz w:val="16"/>
                <w:szCs w:val="16"/>
                <w:color w:val="auto"/>
              </w:rPr>
            </w:pPr>
          </w:p>
        </w:tc>
        <w:tc>
          <w:tcPr>
            <w:tcW w:w="1300" w:type="dxa"/>
            <w:vAlign w:val="bottom"/>
            <w:vMerge w:val="continue"/>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 xml:space="preserve">Bethesda Row (1) </w:t>
            </w:r>
            <w:r>
              <w:rPr>
                <w:rFonts w:ascii="Times New Roman" w:cs="Times New Roman" w:eastAsia="Times New Roman" w:hAnsi="Times New Roman"/>
                <w:sz w:val="17"/>
                <w:szCs w:val="17"/>
                <w:color w:val="C3C5C7"/>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231F20"/>
              </w:rPr>
              <w:t>200,000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200,000</w:t>
            </w:r>
          </w:p>
        </w:tc>
        <w:tc>
          <w:tcPr>
            <w:tcW w:w="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SOFR + 0.95%</w:t>
            </w:r>
          </w:p>
        </w:tc>
        <w:tc>
          <w:tcPr>
            <w:tcW w:w="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December 28, 2026</w:t>
            </w:r>
          </w:p>
        </w:tc>
        <w:tc>
          <w:tcPr>
            <w:tcW w:w="0" w:type="dxa"/>
            <w:vAlign w:val="bottom"/>
          </w:tcPr>
          <w:p>
            <w:pPr>
              <w:spacing w:after="0"/>
              <w:rPr>
                <w:sz w:val="1"/>
                <w:szCs w:val="1"/>
                <w:color w:val="auto"/>
              </w:rPr>
            </w:pPr>
          </w:p>
        </w:tc>
      </w:tr>
      <w:tr>
        <w:trPr>
          <w:trHeight w:val="214"/>
        </w:trPr>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Plaza El Segundo</w:t>
            </w:r>
            <w:r>
              <w:rPr>
                <w:rFonts w:ascii="Times New Roman" w:cs="Times New Roman" w:eastAsia="Times New Roman" w:hAnsi="Times New Roman"/>
                <w:sz w:val="17"/>
                <w:szCs w:val="17"/>
                <w:color w:val="C3C5C7"/>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231F20"/>
              </w:rPr>
              <w:t>125,000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125,000</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231F20"/>
              </w:rPr>
              <w:t>3.83 %</w:t>
            </w:r>
          </w:p>
        </w:tc>
        <w:tc>
          <w:tcPr>
            <w:tcW w:w="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June 5, 2027</w:t>
            </w:r>
          </w:p>
        </w:tc>
        <w:tc>
          <w:tcPr>
            <w:tcW w:w="0" w:type="dxa"/>
            <w:vAlign w:val="bottom"/>
          </w:tcPr>
          <w:p>
            <w:pPr>
              <w:spacing w:after="0"/>
              <w:rPr>
                <w:sz w:val="1"/>
                <w:szCs w:val="1"/>
                <w:color w:val="auto"/>
              </w:rPr>
            </w:pPr>
          </w:p>
        </w:tc>
      </w:tr>
      <w:tr>
        <w:trPr>
          <w:trHeight w:val="214"/>
        </w:trPr>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 xml:space="preserve">The Grove at Shrewsbury (East) </w:t>
            </w:r>
            <w:r>
              <w:rPr>
                <w:rFonts w:ascii="Times New Roman" w:cs="Times New Roman" w:eastAsia="Times New Roman" w:hAnsi="Times New Roman"/>
                <w:sz w:val="17"/>
                <w:szCs w:val="17"/>
                <w:color w:val="C3C5C7"/>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231F20"/>
              </w:rPr>
              <w:t>43,600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43,600</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231F20"/>
              </w:rPr>
              <w:t>3.77 %</w:t>
            </w:r>
          </w:p>
        </w:tc>
        <w:tc>
          <w:tcPr>
            <w:tcW w:w="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September 1, 2027</w:t>
            </w:r>
          </w:p>
        </w:tc>
        <w:tc>
          <w:tcPr>
            <w:tcW w:w="0" w:type="dxa"/>
            <w:vAlign w:val="bottom"/>
          </w:tcPr>
          <w:p>
            <w:pPr>
              <w:spacing w:after="0"/>
              <w:rPr>
                <w:sz w:val="1"/>
                <w:szCs w:val="1"/>
                <w:color w:val="auto"/>
              </w:rPr>
            </w:pPr>
          </w:p>
        </w:tc>
      </w:tr>
      <w:tr>
        <w:trPr>
          <w:trHeight w:val="214"/>
        </w:trPr>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Azalea (2)(3)</w:t>
            </w:r>
            <w:r>
              <w:rPr>
                <w:rFonts w:ascii="Times New Roman" w:cs="Times New Roman" w:eastAsia="Times New Roman" w:hAnsi="Times New Roman"/>
                <w:sz w:val="17"/>
                <w:szCs w:val="17"/>
                <w:color w:val="C3C5C7"/>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231F20"/>
              </w:rPr>
              <w:t>55,000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55,000</w:t>
            </w:r>
          </w:p>
        </w:tc>
        <w:tc>
          <w:tcPr>
            <w:tcW w:w="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SOFR + 0.85%</w:t>
            </w:r>
          </w:p>
        </w:tc>
        <w:tc>
          <w:tcPr>
            <w:tcW w:w="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October 30, 2028</w:t>
            </w:r>
          </w:p>
        </w:tc>
        <w:tc>
          <w:tcPr>
            <w:tcW w:w="0" w:type="dxa"/>
            <w:vAlign w:val="bottom"/>
          </w:tcPr>
          <w:p>
            <w:pPr>
              <w:spacing w:after="0"/>
              <w:rPr>
                <w:sz w:val="1"/>
                <w:szCs w:val="1"/>
                <w:color w:val="auto"/>
              </w:rPr>
            </w:pPr>
          </w:p>
        </w:tc>
      </w:tr>
      <w:tr>
        <w:trPr>
          <w:trHeight w:val="214"/>
        </w:trPr>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 xml:space="preserve">Brook 35 </w:t>
            </w:r>
            <w:r>
              <w:rPr>
                <w:rFonts w:ascii="Times New Roman" w:cs="Times New Roman" w:eastAsia="Times New Roman" w:hAnsi="Times New Roman"/>
                <w:sz w:val="17"/>
                <w:szCs w:val="17"/>
                <w:color w:val="C3C5C7"/>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231F20"/>
              </w:rPr>
              <w:t>11,500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11,500</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231F20"/>
              </w:rPr>
              <w:t>4.65 %</w:t>
            </w:r>
          </w:p>
        </w:tc>
        <w:tc>
          <w:tcPr>
            <w:tcW w:w="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July 1, 2029</w:t>
            </w:r>
          </w:p>
        </w:tc>
        <w:tc>
          <w:tcPr>
            <w:tcW w:w="0" w:type="dxa"/>
            <w:vAlign w:val="bottom"/>
          </w:tcPr>
          <w:p>
            <w:pPr>
              <w:spacing w:after="0"/>
              <w:rPr>
                <w:sz w:val="1"/>
                <w:szCs w:val="1"/>
                <w:color w:val="auto"/>
              </w:rPr>
            </w:pPr>
          </w:p>
        </w:tc>
      </w:tr>
      <w:tr>
        <w:trPr>
          <w:trHeight w:val="214"/>
        </w:trPr>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Hoboken (24 Buildings) (4)</w:t>
            </w:r>
            <w:r>
              <w:rPr>
                <w:rFonts w:ascii="Times New Roman" w:cs="Times New Roman" w:eastAsia="Times New Roman" w:hAnsi="Times New Roman"/>
                <w:sz w:val="17"/>
                <w:szCs w:val="17"/>
                <w:color w:val="C3C5C7"/>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231F20"/>
              </w:rPr>
              <w:t>56,450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50,568</w:t>
            </w:r>
          </w:p>
        </w:tc>
        <w:tc>
          <w:tcPr>
            <w:tcW w:w="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SOFR + 1.95%</w:t>
            </w:r>
          </w:p>
        </w:tc>
        <w:tc>
          <w:tcPr>
            <w:tcW w:w="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December 15, 2029</w:t>
            </w:r>
          </w:p>
        </w:tc>
        <w:tc>
          <w:tcPr>
            <w:tcW w:w="0" w:type="dxa"/>
            <w:vAlign w:val="bottom"/>
          </w:tcPr>
          <w:p>
            <w:pPr>
              <w:spacing w:after="0"/>
              <w:rPr>
                <w:sz w:val="1"/>
                <w:szCs w:val="1"/>
                <w:color w:val="auto"/>
              </w:rPr>
            </w:pPr>
          </w:p>
        </w:tc>
      </w:tr>
      <w:tr>
        <w:trPr>
          <w:trHeight w:val="214"/>
        </w:trPr>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Various Hoboken (12 Buildings) (5)</w:t>
            </w:r>
            <w:r>
              <w:rPr>
                <w:rFonts w:ascii="Times New Roman" w:cs="Times New Roman" w:eastAsia="Times New Roman" w:hAnsi="Times New Roman"/>
                <w:sz w:val="17"/>
                <w:szCs w:val="17"/>
                <w:color w:val="C3C5C7"/>
              </w:rPr>
              <w:t>.......................</w:t>
            </w:r>
          </w:p>
        </w:tc>
        <w:tc>
          <w:tcPr>
            <w:tcW w:w="80" w:type="dxa"/>
            <w:vAlign w:val="bottom"/>
          </w:tcPr>
          <w:p>
            <w:pPr>
              <w:spacing w:after="0"/>
              <w:rPr>
                <w:sz w:val="18"/>
                <w:szCs w:val="18"/>
                <w:color w:val="auto"/>
              </w:rPr>
            </w:pPr>
          </w:p>
        </w:tc>
        <w:tc>
          <w:tcPr>
            <w:tcW w:w="960" w:type="dxa"/>
            <w:vAlign w:val="bottom"/>
          </w:tcPr>
          <w:p>
            <w:pPr>
              <w:ind w:left="280"/>
              <w:spacing w:after="0"/>
              <w:rPr>
                <w:sz w:val="20"/>
                <w:szCs w:val="20"/>
                <w:color w:val="auto"/>
              </w:rPr>
            </w:pPr>
            <w:r>
              <w:rPr>
                <w:rFonts w:ascii="Times New Roman" w:cs="Times New Roman" w:eastAsia="Times New Roman" w:hAnsi="Times New Roman"/>
                <w:sz w:val="17"/>
                <w:szCs w:val="17"/>
                <w:color w:val="231F20"/>
              </w:rPr>
              <w:t>Acquired</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23,568</w:t>
            </w:r>
          </w:p>
        </w:tc>
        <w:tc>
          <w:tcPr>
            <w:tcW w:w="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Various</w:t>
            </w:r>
          </w:p>
        </w:tc>
        <w:tc>
          <w:tcPr>
            <w:tcW w:w="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Various through 2029</w:t>
            </w:r>
          </w:p>
        </w:tc>
        <w:tc>
          <w:tcPr>
            <w:tcW w:w="0" w:type="dxa"/>
            <w:vAlign w:val="bottom"/>
          </w:tcPr>
          <w:p>
            <w:pPr>
              <w:spacing w:after="0"/>
              <w:rPr>
                <w:sz w:val="1"/>
                <w:szCs w:val="1"/>
                <w:color w:val="auto"/>
              </w:rPr>
            </w:pPr>
          </w:p>
        </w:tc>
      </w:tr>
      <w:tr>
        <w:trPr>
          <w:trHeight w:val="226"/>
        </w:trPr>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Chelsea</w:t>
            </w:r>
            <w:r>
              <w:rPr>
                <w:rFonts w:ascii="Times New Roman" w:cs="Times New Roman" w:eastAsia="Times New Roman" w:hAnsi="Times New Roman"/>
                <w:sz w:val="17"/>
                <w:szCs w:val="17"/>
                <w:color w:val="C3C5C7"/>
              </w:rPr>
              <w:t>.....................................................................</w:t>
            </w:r>
          </w:p>
        </w:tc>
        <w:tc>
          <w:tcPr>
            <w:tcW w:w="80" w:type="dxa"/>
            <w:vAlign w:val="bottom"/>
          </w:tcPr>
          <w:p>
            <w:pPr>
              <w:spacing w:after="0"/>
              <w:rPr>
                <w:sz w:val="19"/>
                <w:szCs w:val="19"/>
                <w:color w:val="auto"/>
              </w:rPr>
            </w:pPr>
          </w:p>
        </w:tc>
        <w:tc>
          <w:tcPr>
            <w:tcW w:w="960" w:type="dxa"/>
            <w:vAlign w:val="bottom"/>
          </w:tcPr>
          <w:p>
            <w:pPr>
              <w:ind w:left="280"/>
              <w:spacing w:after="0"/>
              <w:rPr>
                <w:sz w:val="20"/>
                <w:szCs w:val="20"/>
                <w:color w:val="auto"/>
              </w:rPr>
            </w:pPr>
            <w:r>
              <w:rPr>
                <w:rFonts w:ascii="Times New Roman" w:cs="Times New Roman" w:eastAsia="Times New Roman" w:hAnsi="Times New Roman"/>
                <w:sz w:val="17"/>
                <w:szCs w:val="17"/>
                <w:color w:val="231F20"/>
              </w:rPr>
              <w:t>Acquired</w:t>
            </w:r>
          </w:p>
        </w:tc>
        <w:tc>
          <w:tcPr>
            <w:tcW w:w="80" w:type="dxa"/>
            <w:vAlign w:val="bottom"/>
          </w:tcPr>
          <w:p>
            <w:pPr>
              <w:spacing w:after="0"/>
              <w:rPr>
                <w:sz w:val="19"/>
                <w:szCs w:val="19"/>
                <w:color w:val="auto"/>
              </w:rPr>
            </w:pPr>
          </w:p>
        </w:tc>
        <w:tc>
          <w:tcPr>
            <w:tcW w:w="160" w:type="dxa"/>
            <w:vAlign w:val="bottom"/>
            <w:tcBorders>
              <w:bottom w:val="single" w:sz="8" w:color="231F20"/>
            </w:tcBorders>
          </w:tcPr>
          <w:p>
            <w:pPr>
              <w:spacing w:after="0"/>
              <w:rPr>
                <w:sz w:val="19"/>
                <w:szCs w:val="19"/>
                <w:color w:val="auto"/>
              </w:rPr>
            </w:pPr>
          </w:p>
        </w:tc>
        <w:tc>
          <w:tcPr>
            <w:tcW w:w="13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231F20"/>
              </w:rPr>
              <w:t>3,091</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231F20"/>
              </w:rPr>
              <w:t>5.36 %</w:t>
            </w:r>
          </w:p>
        </w:tc>
        <w:tc>
          <w:tcPr>
            <w:tcW w:w="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January 15, 2031</w:t>
            </w:r>
          </w:p>
        </w:tc>
        <w:tc>
          <w:tcPr>
            <w:tcW w:w="0" w:type="dxa"/>
            <w:vAlign w:val="bottom"/>
          </w:tcPr>
          <w:p>
            <w:pPr>
              <w:spacing w:after="0"/>
              <w:rPr>
                <w:sz w:val="1"/>
                <w:szCs w:val="1"/>
                <w:color w:val="auto"/>
              </w:rPr>
            </w:pPr>
          </w:p>
        </w:tc>
      </w:tr>
      <w:tr>
        <w:trPr>
          <w:trHeight w:val="221"/>
        </w:trPr>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color w:val="C3C5C7"/>
              </w:rPr>
              <w:t>............................................................</w:t>
            </w:r>
            <w:r>
              <w:rPr>
                <w:rFonts w:ascii="Times New Roman" w:cs="Times New Roman" w:eastAsia="Times New Roman" w:hAnsi="Times New Roman"/>
                <w:sz w:val="17"/>
                <w:szCs w:val="17"/>
                <w:color w:val="231F20"/>
              </w:rPr>
              <w:t>Subtotal</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523,212</w:t>
            </w:r>
          </w:p>
        </w:tc>
        <w:tc>
          <w:tcPr>
            <w:tcW w:w="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3940" w:type="dxa"/>
            <w:vAlign w:val="bottom"/>
          </w:tcPr>
          <w:p>
            <w:pPr>
              <w:jc w:val="right"/>
              <w:ind w:right="114"/>
              <w:spacing w:after="0" w:line="180" w:lineRule="exact"/>
              <w:rPr>
                <w:sz w:val="20"/>
                <w:szCs w:val="20"/>
                <w:color w:val="auto"/>
              </w:rPr>
            </w:pPr>
            <w:r>
              <w:rPr>
                <w:rFonts w:ascii="Times New Roman" w:cs="Times New Roman" w:eastAsia="Times New Roman" w:hAnsi="Times New Roman"/>
                <w:sz w:val="17"/>
                <w:szCs w:val="17"/>
                <w:color w:val="231F20"/>
              </w:rPr>
              <w:t>Net unamortized debt issuance costs and</w:t>
            </w: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231F20"/>
              </w:rPr>
              <w:t>(1,453)</w:t>
            </w:r>
          </w:p>
        </w:tc>
        <w:tc>
          <w:tcPr>
            <w:tcW w:w="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discount</w:t>
            </w:r>
            <w:r>
              <w:rPr>
                <w:rFonts w:ascii="Times New Roman" w:cs="Times New Roman" w:eastAsia="Times New Roman" w:hAnsi="Times New Roman"/>
                <w:sz w:val="17"/>
                <w:szCs w:val="17"/>
                <w:color w:val="C3C5C7"/>
              </w:rPr>
              <w:t>.......................................................</w:t>
            </w: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231F20"/>
            </w:tcBorders>
          </w:tcPr>
          <w:p>
            <w:pPr>
              <w:spacing w:after="0"/>
              <w:rPr>
                <w:sz w:val="17"/>
                <w:szCs w:val="17"/>
                <w:color w:val="auto"/>
              </w:rPr>
            </w:pPr>
          </w:p>
        </w:tc>
        <w:tc>
          <w:tcPr>
            <w:tcW w:w="1300" w:type="dxa"/>
            <w:vAlign w:val="bottom"/>
            <w:tcBorders>
              <w:bottom w:val="single" w:sz="8" w:color="231F20"/>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394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C3C5C7"/>
              </w:rPr>
              <w:t>...........................</w:t>
            </w:r>
            <w:r>
              <w:rPr>
                <w:rFonts w:ascii="Times New Roman" w:cs="Times New Roman" w:eastAsia="Times New Roman" w:hAnsi="Times New Roman"/>
                <w:sz w:val="17"/>
                <w:szCs w:val="17"/>
                <w:color w:val="231F20"/>
              </w:rPr>
              <w:t>Totalmortgagespayable,net</w:t>
            </w: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231F20"/>
            </w:tcBorders>
          </w:tcPr>
          <w:p>
            <w:pPr>
              <w:spacing w:after="0"/>
              <w:rPr>
                <w:sz w:val="16"/>
                <w:szCs w:val="16"/>
                <w:color w:val="auto"/>
              </w:rPr>
            </w:pPr>
          </w:p>
        </w:tc>
        <w:tc>
          <w:tcPr>
            <w:tcW w:w="1300" w:type="dxa"/>
            <w:vAlign w:val="bottom"/>
            <w:tcBorders>
              <w:bottom w:val="single" w:sz="8" w:color="231F20"/>
            </w:tcBorders>
          </w:tcPr>
          <w:p>
            <w:pPr>
              <w:jc w:val="right"/>
              <w:spacing w:after="0" w:line="194" w:lineRule="exact"/>
              <w:rPr>
                <w:sz w:val="20"/>
                <w:szCs w:val="20"/>
                <w:color w:val="auto"/>
              </w:rPr>
            </w:pPr>
            <w:r>
              <w:rPr>
                <w:rFonts w:ascii="Times New Roman" w:cs="Times New Roman" w:eastAsia="Times New Roman" w:hAnsi="Times New Roman"/>
                <w:sz w:val="17"/>
                <w:szCs w:val="17"/>
                <w:color w:val="231F20"/>
              </w:rPr>
              <w:t>521,759</w:t>
            </w:r>
          </w:p>
        </w:tc>
        <w:tc>
          <w:tcPr>
            <w:tcW w:w="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940" w:type="dxa"/>
            <w:vAlign w:val="bottom"/>
          </w:tcPr>
          <w:p>
            <w:pPr>
              <w:ind w:left="60"/>
              <w:spacing w:after="0"/>
              <w:rPr>
                <w:sz w:val="20"/>
                <w:szCs w:val="20"/>
                <w:color w:val="auto"/>
              </w:rPr>
            </w:pPr>
            <w:r>
              <w:rPr>
                <w:rFonts w:ascii="Times New Roman" w:cs="Times New Roman" w:eastAsia="Times New Roman" w:hAnsi="Times New Roman"/>
                <w:sz w:val="17"/>
                <w:szCs w:val="17"/>
                <w:b w:val="1"/>
                <w:bCs w:val="1"/>
                <w:color w:val="231F20"/>
              </w:rPr>
              <w:t>Notes payable</w:t>
            </w: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231F20"/>
              </w:rPr>
              <w:t>(6)</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231F20"/>
              </w:rPr>
              <w:t>310,000</w:t>
            </w:r>
          </w:p>
        </w:tc>
        <w:tc>
          <w:tcPr>
            <w:tcW w:w="80" w:type="dxa"/>
            <w:vAlign w:val="bottom"/>
          </w:tcPr>
          <w:p>
            <w:pPr>
              <w:spacing w:after="0"/>
              <w:rPr>
                <w:sz w:val="17"/>
                <w:szCs w:val="17"/>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231F20"/>
              </w:rPr>
              <w:t>SOFR + 0.775%</w:t>
            </w:r>
          </w:p>
        </w:tc>
        <w:tc>
          <w:tcPr>
            <w:tcW w:w="60" w:type="dxa"/>
            <w:vAlign w:val="bottom"/>
          </w:tcPr>
          <w:p>
            <w:pPr>
              <w:spacing w:after="0"/>
              <w:rPr>
                <w:sz w:val="17"/>
                <w:szCs w:val="17"/>
                <w:color w:val="auto"/>
              </w:rPr>
            </w:pPr>
          </w:p>
        </w:tc>
        <w:tc>
          <w:tcPr>
            <w:tcW w:w="16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231F20"/>
              </w:rPr>
              <w:t>April 5, 2027</w:t>
            </w:r>
          </w:p>
        </w:tc>
        <w:tc>
          <w:tcPr>
            <w:tcW w:w="0" w:type="dxa"/>
            <w:vAlign w:val="bottom"/>
          </w:tcPr>
          <w:p>
            <w:pPr>
              <w:spacing w:after="0"/>
              <w:rPr>
                <w:sz w:val="1"/>
                <w:szCs w:val="1"/>
                <w:color w:val="auto"/>
              </w:rPr>
            </w:pPr>
          </w:p>
        </w:tc>
      </w:tr>
      <w:tr>
        <w:trPr>
          <w:trHeight w:val="194"/>
        </w:trPr>
        <w:tc>
          <w:tcPr>
            <w:tcW w:w="394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231F20"/>
              </w:rPr>
              <w:t>Revolving credit facility (2)(7)</w:t>
            </w:r>
            <w:r>
              <w:rPr>
                <w:rFonts w:ascii="Times New Roman" w:cs="Times New Roman" w:eastAsia="Times New Roman" w:hAnsi="Times New Roman"/>
                <w:sz w:val="17"/>
                <w:szCs w:val="17"/>
                <w:color w:val="C3C5C7"/>
              </w:rPr>
              <w:t>................................</w:t>
            </w:r>
          </w:p>
        </w:tc>
        <w:tc>
          <w:tcPr>
            <w:tcW w:w="10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 xml:space="preserve">$750 million term loan (2)(7)(8) </w:t>
            </w:r>
            <w:r>
              <w:rPr>
                <w:rFonts w:ascii="Times New Roman" w:cs="Times New Roman" w:eastAsia="Times New Roman" w:hAnsi="Times New Roman"/>
                <w:sz w:val="17"/>
                <w:szCs w:val="17"/>
                <w:color w:val="C3C5C7"/>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231F20"/>
              </w:rPr>
              <w:t>750,000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750,000</w:t>
            </w:r>
          </w:p>
        </w:tc>
        <w:tc>
          <w:tcPr>
            <w:tcW w:w="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SOFR + 0.85%</w:t>
            </w:r>
          </w:p>
        </w:tc>
        <w:tc>
          <w:tcPr>
            <w:tcW w:w="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March 20, 2028</w:t>
            </w:r>
          </w:p>
        </w:tc>
        <w:tc>
          <w:tcPr>
            <w:tcW w:w="0" w:type="dxa"/>
            <w:vAlign w:val="bottom"/>
          </w:tcPr>
          <w:p>
            <w:pPr>
              <w:spacing w:after="0"/>
              <w:rPr>
                <w:sz w:val="1"/>
                <w:szCs w:val="1"/>
                <w:color w:val="auto"/>
              </w:rPr>
            </w:pPr>
          </w:p>
        </w:tc>
      </w:tr>
      <w:tr>
        <w:trPr>
          <w:trHeight w:val="214"/>
        </w:trPr>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 xml:space="preserve">$250 million term loan (2)(7) </w:t>
            </w:r>
            <w:r>
              <w:rPr>
                <w:rFonts w:ascii="Times New Roman" w:cs="Times New Roman" w:eastAsia="Times New Roman" w:hAnsi="Times New Roman"/>
                <w:sz w:val="17"/>
                <w:szCs w:val="17"/>
                <w:color w:val="C3C5C7"/>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231F20"/>
              </w:rPr>
              <w:t>250,000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w:t>
            </w:r>
          </w:p>
        </w:tc>
        <w:tc>
          <w:tcPr>
            <w:tcW w:w="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SOFR + 0.85%</w:t>
            </w:r>
          </w:p>
        </w:tc>
        <w:tc>
          <w:tcPr>
            <w:tcW w:w="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January 31, 2031</w:t>
            </w:r>
          </w:p>
        </w:tc>
        <w:tc>
          <w:tcPr>
            <w:tcW w:w="0" w:type="dxa"/>
            <w:vAlign w:val="bottom"/>
          </w:tcPr>
          <w:p>
            <w:pPr>
              <w:spacing w:after="0"/>
              <w:rPr>
                <w:sz w:val="1"/>
                <w:szCs w:val="1"/>
                <w:color w:val="auto"/>
              </w:rPr>
            </w:pPr>
          </w:p>
        </w:tc>
      </w:tr>
      <w:tr>
        <w:trPr>
          <w:trHeight w:val="226"/>
        </w:trPr>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Various</w:t>
            </w:r>
            <w:r>
              <w:rPr>
                <w:rFonts w:ascii="Times New Roman" w:cs="Times New Roman" w:eastAsia="Times New Roman" w:hAnsi="Times New Roman"/>
                <w:sz w:val="17"/>
                <w:szCs w:val="17"/>
                <w:color w:val="C3C5C7"/>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231F20"/>
              </w:rPr>
              <w:t>3,484</w:t>
            </w:r>
          </w:p>
        </w:tc>
        <w:tc>
          <w:tcPr>
            <w:tcW w:w="80" w:type="dxa"/>
            <w:vAlign w:val="bottom"/>
          </w:tcPr>
          <w:p>
            <w:pPr>
              <w:spacing w:after="0"/>
              <w:rPr>
                <w:sz w:val="19"/>
                <w:szCs w:val="19"/>
                <w:color w:val="auto"/>
              </w:rPr>
            </w:pPr>
          </w:p>
        </w:tc>
        <w:tc>
          <w:tcPr>
            <w:tcW w:w="160" w:type="dxa"/>
            <w:vAlign w:val="bottom"/>
            <w:tcBorders>
              <w:bottom w:val="single" w:sz="8" w:color="231F20"/>
            </w:tcBorders>
          </w:tcPr>
          <w:p>
            <w:pPr>
              <w:spacing w:after="0"/>
              <w:rPr>
                <w:sz w:val="19"/>
                <w:szCs w:val="19"/>
                <w:color w:val="auto"/>
              </w:rPr>
            </w:pPr>
          </w:p>
        </w:tc>
        <w:tc>
          <w:tcPr>
            <w:tcW w:w="13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231F20"/>
              </w:rPr>
              <w:t>1,190</w:t>
            </w:r>
          </w:p>
        </w:tc>
        <w:tc>
          <w:tcPr>
            <w:tcW w:w="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Various</w:t>
            </w:r>
          </w:p>
        </w:tc>
        <w:tc>
          <w:tcPr>
            <w:tcW w:w="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Various through 2059</w:t>
            </w:r>
          </w:p>
        </w:tc>
        <w:tc>
          <w:tcPr>
            <w:tcW w:w="0" w:type="dxa"/>
            <w:vAlign w:val="bottom"/>
          </w:tcPr>
          <w:p>
            <w:pPr>
              <w:spacing w:after="0"/>
              <w:rPr>
                <w:sz w:val="1"/>
                <w:szCs w:val="1"/>
                <w:color w:val="auto"/>
              </w:rPr>
            </w:pPr>
          </w:p>
        </w:tc>
      </w:tr>
      <w:tr>
        <w:trPr>
          <w:trHeight w:val="182"/>
        </w:trPr>
        <w:tc>
          <w:tcPr>
            <w:tcW w:w="3940" w:type="dxa"/>
            <w:vAlign w:val="bottom"/>
          </w:tcPr>
          <w:p>
            <w:pPr>
              <w:jc w:val="right"/>
              <w:spacing w:after="0" w:line="182" w:lineRule="exact"/>
              <w:rPr>
                <w:sz w:val="20"/>
                <w:szCs w:val="20"/>
                <w:color w:val="auto"/>
              </w:rPr>
            </w:pPr>
            <w:r>
              <w:rPr>
                <w:rFonts w:ascii="Times New Roman" w:cs="Times New Roman" w:eastAsia="Times New Roman" w:hAnsi="Times New Roman"/>
                <w:sz w:val="17"/>
                <w:szCs w:val="17"/>
                <w:color w:val="C3C5C7"/>
              </w:rPr>
              <w:t>............................................................</w:t>
            </w:r>
            <w:r>
              <w:rPr>
                <w:rFonts w:ascii="Times New Roman" w:cs="Times New Roman" w:eastAsia="Times New Roman" w:hAnsi="Times New Roman"/>
                <w:sz w:val="17"/>
                <w:szCs w:val="17"/>
                <w:color w:val="231F20"/>
              </w:rPr>
              <w:t>Subtotal</w:t>
            </w: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jc w:val="right"/>
              <w:spacing w:after="0" w:line="182" w:lineRule="exact"/>
              <w:rPr>
                <w:sz w:val="20"/>
                <w:szCs w:val="20"/>
                <w:color w:val="auto"/>
              </w:rPr>
            </w:pPr>
            <w:r>
              <w:rPr>
                <w:rFonts w:ascii="Times New Roman" w:cs="Times New Roman" w:eastAsia="Times New Roman" w:hAnsi="Times New Roman"/>
                <w:sz w:val="17"/>
                <w:szCs w:val="17"/>
                <w:color w:val="231F20"/>
              </w:rPr>
              <w:t>1,061,190</w:t>
            </w:r>
          </w:p>
        </w:tc>
        <w:tc>
          <w:tcPr>
            <w:tcW w:w="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Net unamortized debt issuance costs</w:t>
            </w:r>
            <w:r>
              <w:rPr>
                <w:rFonts w:ascii="Times New Roman" w:cs="Times New Roman" w:eastAsia="Times New Roman" w:hAnsi="Times New Roman"/>
                <w:sz w:val="17"/>
                <w:szCs w:val="17"/>
                <w:color w:val="C3C5C7"/>
              </w:rPr>
              <w:t>..........</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231F20"/>
            </w:tcBorders>
          </w:tcPr>
          <w:p>
            <w:pPr>
              <w:spacing w:after="0"/>
              <w:rPr>
                <w:sz w:val="19"/>
                <w:szCs w:val="19"/>
                <w:color w:val="auto"/>
              </w:rPr>
            </w:pPr>
          </w:p>
        </w:tc>
        <w:tc>
          <w:tcPr>
            <w:tcW w:w="13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231F20"/>
              </w:rPr>
              <w:t>(3,859)</w:t>
            </w:r>
          </w:p>
        </w:tc>
        <w:tc>
          <w:tcPr>
            <w:tcW w:w="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394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C3C5C7"/>
              </w:rPr>
              <w:t>...................................</w:t>
            </w:r>
            <w:r>
              <w:rPr>
                <w:rFonts w:ascii="Times New Roman" w:cs="Times New Roman" w:eastAsia="Times New Roman" w:hAnsi="Times New Roman"/>
                <w:sz w:val="17"/>
                <w:szCs w:val="17"/>
                <w:color w:val="231F20"/>
              </w:rPr>
              <w:t>Totalnotespayable,net</w:t>
            </w: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231F20"/>
            </w:tcBorders>
          </w:tcPr>
          <w:p>
            <w:pPr>
              <w:spacing w:after="0"/>
              <w:rPr>
                <w:sz w:val="16"/>
                <w:szCs w:val="16"/>
                <w:color w:val="auto"/>
              </w:rPr>
            </w:pPr>
          </w:p>
        </w:tc>
        <w:tc>
          <w:tcPr>
            <w:tcW w:w="1300" w:type="dxa"/>
            <w:vAlign w:val="bottom"/>
            <w:tcBorders>
              <w:bottom w:val="single" w:sz="8" w:color="231F20"/>
            </w:tcBorders>
          </w:tcPr>
          <w:p>
            <w:pPr>
              <w:jc w:val="right"/>
              <w:spacing w:after="0" w:line="194" w:lineRule="exact"/>
              <w:rPr>
                <w:sz w:val="20"/>
                <w:szCs w:val="20"/>
                <w:color w:val="auto"/>
              </w:rPr>
            </w:pPr>
            <w:r>
              <w:rPr>
                <w:rFonts w:ascii="Times New Roman" w:cs="Times New Roman" w:eastAsia="Times New Roman" w:hAnsi="Times New Roman"/>
                <w:sz w:val="17"/>
                <w:szCs w:val="17"/>
                <w:color w:val="231F20"/>
              </w:rPr>
              <w:t>1,057,331</w:t>
            </w:r>
          </w:p>
        </w:tc>
        <w:tc>
          <w:tcPr>
            <w:tcW w:w="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3940" w:type="dxa"/>
            <w:vAlign w:val="bottom"/>
          </w:tcPr>
          <w:p>
            <w:pPr>
              <w:ind w:left="60"/>
              <w:spacing w:after="0"/>
              <w:rPr>
                <w:sz w:val="20"/>
                <w:szCs w:val="20"/>
                <w:color w:val="auto"/>
              </w:rPr>
            </w:pPr>
            <w:r>
              <w:rPr>
                <w:rFonts w:ascii="Times New Roman" w:cs="Times New Roman" w:eastAsia="Times New Roman" w:hAnsi="Times New Roman"/>
                <w:sz w:val="17"/>
                <w:szCs w:val="17"/>
                <w:b w:val="1"/>
                <w:bCs w:val="1"/>
                <w:color w:val="231F20"/>
              </w:rPr>
              <w:t>Senior notes and debentures (7)</w:t>
            </w: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940" w:type="dxa"/>
            <w:vAlign w:val="bottom"/>
          </w:tcPr>
          <w:p>
            <w:pPr>
              <w:jc w:val="right"/>
              <w:ind w:right="2234"/>
              <w:spacing w:after="0"/>
              <w:rPr>
                <w:sz w:val="20"/>
                <w:szCs w:val="20"/>
                <w:color w:val="auto"/>
              </w:rPr>
            </w:pPr>
            <w:r>
              <w:rPr>
                <w:rFonts w:ascii="Times New Roman" w:cs="Times New Roman" w:eastAsia="Times New Roman" w:hAnsi="Times New Roman"/>
                <w:sz w:val="17"/>
                <w:szCs w:val="17"/>
                <w:i w:val="1"/>
                <w:iCs w:val="1"/>
                <w:color w:val="231F20"/>
              </w:rPr>
              <w:t>Unsecured fixed rate</w:t>
            </w: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231F20"/>
              </w:rPr>
              <w:t>400,000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231F20"/>
              </w:rPr>
              <w:t>400,000</w:t>
            </w:r>
          </w:p>
        </w:tc>
        <w:tc>
          <w:tcPr>
            <w:tcW w:w="15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231F20"/>
              </w:rPr>
              <w:t>1.25 %</w:t>
            </w:r>
          </w:p>
        </w:tc>
        <w:tc>
          <w:tcPr>
            <w:tcW w:w="60" w:type="dxa"/>
            <w:vAlign w:val="bottom"/>
          </w:tcPr>
          <w:p>
            <w:pPr>
              <w:spacing w:after="0"/>
              <w:rPr>
                <w:sz w:val="18"/>
                <w:szCs w:val="18"/>
                <w:color w:val="auto"/>
              </w:rPr>
            </w:pPr>
          </w:p>
        </w:tc>
        <w:tc>
          <w:tcPr>
            <w:tcW w:w="16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231F20"/>
              </w:rPr>
              <w:t>February 15, 2026</w:t>
            </w:r>
          </w:p>
        </w:tc>
        <w:tc>
          <w:tcPr>
            <w:tcW w:w="0" w:type="dxa"/>
            <w:vAlign w:val="bottom"/>
          </w:tcPr>
          <w:p>
            <w:pPr>
              <w:spacing w:after="0"/>
              <w:rPr>
                <w:sz w:val="1"/>
                <w:szCs w:val="1"/>
                <w:color w:val="auto"/>
              </w:rPr>
            </w:pPr>
          </w:p>
        </w:tc>
      </w:tr>
      <w:tr>
        <w:trPr>
          <w:trHeight w:val="194"/>
        </w:trPr>
        <w:tc>
          <w:tcPr>
            <w:tcW w:w="394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231F20"/>
              </w:rPr>
              <w:t xml:space="preserve">1.25% notes </w:t>
            </w:r>
            <w:r>
              <w:rPr>
                <w:rFonts w:ascii="Times New Roman" w:cs="Times New Roman" w:eastAsia="Times New Roman" w:hAnsi="Times New Roman"/>
                <w:sz w:val="17"/>
                <w:szCs w:val="17"/>
                <w:color w:val="C3C5C7"/>
              </w:rPr>
              <w:t>.............................................................</w:t>
            </w:r>
          </w:p>
        </w:tc>
        <w:tc>
          <w:tcPr>
            <w:tcW w:w="10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7.48% debentures</w:t>
            </w:r>
            <w:r>
              <w:rPr>
                <w:rFonts w:ascii="Times New Roman" w:cs="Times New Roman" w:eastAsia="Times New Roman" w:hAnsi="Times New Roman"/>
                <w:sz w:val="17"/>
                <w:szCs w:val="17"/>
                <w:color w:val="C3C5C7"/>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231F20"/>
              </w:rPr>
              <w:t>50,000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29,200</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231F20"/>
              </w:rPr>
              <w:t>7.48 %</w:t>
            </w:r>
          </w:p>
        </w:tc>
        <w:tc>
          <w:tcPr>
            <w:tcW w:w="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August 15, 2026</w:t>
            </w:r>
          </w:p>
        </w:tc>
        <w:tc>
          <w:tcPr>
            <w:tcW w:w="0" w:type="dxa"/>
            <w:vAlign w:val="bottom"/>
          </w:tcPr>
          <w:p>
            <w:pPr>
              <w:spacing w:after="0"/>
              <w:rPr>
                <w:sz w:val="1"/>
                <w:szCs w:val="1"/>
                <w:color w:val="auto"/>
              </w:rPr>
            </w:pPr>
          </w:p>
        </w:tc>
      </w:tr>
      <w:tr>
        <w:trPr>
          <w:trHeight w:val="214"/>
        </w:trPr>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 xml:space="preserve">3.25% notes </w:t>
            </w:r>
            <w:r>
              <w:rPr>
                <w:rFonts w:ascii="Times New Roman" w:cs="Times New Roman" w:eastAsia="Times New Roman" w:hAnsi="Times New Roman"/>
                <w:sz w:val="17"/>
                <w:szCs w:val="17"/>
                <w:color w:val="C3C5C7"/>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231F20"/>
              </w:rPr>
              <w:t>475,000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475,000</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231F20"/>
              </w:rPr>
              <w:t>3.25 %</w:t>
            </w:r>
          </w:p>
        </w:tc>
        <w:tc>
          <w:tcPr>
            <w:tcW w:w="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July 15, 2027</w:t>
            </w:r>
          </w:p>
        </w:tc>
        <w:tc>
          <w:tcPr>
            <w:tcW w:w="0" w:type="dxa"/>
            <w:vAlign w:val="bottom"/>
          </w:tcPr>
          <w:p>
            <w:pPr>
              <w:spacing w:after="0"/>
              <w:rPr>
                <w:sz w:val="1"/>
                <w:szCs w:val="1"/>
                <w:color w:val="auto"/>
              </w:rPr>
            </w:pPr>
          </w:p>
        </w:tc>
      </w:tr>
      <w:tr>
        <w:trPr>
          <w:trHeight w:val="214"/>
        </w:trPr>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6.82% medium term notes</w:t>
            </w:r>
            <w:r>
              <w:rPr>
                <w:rFonts w:ascii="Times New Roman" w:cs="Times New Roman" w:eastAsia="Times New Roman" w:hAnsi="Times New Roman"/>
                <w:sz w:val="17"/>
                <w:szCs w:val="17"/>
                <w:color w:val="C3C5C7"/>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231F20"/>
              </w:rPr>
              <w:t>40,000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40,000</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231F20"/>
              </w:rPr>
              <w:t>6.82 %</w:t>
            </w:r>
          </w:p>
        </w:tc>
        <w:tc>
          <w:tcPr>
            <w:tcW w:w="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August 1, 2027</w:t>
            </w:r>
          </w:p>
        </w:tc>
        <w:tc>
          <w:tcPr>
            <w:tcW w:w="0" w:type="dxa"/>
            <w:vAlign w:val="bottom"/>
          </w:tcPr>
          <w:p>
            <w:pPr>
              <w:spacing w:after="0"/>
              <w:rPr>
                <w:sz w:val="1"/>
                <w:szCs w:val="1"/>
                <w:color w:val="auto"/>
              </w:rPr>
            </w:pPr>
          </w:p>
        </w:tc>
      </w:tr>
      <w:tr>
        <w:trPr>
          <w:trHeight w:val="214"/>
        </w:trPr>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 xml:space="preserve">5.375% notes </w:t>
            </w:r>
            <w:r>
              <w:rPr>
                <w:rFonts w:ascii="Times New Roman" w:cs="Times New Roman" w:eastAsia="Times New Roman" w:hAnsi="Times New Roman"/>
                <w:sz w:val="17"/>
                <w:szCs w:val="17"/>
                <w:color w:val="C3C5C7"/>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231F20"/>
              </w:rPr>
              <w:t>350,000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350,000</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231F20"/>
              </w:rPr>
              <w:t>5.375 %</w:t>
            </w:r>
          </w:p>
        </w:tc>
        <w:tc>
          <w:tcPr>
            <w:tcW w:w="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May 1, 2028</w:t>
            </w:r>
          </w:p>
        </w:tc>
        <w:tc>
          <w:tcPr>
            <w:tcW w:w="0" w:type="dxa"/>
            <w:vAlign w:val="bottom"/>
          </w:tcPr>
          <w:p>
            <w:pPr>
              <w:spacing w:after="0"/>
              <w:rPr>
                <w:sz w:val="1"/>
                <w:szCs w:val="1"/>
                <w:color w:val="auto"/>
              </w:rPr>
            </w:pPr>
          </w:p>
        </w:tc>
      </w:tr>
      <w:tr>
        <w:trPr>
          <w:trHeight w:val="214"/>
        </w:trPr>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3.25% exchangeable notes</w:t>
            </w:r>
            <w:r>
              <w:rPr>
                <w:rFonts w:ascii="Times New Roman" w:cs="Times New Roman" w:eastAsia="Times New Roman" w:hAnsi="Times New Roman"/>
                <w:sz w:val="17"/>
                <w:szCs w:val="17"/>
                <w:color w:val="C3C5C7"/>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231F20"/>
              </w:rPr>
              <w:t>485,000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485,000</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231F20"/>
              </w:rPr>
              <w:t>3.25 %</w:t>
            </w:r>
          </w:p>
        </w:tc>
        <w:tc>
          <w:tcPr>
            <w:tcW w:w="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January 15, 2029</w:t>
            </w:r>
          </w:p>
        </w:tc>
        <w:tc>
          <w:tcPr>
            <w:tcW w:w="0" w:type="dxa"/>
            <w:vAlign w:val="bottom"/>
          </w:tcPr>
          <w:p>
            <w:pPr>
              <w:spacing w:after="0"/>
              <w:rPr>
                <w:sz w:val="1"/>
                <w:szCs w:val="1"/>
                <w:color w:val="auto"/>
              </w:rPr>
            </w:pPr>
          </w:p>
        </w:tc>
      </w:tr>
      <w:tr>
        <w:trPr>
          <w:trHeight w:val="214"/>
        </w:trPr>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 xml:space="preserve">3.20% notes </w:t>
            </w:r>
            <w:r>
              <w:rPr>
                <w:rFonts w:ascii="Times New Roman" w:cs="Times New Roman" w:eastAsia="Times New Roman" w:hAnsi="Times New Roman"/>
                <w:sz w:val="17"/>
                <w:szCs w:val="17"/>
                <w:color w:val="C3C5C7"/>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231F20"/>
              </w:rPr>
              <w:t>400,000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400,000</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231F20"/>
              </w:rPr>
              <w:t>3.20 %</w:t>
            </w:r>
          </w:p>
        </w:tc>
        <w:tc>
          <w:tcPr>
            <w:tcW w:w="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June 15, 2029</w:t>
            </w:r>
          </w:p>
        </w:tc>
        <w:tc>
          <w:tcPr>
            <w:tcW w:w="0" w:type="dxa"/>
            <w:vAlign w:val="bottom"/>
          </w:tcPr>
          <w:p>
            <w:pPr>
              <w:spacing w:after="0"/>
              <w:rPr>
                <w:sz w:val="1"/>
                <w:szCs w:val="1"/>
                <w:color w:val="auto"/>
              </w:rPr>
            </w:pPr>
          </w:p>
        </w:tc>
      </w:tr>
      <w:tr>
        <w:trPr>
          <w:trHeight w:val="214"/>
        </w:trPr>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 xml:space="preserve">3.50% notes </w:t>
            </w:r>
            <w:r>
              <w:rPr>
                <w:rFonts w:ascii="Times New Roman" w:cs="Times New Roman" w:eastAsia="Times New Roman" w:hAnsi="Times New Roman"/>
                <w:sz w:val="17"/>
                <w:szCs w:val="17"/>
                <w:color w:val="C3C5C7"/>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231F20"/>
              </w:rPr>
              <w:t>400,000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400,000</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231F20"/>
              </w:rPr>
              <w:t>3.50 %</w:t>
            </w:r>
          </w:p>
        </w:tc>
        <w:tc>
          <w:tcPr>
            <w:tcW w:w="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June 1, 2030</w:t>
            </w:r>
          </w:p>
        </w:tc>
        <w:tc>
          <w:tcPr>
            <w:tcW w:w="0" w:type="dxa"/>
            <w:vAlign w:val="bottom"/>
          </w:tcPr>
          <w:p>
            <w:pPr>
              <w:spacing w:after="0"/>
              <w:rPr>
                <w:sz w:val="1"/>
                <w:szCs w:val="1"/>
                <w:color w:val="auto"/>
              </w:rPr>
            </w:pPr>
          </w:p>
        </w:tc>
      </w:tr>
      <w:tr>
        <w:trPr>
          <w:trHeight w:val="214"/>
        </w:trPr>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 xml:space="preserve">4.50% notes </w:t>
            </w:r>
            <w:r>
              <w:rPr>
                <w:rFonts w:ascii="Times New Roman" w:cs="Times New Roman" w:eastAsia="Times New Roman" w:hAnsi="Times New Roman"/>
                <w:sz w:val="17"/>
                <w:szCs w:val="17"/>
                <w:color w:val="C3C5C7"/>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231F20"/>
              </w:rPr>
              <w:t>550,000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550,000</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231F20"/>
              </w:rPr>
              <w:t>4.50 %</w:t>
            </w:r>
          </w:p>
        </w:tc>
        <w:tc>
          <w:tcPr>
            <w:tcW w:w="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December 1, 2044</w:t>
            </w:r>
          </w:p>
        </w:tc>
        <w:tc>
          <w:tcPr>
            <w:tcW w:w="0" w:type="dxa"/>
            <w:vAlign w:val="bottom"/>
          </w:tcPr>
          <w:p>
            <w:pPr>
              <w:spacing w:after="0"/>
              <w:rPr>
                <w:sz w:val="1"/>
                <w:szCs w:val="1"/>
                <w:color w:val="auto"/>
              </w:rPr>
            </w:pPr>
          </w:p>
        </w:tc>
      </w:tr>
      <w:tr>
        <w:trPr>
          <w:trHeight w:val="226"/>
        </w:trPr>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 xml:space="preserve">3.625% notes </w:t>
            </w:r>
            <w:r>
              <w:rPr>
                <w:rFonts w:ascii="Times New Roman" w:cs="Times New Roman" w:eastAsia="Times New Roman" w:hAnsi="Times New Roman"/>
                <w:sz w:val="17"/>
                <w:szCs w:val="17"/>
                <w:color w:val="C3C5C7"/>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231F20"/>
              </w:rPr>
              <w:t>250,000</w:t>
            </w:r>
          </w:p>
        </w:tc>
        <w:tc>
          <w:tcPr>
            <w:tcW w:w="80" w:type="dxa"/>
            <w:vAlign w:val="bottom"/>
          </w:tcPr>
          <w:p>
            <w:pPr>
              <w:spacing w:after="0"/>
              <w:rPr>
                <w:sz w:val="19"/>
                <w:szCs w:val="19"/>
                <w:color w:val="auto"/>
              </w:rPr>
            </w:pPr>
          </w:p>
        </w:tc>
        <w:tc>
          <w:tcPr>
            <w:tcW w:w="160" w:type="dxa"/>
            <w:vAlign w:val="bottom"/>
            <w:tcBorders>
              <w:bottom w:val="single" w:sz="8" w:color="231F20"/>
            </w:tcBorders>
          </w:tcPr>
          <w:p>
            <w:pPr>
              <w:spacing w:after="0"/>
              <w:rPr>
                <w:sz w:val="19"/>
                <w:szCs w:val="19"/>
                <w:color w:val="auto"/>
              </w:rPr>
            </w:pPr>
          </w:p>
        </w:tc>
        <w:tc>
          <w:tcPr>
            <w:tcW w:w="13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231F20"/>
              </w:rPr>
              <w:t>250,000</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231F20"/>
              </w:rPr>
              <w:t>3.625 %</w:t>
            </w:r>
          </w:p>
        </w:tc>
        <w:tc>
          <w:tcPr>
            <w:tcW w:w="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August 1, 2046</w:t>
            </w:r>
          </w:p>
        </w:tc>
        <w:tc>
          <w:tcPr>
            <w:tcW w:w="0" w:type="dxa"/>
            <w:vAlign w:val="bottom"/>
          </w:tcPr>
          <w:p>
            <w:pPr>
              <w:spacing w:after="0"/>
              <w:rPr>
                <w:sz w:val="1"/>
                <w:szCs w:val="1"/>
                <w:color w:val="auto"/>
              </w:rPr>
            </w:pPr>
          </w:p>
        </w:tc>
      </w:tr>
      <w:tr>
        <w:trPr>
          <w:trHeight w:val="202"/>
        </w:trPr>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color w:val="C3C5C7"/>
              </w:rPr>
              <w:t>............................................................</w:t>
            </w:r>
            <w:r>
              <w:rPr>
                <w:rFonts w:ascii="Times New Roman" w:cs="Times New Roman" w:eastAsia="Times New Roman" w:hAnsi="Times New Roman"/>
                <w:sz w:val="17"/>
                <w:szCs w:val="17"/>
                <w:color w:val="231F20"/>
              </w:rPr>
              <w:t>Subtotal</w:t>
            </w: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3,379,200</w:t>
            </w:r>
          </w:p>
        </w:tc>
        <w:tc>
          <w:tcPr>
            <w:tcW w:w="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3940" w:type="dxa"/>
            <w:vAlign w:val="bottom"/>
          </w:tcPr>
          <w:p>
            <w:pPr>
              <w:jc w:val="right"/>
              <w:ind w:right="114"/>
              <w:spacing w:after="0" w:line="172" w:lineRule="exact"/>
              <w:rPr>
                <w:sz w:val="20"/>
                <w:szCs w:val="20"/>
                <w:color w:val="auto"/>
              </w:rPr>
            </w:pPr>
            <w:r>
              <w:rPr>
                <w:rFonts w:ascii="Times New Roman" w:cs="Times New Roman" w:eastAsia="Times New Roman" w:hAnsi="Times New Roman"/>
                <w:sz w:val="17"/>
                <w:szCs w:val="17"/>
                <w:color w:val="231F20"/>
              </w:rPr>
              <w:t>Net unamortized debt issuance costs and</w:t>
            </w: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231F20"/>
              </w:rPr>
              <w:t>(15,190)</w:t>
            </w:r>
          </w:p>
        </w:tc>
        <w:tc>
          <w:tcPr>
            <w:tcW w:w="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premium</w:t>
            </w:r>
            <w:r>
              <w:rPr>
                <w:rFonts w:ascii="Times New Roman" w:cs="Times New Roman" w:eastAsia="Times New Roman" w:hAnsi="Times New Roman"/>
                <w:sz w:val="17"/>
                <w:szCs w:val="17"/>
                <w:color w:val="C3C5C7"/>
              </w:rPr>
              <w:t>......................................................</w:t>
            </w: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231F20"/>
            </w:tcBorders>
          </w:tcPr>
          <w:p>
            <w:pPr>
              <w:spacing w:after="0"/>
              <w:rPr>
                <w:sz w:val="17"/>
                <w:szCs w:val="17"/>
                <w:color w:val="auto"/>
              </w:rPr>
            </w:pPr>
          </w:p>
        </w:tc>
        <w:tc>
          <w:tcPr>
            <w:tcW w:w="1300" w:type="dxa"/>
            <w:vAlign w:val="bottom"/>
            <w:tcBorders>
              <w:bottom w:val="single" w:sz="8" w:color="231F20"/>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3940" w:type="dxa"/>
            <w:vAlign w:val="bottom"/>
          </w:tcPr>
          <w:p>
            <w:pPr>
              <w:jc w:val="right"/>
              <w:spacing w:after="0"/>
              <w:rPr>
                <w:sz w:val="20"/>
                <w:szCs w:val="20"/>
                <w:color w:val="auto"/>
              </w:rPr>
            </w:pPr>
            <w:r>
              <w:rPr>
                <w:rFonts w:ascii="Times New Roman" w:cs="Times New Roman" w:eastAsia="Times New Roman" w:hAnsi="Times New Roman"/>
                <w:sz w:val="17"/>
                <w:szCs w:val="17"/>
                <w:color w:val="C3C5C7"/>
              </w:rPr>
              <w:t>.............</w:t>
            </w:r>
            <w:r>
              <w:rPr>
                <w:rFonts w:ascii="Times New Roman" w:cs="Times New Roman" w:eastAsia="Times New Roman" w:hAnsi="Times New Roman"/>
                <w:sz w:val="17"/>
                <w:szCs w:val="17"/>
                <w:color w:val="231F20"/>
              </w:rPr>
              <w:t>Totalseniornotesanddebentures,net</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3,364,010</w:t>
            </w:r>
          </w:p>
        </w:tc>
        <w:tc>
          <w:tcPr>
            <w:tcW w:w="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0"/>
        </w:trPr>
        <w:tc>
          <w:tcPr>
            <w:tcW w:w="3940" w:type="dxa"/>
            <w:vAlign w:val="bottom"/>
          </w:tcPr>
          <w:p>
            <w:pPr>
              <w:ind w:left="60"/>
              <w:spacing w:after="0"/>
              <w:rPr>
                <w:sz w:val="20"/>
                <w:szCs w:val="20"/>
                <w:color w:val="auto"/>
              </w:rPr>
            </w:pPr>
            <w:r>
              <w:rPr>
                <w:rFonts w:ascii="Times New Roman" w:cs="Times New Roman" w:eastAsia="Times New Roman" w:hAnsi="Times New Roman"/>
                <w:sz w:val="17"/>
                <w:szCs w:val="17"/>
                <w:b w:val="1"/>
                <w:bCs w:val="1"/>
                <w:color w:val="231F20"/>
              </w:rPr>
              <w:t>Total debt, net</w:t>
            </w: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231F20"/>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231F20"/>
              </w:rPr>
              <w:t>4,943,100</w:t>
            </w: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940" w:type="dxa"/>
            <w:vAlign w:val="bottom"/>
            <w:vMerge w:val="restart"/>
          </w:tcPr>
          <w:p>
            <w:pPr>
              <w:jc w:val="right"/>
              <w:ind w:right="1854"/>
              <w:spacing w:after="0"/>
              <w:rPr>
                <w:sz w:val="20"/>
                <w:szCs w:val="20"/>
                <w:color w:val="auto"/>
              </w:rPr>
            </w:pPr>
            <w:r>
              <w:rPr>
                <w:rFonts w:ascii="Times New Roman" w:cs="Times New Roman" w:eastAsia="Times New Roman" w:hAnsi="Times New Roman"/>
                <w:sz w:val="19"/>
                <w:szCs w:val="19"/>
                <w:color w:val="231F20"/>
                <w:w w:val="99"/>
              </w:rPr>
              <w:t>_____________________</w:t>
            </w: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231F20"/>
              <w:bottom w:val="single" w:sz="8" w:color="231F20"/>
            </w:tcBorders>
          </w:tcPr>
          <w:p>
            <w:pPr>
              <w:spacing w:after="0" w:line="20" w:lineRule="exact"/>
              <w:rPr>
                <w:sz w:val="1"/>
                <w:szCs w:val="1"/>
                <w:color w:val="auto"/>
              </w:rPr>
            </w:pPr>
          </w:p>
        </w:tc>
        <w:tc>
          <w:tcPr>
            <w:tcW w:w="130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394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680" w:right="420" w:hanging="677"/>
        <w:spacing w:after="0" w:line="281" w:lineRule="auto"/>
        <w:tabs>
          <w:tab w:leader="none" w:pos="680" w:val="left"/>
        </w:tabs>
        <w:numPr>
          <w:ilvl w:val="0"/>
          <w:numId w:val="49"/>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We have one one-year extension, at our option to extend the maturity date of this mortgage loan to December 28, 2027.</w:t>
      </w:r>
    </w:p>
    <w:p>
      <w:pPr>
        <w:spacing w:after="0" w:line="1" w:lineRule="exact"/>
        <w:rPr>
          <w:rFonts w:ascii="Times New Roman" w:cs="Times New Roman" w:eastAsia="Times New Roman" w:hAnsi="Times New Roman"/>
          <w:sz w:val="19"/>
          <w:szCs w:val="19"/>
          <w:color w:val="231F20"/>
        </w:rPr>
      </w:pPr>
    </w:p>
    <w:p>
      <w:pPr>
        <w:ind w:left="680" w:right="420" w:hanging="677"/>
        <w:spacing w:after="0" w:line="281" w:lineRule="auto"/>
        <w:tabs>
          <w:tab w:leader="none" w:pos="680" w:val="left"/>
        </w:tabs>
        <w:numPr>
          <w:ilvl w:val="0"/>
          <w:numId w:val="49"/>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Our Azalea mortgage loan, revolving credit facility SOFR loans, and our term loans bear interest at Daily Simple SOFR, as defined in the respective credit agreements, plus a spread, based on our current credit rating.</w:t>
      </w:r>
    </w:p>
    <w:p>
      <w:pPr>
        <w:spacing w:after="0" w:line="1" w:lineRule="exact"/>
        <w:rPr>
          <w:rFonts w:ascii="Times New Roman" w:cs="Times New Roman" w:eastAsia="Times New Roman" w:hAnsi="Times New Roman"/>
          <w:sz w:val="19"/>
          <w:szCs w:val="19"/>
          <w:color w:val="231F20"/>
        </w:rPr>
      </w:pPr>
    </w:p>
    <w:p>
      <w:pPr>
        <w:ind w:left="680" w:right="120" w:hanging="677"/>
        <w:spacing w:after="0" w:line="281" w:lineRule="auto"/>
        <w:tabs>
          <w:tab w:leader="none" w:pos="680" w:val="left"/>
        </w:tabs>
        <w:numPr>
          <w:ilvl w:val="0"/>
          <w:numId w:val="49"/>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The Operating Partnership is a co-borrower on this mortgage loan. Additionally, we have two one-year extensions, at our option to extend the maturity date of this mortgage loan to October 30, 2030.</w:t>
      </w:r>
    </w:p>
    <w:p>
      <w:pPr>
        <w:spacing w:after="0" w:line="1" w:lineRule="exact"/>
        <w:rPr>
          <w:rFonts w:ascii="Times New Roman" w:cs="Times New Roman" w:eastAsia="Times New Roman" w:hAnsi="Times New Roman"/>
          <w:sz w:val="19"/>
          <w:szCs w:val="19"/>
          <w:color w:val="231F20"/>
        </w:rPr>
      </w:pPr>
    </w:p>
    <w:p>
      <w:pPr>
        <w:ind w:left="680" w:hanging="677"/>
        <w:spacing w:after="0"/>
        <w:tabs>
          <w:tab w:leader="none" w:pos="680" w:val="left"/>
        </w:tabs>
        <w:numPr>
          <w:ilvl w:val="0"/>
          <w:numId w:val="49"/>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The interest rate on this mortgage loan is fixed at 3.67% through two interest rate swap agreements.</w:t>
      </w:r>
    </w:p>
    <w:p>
      <w:pPr>
        <w:spacing w:after="0" w:line="66" w:lineRule="exact"/>
        <w:rPr>
          <w:rFonts w:ascii="Times New Roman" w:cs="Times New Roman" w:eastAsia="Times New Roman" w:hAnsi="Times New Roman"/>
          <w:sz w:val="19"/>
          <w:szCs w:val="19"/>
          <w:color w:val="231F20"/>
        </w:rPr>
      </w:pPr>
    </w:p>
    <w:p>
      <w:pPr>
        <w:ind w:left="680" w:hanging="677"/>
        <w:spacing w:after="0"/>
        <w:tabs>
          <w:tab w:leader="none" w:pos="680" w:val="left"/>
        </w:tabs>
        <w:numPr>
          <w:ilvl w:val="0"/>
          <w:numId w:val="49"/>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The interest rates on these mortgages range from 3.91% to 5.00%.</w:t>
      </w:r>
    </w:p>
    <w:p>
      <w:pPr>
        <w:spacing w:after="0" w:line="66" w:lineRule="exact"/>
        <w:rPr>
          <w:rFonts w:ascii="Times New Roman" w:cs="Times New Roman" w:eastAsia="Times New Roman" w:hAnsi="Times New Roman"/>
          <w:sz w:val="19"/>
          <w:szCs w:val="19"/>
          <w:color w:val="231F20"/>
        </w:rPr>
      </w:pPr>
    </w:p>
    <w:p>
      <w:pPr>
        <w:jc w:val="both"/>
        <w:ind w:left="680" w:right="60" w:hanging="677"/>
        <w:spacing w:after="0" w:line="267" w:lineRule="auto"/>
        <w:tabs>
          <w:tab w:leader="none" w:pos="680" w:val="left"/>
        </w:tabs>
        <w:numPr>
          <w:ilvl w:val="0"/>
          <w:numId w:val="49"/>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The maximum amount drawn under our $1.25 billion revolving credit facility during 2025 was $461.6 million and the weighted average effective interest rate on borrowings under our revolving credit facility, before amortization of debt fees, was 5.0%.</w:t>
      </w:r>
    </w:p>
    <w:p>
      <w:pPr>
        <w:spacing w:after="0" w:line="12" w:lineRule="exact"/>
        <w:rPr>
          <w:rFonts w:ascii="Times New Roman" w:cs="Times New Roman" w:eastAsia="Times New Roman" w:hAnsi="Times New Roman"/>
          <w:sz w:val="19"/>
          <w:szCs w:val="19"/>
          <w:color w:val="231F20"/>
        </w:rPr>
      </w:pPr>
    </w:p>
    <w:p>
      <w:pPr>
        <w:ind w:left="680" w:right="20" w:hanging="677"/>
        <w:spacing w:after="0" w:line="284" w:lineRule="auto"/>
        <w:tabs>
          <w:tab w:leader="none" w:pos="680" w:val="left"/>
        </w:tabs>
        <w:numPr>
          <w:ilvl w:val="0"/>
          <w:numId w:val="49"/>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The Operating Partnership is the obligor under our revolving credit facility, term loans, senior notes and debentures. A wholly owned subsidiary of the Operating Partnership is also an obligor of the $750.0 million term loan.</w:t>
      </w:r>
    </w:p>
    <w:p>
      <w:pPr>
        <w:sectPr>
          <w:pgSz w:w="11880" w:h="15480" w:orient="portrait"/>
          <w:cols w:equalWidth="0" w:num="1">
            <w:col w:w="9720"/>
          </w:cols>
          <w:pgMar w:left="1060" w:top="941" w:right="1100" w:bottom="0" w:gutter="0" w:footer="0" w:header="0"/>
        </w:sectPr>
      </w:pPr>
    </w:p>
    <w:p>
      <w:pPr>
        <w:spacing w:after="0" w:line="2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231F20"/>
        </w:rPr>
        <w:t>44</w:t>
      </w:r>
    </w:p>
    <w:p>
      <w:pPr>
        <w:sectPr>
          <w:pgSz w:w="11880" w:h="15480" w:orient="portrait"/>
          <w:cols w:equalWidth="0" w:num="1">
            <w:col w:w="9720"/>
          </w:cols>
          <w:pgMar w:left="1060" w:top="941" w:right="1100" w:bottom="0" w:gutter="0" w:footer="0" w:header="0"/>
          <w:type w:val="continuous"/>
        </w:sectPr>
      </w:pPr>
    </w:p>
    <w:bookmarkStart w:id="52" w:name="page53"/>
    <w:bookmarkEnd w:id="52"/>
    <w:p>
      <w:pPr>
        <w:ind w:left="680" w:right="480" w:hanging="677"/>
        <w:spacing w:after="0" w:line="284" w:lineRule="auto"/>
        <w:tabs>
          <w:tab w:leader="none" w:pos="680" w:val="left"/>
        </w:tabs>
        <w:numPr>
          <w:ilvl w:val="0"/>
          <w:numId w:val="50"/>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The interest rate on $450.0 million of our term loan is fixed at a weighted average interest rate of 4.17% through March 1, 2028 through interest rate swap agreements.</w:t>
      </w:r>
    </w:p>
    <w:p>
      <w:pPr>
        <w:spacing w:after="0" w:line="11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9"/>
          <w:szCs w:val="19"/>
          <w:color w:val="231F20"/>
        </w:rPr>
        <w:t>Our revolving credit facility, unsecured term loans, and other debt agreements include financial and other covenants that may limit our operating activities in the future. As of December 31, 2025, we were in compliance with all financial and other covenants related to our revolving credit facility, term loans, and senior notes. Additionally, we were in compliance with all of the financial and other covenants that could trigger a loan default on our mortgage loans. If we were to breach any of these financial and other covenants and did not cure the breach within an applicable cure period, our lenders could require us to repay the debt immediately and, if the debt is secured, could immediately begin proceedings to take possession of the property securing the loan. Many of our debt arrangements, including our public notes and our revolving credit facility, are cross-defaulted, which means that the lenders under those debt arrangements can put us in default and require immediate repayment of their debt if we breach and fail to cure a default under certain of our other debt obligations. As a result, any default under our debt covenants could have an adverse effect on our financial condition, our results of operations, our ability to meet our obligations and the market value of our shares. Our organizational documents do not limit the level or amount of debt that we may incur.</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The following is a summary of our scheduled principal repayments as of December 31, 2025:</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900" w:type="dxa"/>
            <w:vAlign w:val="bottom"/>
          </w:tcPr>
          <w:p>
            <w:pPr>
              <w:spacing w:after="0"/>
              <w:rPr>
                <w:sz w:val="17"/>
                <w:szCs w:val="17"/>
                <w:color w:val="auto"/>
              </w:rPr>
            </w:pPr>
          </w:p>
        </w:tc>
        <w:tc>
          <w:tcPr>
            <w:tcW w:w="180" w:type="dxa"/>
            <w:vAlign w:val="bottom"/>
            <w:tcBorders>
              <w:bottom w:val="single" w:sz="8" w:color="231F20"/>
            </w:tcBorders>
          </w:tcPr>
          <w:p>
            <w:pPr>
              <w:spacing w:after="0"/>
              <w:rPr>
                <w:sz w:val="17"/>
                <w:szCs w:val="17"/>
                <w:color w:val="auto"/>
              </w:rPr>
            </w:pPr>
          </w:p>
        </w:tc>
        <w:tc>
          <w:tcPr>
            <w:tcW w:w="960" w:type="dxa"/>
            <w:vAlign w:val="bottom"/>
            <w:tcBorders>
              <w:bottom w:val="single" w:sz="8" w:color="231F20"/>
            </w:tcBorders>
          </w:tcPr>
          <w:p>
            <w:pPr>
              <w:jc w:val="right"/>
              <w:ind w:right="127"/>
              <w:spacing w:after="0"/>
              <w:rPr>
                <w:sz w:val="20"/>
                <w:szCs w:val="20"/>
                <w:color w:val="auto"/>
              </w:rPr>
            </w:pPr>
            <w:r>
              <w:rPr>
                <w:rFonts w:ascii="Times New Roman" w:cs="Times New Roman" w:eastAsia="Times New Roman" w:hAnsi="Times New Roman"/>
                <w:sz w:val="15"/>
                <w:szCs w:val="15"/>
                <w:b w:val="1"/>
                <w:bCs w:val="1"/>
                <w:color w:val="231F20"/>
              </w:rPr>
              <w:t>Unsecured</w:t>
            </w: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Borders>
              <w:bottom w:val="single" w:sz="8" w:color="231F20"/>
            </w:tcBorders>
          </w:tcPr>
          <w:p>
            <w:pPr>
              <w:spacing w:after="0"/>
              <w:rPr>
                <w:sz w:val="17"/>
                <w:szCs w:val="17"/>
                <w:color w:val="auto"/>
              </w:rPr>
            </w:pPr>
          </w:p>
        </w:tc>
        <w:tc>
          <w:tcPr>
            <w:tcW w:w="900" w:type="dxa"/>
            <w:vAlign w:val="bottom"/>
            <w:tcBorders>
              <w:bottom w:val="single" w:sz="8" w:color="231F20"/>
            </w:tcBorders>
          </w:tcPr>
          <w:p>
            <w:pPr>
              <w:jc w:val="right"/>
              <w:ind w:right="207"/>
              <w:spacing w:after="0"/>
              <w:rPr>
                <w:sz w:val="20"/>
                <w:szCs w:val="20"/>
                <w:color w:val="auto"/>
              </w:rPr>
            </w:pPr>
            <w:r>
              <w:rPr>
                <w:rFonts w:ascii="Times New Roman" w:cs="Times New Roman" w:eastAsia="Times New Roman" w:hAnsi="Times New Roman"/>
                <w:sz w:val="15"/>
                <w:szCs w:val="15"/>
                <w:b w:val="1"/>
                <w:bCs w:val="1"/>
                <w:color w:val="231F20"/>
              </w:rPr>
              <w:t>Secured</w:t>
            </w:r>
          </w:p>
        </w:tc>
        <w:tc>
          <w:tcPr>
            <w:tcW w:w="400" w:type="dxa"/>
            <w:vAlign w:val="bottom"/>
          </w:tcPr>
          <w:p>
            <w:pPr>
              <w:spacing w:after="0"/>
              <w:rPr>
                <w:sz w:val="17"/>
                <w:szCs w:val="17"/>
                <w:color w:val="auto"/>
              </w:rPr>
            </w:pPr>
          </w:p>
        </w:tc>
        <w:tc>
          <w:tcPr>
            <w:tcW w:w="220" w:type="dxa"/>
            <w:vAlign w:val="bottom"/>
            <w:tcBorders>
              <w:bottom w:val="single" w:sz="8" w:color="231F20"/>
            </w:tcBorders>
          </w:tcPr>
          <w:p>
            <w:pPr>
              <w:spacing w:after="0"/>
              <w:rPr>
                <w:sz w:val="17"/>
                <w:szCs w:val="17"/>
                <w:color w:val="auto"/>
              </w:rPr>
            </w:pPr>
          </w:p>
        </w:tc>
        <w:tc>
          <w:tcPr>
            <w:tcW w:w="920" w:type="dxa"/>
            <w:vAlign w:val="bottom"/>
            <w:tcBorders>
              <w:bottom w:val="single" w:sz="8" w:color="231F20"/>
            </w:tcBorders>
          </w:tcPr>
          <w:p>
            <w:pPr>
              <w:jc w:val="right"/>
              <w:ind w:right="307"/>
              <w:spacing w:after="0"/>
              <w:rPr>
                <w:sz w:val="20"/>
                <w:szCs w:val="20"/>
                <w:color w:val="auto"/>
              </w:rPr>
            </w:pPr>
            <w:r>
              <w:rPr>
                <w:rFonts w:ascii="Times New Roman" w:cs="Times New Roman" w:eastAsia="Times New Roman" w:hAnsi="Times New Roman"/>
                <w:sz w:val="15"/>
                <w:szCs w:val="15"/>
                <w:b w:val="1"/>
                <w:bCs w:val="1"/>
                <w:color w:val="231F20"/>
              </w:rPr>
              <w:t>Total</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gridSpan w:val="3"/>
          </w:tcPr>
          <w:p>
            <w:pPr>
              <w:jc w:val="right"/>
              <w:ind w:right="147"/>
              <w:spacing w:after="0"/>
              <w:rPr>
                <w:sz w:val="20"/>
                <w:szCs w:val="20"/>
                <w:color w:val="auto"/>
              </w:rPr>
            </w:pPr>
            <w:r>
              <w:rPr>
                <w:rFonts w:ascii="Times New Roman" w:cs="Times New Roman" w:eastAsia="Times New Roman" w:hAnsi="Times New Roman"/>
                <w:sz w:val="15"/>
                <w:szCs w:val="15"/>
                <w:b w:val="1"/>
                <w:bCs w:val="1"/>
                <w:color w:val="231F20"/>
              </w:rPr>
              <w:t>(In thousands)</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9"/>
        </w:trPr>
        <w:tc>
          <w:tcPr>
            <w:tcW w:w="4900" w:type="dxa"/>
            <w:vAlign w:val="bottom"/>
          </w:tcPr>
          <w:p>
            <w:pPr>
              <w:ind w:left="60"/>
              <w:spacing w:after="0"/>
              <w:rPr>
                <w:sz w:val="20"/>
                <w:szCs w:val="20"/>
                <w:color w:val="auto"/>
              </w:rPr>
            </w:pPr>
            <w:r>
              <w:rPr>
                <w:rFonts w:ascii="Times New Roman" w:cs="Times New Roman" w:eastAsia="Times New Roman" w:hAnsi="Times New Roman"/>
                <w:sz w:val="19"/>
                <w:szCs w:val="19"/>
                <w:color w:val="231F20"/>
              </w:rPr>
              <w:t>2026</w:t>
            </w:r>
          </w:p>
        </w:tc>
        <w:tc>
          <w:tcPr>
            <w:tcW w:w="1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429,353</w:t>
            </w:r>
          </w:p>
        </w:tc>
        <w:tc>
          <w:tcPr>
            <w:tcW w:w="440" w:type="dxa"/>
            <w:vAlign w:val="bottom"/>
          </w:tcPr>
          <w:p>
            <w:pPr>
              <w:spacing w:after="0"/>
              <w:rPr>
                <w:sz w:val="24"/>
                <w:szCs w:val="24"/>
                <w:color w:val="auto"/>
              </w:rPr>
            </w:pP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9"/>
                <w:szCs w:val="19"/>
                <w:color w:val="231F2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226,242</w:t>
            </w:r>
          </w:p>
        </w:tc>
        <w:tc>
          <w:tcPr>
            <w:tcW w:w="400" w:type="dxa"/>
            <w:vAlign w:val="bottom"/>
          </w:tcPr>
          <w:p>
            <w:pPr>
              <w:jc w:val="right"/>
              <w:ind w:right="25"/>
              <w:spacing w:after="0"/>
              <w:rPr>
                <w:sz w:val="20"/>
                <w:szCs w:val="20"/>
                <w:color w:val="auto"/>
              </w:rPr>
            </w:pPr>
            <w:r>
              <w:rPr>
                <w:rFonts w:ascii="Times New Roman" w:cs="Times New Roman" w:eastAsia="Times New Roman" w:hAnsi="Times New Roman"/>
                <w:sz w:val="19"/>
                <w:szCs w:val="19"/>
                <w:color w:val="231F20"/>
              </w:rPr>
              <w:t>(1)</w:t>
            </w: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655,595</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4900" w:type="dxa"/>
            <w:vAlign w:val="bottom"/>
          </w:tcPr>
          <w:p>
            <w:pPr>
              <w:ind w:left="60"/>
              <w:spacing w:after="0"/>
              <w:rPr>
                <w:sz w:val="20"/>
                <w:szCs w:val="20"/>
                <w:color w:val="auto"/>
              </w:rPr>
            </w:pPr>
            <w:r>
              <w:rPr>
                <w:rFonts w:ascii="Times New Roman" w:cs="Times New Roman" w:eastAsia="Times New Roman" w:hAnsi="Times New Roman"/>
                <w:sz w:val="19"/>
                <w:szCs w:val="19"/>
                <w:color w:val="231F20"/>
              </w:rPr>
              <w:t>2027</w:t>
            </w: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825,037</w:t>
            </w:r>
          </w:p>
        </w:tc>
        <w:tc>
          <w:tcPr>
            <w:tcW w:w="440" w:type="dxa"/>
            <w:vAlign w:val="bottom"/>
          </w:tcPr>
          <w:p>
            <w:pPr>
              <w:jc w:val="right"/>
              <w:ind w:right="85"/>
              <w:spacing w:after="0"/>
              <w:rPr>
                <w:sz w:val="20"/>
                <w:szCs w:val="20"/>
                <w:color w:val="auto"/>
              </w:rPr>
            </w:pPr>
            <w:r>
              <w:rPr>
                <w:rFonts w:ascii="Times New Roman" w:cs="Times New Roman" w:eastAsia="Times New Roman" w:hAnsi="Times New Roman"/>
                <w:sz w:val="19"/>
                <w:szCs w:val="19"/>
                <w:color w:val="231F20"/>
              </w:rPr>
              <w:t>(2)</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178,282</w:t>
            </w: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1,003,319</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4900" w:type="dxa"/>
            <w:vAlign w:val="bottom"/>
          </w:tcPr>
          <w:p>
            <w:pPr>
              <w:ind w:left="60"/>
              <w:spacing w:after="0"/>
              <w:rPr>
                <w:sz w:val="20"/>
                <w:szCs w:val="20"/>
                <w:color w:val="auto"/>
              </w:rPr>
            </w:pPr>
            <w:r>
              <w:rPr>
                <w:rFonts w:ascii="Times New Roman" w:cs="Times New Roman" w:eastAsia="Times New Roman" w:hAnsi="Times New Roman"/>
                <w:sz w:val="19"/>
                <w:szCs w:val="19"/>
                <w:color w:val="231F20"/>
              </w:rPr>
              <w:t>2028</w:t>
            </w: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1,100,000</w:t>
            </w:r>
          </w:p>
        </w:tc>
        <w:tc>
          <w:tcPr>
            <w:tcW w:w="440" w:type="dxa"/>
            <w:vAlign w:val="bottom"/>
          </w:tcPr>
          <w:p>
            <w:pPr>
              <w:jc w:val="right"/>
              <w:ind w:right="85"/>
              <w:spacing w:after="0"/>
              <w:rPr>
                <w:sz w:val="20"/>
                <w:szCs w:val="20"/>
                <w:color w:val="auto"/>
              </w:rPr>
            </w:pPr>
            <w:r>
              <w:rPr>
                <w:rFonts w:ascii="Times New Roman" w:cs="Times New Roman" w:eastAsia="Times New Roman" w:hAnsi="Times New Roman"/>
                <w:sz w:val="19"/>
                <w:szCs w:val="19"/>
                <w:color w:val="231F20"/>
              </w:rPr>
              <w:t>(3)</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57,511</w:t>
            </w:r>
          </w:p>
        </w:tc>
        <w:tc>
          <w:tcPr>
            <w:tcW w:w="400" w:type="dxa"/>
            <w:vAlign w:val="bottom"/>
          </w:tcPr>
          <w:p>
            <w:pPr>
              <w:jc w:val="right"/>
              <w:ind w:right="25"/>
              <w:spacing w:after="0"/>
              <w:rPr>
                <w:sz w:val="20"/>
                <w:szCs w:val="20"/>
                <w:color w:val="auto"/>
              </w:rPr>
            </w:pPr>
            <w:r>
              <w:rPr>
                <w:rFonts w:ascii="Times New Roman" w:cs="Times New Roman" w:eastAsia="Times New Roman" w:hAnsi="Times New Roman"/>
                <w:sz w:val="19"/>
                <w:szCs w:val="19"/>
                <w:color w:val="231F20"/>
              </w:rPr>
              <w:t>(4)</w:t>
            </w: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1,157,511</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4900" w:type="dxa"/>
            <w:vAlign w:val="bottom"/>
          </w:tcPr>
          <w:p>
            <w:pPr>
              <w:ind w:left="60"/>
              <w:spacing w:after="0"/>
              <w:rPr>
                <w:sz w:val="20"/>
                <w:szCs w:val="20"/>
                <w:color w:val="auto"/>
              </w:rPr>
            </w:pPr>
            <w:r>
              <w:rPr>
                <w:rFonts w:ascii="Times New Roman" w:cs="Times New Roman" w:eastAsia="Times New Roman" w:hAnsi="Times New Roman"/>
                <w:sz w:val="19"/>
                <w:szCs w:val="19"/>
                <w:color w:val="231F20"/>
              </w:rPr>
              <w:t>2029</w:t>
            </w: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885,000</w:t>
            </w: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60,434</w:t>
            </w: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945,434</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4900" w:type="dxa"/>
            <w:vAlign w:val="bottom"/>
          </w:tcPr>
          <w:p>
            <w:pPr>
              <w:ind w:left="60"/>
              <w:spacing w:after="0"/>
              <w:rPr>
                <w:sz w:val="20"/>
                <w:szCs w:val="20"/>
                <w:color w:val="auto"/>
              </w:rPr>
            </w:pPr>
            <w:r>
              <w:rPr>
                <w:rFonts w:ascii="Times New Roman" w:cs="Times New Roman" w:eastAsia="Times New Roman" w:hAnsi="Times New Roman"/>
                <w:sz w:val="19"/>
                <w:szCs w:val="19"/>
                <w:color w:val="231F20"/>
              </w:rPr>
              <w:t>2030</w:t>
            </w: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400,000</w:t>
            </w: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684</w:t>
            </w: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400,684</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4900" w:type="dxa"/>
            <w:vAlign w:val="bottom"/>
          </w:tcPr>
          <w:p>
            <w:pPr>
              <w:ind w:left="60"/>
              <w:spacing w:after="0"/>
              <w:rPr>
                <w:sz w:val="20"/>
                <w:szCs w:val="20"/>
                <w:color w:val="auto"/>
              </w:rPr>
            </w:pPr>
            <w:r>
              <w:rPr>
                <w:rFonts w:ascii="Times New Roman" w:cs="Times New Roman" w:eastAsia="Times New Roman" w:hAnsi="Times New Roman"/>
                <w:sz w:val="19"/>
                <w:szCs w:val="19"/>
                <w:color w:val="231F20"/>
              </w:rPr>
              <w:t>Thereafter</w:t>
            </w:r>
          </w:p>
        </w:tc>
        <w:tc>
          <w:tcPr>
            <w:tcW w:w="180" w:type="dxa"/>
            <w:vAlign w:val="bottom"/>
            <w:tcBorders>
              <w:bottom w:val="single" w:sz="8" w:color="231F20"/>
            </w:tcBorders>
          </w:tcPr>
          <w:p>
            <w:pPr>
              <w:spacing w:after="0"/>
              <w:rPr>
                <w:sz w:val="24"/>
                <w:szCs w:val="24"/>
                <w:color w:val="auto"/>
              </w:rPr>
            </w:pPr>
          </w:p>
        </w:tc>
        <w:tc>
          <w:tcPr>
            <w:tcW w:w="9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801,000</w:t>
            </w: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Borders>
              <w:bottom w:val="single" w:sz="8" w:color="231F20"/>
            </w:tcBorders>
          </w:tcPr>
          <w:p>
            <w:pPr>
              <w:spacing w:after="0"/>
              <w:rPr>
                <w:sz w:val="24"/>
                <w:szCs w:val="24"/>
                <w:color w:val="auto"/>
              </w:rPr>
            </w:pPr>
          </w:p>
        </w:tc>
        <w:tc>
          <w:tcPr>
            <w:tcW w:w="9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59</w:t>
            </w:r>
          </w:p>
        </w:tc>
        <w:tc>
          <w:tcPr>
            <w:tcW w:w="400" w:type="dxa"/>
            <w:vAlign w:val="bottom"/>
          </w:tcPr>
          <w:p>
            <w:pPr>
              <w:spacing w:after="0"/>
              <w:rPr>
                <w:sz w:val="24"/>
                <w:szCs w:val="24"/>
                <w:color w:val="auto"/>
              </w:rPr>
            </w:pPr>
          </w:p>
        </w:tc>
        <w:tc>
          <w:tcPr>
            <w:tcW w:w="220" w:type="dxa"/>
            <w:vAlign w:val="bottom"/>
            <w:tcBorders>
              <w:bottom w:val="single" w:sz="8" w:color="231F20"/>
            </w:tcBorders>
          </w:tcPr>
          <w:p>
            <w:pPr>
              <w:spacing w:after="0"/>
              <w:rPr>
                <w:sz w:val="24"/>
                <w:szCs w:val="24"/>
                <w:color w:val="auto"/>
              </w:rPr>
            </w:pPr>
          </w:p>
        </w:tc>
        <w:tc>
          <w:tcPr>
            <w:tcW w:w="9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801,059</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49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4,440,390</w:t>
            </w:r>
          </w:p>
        </w:tc>
        <w:tc>
          <w:tcPr>
            <w:tcW w:w="440" w:type="dxa"/>
            <w:vAlign w:val="bottom"/>
          </w:tcPr>
          <w:p>
            <w:pPr>
              <w:spacing w:after="0"/>
              <w:rPr>
                <w:sz w:val="21"/>
                <w:szCs w:val="21"/>
                <w:color w:val="auto"/>
              </w:rPr>
            </w:pP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9"/>
                <w:szCs w:val="19"/>
                <w:color w:val="231F2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523,212</w:t>
            </w:r>
          </w:p>
        </w:tc>
        <w:tc>
          <w:tcPr>
            <w:tcW w:w="40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4,963,602  (5)</w:t>
            </w:r>
          </w:p>
        </w:tc>
        <w:tc>
          <w:tcPr>
            <w:tcW w:w="0" w:type="dxa"/>
            <w:vAlign w:val="bottom"/>
          </w:tcPr>
          <w:p>
            <w:pPr>
              <w:spacing w:after="0"/>
              <w:rPr>
                <w:sz w:val="1"/>
                <w:szCs w:val="1"/>
                <w:color w:val="auto"/>
              </w:rPr>
            </w:pPr>
          </w:p>
        </w:tc>
      </w:tr>
      <w:tr>
        <w:trPr>
          <w:trHeight w:val="20"/>
        </w:trPr>
        <w:tc>
          <w:tcPr>
            <w:tcW w:w="4900" w:type="dxa"/>
            <w:vAlign w:val="bottom"/>
            <w:vMerge w:val="restart"/>
          </w:tcPr>
          <w:p>
            <w:pPr>
              <w:spacing w:after="0"/>
              <w:rPr>
                <w:sz w:val="20"/>
                <w:szCs w:val="20"/>
                <w:color w:val="auto"/>
              </w:rPr>
            </w:pPr>
            <w:r>
              <w:rPr>
                <w:rFonts w:ascii="Times New Roman" w:cs="Times New Roman" w:eastAsia="Times New Roman" w:hAnsi="Times New Roman"/>
                <w:sz w:val="19"/>
                <w:szCs w:val="19"/>
                <w:color w:val="231F20"/>
              </w:rPr>
              <w:t>_____________________</w:t>
            </w:r>
          </w:p>
        </w:tc>
        <w:tc>
          <w:tcPr>
            <w:tcW w:w="180" w:type="dxa"/>
            <w:vAlign w:val="bottom"/>
            <w:tcBorders>
              <w:top w:val="single" w:sz="8" w:color="231F20"/>
              <w:bottom w:val="single" w:sz="8" w:color="231F20"/>
            </w:tcBorders>
          </w:tcPr>
          <w:p>
            <w:pPr>
              <w:spacing w:after="0" w:line="20" w:lineRule="exact"/>
              <w:rPr>
                <w:sz w:val="1"/>
                <w:szCs w:val="1"/>
                <w:color w:val="auto"/>
              </w:rPr>
            </w:pPr>
          </w:p>
        </w:tc>
        <w:tc>
          <w:tcPr>
            <w:tcW w:w="960" w:type="dxa"/>
            <w:vAlign w:val="bottom"/>
            <w:tcBorders>
              <w:top w:val="single" w:sz="8" w:color="231F20"/>
              <w:bottom w:val="single" w:sz="8" w:color="231F20"/>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231F20"/>
              <w:bottom w:val="single" w:sz="8" w:color="231F20"/>
            </w:tcBorders>
          </w:tcPr>
          <w:p>
            <w:pPr>
              <w:spacing w:after="0" w:line="20" w:lineRule="exact"/>
              <w:rPr>
                <w:sz w:val="1"/>
                <w:szCs w:val="1"/>
                <w:color w:val="auto"/>
              </w:rPr>
            </w:pPr>
          </w:p>
        </w:tc>
        <w:tc>
          <w:tcPr>
            <w:tcW w:w="900" w:type="dxa"/>
            <w:vAlign w:val="bottom"/>
            <w:tcBorders>
              <w:top w:val="single" w:sz="8" w:color="231F20"/>
              <w:bottom w:val="single" w:sz="8" w:color="231F20"/>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top w:val="single" w:sz="8" w:color="231F20"/>
              <w:bottom w:val="single" w:sz="8" w:color="231F20"/>
            </w:tcBorders>
          </w:tcPr>
          <w:p>
            <w:pPr>
              <w:spacing w:after="0" w:line="20" w:lineRule="exact"/>
              <w:rPr>
                <w:sz w:val="1"/>
                <w:szCs w:val="1"/>
                <w:color w:val="auto"/>
              </w:rPr>
            </w:pPr>
          </w:p>
        </w:tc>
        <w:tc>
          <w:tcPr>
            <w:tcW w:w="920" w:type="dxa"/>
            <w:vAlign w:val="bottom"/>
            <w:tcBorders>
              <w:top w:val="single" w:sz="8" w:color="231F20"/>
              <w:bottom w:val="single" w:sz="8" w:color="231F20"/>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4900" w:type="dxa"/>
            <w:vAlign w:val="bottom"/>
            <w:vMerge w:val="continue"/>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680" w:right="580" w:hanging="677"/>
        <w:spacing w:after="0" w:line="281" w:lineRule="auto"/>
        <w:tabs>
          <w:tab w:leader="none" w:pos="680" w:val="left"/>
        </w:tabs>
        <w:numPr>
          <w:ilvl w:val="0"/>
          <w:numId w:val="51"/>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Our $200.0 million mortgage loan secured by Bethesda Row matures on December 28, 2026 plus one one-year extension, at our option to December 28, 2027.</w:t>
      </w:r>
    </w:p>
    <w:p>
      <w:pPr>
        <w:spacing w:after="0" w:line="1" w:lineRule="exact"/>
        <w:rPr>
          <w:rFonts w:ascii="Times New Roman" w:cs="Times New Roman" w:eastAsia="Times New Roman" w:hAnsi="Times New Roman"/>
          <w:sz w:val="19"/>
          <w:szCs w:val="19"/>
          <w:color w:val="231F20"/>
        </w:rPr>
      </w:pPr>
    </w:p>
    <w:p>
      <w:pPr>
        <w:ind w:left="680" w:right="300" w:hanging="677"/>
        <w:spacing w:after="0" w:line="281" w:lineRule="auto"/>
        <w:tabs>
          <w:tab w:leader="none" w:pos="680" w:val="left"/>
        </w:tabs>
        <w:numPr>
          <w:ilvl w:val="0"/>
          <w:numId w:val="51"/>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Our $1.25 billion revolving credit facility matures on April 5, 2027 plus two six-month extensions, at our option to April 5, 2028. As of December 31, 2025, there was $310.0 million outstanding under this credit facility.</w:t>
      </w:r>
    </w:p>
    <w:p>
      <w:pPr>
        <w:spacing w:after="0" w:line="1" w:lineRule="exact"/>
        <w:rPr>
          <w:rFonts w:ascii="Times New Roman" w:cs="Times New Roman" w:eastAsia="Times New Roman" w:hAnsi="Times New Roman"/>
          <w:sz w:val="19"/>
          <w:szCs w:val="19"/>
          <w:color w:val="231F20"/>
        </w:rPr>
      </w:pPr>
    </w:p>
    <w:p>
      <w:pPr>
        <w:ind w:left="680" w:right="300" w:hanging="677"/>
        <w:spacing w:after="0" w:line="281" w:lineRule="auto"/>
        <w:tabs>
          <w:tab w:leader="none" w:pos="680" w:val="left"/>
        </w:tabs>
        <w:numPr>
          <w:ilvl w:val="0"/>
          <w:numId w:val="51"/>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Our $750.0 million term loan matures on March 20, 2028, plus two one-year extensions at our option to March 20, 2030.</w:t>
      </w:r>
    </w:p>
    <w:p>
      <w:pPr>
        <w:spacing w:after="0" w:line="1" w:lineRule="exact"/>
        <w:rPr>
          <w:rFonts w:ascii="Times New Roman" w:cs="Times New Roman" w:eastAsia="Times New Roman" w:hAnsi="Times New Roman"/>
          <w:sz w:val="19"/>
          <w:szCs w:val="19"/>
          <w:color w:val="231F20"/>
        </w:rPr>
      </w:pPr>
    </w:p>
    <w:p>
      <w:pPr>
        <w:ind w:left="680" w:right="40" w:hanging="677"/>
        <w:spacing w:after="0" w:line="281" w:lineRule="auto"/>
        <w:tabs>
          <w:tab w:leader="none" w:pos="680" w:val="left"/>
        </w:tabs>
        <w:numPr>
          <w:ilvl w:val="0"/>
          <w:numId w:val="51"/>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Our $55.0 million mortgage loan secured by Azalea matures on October 30, 2028, plus two one-year extensions at our option to October 30, 2030.</w:t>
      </w:r>
    </w:p>
    <w:p>
      <w:pPr>
        <w:spacing w:after="0" w:line="1" w:lineRule="exact"/>
        <w:rPr>
          <w:rFonts w:ascii="Times New Roman" w:cs="Times New Roman" w:eastAsia="Times New Roman" w:hAnsi="Times New Roman"/>
          <w:sz w:val="19"/>
          <w:szCs w:val="19"/>
          <w:color w:val="231F20"/>
        </w:rPr>
      </w:pPr>
    </w:p>
    <w:p>
      <w:pPr>
        <w:ind w:left="680" w:right="280" w:hanging="677"/>
        <w:spacing w:after="0" w:line="267" w:lineRule="auto"/>
        <w:tabs>
          <w:tab w:leader="none" w:pos="680" w:val="left"/>
        </w:tabs>
        <w:numPr>
          <w:ilvl w:val="0"/>
          <w:numId w:val="51"/>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The total debt maturities differ from the total reported on the consolidated balance sheet due to the unamortized net debt issuance costs and premium/discount on mortgage loans, notes payable, and senior notes as of December 31, 2025.</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231F20"/>
        </w:rPr>
        <w:t>Interest Rate Hedging</w:t>
      </w:r>
    </w:p>
    <w:p>
      <w:pPr>
        <w:spacing w:after="0" w:line="107"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9"/>
          <w:szCs w:val="19"/>
          <w:color w:val="231F20"/>
        </w:rPr>
        <w:t>We may use derivative instruments to manage exposure to variable interest rate risk. We generally enter into interest rate swaps to manage our exposure to variable interest rate risk and treasury locks to manage the risk of interest rates rising prior to the issuance of debt. We enter into derivative instruments that qualify as cash flow hedges and do not enter into derivative instruments for speculative purposes.</w:t>
      </w:r>
    </w:p>
    <w:p>
      <w:pPr>
        <w:spacing w:after="0" w:line="130"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9"/>
          <w:szCs w:val="19"/>
          <w:color w:val="231F20"/>
        </w:rPr>
        <w:t>Interest rate swaps associated with cash flow hedges are recorded at fair value on a recurring basis. Effectiveness of cash flow hedges is assessed both at inception and on an ongoing basis. The effective portion of changes in fair value of the interest rate swaps associated with cash flow hedges is recorded in other comprehensive income which is included in "accumulated other comprehensive income" on the balance sheets, statement of shareholders' equity, and statement of capital. Cash flow hedges become ineffective if critical terms of the hedging instrument and the debt instrument do not perfectly match such as notional amounts, settlement dates, reset dates, calculation period and SOFR rate. In addition, the default risk of the counterparty is evaluated by monitoring the credit worthiness of the counterparty which includes reviewing debt ratings and financial performance. If a cash flow hedge is deemed ineffective, the ineffective portion of changes in fair value of the interest rate swaps associated with cash flow hedges is recognized in earnings in the period affected.</w:t>
      </w:r>
    </w:p>
    <w:p>
      <w:pPr>
        <w:sectPr>
          <w:pgSz w:w="11880" w:h="15480" w:orient="portrait"/>
          <w:cols w:equalWidth="0" w:num="1">
            <w:col w:w="9720"/>
          </w:cols>
          <w:pgMar w:left="1060" w:top="963" w:right="1100" w:bottom="0" w:gutter="0" w:footer="0" w:header="0"/>
        </w:sectPr>
      </w:pPr>
    </w:p>
    <w:p>
      <w:pPr>
        <w:spacing w:after="0" w:line="200" w:lineRule="exact"/>
        <w:rPr>
          <w:sz w:val="20"/>
          <w:szCs w:val="20"/>
          <w:color w:val="auto"/>
        </w:rPr>
      </w:pPr>
    </w:p>
    <w:p>
      <w:pPr>
        <w:spacing w:after="0" w:line="2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231F20"/>
        </w:rPr>
        <w:t>45</w:t>
      </w:r>
    </w:p>
    <w:p>
      <w:pPr>
        <w:sectPr>
          <w:pgSz w:w="11880" w:h="15480" w:orient="portrait"/>
          <w:cols w:equalWidth="0" w:num="1">
            <w:col w:w="9720"/>
          </w:cols>
          <w:pgMar w:left="1060" w:top="963" w:right="1100" w:bottom="0" w:gutter="0" w:footer="0" w:header="0"/>
          <w:type w:val="continuous"/>
        </w:sectPr>
      </w:pPr>
    </w:p>
    <w:bookmarkStart w:id="53" w:name="page54"/>
    <w:bookmarkEnd w:id="53"/>
    <w:p>
      <w:pPr>
        <w:spacing w:after="0"/>
        <w:rPr>
          <w:sz w:val="20"/>
          <w:szCs w:val="20"/>
          <w:color w:val="auto"/>
        </w:rPr>
      </w:pPr>
      <w:r>
        <w:rPr>
          <w:rFonts w:ascii="Times New Roman" w:cs="Times New Roman" w:eastAsia="Times New Roman" w:hAnsi="Times New Roman"/>
          <w:sz w:val="19"/>
          <w:szCs w:val="19"/>
          <w:color w:val="231F20"/>
        </w:rPr>
        <w:t>At December 31, 2025, we have interest rate swap agreements that effectively fix the rate on the following debt instruments: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center"/>
              <w:ind w:right="49"/>
              <w:spacing w:after="0"/>
              <w:rPr>
                <w:sz w:val="20"/>
                <w:szCs w:val="20"/>
                <w:color w:val="auto"/>
              </w:rPr>
            </w:pPr>
            <w:r>
              <w:rPr>
                <w:rFonts w:ascii="Times New Roman" w:cs="Times New Roman" w:eastAsia="Times New Roman" w:hAnsi="Times New Roman"/>
                <w:sz w:val="17"/>
                <w:szCs w:val="17"/>
                <w:b w:val="1"/>
                <w:bCs w:val="1"/>
                <w:color w:val="231F20"/>
              </w:rPr>
              <w:t>Notional Amount of</w:t>
            </w:r>
          </w:p>
        </w:tc>
        <w:tc>
          <w:tcPr>
            <w:tcW w:w="60" w:type="dxa"/>
            <w:vAlign w:val="bottom"/>
          </w:tcPr>
          <w:p>
            <w:pPr>
              <w:spacing w:after="0"/>
              <w:rPr>
                <w:sz w:val="17"/>
                <w:szCs w:val="17"/>
                <w:color w:val="auto"/>
              </w:rPr>
            </w:pPr>
          </w:p>
        </w:tc>
        <w:tc>
          <w:tcPr>
            <w:tcW w:w="1760" w:type="dxa"/>
            <w:vAlign w:val="bottom"/>
            <w:vMerge w:val="restart"/>
          </w:tcPr>
          <w:p>
            <w:pPr>
              <w:jc w:val="right"/>
              <w:ind w:right="114"/>
              <w:spacing w:after="0"/>
              <w:rPr>
                <w:sz w:val="20"/>
                <w:szCs w:val="20"/>
                <w:color w:val="auto"/>
              </w:rPr>
            </w:pPr>
            <w:r>
              <w:rPr>
                <w:rFonts w:ascii="Times New Roman" w:cs="Times New Roman" w:eastAsia="Times New Roman" w:hAnsi="Times New Roman"/>
                <w:sz w:val="17"/>
                <w:szCs w:val="17"/>
                <w:b w:val="1"/>
                <w:bCs w:val="1"/>
                <w:color w:val="231F20"/>
              </w:rPr>
              <w:t>Weighted Average</w:t>
            </w:r>
          </w:p>
        </w:tc>
        <w:tc>
          <w:tcPr>
            <w:tcW w:w="40" w:type="dxa"/>
            <w:vAlign w:val="bottom"/>
          </w:tcPr>
          <w:p>
            <w:pPr>
              <w:spacing w:after="0"/>
              <w:rPr>
                <w:sz w:val="17"/>
                <w:szCs w:val="17"/>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231F20"/>
              </w:rPr>
              <w:t>Maturity Date of</w:t>
            </w:r>
          </w:p>
        </w:tc>
        <w:tc>
          <w:tcPr>
            <w:tcW w:w="0" w:type="dxa"/>
            <w:vAlign w:val="bottom"/>
          </w:tcPr>
          <w:p>
            <w:pPr>
              <w:spacing w:after="0"/>
              <w:rPr>
                <w:sz w:val="1"/>
                <w:szCs w:val="1"/>
                <w:color w:val="auto"/>
              </w:rPr>
            </w:pPr>
          </w:p>
        </w:tc>
      </w:tr>
      <w:tr>
        <w:trPr>
          <w:trHeight w:val="171"/>
        </w:trPr>
        <w:tc>
          <w:tcPr>
            <w:tcW w:w="3160" w:type="dxa"/>
            <w:vAlign w:val="bottom"/>
            <w:vMerge w:val="restart"/>
          </w:tcPr>
          <w:p>
            <w:pPr>
              <w:ind w:left="60"/>
              <w:spacing w:after="0"/>
              <w:rPr>
                <w:sz w:val="20"/>
                <w:szCs w:val="20"/>
                <w:color w:val="auto"/>
              </w:rPr>
            </w:pPr>
            <w:r>
              <w:rPr>
                <w:rFonts w:ascii="Times New Roman" w:cs="Times New Roman" w:eastAsia="Times New Roman" w:hAnsi="Times New Roman"/>
                <w:sz w:val="17"/>
                <w:szCs w:val="17"/>
                <w:b w:val="1"/>
                <w:bCs w:val="1"/>
                <w:color w:val="231F20"/>
              </w:rPr>
              <w:t>Debt</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tcPr>
          <w:p>
            <w:pPr>
              <w:jc w:val="center"/>
              <w:ind w:right="69"/>
              <w:spacing w:after="0" w:line="172" w:lineRule="exact"/>
              <w:rPr>
                <w:sz w:val="20"/>
                <w:szCs w:val="20"/>
                <w:color w:val="auto"/>
              </w:rPr>
            </w:pPr>
            <w:r>
              <w:rPr>
                <w:rFonts w:ascii="Times New Roman" w:cs="Times New Roman" w:eastAsia="Times New Roman" w:hAnsi="Times New Roman"/>
                <w:sz w:val="17"/>
                <w:szCs w:val="17"/>
                <w:b w:val="1"/>
                <w:bCs w:val="1"/>
                <w:color w:val="231F20"/>
              </w:rPr>
              <w:t>Related Swap</w:t>
            </w:r>
          </w:p>
        </w:tc>
        <w:tc>
          <w:tcPr>
            <w:tcW w:w="60" w:type="dxa"/>
            <w:vAlign w:val="bottom"/>
          </w:tcPr>
          <w:p>
            <w:pPr>
              <w:spacing w:after="0"/>
              <w:rPr>
                <w:sz w:val="14"/>
                <w:szCs w:val="14"/>
                <w:color w:val="auto"/>
              </w:rPr>
            </w:pPr>
          </w:p>
        </w:tc>
        <w:tc>
          <w:tcPr>
            <w:tcW w:w="17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760" w:type="dxa"/>
            <w:vAlign w:val="bottom"/>
          </w:tcPr>
          <w:p>
            <w:pPr>
              <w:jc w:val="center"/>
              <w:spacing w:after="0" w:line="172" w:lineRule="exact"/>
              <w:rPr>
                <w:sz w:val="20"/>
                <w:szCs w:val="20"/>
                <w:color w:val="auto"/>
              </w:rPr>
            </w:pPr>
            <w:r>
              <w:rPr>
                <w:rFonts w:ascii="Times New Roman" w:cs="Times New Roman" w:eastAsia="Times New Roman" w:hAnsi="Times New Roman"/>
                <w:sz w:val="17"/>
                <w:szCs w:val="17"/>
                <w:b w:val="1"/>
                <w:bCs w:val="1"/>
                <w:color w:val="231F20"/>
              </w:rPr>
              <w:t>Related Swap</w:t>
            </w:r>
          </w:p>
        </w:tc>
        <w:tc>
          <w:tcPr>
            <w:tcW w:w="0" w:type="dxa"/>
            <w:vAlign w:val="bottom"/>
          </w:tcPr>
          <w:p>
            <w:pPr>
              <w:spacing w:after="0"/>
              <w:rPr>
                <w:sz w:val="1"/>
                <w:szCs w:val="1"/>
                <w:color w:val="auto"/>
              </w:rPr>
            </w:pPr>
          </w:p>
        </w:tc>
      </w:tr>
      <w:tr>
        <w:trPr>
          <w:trHeight w:val="227"/>
        </w:trPr>
        <w:tc>
          <w:tcPr>
            <w:tcW w:w="3160" w:type="dxa"/>
            <w:vAlign w:val="bottom"/>
            <w:tcBorders>
              <w:bottom w:val="single" w:sz="8" w:color="231F20"/>
            </w:tcBorders>
            <w:vMerge w:val="continue"/>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bottom w:val="single" w:sz="8" w:color="231F20"/>
            </w:tcBorders>
          </w:tcPr>
          <w:p>
            <w:pPr>
              <w:spacing w:after="0"/>
              <w:rPr>
                <w:sz w:val="19"/>
                <w:szCs w:val="19"/>
                <w:color w:val="auto"/>
              </w:rPr>
            </w:pPr>
          </w:p>
        </w:tc>
        <w:tc>
          <w:tcPr>
            <w:tcW w:w="1600" w:type="dxa"/>
            <w:vAlign w:val="bottom"/>
            <w:tcBorders>
              <w:bottom w:val="single" w:sz="8" w:color="231F20"/>
            </w:tcBorders>
          </w:tcPr>
          <w:p>
            <w:pPr>
              <w:jc w:val="center"/>
              <w:ind w:right="69"/>
              <w:spacing w:after="0"/>
              <w:rPr>
                <w:sz w:val="20"/>
                <w:szCs w:val="20"/>
                <w:color w:val="auto"/>
              </w:rPr>
            </w:pPr>
            <w:r>
              <w:rPr>
                <w:rFonts w:ascii="Times New Roman" w:cs="Times New Roman" w:eastAsia="Times New Roman" w:hAnsi="Times New Roman"/>
                <w:sz w:val="17"/>
                <w:szCs w:val="17"/>
                <w:b w:val="1"/>
                <w:bCs w:val="1"/>
                <w:color w:val="231F20"/>
              </w:rPr>
              <w:t>Agreements</w:t>
            </w:r>
          </w:p>
        </w:tc>
        <w:tc>
          <w:tcPr>
            <w:tcW w:w="60" w:type="dxa"/>
            <w:vAlign w:val="bottom"/>
          </w:tcPr>
          <w:p>
            <w:pPr>
              <w:spacing w:after="0"/>
              <w:rPr>
                <w:sz w:val="19"/>
                <w:szCs w:val="19"/>
                <w:color w:val="auto"/>
              </w:rPr>
            </w:pPr>
          </w:p>
        </w:tc>
        <w:tc>
          <w:tcPr>
            <w:tcW w:w="1760" w:type="dxa"/>
            <w:vAlign w:val="bottom"/>
            <w:tcBorders>
              <w:bottom w:val="single" w:sz="8" w:color="231F20"/>
            </w:tcBorders>
          </w:tcPr>
          <w:p>
            <w:pPr>
              <w:jc w:val="right"/>
              <w:ind w:right="394"/>
              <w:spacing w:after="0"/>
              <w:rPr>
                <w:sz w:val="20"/>
                <w:szCs w:val="20"/>
                <w:color w:val="auto"/>
              </w:rPr>
            </w:pPr>
            <w:r>
              <w:rPr>
                <w:rFonts w:ascii="Times New Roman" w:cs="Times New Roman" w:eastAsia="Times New Roman" w:hAnsi="Times New Roman"/>
                <w:sz w:val="17"/>
                <w:szCs w:val="17"/>
                <w:b w:val="1"/>
                <w:bCs w:val="1"/>
                <w:color w:val="231F20"/>
              </w:rPr>
              <w:t>Fixed Rate</w:t>
            </w:r>
          </w:p>
        </w:tc>
        <w:tc>
          <w:tcPr>
            <w:tcW w:w="40" w:type="dxa"/>
            <w:vAlign w:val="bottom"/>
          </w:tcPr>
          <w:p>
            <w:pPr>
              <w:spacing w:after="0"/>
              <w:rPr>
                <w:sz w:val="19"/>
                <w:szCs w:val="19"/>
                <w:color w:val="auto"/>
              </w:rPr>
            </w:pPr>
          </w:p>
        </w:tc>
        <w:tc>
          <w:tcPr>
            <w:tcW w:w="176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7"/>
                <w:szCs w:val="17"/>
                <w:b w:val="1"/>
                <w:bCs w:val="1"/>
                <w:color w:val="231F20"/>
              </w:rPr>
              <w:t>Agreements</w:t>
            </w:r>
          </w:p>
        </w:tc>
        <w:tc>
          <w:tcPr>
            <w:tcW w:w="0" w:type="dxa"/>
            <w:vAlign w:val="bottom"/>
          </w:tcPr>
          <w:p>
            <w:pPr>
              <w:spacing w:after="0"/>
              <w:rPr>
                <w:sz w:val="1"/>
                <w:szCs w:val="1"/>
                <w:color w:val="auto"/>
              </w:rPr>
            </w:pPr>
          </w:p>
        </w:tc>
      </w:tr>
      <w:tr>
        <w:trPr>
          <w:trHeight w:val="222"/>
        </w:trPr>
        <w:tc>
          <w:tcPr>
            <w:tcW w:w="3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center"/>
              <w:ind w:right="69"/>
              <w:spacing w:after="0"/>
              <w:rPr>
                <w:sz w:val="20"/>
                <w:szCs w:val="20"/>
                <w:color w:val="auto"/>
              </w:rPr>
            </w:pPr>
            <w:r>
              <w:rPr>
                <w:rFonts w:ascii="Times New Roman" w:cs="Times New Roman" w:eastAsia="Times New Roman" w:hAnsi="Times New Roman"/>
                <w:sz w:val="17"/>
                <w:szCs w:val="17"/>
                <w:color w:val="231F20"/>
                <w:w w:val="99"/>
              </w:rPr>
              <w:t>(in millions)</w:t>
            </w:r>
          </w:p>
        </w:tc>
        <w:tc>
          <w:tcPr>
            <w:tcW w:w="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9"/>
        </w:trPr>
        <w:tc>
          <w:tcPr>
            <w:tcW w:w="3160" w:type="dxa"/>
            <w:vAlign w:val="bottom"/>
          </w:tcPr>
          <w:p>
            <w:pPr>
              <w:ind w:left="60"/>
              <w:spacing w:after="0"/>
              <w:rPr>
                <w:sz w:val="20"/>
                <w:szCs w:val="20"/>
                <w:color w:val="auto"/>
              </w:rPr>
            </w:pPr>
            <w:r>
              <w:rPr>
                <w:rFonts w:ascii="Times New Roman" w:cs="Times New Roman" w:eastAsia="Times New Roman" w:hAnsi="Times New Roman"/>
                <w:sz w:val="19"/>
                <w:szCs w:val="19"/>
                <w:b w:val="1"/>
                <w:bCs w:val="1"/>
                <w:i w:val="1"/>
                <w:iCs w:val="1"/>
                <w:color w:val="231F20"/>
              </w:rPr>
              <w:t>Consolidated Debt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3160" w:type="dxa"/>
            <w:vAlign w:val="bottom"/>
          </w:tcPr>
          <w:p>
            <w:pPr>
              <w:ind w:left="60"/>
              <w:spacing w:after="0"/>
              <w:rPr>
                <w:sz w:val="20"/>
                <w:szCs w:val="20"/>
                <w:color w:val="auto"/>
              </w:rPr>
            </w:pPr>
            <w:r>
              <w:rPr>
                <w:rFonts w:ascii="Times New Roman" w:cs="Times New Roman" w:eastAsia="Times New Roman" w:hAnsi="Times New Roman"/>
                <w:sz w:val="19"/>
                <w:szCs w:val="19"/>
                <w:color w:val="231F20"/>
              </w:rPr>
              <w:t>$750 million term loan</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450.0</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4.17 %</w:t>
            </w:r>
          </w:p>
        </w:tc>
        <w:tc>
          <w:tcPr>
            <w:tcW w:w="40" w:type="dxa"/>
            <w:vAlign w:val="bottom"/>
          </w:tcPr>
          <w:p>
            <w:pPr>
              <w:spacing w:after="0"/>
              <w:rPr>
                <w:sz w:val="24"/>
                <w:szCs w:val="24"/>
                <w:color w:val="auto"/>
              </w:rPr>
            </w:pPr>
          </w:p>
        </w:tc>
        <w:tc>
          <w:tcPr>
            <w:tcW w:w="1760" w:type="dxa"/>
            <w:vAlign w:val="bottom"/>
          </w:tcPr>
          <w:p>
            <w:pPr>
              <w:ind w:left="60"/>
              <w:spacing w:after="0"/>
              <w:rPr>
                <w:sz w:val="20"/>
                <w:szCs w:val="20"/>
                <w:color w:val="auto"/>
              </w:rPr>
            </w:pPr>
            <w:r>
              <w:rPr>
                <w:rFonts w:ascii="Times New Roman" w:cs="Times New Roman" w:eastAsia="Times New Roman" w:hAnsi="Times New Roman"/>
                <w:sz w:val="19"/>
                <w:szCs w:val="19"/>
                <w:color w:val="231F20"/>
              </w:rPr>
              <w:t>March 1, 2028</w:t>
            </w:r>
          </w:p>
        </w:tc>
        <w:tc>
          <w:tcPr>
            <w:tcW w:w="0" w:type="dxa"/>
            <w:vAlign w:val="bottom"/>
          </w:tcPr>
          <w:p>
            <w:pPr>
              <w:spacing w:after="0"/>
              <w:rPr>
                <w:sz w:val="1"/>
                <w:szCs w:val="1"/>
                <w:color w:val="auto"/>
              </w:rPr>
            </w:pPr>
          </w:p>
        </w:tc>
      </w:tr>
      <w:tr>
        <w:trPr>
          <w:trHeight w:val="299"/>
        </w:trPr>
        <w:tc>
          <w:tcPr>
            <w:tcW w:w="3160" w:type="dxa"/>
            <w:vAlign w:val="bottom"/>
          </w:tcPr>
          <w:p>
            <w:pPr>
              <w:ind w:left="60"/>
              <w:spacing w:after="0"/>
              <w:rPr>
                <w:sz w:val="20"/>
                <w:szCs w:val="20"/>
                <w:color w:val="auto"/>
              </w:rPr>
            </w:pPr>
            <w:r>
              <w:rPr>
                <w:rFonts w:ascii="Times New Roman" w:cs="Times New Roman" w:eastAsia="Times New Roman" w:hAnsi="Times New Roman"/>
                <w:sz w:val="19"/>
                <w:szCs w:val="19"/>
                <w:color w:val="231F20"/>
              </w:rPr>
              <w:t>Hoboken mortgage loan</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50.6</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3.67 %</w:t>
            </w:r>
          </w:p>
        </w:tc>
        <w:tc>
          <w:tcPr>
            <w:tcW w:w="40" w:type="dxa"/>
            <w:vAlign w:val="bottom"/>
          </w:tcPr>
          <w:p>
            <w:pPr>
              <w:spacing w:after="0"/>
              <w:rPr>
                <w:sz w:val="24"/>
                <w:szCs w:val="24"/>
                <w:color w:val="auto"/>
              </w:rPr>
            </w:pPr>
          </w:p>
        </w:tc>
        <w:tc>
          <w:tcPr>
            <w:tcW w:w="1760" w:type="dxa"/>
            <w:vAlign w:val="bottom"/>
          </w:tcPr>
          <w:p>
            <w:pPr>
              <w:ind w:left="60"/>
              <w:spacing w:after="0"/>
              <w:rPr>
                <w:sz w:val="20"/>
                <w:szCs w:val="20"/>
                <w:color w:val="auto"/>
              </w:rPr>
            </w:pPr>
            <w:r>
              <w:rPr>
                <w:rFonts w:ascii="Times New Roman" w:cs="Times New Roman" w:eastAsia="Times New Roman" w:hAnsi="Times New Roman"/>
                <w:sz w:val="19"/>
                <w:szCs w:val="19"/>
                <w:color w:val="231F20"/>
              </w:rPr>
              <w:t>December 15, 2029</w:t>
            </w:r>
          </w:p>
        </w:tc>
        <w:tc>
          <w:tcPr>
            <w:tcW w:w="0" w:type="dxa"/>
            <w:vAlign w:val="bottom"/>
          </w:tcPr>
          <w:p>
            <w:pPr>
              <w:spacing w:after="0"/>
              <w:rPr>
                <w:sz w:val="1"/>
                <w:szCs w:val="1"/>
                <w:color w:val="auto"/>
              </w:rPr>
            </w:pPr>
          </w:p>
        </w:tc>
      </w:tr>
      <w:tr>
        <w:trPr>
          <w:trHeight w:val="299"/>
        </w:trPr>
        <w:tc>
          <w:tcPr>
            <w:tcW w:w="3160" w:type="dxa"/>
            <w:vAlign w:val="bottom"/>
          </w:tcPr>
          <w:p>
            <w:pPr>
              <w:ind w:left="60"/>
              <w:spacing w:after="0"/>
              <w:rPr>
                <w:sz w:val="20"/>
                <w:szCs w:val="20"/>
                <w:color w:val="auto"/>
              </w:rPr>
            </w:pPr>
            <w:r>
              <w:rPr>
                <w:rFonts w:ascii="Times New Roman" w:cs="Times New Roman" w:eastAsia="Times New Roman" w:hAnsi="Times New Roman"/>
                <w:sz w:val="19"/>
                <w:szCs w:val="19"/>
                <w:b w:val="1"/>
                <w:bCs w:val="1"/>
                <w:i w:val="1"/>
                <w:iCs w:val="1"/>
                <w:color w:val="231F20"/>
              </w:rPr>
              <w:t>Unconsolidated Debt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3160" w:type="dxa"/>
            <w:vAlign w:val="bottom"/>
          </w:tcPr>
          <w:p>
            <w:pPr>
              <w:ind w:left="60"/>
              <w:spacing w:after="0"/>
              <w:rPr>
                <w:sz w:val="20"/>
                <w:szCs w:val="20"/>
                <w:color w:val="auto"/>
              </w:rPr>
            </w:pPr>
            <w:r>
              <w:rPr>
                <w:rFonts w:ascii="Times New Roman" w:cs="Times New Roman" w:eastAsia="Times New Roman" w:hAnsi="Times New Roman"/>
                <w:sz w:val="19"/>
                <w:szCs w:val="19"/>
                <w:color w:val="231F20"/>
              </w:rPr>
              <w:t>Assembly Row Hotel</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37.9</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6.11 %</w:t>
            </w:r>
          </w:p>
        </w:tc>
        <w:tc>
          <w:tcPr>
            <w:tcW w:w="40" w:type="dxa"/>
            <w:vAlign w:val="bottom"/>
          </w:tcPr>
          <w:p>
            <w:pPr>
              <w:spacing w:after="0"/>
              <w:rPr>
                <w:sz w:val="24"/>
                <w:szCs w:val="24"/>
                <w:color w:val="auto"/>
              </w:rPr>
            </w:pPr>
          </w:p>
        </w:tc>
        <w:tc>
          <w:tcPr>
            <w:tcW w:w="1760" w:type="dxa"/>
            <w:vAlign w:val="bottom"/>
          </w:tcPr>
          <w:p>
            <w:pPr>
              <w:ind w:left="60"/>
              <w:spacing w:after="0"/>
              <w:rPr>
                <w:sz w:val="20"/>
                <w:szCs w:val="20"/>
                <w:color w:val="auto"/>
              </w:rPr>
            </w:pPr>
            <w:r>
              <w:rPr>
                <w:rFonts w:ascii="Times New Roman" w:cs="Times New Roman" w:eastAsia="Times New Roman" w:hAnsi="Times New Roman"/>
                <w:sz w:val="19"/>
                <w:szCs w:val="19"/>
                <w:color w:val="231F20"/>
              </w:rPr>
              <w:t>May 30, 2028</w:t>
            </w:r>
          </w:p>
        </w:tc>
        <w:tc>
          <w:tcPr>
            <w:tcW w:w="0" w:type="dxa"/>
            <w:vAlign w:val="bottom"/>
          </w:tcPr>
          <w:p>
            <w:pPr>
              <w:spacing w:after="0"/>
              <w:rPr>
                <w:sz w:val="1"/>
                <w:szCs w:val="1"/>
                <w:color w:val="auto"/>
              </w:rPr>
            </w:pPr>
          </w:p>
        </w:tc>
      </w:tr>
      <w:tr>
        <w:trPr>
          <w:trHeight w:val="299"/>
        </w:trPr>
        <w:tc>
          <w:tcPr>
            <w:tcW w:w="3160" w:type="dxa"/>
            <w:vAlign w:val="bottom"/>
          </w:tcPr>
          <w:p>
            <w:pPr>
              <w:ind w:left="60"/>
              <w:spacing w:after="0"/>
              <w:rPr>
                <w:sz w:val="20"/>
                <w:szCs w:val="20"/>
                <w:color w:val="auto"/>
              </w:rPr>
            </w:pPr>
            <w:r>
              <w:rPr>
                <w:rFonts w:ascii="Times New Roman" w:cs="Times New Roman" w:eastAsia="Times New Roman" w:hAnsi="Times New Roman"/>
                <w:sz w:val="19"/>
                <w:szCs w:val="19"/>
                <w:color w:val="231F20"/>
              </w:rPr>
              <w:t>Chandler Festival</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51.0</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4.93 %</w:t>
            </w:r>
          </w:p>
        </w:tc>
        <w:tc>
          <w:tcPr>
            <w:tcW w:w="40" w:type="dxa"/>
            <w:vAlign w:val="bottom"/>
          </w:tcPr>
          <w:p>
            <w:pPr>
              <w:spacing w:after="0"/>
              <w:rPr>
                <w:sz w:val="24"/>
                <w:szCs w:val="24"/>
                <w:color w:val="auto"/>
              </w:rPr>
            </w:pPr>
          </w:p>
        </w:tc>
        <w:tc>
          <w:tcPr>
            <w:tcW w:w="1760" w:type="dxa"/>
            <w:vAlign w:val="bottom"/>
          </w:tcPr>
          <w:p>
            <w:pPr>
              <w:ind w:left="60"/>
              <w:spacing w:after="0"/>
              <w:rPr>
                <w:sz w:val="20"/>
                <w:szCs w:val="20"/>
                <w:color w:val="auto"/>
              </w:rPr>
            </w:pPr>
            <w:r>
              <w:rPr>
                <w:rFonts w:ascii="Times New Roman" w:cs="Times New Roman" w:eastAsia="Times New Roman" w:hAnsi="Times New Roman"/>
                <w:sz w:val="19"/>
                <w:szCs w:val="19"/>
                <w:color w:val="231F20"/>
              </w:rPr>
              <w:t>October 4, 2030</w:t>
            </w:r>
          </w:p>
        </w:tc>
        <w:tc>
          <w:tcPr>
            <w:tcW w:w="0" w:type="dxa"/>
            <w:vAlign w:val="bottom"/>
          </w:tcPr>
          <w:p>
            <w:pPr>
              <w:spacing w:after="0"/>
              <w:rPr>
                <w:sz w:val="1"/>
                <w:szCs w:val="1"/>
                <w:color w:val="auto"/>
              </w:rPr>
            </w:pPr>
          </w:p>
        </w:tc>
      </w:tr>
      <w:tr>
        <w:trPr>
          <w:trHeight w:val="299"/>
        </w:trPr>
        <w:tc>
          <w:tcPr>
            <w:tcW w:w="3160" w:type="dxa"/>
            <w:vAlign w:val="bottom"/>
          </w:tcPr>
          <w:p>
            <w:pPr>
              <w:ind w:left="60"/>
              <w:spacing w:after="0"/>
              <w:rPr>
                <w:sz w:val="20"/>
                <w:szCs w:val="20"/>
                <w:color w:val="auto"/>
              </w:rPr>
            </w:pPr>
            <w:r>
              <w:rPr>
                <w:rFonts w:ascii="Times New Roman" w:cs="Times New Roman" w:eastAsia="Times New Roman" w:hAnsi="Times New Roman"/>
                <w:sz w:val="19"/>
                <w:szCs w:val="19"/>
                <w:color w:val="231F20"/>
              </w:rPr>
              <w:t>Chandler Gateway</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22.3</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4.93 %</w:t>
            </w:r>
          </w:p>
        </w:tc>
        <w:tc>
          <w:tcPr>
            <w:tcW w:w="40" w:type="dxa"/>
            <w:vAlign w:val="bottom"/>
          </w:tcPr>
          <w:p>
            <w:pPr>
              <w:spacing w:after="0"/>
              <w:rPr>
                <w:sz w:val="24"/>
                <w:szCs w:val="24"/>
                <w:color w:val="auto"/>
              </w:rPr>
            </w:pPr>
          </w:p>
        </w:tc>
        <w:tc>
          <w:tcPr>
            <w:tcW w:w="1760" w:type="dxa"/>
            <w:vAlign w:val="bottom"/>
          </w:tcPr>
          <w:p>
            <w:pPr>
              <w:ind w:left="60"/>
              <w:spacing w:after="0"/>
              <w:rPr>
                <w:sz w:val="20"/>
                <w:szCs w:val="20"/>
                <w:color w:val="auto"/>
              </w:rPr>
            </w:pPr>
            <w:r>
              <w:rPr>
                <w:rFonts w:ascii="Times New Roman" w:cs="Times New Roman" w:eastAsia="Times New Roman" w:hAnsi="Times New Roman"/>
                <w:sz w:val="19"/>
                <w:szCs w:val="19"/>
                <w:color w:val="231F20"/>
              </w:rPr>
              <w:t>October 4, 2030</w:t>
            </w:r>
          </w:p>
        </w:tc>
        <w:tc>
          <w:tcPr>
            <w:tcW w:w="0" w:type="dxa"/>
            <w:vAlign w:val="bottom"/>
          </w:tcPr>
          <w:p>
            <w:pPr>
              <w:spacing w:after="0"/>
              <w:rPr>
                <w:sz w:val="1"/>
                <w:szCs w:val="1"/>
                <w:color w:val="auto"/>
              </w:rPr>
            </w:pPr>
          </w:p>
        </w:tc>
      </w:tr>
    </w:tbl>
    <w:p>
      <w:pPr>
        <w:spacing w:after="0" w:line="218"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9"/>
          <w:szCs w:val="19"/>
          <w:color w:val="231F20"/>
        </w:rPr>
        <w:t>All swaps were designated and qualify as cash flow hedges. Hedge ineffectiveness has not impacted earnings in 2025, 2024 and 2023.</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231F20"/>
        </w:rPr>
        <w:t>REIT Qualification</w:t>
      </w:r>
    </w:p>
    <w:p>
      <w:pPr>
        <w:spacing w:after="0" w:line="107" w:lineRule="exact"/>
        <w:rPr>
          <w:sz w:val="20"/>
          <w:szCs w:val="20"/>
          <w:color w:val="auto"/>
        </w:rPr>
      </w:pPr>
    </w:p>
    <w:p>
      <w:pPr>
        <w:ind w:right="340"/>
        <w:spacing w:after="0" w:line="289" w:lineRule="auto"/>
        <w:rPr>
          <w:sz w:val="20"/>
          <w:szCs w:val="20"/>
          <w:color w:val="auto"/>
        </w:rPr>
      </w:pPr>
      <w:r>
        <w:rPr>
          <w:rFonts w:ascii="Times New Roman" w:cs="Times New Roman" w:eastAsia="Times New Roman" w:hAnsi="Times New Roman"/>
          <w:sz w:val="18"/>
          <w:szCs w:val="18"/>
          <w:color w:val="231F20"/>
        </w:rPr>
        <w:t>We intend to maintain our qualification as a REIT under Section 856(c) of the Code. As a REIT, we generally will not be subject to corporate federal income taxes on income we distribute to our shareholders as long as we satisfy certain technical requirements of the Code, including the requirement to distribute at least 90% of our taxable income to our shareholders.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Funds From Operations</w:t>
      </w:r>
    </w:p>
    <w:p>
      <w:pPr>
        <w:spacing w:after="0" w:line="110"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9"/>
          <w:szCs w:val="19"/>
          <w:color w:val="231F20"/>
        </w:rPr>
        <w:t xml:space="preserve">Nareit Funds From Operations (“Nareit FFO”) is a supplemental non-GAAP financial measure of real estate companies’ operating performance. The National Association of Real Estate Investment Trusts (“Nareit”) defines FFO as follows: net income, computed in accordance with U.S. GAAP, plus real estate related depreciation and amortization, and excluding gains and losses on the sale of real estate or changes in control, net of tax, and impairment write-downs of certain real estate assets and investments in entities when the impairment is directly attributable to decreases in the value of depreciable real estate held by the entity. We compute Nareit FFO in accordance with the Nareit definition, and we have historically reported our Nareit FFO available for common shareholders in addition to our net income and net cash provided by operating activities. It should be noted that </w:t>
      </w:r>
      <w:r>
        <w:rPr>
          <w:rFonts w:ascii="Times New Roman" w:cs="Times New Roman" w:eastAsia="Times New Roman" w:hAnsi="Times New Roman"/>
          <w:sz w:val="17"/>
          <w:szCs w:val="17"/>
          <w:color w:val="231F20"/>
        </w:rPr>
        <w:t>Nareit</w:t>
      </w:r>
      <w:r>
        <w:rPr>
          <w:rFonts w:ascii="Times New Roman" w:cs="Times New Roman" w:eastAsia="Times New Roman" w:hAnsi="Times New Roman"/>
          <w:sz w:val="19"/>
          <w:szCs w:val="19"/>
          <w:color w:val="231F20"/>
        </w:rPr>
        <w:t xml:space="preserve"> FFO:</w:t>
      </w:r>
    </w:p>
    <w:p>
      <w:pPr>
        <w:spacing w:after="0" w:line="25" w:lineRule="exact"/>
        <w:rPr>
          <w:sz w:val="20"/>
          <w:szCs w:val="20"/>
          <w:color w:val="auto"/>
        </w:rPr>
      </w:pPr>
    </w:p>
    <w:p>
      <w:pPr>
        <w:jc w:val="both"/>
        <w:ind w:left="1800" w:right="160" w:hanging="856"/>
        <w:spacing w:after="0" w:line="297" w:lineRule="auto"/>
        <w:tabs>
          <w:tab w:leader="none" w:pos="1800" w:val="left"/>
        </w:tabs>
        <w:numPr>
          <w:ilvl w:val="0"/>
          <w:numId w:val="5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does not represent cash flows from operating activities in accordance with GAAP (which, unlike FFO, generally reflects all cash effects of transactions and other events in the determination of net income);</w:t>
      </w:r>
    </w:p>
    <w:p>
      <w:pPr>
        <w:spacing w:after="0" w:line="1" w:lineRule="exact"/>
        <w:rPr>
          <w:rFonts w:ascii="Times New Roman" w:cs="Times New Roman" w:eastAsia="Times New Roman" w:hAnsi="Times New Roman"/>
          <w:sz w:val="18"/>
          <w:szCs w:val="18"/>
          <w:color w:val="231F20"/>
        </w:rPr>
      </w:pPr>
    </w:p>
    <w:p>
      <w:pPr>
        <w:ind w:left="1800" w:hanging="856"/>
        <w:spacing w:after="0"/>
        <w:tabs>
          <w:tab w:leader="none" w:pos="1800" w:val="left"/>
        </w:tabs>
        <w:numPr>
          <w:ilvl w:val="0"/>
          <w:numId w:val="52"/>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should not be considered an alternative to net income as an indication of our performance; and</w:t>
      </w:r>
    </w:p>
    <w:p>
      <w:pPr>
        <w:spacing w:after="0" w:line="66" w:lineRule="exact"/>
        <w:rPr>
          <w:rFonts w:ascii="Times New Roman" w:cs="Times New Roman" w:eastAsia="Times New Roman" w:hAnsi="Times New Roman"/>
          <w:sz w:val="19"/>
          <w:szCs w:val="19"/>
          <w:color w:val="231F20"/>
        </w:rPr>
      </w:pPr>
    </w:p>
    <w:p>
      <w:pPr>
        <w:ind w:left="1800" w:right="700" w:hanging="856"/>
        <w:spacing w:after="0" w:line="284" w:lineRule="auto"/>
        <w:tabs>
          <w:tab w:leader="none" w:pos="1800" w:val="left"/>
        </w:tabs>
        <w:numPr>
          <w:ilvl w:val="0"/>
          <w:numId w:val="52"/>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is not necessarily indicative of cash flow as a measure of liquidity or ability to fund cash needs, including the payment of dividends.</w:t>
      </w:r>
    </w:p>
    <w:p>
      <w:pPr>
        <w:spacing w:after="0" w:line="110"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9"/>
          <w:szCs w:val="19"/>
          <w:color w:val="231F20"/>
        </w:rPr>
        <w:t>We consider Nareit FFO available for common shareholders a meaningful, additional measure of operating performance primarily because it excludes the assumption that the value of the real estate assets diminishes predictably over time, as implied by the historical cost convention of GAAP and the recording of depreciation. We use Nareit FFO primarily as one of several means of assessing our operating performance in comparison with other REITs. Comparison of our presentation of Nareit FFO to similarly titled measures for other REITs may not necessarily be meaningful due to possible differences in the application of the Nareit definition used by such REITs.</w:t>
      </w:r>
    </w:p>
    <w:p>
      <w:pPr>
        <w:spacing w:after="0" w:line="136"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9"/>
          <w:szCs w:val="19"/>
          <w:color w:val="231F20"/>
        </w:rPr>
        <w:t>An increase or decrease in Nareit FFO available for common shareholders does not necessarily result in an increase or decrease in aggregate distributions because our Board of Trustees is not required to increase distributions on a quarterly basis. However, we must distribute at least 90% of our annual taxable income to remain qualified as a REIT. Therefore, a significant increase in Nareit FFO will generally require an increase in distributions to shareholders although not necessarily on a proportionate basis.</w:t>
      </w:r>
    </w:p>
    <w:p>
      <w:pPr>
        <w:spacing w:after="0" w:line="13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9"/>
          <w:szCs w:val="19"/>
          <w:color w:val="231F20"/>
        </w:rPr>
        <w:t xml:space="preserve">Core Funds From Operations ("Core FFO") is a supplemental non-GAAP financial measure of performance that adjusts </w:t>
      </w:r>
      <w:r>
        <w:rPr>
          <w:rFonts w:ascii="Times New Roman" w:cs="Times New Roman" w:eastAsia="Times New Roman" w:hAnsi="Times New Roman"/>
          <w:sz w:val="17"/>
          <w:szCs w:val="17"/>
          <w:color w:val="231F20"/>
        </w:rPr>
        <w:t>Nareit</w:t>
      </w:r>
      <w:r>
        <w:rPr>
          <w:rFonts w:ascii="Times New Roman" w:cs="Times New Roman" w:eastAsia="Times New Roman" w:hAnsi="Times New Roman"/>
          <w:sz w:val="19"/>
          <w:szCs w:val="19"/>
          <w:color w:val="231F20"/>
        </w:rPr>
        <w:t xml:space="preserve"> FFO to exclude the impact of certain items that management considers are not indicative of the Company’s ongoing operating and financial performance. These adjustments include, when applicable, (1) gains or losses on early extinguishment of debt, (2) new market tax credit transaction income, (3) executive transition costs, (4) collection of prior period rents which were contractually deferred or payments renegotiated related to the COVID-19 pandemic, and (5) other items as determined by management. Management believes Core FFO provides enhanced comparability across periods and additional insight into the Company’s underlying operating results, by excluding items that may reflect short-term fluctuations in net income and </w:t>
      </w:r>
      <w:r>
        <w:rPr>
          <w:rFonts w:ascii="Times New Roman" w:cs="Times New Roman" w:eastAsia="Times New Roman" w:hAnsi="Times New Roman"/>
          <w:sz w:val="17"/>
          <w:szCs w:val="17"/>
          <w:color w:val="231F20"/>
        </w:rPr>
        <w:t>Nareit</w:t>
      </w:r>
    </w:p>
    <w:p>
      <w:pPr>
        <w:sectPr>
          <w:pgSz w:w="11880" w:h="15480" w:orient="portrait"/>
          <w:cols w:equalWidth="0" w:num="1">
            <w:col w:w="9740"/>
          </w:cols>
          <w:pgMar w:left="1060" w:top="963" w:right="1080" w:bottom="0" w:gutter="0" w:footer="0" w:header="0"/>
        </w:sect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231F20"/>
        </w:rPr>
        <w:t>46</w:t>
      </w:r>
    </w:p>
    <w:p>
      <w:pPr>
        <w:sectPr>
          <w:pgSz w:w="11880" w:h="15480" w:orient="portrait"/>
          <w:cols w:equalWidth="0" w:num="1">
            <w:col w:w="9740"/>
          </w:cols>
          <w:pgMar w:left="1060" w:top="963" w:right="1080" w:bottom="0" w:gutter="0" w:footer="0" w:header="0"/>
          <w:type w:val="continuous"/>
        </w:sectPr>
      </w:pPr>
    </w:p>
    <w:bookmarkStart w:id="54" w:name="page55"/>
    <w:bookmarkEnd w:id="54"/>
    <w:p>
      <w:pPr>
        <w:jc w:val="both"/>
        <w:ind w:right="100"/>
        <w:spacing w:after="0" w:line="267" w:lineRule="auto"/>
        <w:rPr>
          <w:sz w:val="20"/>
          <w:szCs w:val="20"/>
          <w:color w:val="auto"/>
        </w:rPr>
      </w:pPr>
      <w:r>
        <w:rPr>
          <w:rFonts w:ascii="Times New Roman" w:cs="Times New Roman" w:eastAsia="Times New Roman" w:hAnsi="Times New Roman"/>
          <w:sz w:val="19"/>
          <w:szCs w:val="19"/>
          <w:color w:val="231F20"/>
        </w:rPr>
        <w:t xml:space="preserve">FFO. Core FFO is not intended to be a substitute for net income or </w:t>
      </w:r>
      <w:r>
        <w:rPr>
          <w:rFonts w:ascii="Times New Roman" w:cs="Times New Roman" w:eastAsia="Times New Roman" w:hAnsi="Times New Roman"/>
          <w:sz w:val="17"/>
          <w:szCs w:val="17"/>
          <w:color w:val="231F20"/>
        </w:rPr>
        <w:t>Nareit</w:t>
      </w:r>
      <w:r>
        <w:rPr>
          <w:rFonts w:ascii="Times New Roman" w:cs="Times New Roman" w:eastAsia="Times New Roman" w:hAnsi="Times New Roman"/>
          <w:sz w:val="19"/>
          <w:szCs w:val="19"/>
          <w:color w:val="231F20"/>
        </w:rPr>
        <w:t xml:space="preserve"> FFO. Comparison of our presentation of Core FFO to similarly titled measures for other REITs may not be meaningful due to possible differences in the way Core FFO is defined or applied by other REITs.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The reconciliation of net income attributable to common shareholders to Nareit FFO and Core FFO is as follows:</w:t>
      </w:r>
    </w:p>
    <w:p>
      <w:pPr>
        <w:spacing w:after="0" w:line="95"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5"/>
          <w:szCs w:val="15"/>
          <w:b w:val="1"/>
          <w:bCs w:val="1"/>
          <w:color w:val="231F20"/>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4176395</wp:posOffset>
            </wp:positionH>
            <wp:positionV relativeFrom="paragraph">
              <wp:posOffset>22225</wp:posOffset>
            </wp:positionV>
            <wp:extent cx="2019300" cy="120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6">
                      <a:extLst>
                        <a:ext uri="{28A0092B-C50C-407E-A947-70E740481C1C}"/>
                      </a:extLst>
                    </a:blip>
                    <a:srcRect/>
                    <a:stretch>
                      <a:fillRect/>
                    </a:stretch>
                  </pic:blipFill>
                  <pic:spPr bwMode="auto">
                    <a:xfrm>
                      <a:off x="0" y="0"/>
                      <a:ext cx="2019300" cy="12065"/>
                    </a:xfrm>
                    <a:prstGeom prst="rect">
                      <a:avLst/>
                    </a:prstGeom>
                    <a:noFill/>
                  </pic:spPr>
                </pic:pic>
              </a:graphicData>
            </a:graphic>
          </wp:anchor>
        </w:drawing>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580" w:type="dxa"/>
            <w:vAlign w:val="bottom"/>
          </w:tcPr>
          <w:p>
            <w:pPr>
              <w:spacing w:after="0"/>
              <w:rPr>
                <w:sz w:val="17"/>
                <w:szCs w:val="17"/>
                <w:color w:val="auto"/>
              </w:rPr>
            </w:pPr>
          </w:p>
        </w:tc>
        <w:tc>
          <w:tcPr>
            <w:tcW w:w="40" w:type="dxa"/>
            <w:vAlign w:val="bottom"/>
            <w:tcBorders>
              <w:bottom w:val="single" w:sz="8" w:color="231F20"/>
            </w:tcBorders>
          </w:tcPr>
          <w:p>
            <w:pPr>
              <w:spacing w:after="0"/>
              <w:rPr>
                <w:sz w:val="17"/>
                <w:szCs w:val="17"/>
                <w:color w:val="auto"/>
              </w:rPr>
            </w:pPr>
          </w:p>
        </w:tc>
        <w:tc>
          <w:tcPr>
            <w:tcW w:w="160" w:type="dxa"/>
            <w:vAlign w:val="bottom"/>
            <w:tcBorders>
              <w:bottom w:val="single" w:sz="8" w:color="231F20"/>
            </w:tcBorders>
          </w:tcPr>
          <w:p>
            <w:pPr>
              <w:spacing w:after="0"/>
              <w:rPr>
                <w:sz w:val="17"/>
                <w:szCs w:val="17"/>
                <w:color w:val="auto"/>
              </w:rPr>
            </w:pPr>
          </w:p>
        </w:tc>
        <w:tc>
          <w:tcPr>
            <w:tcW w:w="800" w:type="dxa"/>
            <w:vAlign w:val="bottom"/>
            <w:tcBorders>
              <w:bottom w:val="single" w:sz="8" w:color="231F20"/>
            </w:tcBorders>
          </w:tcPr>
          <w:p>
            <w:pPr>
              <w:jc w:val="right"/>
              <w:ind w:right="247"/>
              <w:spacing w:after="0"/>
              <w:rPr>
                <w:sz w:val="20"/>
                <w:szCs w:val="20"/>
                <w:color w:val="auto"/>
              </w:rPr>
            </w:pPr>
            <w:r>
              <w:rPr>
                <w:rFonts w:ascii="Times New Roman" w:cs="Times New Roman" w:eastAsia="Times New Roman" w:hAnsi="Times New Roman"/>
                <w:sz w:val="15"/>
                <w:szCs w:val="15"/>
                <w:b w:val="1"/>
                <w:bCs w:val="1"/>
                <w:color w:val="231F20"/>
              </w:rPr>
              <w:t>2025</w:t>
            </w:r>
          </w:p>
        </w:tc>
        <w:tc>
          <w:tcPr>
            <w:tcW w:w="80" w:type="dxa"/>
            <w:vAlign w:val="bottom"/>
          </w:tcPr>
          <w:p>
            <w:pPr>
              <w:spacing w:after="0"/>
              <w:rPr>
                <w:sz w:val="17"/>
                <w:szCs w:val="17"/>
                <w:color w:val="auto"/>
              </w:rPr>
            </w:pPr>
          </w:p>
        </w:tc>
        <w:tc>
          <w:tcPr>
            <w:tcW w:w="240" w:type="dxa"/>
            <w:vAlign w:val="bottom"/>
            <w:tcBorders>
              <w:bottom w:val="single" w:sz="8" w:color="231F20"/>
            </w:tcBorders>
          </w:tcPr>
          <w:p>
            <w:pPr>
              <w:spacing w:after="0"/>
              <w:rPr>
                <w:sz w:val="17"/>
                <w:szCs w:val="17"/>
                <w:color w:val="auto"/>
              </w:rPr>
            </w:pPr>
          </w:p>
        </w:tc>
        <w:tc>
          <w:tcPr>
            <w:tcW w:w="780" w:type="dxa"/>
            <w:vAlign w:val="bottom"/>
            <w:tcBorders>
              <w:bottom w:val="single" w:sz="8" w:color="231F20"/>
            </w:tcBorders>
          </w:tcPr>
          <w:p>
            <w:pPr>
              <w:jc w:val="right"/>
              <w:ind w:right="266"/>
              <w:spacing w:after="0"/>
              <w:rPr>
                <w:sz w:val="20"/>
                <w:szCs w:val="20"/>
                <w:color w:val="auto"/>
              </w:rPr>
            </w:pPr>
            <w:r>
              <w:rPr>
                <w:rFonts w:ascii="Times New Roman" w:cs="Times New Roman" w:eastAsia="Times New Roman" w:hAnsi="Times New Roman"/>
                <w:sz w:val="15"/>
                <w:szCs w:val="15"/>
                <w:b w:val="1"/>
                <w:bCs w:val="1"/>
                <w:color w:val="231F20"/>
              </w:rPr>
              <w:t>2024</w:t>
            </w:r>
          </w:p>
        </w:tc>
        <w:tc>
          <w:tcPr>
            <w:tcW w:w="60" w:type="dxa"/>
            <w:vAlign w:val="bottom"/>
          </w:tcPr>
          <w:p>
            <w:pPr>
              <w:spacing w:after="0"/>
              <w:rPr>
                <w:sz w:val="17"/>
                <w:szCs w:val="17"/>
                <w:color w:val="auto"/>
              </w:rPr>
            </w:pPr>
          </w:p>
        </w:tc>
        <w:tc>
          <w:tcPr>
            <w:tcW w:w="240" w:type="dxa"/>
            <w:vAlign w:val="bottom"/>
            <w:tcBorders>
              <w:bottom w:val="single" w:sz="8" w:color="231F20"/>
            </w:tcBorders>
          </w:tcPr>
          <w:p>
            <w:pPr>
              <w:spacing w:after="0"/>
              <w:rPr>
                <w:sz w:val="17"/>
                <w:szCs w:val="17"/>
                <w:color w:val="auto"/>
              </w:rPr>
            </w:pPr>
          </w:p>
        </w:tc>
        <w:tc>
          <w:tcPr>
            <w:tcW w:w="780" w:type="dxa"/>
            <w:vAlign w:val="bottom"/>
            <w:tcBorders>
              <w:bottom w:val="single" w:sz="8" w:color="231F20"/>
            </w:tcBorders>
          </w:tcPr>
          <w:p>
            <w:pPr>
              <w:jc w:val="right"/>
              <w:ind w:right="266"/>
              <w:spacing w:after="0"/>
              <w:rPr>
                <w:sz w:val="20"/>
                <w:szCs w:val="20"/>
                <w:color w:val="auto"/>
              </w:rPr>
            </w:pPr>
            <w:r>
              <w:rPr>
                <w:rFonts w:ascii="Times New Roman" w:cs="Times New Roman" w:eastAsia="Times New Roman" w:hAnsi="Times New Roman"/>
                <w:sz w:val="15"/>
                <w:szCs w:val="15"/>
                <w:b w:val="1"/>
                <w:bCs w:val="1"/>
                <w:color w:val="231F20"/>
              </w:rPr>
              <w:t>2023</w:t>
            </w:r>
          </w:p>
        </w:tc>
        <w:tc>
          <w:tcPr>
            <w:tcW w:w="0" w:type="dxa"/>
            <w:vAlign w:val="bottom"/>
          </w:tcPr>
          <w:p>
            <w:pPr>
              <w:spacing w:after="0"/>
              <w:rPr>
                <w:sz w:val="1"/>
                <w:szCs w:val="1"/>
                <w:color w:val="auto"/>
              </w:rPr>
            </w:pPr>
          </w:p>
        </w:tc>
      </w:tr>
      <w:tr>
        <w:trPr>
          <w:trHeight w:val="218"/>
        </w:trPr>
        <w:tc>
          <w:tcPr>
            <w:tcW w:w="6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80" w:type="dxa"/>
            <w:vAlign w:val="bottom"/>
            <w:gridSpan w:val="7"/>
          </w:tcPr>
          <w:p>
            <w:pPr>
              <w:jc w:val="right"/>
              <w:ind w:right="286"/>
              <w:spacing w:after="0"/>
              <w:rPr>
                <w:sz w:val="20"/>
                <w:szCs w:val="20"/>
                <w:color w:val="auto"/>
              </w:rPr>
            </w:pPr>
            <w:r>
              <w:rPr>
                <w:rFonts w:ascii="Times New Roman" w:cs="Times New Roman" w:eastAsia="Times New Roman" w:hAnsi="Times New Roman"/>
                <w:sz w:val="15"/>
                <w:szCs w:val="15"/>
                <w:b w:val="1"/>
                <w:bCs w:val="1"/>
                <w:color w:val="231F20"/>
              </w:rPr>
              <w:t>(In thousands, except per share data)</w:t>
            </w:r>
          </w:p>
        </w:tc>
        <w:tc>
          <w:tcPr>
            <w:tcW w:w="0" w:type="dxa"/>
            <w:vAlign w:val="bottom"/>
          </w:tcPr>
          <w:p>
            <w:pPr>
              <w:spacing w:after="0"/>
              <w:rPr>
                <w:sz w:val="1"/>
                <w:szCs w:val="1"/>
                <w:color w:val="auto"/>
              </w:rPr>
            </w:pPr>
          </w:p>
        </w:tc>
      </w:tr>
      <w:tr>
        <w:trPr>
          <w:trHeight w:val="252"/>
        </w:trPr>
        <w:tc>
          <w:tcPr>
            <w:tcW w:w="6620" w:type="dxa"/>
            <w:vAlign w:val="bottom"/>
            <w:gridSpan w:val="2"/>
          </w:tcPr>
          <w:p>
            <w:pPr>
              <w:ind w:left="60"/>
              <w:spacing w:after="0"/>
              <w:rPr>
                <w:sz w:val="20"/>
                <w:szCs w:val="20"/>
                <w:color w:val="auto"/>
              </w:rPr>
            </w:pPr>
            <w:r>
              <w:rPr>
                <w:rFonts w:ascii="Times New Roman" w:cs="Times New Roman" w:eastAsia="Times New Roman" w:hAnsi="Times New Roman"/>
                <w:sz w:val="19"/>
                <w:szCs w:val="19"/>
                <w:b w:val="1"/>
                <w:bCs w:val="1"/>
                <w:color w:val="231F20"/>
                <w:w w:val="99"/>
              </w:rPr>
              <w:t>Reconciliation of net income attributable to common shareholders to Nareit FFO</w:t>
            </w: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08"/>
        </w:trPr>
        <w:tc>
          <w:tcPr>
            <w:tcW w:w="662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231F20"/>
              </w:rPr>
              <w:t xml:space="preserve">Net income </w:t>
            </w:r>
            <w:r>
              <w:rPr>
                <w:rFonts w:ascii="Times New Roman" w:cs="Times New Roman" w:eastAsia="Times New Roman" w:hAnsi="Times New Roman"/>
                <w:sz w:val="19"/>
                <w:szCs w:val="19"/>
                <w:color w:val="C3C5C7"/>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9"/>
                <w:szCs w:val="19"/>
                <w:color w:val="231F20"/>
                <w:w w:val="83"/>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423,648</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9"/>
                <w:szCs w:val="19"/>
                <w:color w:val="231F2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304,334</w:t>
            </w:r>
          </w:p>
        </w:tc>
        <w:tc>
          <w:tcPr>
            <w:tcW w:w="300" w:type="dxa"/>
            <w:vAlign w:val="bottom"/>
            <w:gridSpan w:val="2"/>
          </w:tcPr>
          <w:p>
            <w:pPr>
              <w:jc w:val="right"/>
              <w:ind w:right="5"/>
              <w:spacing w:after="0"/>
              <w:rPr>
                <w:sz w:val="20"/>
                <w:szCs w:val="20"/>
                <w:color w:val="auto"/>
              </w:rPr>
            </w:pPr>
            <w:r>
              <w:rPr>
                <w:rFonts w:ascii="Times New Roman" w:cs="Times New Roman" w:eastAsia="Times New Roman" w:hAnsi="Times New Roman"/>
                <w:sz w:val="19"/>
                <w:szCs w:val="19"/>
                <w:color w:val="231F2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247,217</w:t>
            </w:r>
          </w:p>
        </w:tc>
        <w:tc>
          <w:tcPr>
            <w:tcW w:w="0" w:type="dxa"/>
            <w:vAlign w:val="bottom"/>
          </w:tcPr>
          <w:p>
            <w:pPr>
              <w:spacing w:after="0"/>
              <w:rPr>
                <w:sz w:val="1"/>
                <w:szCs w:val="1"/>
                <w:color w:val="auto"/>
              </w:rPr>
            </w:pPr>
          </w:p>
        </w:tc>
      </w:tr>
      <w:tr>
        <w:trPr>
          <w:trHeight w:val="285"/>
        </w:trPr>
        <w:tc>
          <w:tcPr>
            <w:tcW w:w="662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231F20"/>
              </w:rPr>
              <w:t xml:space="preserve">Net income attributable to noncontrolling interests </w:t>
            </w:r>
            <w:r>
              <w:rPr>
                <w:rFonts w:ascii="Times New Roman" w:cs="Times New Roman" w:eastAsia="Times New Roman" w:hAnsi="Times New Roman"/>
                <w:sz w:val="19"/>
                <w:szCs w:val="19"/>
                <w:color w:val="C3C5C7"/>
              </w:rPr>
              <w:t>.......................................................</w:t>
            </w: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(12,571)</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(9,126)</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(10,232)</w:t>
            </w:r>
          </w:p>
        </w:tc>
        <w:tc>
          <w:tcPr>
            <w:tcW w:w="0" w:type="dxa"/>
            <w:vAlign w:val="bottom"/>
          </w:tcPr>
          <w:p>
            <w:pPr>
              <w:spacing w:after="0"/>
              <w:rPr>
                <w:sz w:val="1"/>
                <w:szCs w:val="1"/>
                <w:color w:val="auto"/>
              </w:rPr>
            </w:pPr>
          </w:p>
        </w:tc>
      </w:tr>
      <w:tr>
        <w:trPr>
          <w:trHeight w:val="285"/>
        </w:trPr>
        <w:tc>
          <w:tcPr>
            <w:tcW w:w="662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231F20"/>
              </w:rPr>
              <w:t xml:space="preserve">Gain on sale of real estate </w:t>
            </w:r>
            <w:r>
              <w:rPr>
                <w:rFonts w:ascii="Times New Roman" w:cs="Times New Roman" w:eastAsia="Times New Roman" w:hAnsi="Times New Roman"/>
                <w:sz w:val="19"/>
                <w:szCs w:val="19"/>
                <w:color w:val="C3C5C7"/>
              </w:rPr>
              <w:t>.............................................................................................</w:t>
            </w: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(150,111)</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(54,040)</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(9,881)</w:t>
            </w:r>
          </w:p>
        </w:tc>
        <w:tc>
          <w:tcPr>
            <w:tcW w:w="0" w:type="dxa"/>
            <w:vAlign w:val="bottom"/>
          </w:tcPr>
          <w:p>
            <w:pPr>
              <w:spacing w:after="0"/>
              <w:rPr>
                <w:sz w:val="1"/>
                <w:szCs w:val="1"/>
                <w:color w:val="auto"/>
              </w:rPr>
            </w:pPr>
          </w:p>
        </w:tc>
      </w:tr>
      <w:tr>
        <w:trPr>
          <w:trHeight w:val="285"/>
        </w:trPr>
        <w:tc>
          <w:tcPr>
            <w:tcW w:w="662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231F20"/>
              </w:rPr>
              <w:t xml:space="preserve">Impairment charge </w:t>
            </w:r>
            <w:r>
              <w:rPr>
                <w:rFonts w:ascii="Times New Roman" w:cs="Times New Roman" w:eastAsia="Times New Roman" w:hAnsi="Times New Roman"/>
                <w:sz w:val="19"/>
                <w:szCs w:val="19"/>
                <w:color w:val="C3C5C7"/>
              </w:rPr>
              <w:t>........................................................................................................</w:t>
            </w: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7,425</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0" w:type="dxa"/>
            <w:vAlign w:val="bottom"/>
          </w:tcPr>
          <w:p>
            <w:pPr>
              <w:spacing w:after="0"/>
              <w:rPr>
                <w:sz w:val="1"/>
                <w:szCs w:val="1"/>
                <w:color w:val="auto"/>
              </w:rPr>
            </w:pPr>
          </w:p>
        </w:tc>
      </w:tr>
      <w:tr>
        <w:trPr>
          <w:trHeight w:val="285"/>
        </w:trPr>
        <w:tc>
          <w:tcPr>
            <w:tcW w:w="662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231F20"/>
              </w:rPr>
              <w:t xml:space="preserve">Depreciation and amortization of real estate assets </w:t>
            </w:r>
            <w:r>
              <w:rPr>
                <w:rFonts w:ascii="Times New Roman" w:cs="Times New Roman" w:eastAsia="Times New Roman" w:hAnsi="Times New Roman"/>
                <w:sz w:val="19"/>
                <w:szCs w:val="19"/>
                <w:color w:val="C3C5C7"/>
              </w:rPr>
              <w:t>.......................................................</w:t>
            </w: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320,311</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302,455</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285,689</w:t>
            </w:r>
          </w:p>
        </w:tc>
        <w:tc>
          <w:tcPr>
            <w:tcW w:w="0" w:type="dxa"/>
            <w:vAlign w:val="bottom"/>
          </w:tcPr>
          <w:p>
            <w:pPr>
              <w:spacing w:after="0"/>
              <w:rPr>
                <w:sz w:val="1"/>
                <w:szCs w:val="1"/>
                <w:color w:val="auto"/>
              </w:rPr>
            </w:pPr>
          </w:p>
        </w:tc>
      </w:tr>
      <w:tr>
        <w:trPr>
          <w:trHeight w:val="286"/>
        </w:trPr>
        <w:tc>
          <w:tcPr>
            <w:tcW w:w="662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231F20"/>
              </w:rPr>
              <w:t>Amortization of initial direct costs of leases</w:t>
            </w:r>
            <w:r>
              <w:rPr>
                <w:rFonts w:ascii="Times New Roman" w:cs="Times New Roman" w:eastAsia="Times New Roman" w:hAnsi="Times New Roman"/>
                <w:sz w:val="19"/>
                <w:szCs w:val="19"/>
                <w:color w:val="C3C5C7"/>
              </w:rPr>
              <w:t>..................................................................</w:t>
            </w: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42,671</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33,377</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31,208</w:t>
            </w:r>
          </w:p>
        </w:tc>
        <w:tc>
          <w:tcPr>
            <w:tcW w:w="0" w:type="dxa"/>
            <w:vAlign w:val="bottom"/>
          </w:tcPr>
          <w:p>
            <w:pPr>
              <w:spacing w:after="0"/>
              <w:rPr>
                <w:sz w:val="1"/>
                <w:szCs w:val="1"/>
                <w:color w:val="auto"/>
              </w:rPr>
            </w:pPr>
          </w:p>
        </w:tc>
      </w:tr>
      <w:tr>
        <w:trPr>
          <w:trHeight w:val="264"/>
        </w:trPr>
        <w:tc>
          <w:tcPr>
            <w:tcW w:w="6580" w:type="dxa"/>
            <w:vAlign w:val="bottom"/>
          </w:tcPr>
          <w:p>
            <w:pPr>
              <w:jc w:val="right"/>
              <w:spacing w:after="0"/>
              <w:rPr>
                <w:sz w:val="20"/>
                <w:szCs w:val="20"/>
                <w:color w:val="auto"/>
              </w:rPr>
            </w:pPr>
            <w:r>
              <w:rPr>
                <w:rFonts w:ascii="Times New Roman" w:cs="Times New Roman" w:eastAsia="Times New Roman" w:hAnsi="Times New Roman"/>
                <w:sz w:val="19"/>
                <w:szCs w:val="19"/>
                <w:color w:val="C3C5C7"/>
              </w:rPr>
              <w:t>............................................................................................</w:t>
            </w:r>
            <w:r>
              <w:rPr>
                <w:rFonts w:ascii="Times New Roman" w:cs="Times New Roman" w:eastAsia="Times New Roman" w:hAnsi="Times New Roman"/>
                <w:sz w:val="19"/>
                <w:szCs w:val="19"/>
                <w:color w:val="231F20"/>
              </w:rPr>
              <w:t>Fundsfromoperations</w:t>
            </w:r>
          </w:p>
        </w:tc>
        <w:tc>
          <w:tcPr>
            <w:tcW w:w="40" w:type="dxa"/>
            <w:vAlign w:val="bottom"/>
            <w:tcBorders>
              <w:top w:val="single" w:sz="8" w:color="231F20"/>
            </w:tcBorders>
          </w:tcPr>
          <w:p>
            <w:pPr>
              <w:spacing w:after="0"/>
              <w:rPr>
                <w:sz w:val="22"/>
                <w:szCs w:val="22"/>
                <w:color w:val="auto"/>
              </w:rPr>
            </w:pPr>
          </w:p>
        </w:tc>
        <w:tc>
          <w:tcPr>
            <w:tcW w:w="160" w:type="dxa"/>
            <w:vAlign w:val="bottom"/>
            <w:tcBorders>
              <w:top w:val="single" w:sz="8" w:color="231F20"/>
            </w:tcBorders>
          </w:tcPr>
          <w:p>
            <w:pPr>
              <w:spacing w:after="0"/>
              <w:rPr>
                <w:sz w:val="22"/>
                <w:szCs w:val="22"/>
                <w:color w:val="auto"/>
              </w:rPr>
            </w:pPr>
          </w:p>
        </w:tc>
        <w:tc>
          <w:tcPr>
            <w:tcW w:w="80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631,373</w:t>
            </w:r>
          </w:p>
        </w:tc>
        <w:tc>
          <w:tcPr>
            <w:tcW w:w="80" w:type="dxa"/>
            <w:vAlign w:val="bottom"/>
          </w:tcPr>
          <w:p>
            <w:pPr>
              <w:spacing w:after="0"/>
              <w:rPr>
                <w:sz w:val="22"/>
                <w:szCs w:val="22"/>
                <w:color w:val="auto"/>
              </w:rPr>
            </w:pPr>
          </w:p>
        </w:tc>
        <w:tc>
          <w:tcPr>
            <w:tcW w:w="240" w:type="dxa"/>
            <w:vAlign w:val="bottom"/>
            <w:tcBorders>
              <w:top w:val="single" w:sz="8" w:color="231F20"/>
            </w:tcBorders>
          </w:tcPr>
          <w:p>
            <w:pPr>
              <w:spacing w:after="0"/>
              <w:rPr>
                <w:sz w:val="22"/>
                <w:szCs w:val="22"/>
                <w:color w:val="auto"/>
              </w:rPr>
            </w:pPr>
          </w:p>
        </w:tc>
        <w:tc>
          <w:tcPr>
            <w:tcW w:w="78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577,000</w:t>
            </w:r>
          </w:p>
        </w:tc>
        <w:tc>
          <w:tcPr>
            <w:tcW w:w="60" w:type="dxa"/>
            <w:vAlign w:val="bottom"/>
          </w:tcPr>
          <w:p>
            <w:pPr>
              <w:spacing w:after="0"/>
              <w:rPr>
                <w:sz w:val="22"/>
                <w:szCs w:val="22"/>
                <w:color w:val="auto"/>
              </w:rPr>
            </w:pPr>
          </w:p>
        </w:tc>
        <w:tc>
          <w:tcPr>
            <w:tcW w:w="240" w:type="dxa"/>
            <w:vAlign w:val="bottom"/>
            <w:tcBorders>
              <w:top w:val="single" w:sz="8" w:color="231F20"/>
            </w:tcBorders>
          </w:tcPr>
          <w:p>
            <w:pPr>
              <w:spacing w:after="0"/>
              <w:rPr>
                <w:sz w:val="22"/>
                <w:szCs w:val="22"/>
                <w:color w:val="auto"/>
              </w:rPr>
            </w:pPr>
          </w:p>
        </w:tc>
        <w:tc>
          <w:tcPr>
            <w:tcW w:w="78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544,001</w:t>
            </w:r>
          </w:p>
        </w:tc>
        <w:tc>
          <w:tcPr>
            <w:tcW w:w="0" w:type="dxa"/>
            <w:vAlign w:val="bottom"/>
          </w:tcPr>
          <w:p>
            <w:pPr>
              <w:spacing w:after="0"/>
              <w:rPr>
                <w:sz w:val="1"/>
                <w:szCs w:val="1"/>
                <w:color w:val="auto"/>
              </w:rPr>
            </w:pPr>
          </w:p>
        </w:tc>
      </w:tr>
      <w:tr>
        <w:trPr>
          <w:trHeight w:val="285"/>
        </w:trPr>
        <w:tc>
          <w:tcPr>
            <w:tcW w:w="662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231F20"/>
              </w:rPr>
              <w:t>Dividends on preferred shares (1)</w:t>
            </w:r>
            <w:r>
              <w:rPr>
                <w:rFonts w:ascii="Times New Roman" w:cs="Times New Roman" w:eastAsia="Times New Roman" w:hAnsi="Times New Roman"/>
                <w:sz w:val="19"/>
                <w:szCs w:val="19"/>
                <w:color w:val="C3C5C7"/>
              </w:rPr>
              <w:t>..................................................................................</w:t>
            </w: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(7,500)</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(7,500)</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(7,500)</w:t>
            </w:r>
          </w:p>
        </w:tc>
        <w:tc>
          <w:tcPr>
            <w:tcW w:w="0" w:type="dxa"/>
            <w:vAlign w:val="bottom"/>
          </w:tcPr>
          <w:p>
            <w:pPr>
              <w:spacing w:after="0"/>
              <w:rPr>
                <w:sz w:val="1"/>
                <w:szCs w:val="1"/>
                <w:color w:val="auto"/>
              </w:rPr>
            </w:pPr>
          </w:p>
        </w:tc>
      </w:tr>
      <w:tr>
        <w:trPr>
          <w:trHeight w:val="285"/>
        </w:trPr>
        <w:tc>
          <w:tcPr>
            <w:tcW w:w="662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231F20"/>
              </w:rPr>
              <w:t>Income attributable to downREIT operating partnership units</w:t>
            </w:r>
            <w:r>
              <w:rPr>
                <w:rFonts w:ascii="Times New Roman" w:cs="Times New Roman" w:eastAsia="Times New Roman" w:hAnsi="Times New Roman"/>
                <w:sz w:val="19"/>
                <w:szCs w:val="19"/>
                <w:color w:val="C3C5C7"/>
              </w:rPr>
              <w:t>......................................</w:t>
            </w: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2,463</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2,743</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2,767</w:t>
            </w:r>
          </w:p>
        </w:tc>
        <w:tc>
          <w:tcPr>
            <w:tcW w:w="0" w:type="dxa"/>
            <w:vAlign w:val="bottom"/>
          </w:tcPr>
          <w:p>
            <w:pPr>
              <w:spacing w:after="0"/>
              <w:rPr>
                <w:sz w:val="1"/>
                <w:szCs w:val="1"/>
                <w:color w:val="auto"/>
              </w:rPr>
            </w:pPr>
          </w:p>
        </w:tc>
      </w:tr>
      <w:tr>
        <w:trPr>
          <w:trHeight w:val="286"/>
        </w:trPr>
        <w:tc>
          <w:tcPr>
            <w:tcW w:w="6580" w:type="dxa"/>
            <w:vAlign w:val="bottom"/>
          </w:tcPr>
          <w:p>
            <w:pPr>
              <w:ind w:left="60"/>
              <w:spacing w:after="0"/>
              <w:rPr>
                <w:sz w:val="20"/>
                <w:szCs w:val="20"/>
                <w:color w:val="auto"/>
              </w:rPr>
            </w:pPr>
            <w:r>
              <w:rPr>
                <w:rFonts w:ascii="Times New Roman" w:cs="Times New Roman" w:eastAsia="Times New Roman" w:hAnsi="Times New Roman"/>
                <w:sz w:val="19"/>
                <w:szCs w:val="19"/>
                <w:color w:val="231F20"/>
              </w:rPr>
              <w:t xml:space="preserve">Income attributable to unvested shares </w:t>
            </w:r>
            <w:r>
              <w:rPr>
                <w:rFonts w:ascii="Times New Roman" w:cs="Times New Roman" w:eastAsia="Times New Roman" w:hAnsi="Times New Roman"/>
                <w:sz w:val="19"/>
                <w:szCs w:val="19"/>
                <w:color w:val="C3C5C7"/>
              </w:rPr>
              <w:t>..........................................................................</w:t>
            </w:r>
          </w:p>
        </w:tc>
        <w:tc>
          <w:tcPr>
            <w:tcW w:w="40" w:type="dxa"/>
            <w:vAlign w:val="bottom"/>
            <w:tcBorders>
              <w:bottom w:val="single" w:sz="8" w:color="231F20"/>
            </w:tcBorders>
          </w:tcPr>
          <w:p>
            <w:pPr>
              <w:spacing w:after="0"/>
              <w:rPr>
                <w:sz w:val="24"/>
                <w:szCs w:val="24"/>
                <w:color w:val="auto"/>
              </w:rPr>
            </w:pPr>
          </w:p>
        </w:tc>
        <w:tc>
          <w:tcPr>
            <w:tcW w:w="160" w:type="dxa"/>
            <w:vAlign w:val="bottom"/>
            <w:tcBorders>
              <w:bottom w:val="single" w:sz="8" w:color="231F20"/>
            </w:tcBorders>
          </w:tcPr>
          <w:p>
            <w:pPr>
              <w:spacing w:after="0"/>
              <w:rPr>
                <w:sz w:val="24"/>
                <w:szCs w:val="24"/>
                <w:color w:val="auto"/>
              </w:rPr>
            </w:pPr>
          </w:p>
        </w:tc>
        <w:tc>
          <w:tcPr>
            <w:tcW w:w="8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(2,080)</w:t>
            </w:r>
          </w:p>
        </w:tc>
        <w:tc>
          <w:tcPr>
            <w:tcW w:w="80" w:type="dxa"/>
            <w:vAlign w:val="bottom"/>
          </w:tcPr>
          <w:p>
            <w:pPr>
              <w:spacing w:after="0"/>
              <w:rPr>
                <w:sz w:val="24"/>
                <w:szCs w:val="24"/>
                <w:color w:val="auto"/>
              </w:rPr>
            </w:pPr>
          </w:p>
        </w:tc>
        <w:tc>
          <w:tcPr>
            <w:tcW w:w="240" w:type="dxa"/>
            <w:vAlign w:val="bottom"/>
            <w:tcBorders>
              <w:bottom w:val="single" w:sz="8" w:color="231F20"/>
            </w:tcBorders>
          </w:tcPr>
          <w:p>
            <w:pPr>
              <w:spacing w:after="0"/>
              <w:rPr>
                <w:sz w:val="24"/>
                <w:szCs w:val="24"/>
                <w:color w:val="auto"/>
              </w:rPr>
            </w:pPr>
          </w:p>
        </w:tc>
        <w:tc>
          <w:tcPr>
            <w:tcW w:w="7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(2,004)</w:t>
            </w:r>
          </w:p>
        </w:tc>
        <w:tc>
          <w:tcPr>
            <w:tcW w:w="60" w:type="dxa"/>
            <w:vAlign w:val="bottom"/>
          </w:tcPr>
          <w:p>
            <w:pPr>
              <w:spacing w:after="0"/>
              <w:rPr>
                <w:sz w:val="24"/>
                <w:szCs w:val="24"/>
                <w:color w:val="auto"/>
              </w:rPr>
            </w:pPr>
          </w:p>
        </w:tc>
        <w:tc>
          <w:tcPr>
            <w:tcW w:w="240" w:type="dxa"/>
            <w:vAlign w:val="bottom"/>
            <w:tcBorders>
              <w:bottom w:val="single" w:sz="8" w:color="231F20"/>
            </w:tcBorders>
          </w:tcPr>
          <w:p>
            <w:pPr>
              <w:spacing w:after="0"/>
              <w:rPr>
                <w:sz w:val="24"/>
                <w:szCs w:val="24"/>
                <w:color w:val="auto"/>
              </w:rPr>
            </w:pPr>
          </w:p>
        </w:tc>
        <w:tc>
          <w:tcPr>
            <w:tcW w:w="7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(1,955)</w:t>
            </w:r>
          </w:p>
        </w:tc>
        <w:tc>
          <w:tcPr>
            <w:tcW w:w="0" w:type="dxa"/>
            <w:vAlign w:val="bottom"/>
          </w:tcPr>
          <w:p>
            <w:pPr>
              <w:spacing w:after="0"/>
              <w:rPr>
                <w:sz w:val="1"/>
                <w:szCs w:val="1"/>
                <w:color w:val="auto"/>
              </w:rPr>
            </w:pPr>
          </w:p>
        </w:tc>
      </w:tr>
      <w:tr>
        <w:trPr>
          <w:trHeight w:val="247"/>
        </w:trPr>
        <w:tc>
          <w:tcPr>
            <w:tcW w:w="6580" w:type="dxa"/>
            <w:vAlign w:val="bottom"/>
          </w:tcPr>
          <w:p>
            <w:pPr>
              <w:jc w:val="right"/>
              <w:spacing w:after="0"/>
              <w:rPr>
                <w:sz w:val="20"/>
                <w:szCs w:val="20"/>
                <w:color w:val="auto"/>
              </w:rPr>
            </w:pPr>
            <w:r>
              <w:rPr>
                <w:rFonts w:ascii="Times New Roman" w:cs="Times New Roman" w:eastAsia="Times New Roman" w:hAnsi="Times New Roman"/>
                <w:sz w:val="19"/>
                <w:szCs w:val="19"/>
                <w:color w:val="C3C5C7"/>
              </w:rPr>
              <w:t>...................................</w:t>
            </w:r>
            <w:r>
              <w:rPr>
                <w:rFonts w:ascii="Times New Roman" w:cs="Times New Roman" w:eastAsia="Times New Roman" w:hAnsi="Times New Roman"/>
                <w:sz w:val="19"/>
                <w:szCs w:val="19"/>
                <w:color w:val="231F20"/>
              </w:rPr>
              <w:t>Fundsfromoperationsavailableforcommonshareholders</w:t>
            </w:r>
          </w:p>
        </w:tc>
        <w:tc>
          <w:tcPr>
            <w:tcW w:w="4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9"/>
                <w:szCs w:val="19"/>
                <w:color w:val="231F20"/>
                <w:w w:val="83"/>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624,256</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9"/>
                <w:szCs w:val="19"/>
                <w:color w:val="231F2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570,239</w:t>
            </w:r>
          </w:p>
        </w:tc>
        <w:tc>
          <w:tcPr>
            <w:tcW w:w="300" w:type="dxa"/>
            <w:vAlign w:val="bottom"/>
            <w:gridSpan w:val="2"/>
          </w:tcPr>
          <w:p>
            <w:pPr>
              <w:jc w:val="right"/>
              <w:ind w:right="5"/>
              <w:spacing w:after="0"/>
              <w:rPr>
                <w:sz w:val="20"/>
                <w:szCs w:val="20"/>
                <w:color w:val="auto"/>
              </w:rPr>
            </w:pPr>
            <w:r>
              <w:rPr>
                <w:rFonts w:ascii="Times New Roman" w:cs="Times New Roman" w:eastAsia="Times New Roman" w:hAnsi="Times New Roman"/>
                <w:sz w:val="19"/>
                <w:szCs w:val="19"/>
                <w:color w:val="231F2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537,313</w:t>
            </w:r>
          </w:p>
        </w:tc>
        <w:tc>
          <w:tcPr>
            <w:tcW w:w="0" w:type="dxa"/>
            <w:vAlign w:val="bottom"/>
          </w:tcPr>
          <w:p>
            <w:pPr>
              <w:spacing w:after="0"/>
              <w:rPr>
                <w:sz w:val="1"/>
                <w:szCs w:val="1"/>
                <w:color w:val="auto"/>
              </w:rPr>
            </w:pPr>
          </w:p>
        </w:tc>
      </w:tr>
      <w:tr>
        <w:trPr>
          <w:trHeight w:val="20"/>
        </w:trPr>
        <w:tc>
          <w:tcPr>
            <w:tcW w:w="6580" w:type="dxa"/>
            <w:vAlign w:val="bottom"/>
            <w:vMerge w:val="restart"/>
          </w:tcPr>
          <w:p>
            <w:pPr>
              <w:ind w:left="60"/>
              <w:spacing w:after="0"/>
              <w:rPr>
                <w:sz w:val="20"/>
                <w:szCs w:val="20"/>
                <w:color w:val="auto"/>
              </w:rPr>
            </w:pPr>
            <w:r>
              <w:rPr>
                <w:rFonts w:ascii="Times New Roman" w:cs="Times New Roman" w:eastAsia="Times New Roman" w:hAnsi="Times New Roman"/>
                <w:sz w:val="19"/>
                <w:szCs w:val="19"/>
                <w:color w:val="231F20"/>
              </w:rPr>
              <w:t>Weighted average number of common shares, diluted (1)(2)</w:t>
            </w:r>
          </w:p>
        </w:tc>
        <w:tc>
          <w:tcPr>
            <w:tcW w:w="40" w:type="dxa"/>
            <w:vAlign w:val="bottom"/>
            <w:tcBorders>
              <w:top w:val="single" w:sz="8" w:color="231F20"/>
              <w:bottom w:val="single" w:sz="8" w:color="231F20"/>
            </w:tcBorders>
          </w:tcPr>
          <w:p>
            <w:pPr>
              <w:spacing w:after="0" w:line="20" w:lineRule="exact"/>
              <w:rPr>
                <w:sz w:val="1"/>
                <w:szCs w:val="1"/>
                <w:color w:val="auto"/>
              </w:rPr>
            </w:pPr>
          </w:p>
        </w:tc>
        <w:tc>
          <w:tcPr>
            <w:tcW w:w="160" w:type="dxa"/>
            <w:vAlign w:val="bottom"/>
            <w:tcBorders>
              <w:top w:val="single" w:sz="8" w:color="231F20"/>
              <w:bottom w:val="single" w:sz="8" w:color="231F20"/>
            </w:tcBorders>
          </w:tcPr>
          <w:p>
            <w:pPr>
              <w:spacing w:after="0" w:line="20" w:lineRule="exact"/>
              <w:rPr>
                <w:sz w:val="1"/>
                <w:szCs w:val="1"/>
                <w:color w:val="auto"/>
              </w:rPr>
            </w:pPr>
          </w:p>
        </w:tc>
        <w:tc>
          <w:tcPr>
            <w:tcW w:w="80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231F20"/>
              <w:bottom w:val="single" w:sz="8" w:color="231F20"/>
            </w:tcBorders>
          </w:tcPr>
          <w:p>
            <w:pPr>
              <w:spacing w:after="0" w:line="20" w:lineRule="exact"/>
              <w:rPr>
                <w:sz w:val="1"/>
                <w:szCs w:val="1"/>
                <w:color w:val="auto"/>
              </w:rPr>
            </w:pPr>
          </w:p>
        </w:tc>
        <w:tc>
          <w:tcPr>
            <w:tcW w:w="78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231F20"/>
              <w:bottom w:val="single" w:sz="8" w:color="231F20"/>
            </w:tcBorders>
          </w:tcPr>
          <w:p>
            <w:pPr>
              <w:spacing w:after="0" w:line="20" w:lineRule="exact"/>
              <w:rPr>
                <w:sz w:val="1"/>
                <w:szCs w:val="1"/>
                <w:color w:val="auto"/>
              </w:rPr>
            </w:pPr>
          </w:p>
        </w:tc>
        <w:tc>
          <w:tcPr>
            <w:tcW w:w="780" w:type="dxa"/>
            <w:vAlign w:val="bottom"/>
            <w:tcBorders>
              <w:top w:val="single" w:sz="8" w:color="231F20"/>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6580" w:type="dxa"/>
            <w:vAlign w:val="bottom"/>
            <w:vMerge w:val="continue"/>
          </w:tcPr>
          <w:p>
            <w:pPr>
              <w:jc w:val="right"/>
              <w:spacing w:after="0" w:line="150" w:lineRule="exact"/>
              <w:rPr>
                <w:sz w:val="20"/>
                <w:szCs w:val="20"/>
                <w:color w:val="auto"/>
              </w:rPr>
            </w:pPr>
            <w:r>
              <w:rPr>
                <w:rFonts w:ascii="Times New Roman" w:cs="Times New Roman" w:eastAsia="Times New Roman" w:hAnsi="Times New Roman"/>
                <w:sz w:val="17"/>
                <w:szCs w:val="17"/>
                <w:color w:val="C3C5C7"/>
              </w:rPr>
              <w:t>........................................</w:t>
            </w:r>
          </w:p>
        </w:tc>
        <w:tc>
          <w:tcPr>
            <w:tcW w:w="40" w:type="dxa"/>
            <w:vAlign w:val="bottom"/>
            <w:tcBorders>
              <w:bottom w:val="single" w:sz="8" w:color="231F20"/>
            </w:tcBorders>
          </w:tcPr>
          <w:p>
            <w:pPr>
              <w:spacing w:after="0"/>
              <w:rPr>
                <w:sz w:val="19"/>
                <w:szCs w:val="19"/>
                <w:color w:val="auto"/>
              </w:rPr>
            </w:pPr>
          </w:p>
        </w:tc>
        <w:tc>
          <w:tcPr>
            <w:tcW w:w="160" w:type="dxa"/>
            <w:vAlign w:val="bottom"/>
            <w:tcBorders>
              <w:bottom w:val="single" w:sz="8" w:color="231F20"/>
            </w:tcBorders>
          </w:tcPr>
          <w:p>
            <w:pPr>
              <w:spacing w:after="0"/>
              <w:rPr>
                <w:sz w:val="19"/>
                <w:szCs w:val="19"/>
                <w:color w:val="auto"/>
              </w:rPr>
            </w:pPr>
          </w:p>
        </w:tc>
        <w:tc>
          <w:tcPr>
            <w:tcW w:w="8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86,498</w:t>
            </w:r>
          </w:p>
        </w:tc>
        <w:tc>
          <w:tcPr>
            <w:tcW w:w="80" w:type="dxa"/>
            <w:vAlign w:val="bottom"/>
          </w:tcPr>
          <w:p>
            <w:pPr>
              <w:spacing w:after="0"/>
              <w:rPr>
                <w:sz w:val="19"/>
                <w:szCs w:val="19"/>
                <w:color w:val="auto"/>
              </w:rPr>
            </w:pPr>
          </w:p>
        </w:tc>
        <w:tc>
          <w:tcPr>
            <w:tcW w:w="240" w:type="dxa"/>
            <w:vAlign w:val="bottom"/>
            <w:tcBorders>
              <w:bottom w:val="single" w:sz="8" w:color="231F20"/>
            </w:tcBorders>
          </w:tcPr>
          <w:p>
            <w:pPr>
              <w:spacing w:after="0"/>
              <w:rPr>
                <w:sz w:val="19"/>
                <w:szCs w:val="19"/>
                <w:color w:val="auto"/>
              </w:rPr>
            </w:pPr>
          </w:p>
        </w:tc>
        <w:tc>
          <w:tcPr>
            <w:tcW w:w="7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84,286</w:t>
            </w:r>
          </w:p>
        </w:tc>
        <w:tc>
          <w:tcPr>
            <w:tcW w:w="60" w:type="dxa"/>
            <w:vAlign w:val="bottom"/>
          </w:tcPr>
          <w:p>
            <w:pPr>
              <w:spacing w:after="0"/>
              <w:rPr>
                <w:sz w:val="19"/>
                <w:szCs w:val="19"/>
                <w:color w:val="auto"/>
              </w:rPr>
            </w:pPr>
          </w:p>
        </w:tc>
        <w:tc>
          <w:tcPr>
            <w:tcW w:w="240" w:type="dxa"/>
            <w:vAlign w:val="bottom"/>
            <w:tcBorders>
              <w:bottom w:val="single" w:sz="8" w:color="231F20"/>
            </w:tcBorders>
          </w:tcPr>
          <w:p>
            <w:pPr>
              <w:spacing w:after="0"/>
              <w:rPr>
                <w:sz w:val="19"/>
                <w:szCs w:val="19"/>
                <w:color w:val="auto"/>
              </w:rPr>
            </w:pPr>
          </w:p>
        </w:tc>
        <w:tc>
          <w:tcPr>
            <w:tcW w:w="7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82,044</w:t>
            </w: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40" w:type="dxa"/>
            <w:vAlign w:val="bottom"/>
            <w:tcBorders>
              <w:bottom w:val="single" w:sz="8" w:color="231F20"/>
            </w:tcBorders>
          </w:tcPr>
          <w:p>
            <w:pPr>
              <w:spacing w:after="0" w:line="20" w:lineRule="exact"/>
              <w:rPr>
                <w:sz w:val="1"/>
                <w:szCs w:val="1"/>
                <w:color w:val="auto"/>
              </w:rPr>
            </w:pPr>
          </w:p>
        </w:tc>
        <w:tc>
          <w:tcPr>
            <w:tcW w:w="160" w:type="dxa"/>
            <w:vAlign w:val="bottom"/>
            <w:tcBorders>
              <w:bottom w:val="single" w:sz="8" w:color="231F20"/>
            </w:tcBorders>
          </w:tcPr>
          <w:p>
            <w:pPr>
              <w:spacing w:after="0" w:line="20" w:lineRule="exact"/>
              <w:rPr>
                <w:sz w:val="1"/>
                <w:szCs w:val="1"/>
                <w:color w:val="auto"/>
              </w:rPr>
            </w:pPr>
          </w:p>
        </w:tc>
        <w:tc>
          <w:tcPr>
            <w:tcW w:w="80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231F20"/>
            </w:tcBorders>
          </w:tcPr>
          <w:p>
            <w:pPr>
              <w:spacing w:after="0" w:line="20" w:lineRule="exact"/>
              <w:rPr>
                <w:sz w:val="1"/>
                <w:szCs w:val="1"/>
                <w:color w:val="auto"/>
              </w:rPr>
            </w:pPr>
          </w:p>
        </w:tc>
        <w:tc>
          <w:tcPr>
            <w:tcW w:w="78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231F20"/>
            </w:tcBorders>
          </w:tcPr>
          <w:p>
            <w:pPr>
              <w:spacing w:after="0" w:line="20" w:lineRule="exact"/>
              <w:rPr>
                <w:sz w:val="1"/>
                <w:szCs w:val="1"/>
                <w:color w:val="auto"/>
              </w:rPr>
            </w:pPr>
          </w:p>
        </w:tc>
        <w:tc>
          <w:tcPr>
            <w:tcW w:w="78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6"/>
        </w:trPr>
        <w:tc>
          <w:tcPr>
            <w:tcW w:w="662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231F20"/>
              </w:rPr>
              <w:t>Funds from operations available for common shareholders, per diluted share</w:t>
            </w:r>
            <w:r>
              <w:rPr>
                <w:rFonts w:ascii="Times New Roman" w:cs="Times New Roman" w:eastAsia="Times New Roman" w:hAnsi="Times New Roman"/>
                <w:sz w:val="19"/>
                <w:szCs w:val="19"/>
                <w:color w:val="C3C5C7"/>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9"/>
                <w:szCs w:val="19"/>
                <w:color w:val="231F20"/>
                <w:w w:val="83"/>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7.22</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9"/>
                <w:szCs w:val="19"/>
                <w:color w:val="231F2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6.77</w:t>
            </w:r>
          </w:p>
        </w:tc>
        <w:tc>
          <w:tcPr>
            <w:tcW w:w="300" w:type="dxa"/>
            <w:vAlign w:val="bottom"/>
            <w:gridSpan w:val="2"/>
          </w:tcPr>
          <w:p>
            <w:pPr>
              <w:jc w:val="right"/>
              <w:ind w:right="5"/>
              <w:spacing w:after="0"/>
              <w:rPr>
                <w:sz w:val="20"/>
                <w:szCs w:val="20"/>
                <w:color w:val="auto"/>
              </w:rPr>
            </w:pPr>
            <w:r>
              <w:rPr>
                <w:rFonts w:ascii="Times New Roman" w:cs="Times New Roman" w:eastAsia="Times New Roman" w:hAnsi="Times New Roman"/>
                <w:sz w:val="19"/>
                <w:szCs w:val="19"/>
                <w:color w:val="231F2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6.55</w:t>
            </w:r>
          </w:p>
        </w:tc>
        <w:tc>
          <w:tcPr>
            <w:tcW w:w="0" w:type="dxa"/>
            <w:vAlign w:val="bottom"/>
          </w:tcPr>
          <w:p>
            <w:pPr>
              <w:spacing w:after="0"/>
              <w:rPr>
                <w:sz w:val="1"/>
                <w:szCs w:val="1"/>
                <w:color w:val="auto"/>
              </w:rPr>
            </w:pPr>
          </w:p>
        </w:tc>
      </w:tr>
      <w:tr>
        <w:trPr>
          <w:trHeight w:val="434"/>
        </w:trPr>
        <w:tc>
          <w:tcPr>
            <w:tcW w:w="6620" w:type="dxa"/>
            <w:vAlign w:val="bottom"/>
            <w:gridSpan w:val="2"/>
          </w:tcPr>
          <w:p>
            <w:pPr>
              <w:ind w:left="60"/>
              <w:spacing w:after="0"/>
              <w:rPr>
                <w:sz w:val="20"/>
                <w:szCs w:val="20"/>
                <w:color w:val="auto"/>
              </w:rPr>
            </w:pPr>
            <w:r>
              <w:rPr>
                <w:rFonts w:ascii="Times New Roman" w:cs="Times New Roman" w:eastAsia="Times New Roman" w:hAnsi="Times New Roman"/>
                <w:sz w:val="19"/>
                <w:szCs w:val="19"/>
                <w:b w:val="1"/>
                <w:bCs w:val="1"/>
                <w:color w:val="231F20"/>
              </w:rPr>
              <w:t>Reconciliation of Nareit FFO to Core FFO</w:t>
            </w: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662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231F20"/>
              </w:rPr>
              <w:t>Nareit FFO</w:t>
            </w:r>
          </w:p>
        </w:tc>
        <w:tc>
          <w:tcPr>
            <w:tcW w:w="160" w:type="dxa"/>
            <w:vAlign w:val="bottom"/>
          </w:tcPr>
          <w:p>
            <w:pPr>
              <w:jc w:val="right"/>
              <w:spacing w:after="0"/>
              <w:rPr>
                <w:sz w:val="20"/>
                <w:szCs w:val="20"/>
                <w:color w:val="auto"/>
              </w:rPr>
            </w:pPr>
            <w:r>
              <w:rPr>
                <w:rFonts w:ascii="Times New Roman" w:cs="Times New Roman" w:eastAsia="Times New Roman" w:hAnsi="Times New Roman"/>
                <w:sz w:val="19"/>
                <w:szCs w:val="19"/>
                <w:color w:val="231F20"/>
                <w:w w:val="83"/>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624,256</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9"/>
                <w:szCs w:val="19"/>
                <w:color w:val="231F2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570,239</w:t>
            </w:r>
          </w:p>
        </w:tc>
        <w:tc>
          <w:tcPr>
            <w:tcW w:w="300" w:type="dxa"/>
            <w:vAlign w:val="bottom"/>
            <w:gridSpan w:val="2"/>
          </w:tcPr>
          <w:p>
            <w:pPr>
              <w:jc w:val="right"/>
              <w:ind w:right="5"/>
              <w:spacing w:after="0"/>
              <w:rPr>
                <w:sz w:val="20"/>
                <w:szCs w:val="20"/>
                <w:color w:val="auto"/>
              </w:rPr>
            </w:pPr>
            <w:r>
              <w:rPr>
                <w:rFonts w:ascii="Times New Roman" w:cs="Times New Roman" w:eastAsia="Times New Roman" w:hAnsi="Times New Roman"/>
                <w:sz w:val="19"/>
                <w:szCs w:val="19"/>
                <w:color w:val="231F2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537,313</w:t>
            </w:r>
          </w:p>
        </w:tc>
        <w:tc>
          <w:tcPr>
            <w:tcW w:w="0" w:type="dxa"/>
            <w:vAlign w:val="bottom"/>
          </w:tcPr>
          <w:p>
            <w:pPr>
              <w:spacing w:after="0"/>
              <w:rPr>
                <w:sz w:val="1"/>
                <w:szCs w:val="1"/>
                <w:color w:val="auto"/>
              </w:rPr>
            </w:pPr>
          </w:p>
        </w:tc>
      </w:tr>
      <w:tr>
        <w:trPr>
          <w:trHeight w:val="271"/>
        </w:trPr>
        <w:tc>
          <w:tcPr>
            <w:tcW w:w="662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231F20"/>
              </w:rPr>
              <w:t>Adjustments:</w:t>
            </w:r>
          </w:p>
        </w:tc>
        <w:tc>
          <w:tcPr>
            <w:tcW w:w="1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662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231F20"/>
              </w:rPr>
              <w:t>New market tax credit transaction income, net (3)</w:t>
            </w:r>
          </w:p>
        </w:tc>
        <w:tc>
          <w:tcPr>
            <w:tcW w:w="1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(13,004)</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0" w:type="dxa"/>
            <w:vAlign w:val="bottom"/>
          </w:tcPr>
          <w:p>
            <w:pPr>
              <w:spacing w:after="0"/>
              <w:rPr>
                <w:sz w:val="1"/>
                <w:szCs w:val="1"/>
                <w:color w:val="auto"/>
              </w:rPr>
            </w:pPr>
          </w:p>
        </w:tc>
      </w:tr>
      <w:tr>
        <w:trPr>
          <w:trHeight w:val="271"/>
        </w:trPr>
        <w:tc>
          <w:tcPr>
            <w:tcW w:w="662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231F20"/>
              </w:rPr>
              <w:t>Executive transition costs</w:t>
            </w:r>
          </w:p>
        </w:tc>
        <w:tc>
          <w:tcPr>
            <w:tcW w:w="1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3,687</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0" w:type="dxa"/>
            <w:vAlign w:val="bottom"/>
          </w:tcPr>
          <w:p>
            <w:pPr>
              <w:spacing w:after="0"/>
              <w:rPr>
                <w:sz w:val="1"/>
                <w:szCs w:val="1"/>
                <w:color w:val="auto"/>
              </w:rPr>
            </w:pPr>
          </w:p>
        </w:tc>
      </w:tr>
      <w:tr>
        <w:trPr>
          <w:trHeight w:val="272"/>
        </w:trPr>
        <w:tc>
          <w:tcPr>
            <w:tcW w:w="6580" w:type="dxa"/>
            <w:vAlign w:val="bottom"/>
          </w:tcPr>
          <w:p>
            <w:pPr>
              <w:ind w:left="60"/>
              <w:spacing w:after="0"/>
              <w:rPr>
                <w:sz w:val="20"/>
                <w:szCs w:val="20"/>
                <w:color w:val="auto"/>
              </w:rPr>
            </w:pPr>
            <w:r>
              <w:rPr>
                <w:rFonts w:ascii="Times New Roman" w:cs="Times New Roman" w:eastAsia="Times New Roman" w:hAnsi="Times New Roman"/>
                <w:sz w:val="19"/>
                <w:szCs w:val="19"/>
                <w:color w:val="231F20"/>
              </w:rPr>
              <w:t>Collection of prior period rents deferred during COVID</w:t>
            </w:r>
          </w:p>
        </w:tc>
        <w:tc>
          <w:tcPr>
            <w:tcW w:w="40" w:type="dxa"/>
            <w:vAlign w:val="bottom"/>
            <w:tcBorders>
              <w:bottom w:val="single" w:sz="8" w:color="231F20"/>
            </w:tcBorders>
          </w:tcPr>
          <w:p>
            <w:pPr>
              <w:spacing w:after="0"/>
              <w:rPr>
                <w:sz w:val="23"/>
                <w:szCs w:val="23"/>
                <w:color w:val="auto"/>
              </w:rPr>
            </w:pPr>
          </w:p>
        </w:tc>
        <w:tc>
          <w:tcPr>
            <w:tcW w:w="160" w:type="dxa"/>
            <w:vAlign w:val="bottom"/>
            <w:tcBorders>
              <w:bottom w:val="single" w:sz="8" w:color="231F20"/>
            </w:tcBorders>
          </w:tcPr>
          <w:p>
            <w:pPr>
              <w:spacing w:after="0"/>
              <w:rPr>
                <w:sz w:val="23"/>
                <w:szCs w:val="23"/>
                <w:color w:val="auto"/>
              </w:rPr>
            </w:pPr>
          </w:p>
        </w:tc>
        <w:tc>
          <w:tcPr>
            <w:tcW w:w="8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(261)</w:t>
            </w:r>
          </w:p>
        </w:tc>
        <w:tc>
          <w:tcPr>
            <w:tcW w:w="80" w:type="dxa"/>
            <w:vAlign w:val="bottom"/>
          </w:tcPr>
          <w:p>
            <w:pPr>
              <w:spacing w:after="0"/>
              <w:rPr>
                <w:sz w:val="23"/>
                <w:szCs w:val="23"/>
                <w:color w:val="auto"/>
              </w:rPr>
            </w:pPr>
          </w:p>
        </w:tc>
        <w:tc>
          <w:tcPr>
            <w:tcW w:w="240" w:type="dxa"/>
            <w:vAlign w:val="bottom"/>
            <w:tcBorders>
              <w:bottom w:val="single" w:sz="8" w:color="231F20"/>
            </w:tcBorders>
          </w:tcPr>
          <w:p>
            <w:pPr>
              <w:spacing w:after="0"/>
              <w:rPr>
                <w:sz w:val="23"/>
                <w:szCs w:val="23"/>
                <w:color w:val="auto"/>
              </w:rPr>
            </w:pPr>
          </w:p>
        </w:tc>
        <w:tc>
          <w:tcPr>
            <w:tcW w:w="7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(3,218)</w:t>
            </w:r>
          </w:p>
        </w:tc>
        <w:tc>
          <w:tcPr>
            <w:tcW w:w="60" w:type="dxa"/>
            <w:vAlign w:val="bottom"/>
          </w:tcPr>
          <w:p>
            <w:pPr>
              <w:spacing w:after="0"/>
              <w:rPr>
                <w:sz w:val="23"/>
                <w:szCs w:val="23"/>
                <w:color w:val="auto"/>
              </w:rPr>
            </w:pPr>
          </w:p>
        </w:tc>
        <w:tc>
          <w:tcPr>
            <w:tcW w:w="240" w:type="dxa"/>
            <w:vAlign w:val="bottom"/>
            <w:tcBorders>
              <w:bottom w:val="single" w:sz="8" w:color="231F20"/>
            </w:tcBorders>
          </w:tcPr>
          <w:p>
            <w:pPr>
              <w:spacing w:after="0"/>
              <w:rPr>
                <w:sz w:val="23"/>
                <w:szCs w:val="23"/>
                <w:color w:val="auto"/>
              </w:rPr>
            </w:pPr>
          </w:p>
        </w:tc>
        <w:tc>
          <w:tcPr>
            <w:tcW w:w="7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(5,136)</w:t>
            </w:r>
          </w:p>
        </w:tc>
        <w:tc>
          <w:tcPr>
            <w:tcW w:w="0" w:type="dxa"/>
            <w:vAlign w:val="bottom"/>
          </w:tcPr>
          <w:p>
            <w:pPr>
              <w:spacing w:after="0"/>
              <w:rPr>
                <w:sz w:val="1"/>
                <w:szCs w:val="1"/>
                <w:color w:val="auto"/>
              </w:rPr>
            </w:pPr>
          </w:p>
        </w:tc>
      </w:tr>
      <w:tr>
        <w:trPr>
          <w:trHeight w:val="233"/>
        </w:trPr>
        <w:tc>
          <w:tcPr>
            <w:tcW w:w="6580" w:type="dxa"/>
            <w:vAlign w:val="bottom"/>
          </w:tcPr>
          <w:p>
            <w:pPr>
              <w:ind w:left="400"/>
              <w:spacing w:after="0"/>
              <w:rPr>
                <w:sz w:val="20"/>
                <w:szCs w:val="20"/>
                <w:color w:val="auto"/>
              </w:rPr>
            </w:pPr>
            <w:r>
              <w:rPr>
                <w:rFonts w:ascii="Times New Roman" w:cs="Times New Roman" w:eastAsia="Times New Roman" w:hAnsi="Times New Roman"/>
                <w:sz w:val="19"/>
                <w:szCs w:val="19"/>
                <w:color w:val="231F20"/>
              </w:rPr>
              <w:t>Core FFO</w:t>
            </w:r>
          </w:p>
        </w:tc>
        <w:tc>
          <w:tcPr>
            <w:tcW w:w="40" w:type="dxa"/>
            <w:vAlign w:val="bottom"/>
            <w:tcBorders>
              <w:bottom w:val="single" w:sz="8" w:color="231F20"/>
            </w:tcBorders>
          </w:tcPr>
          <w:p>
            <w:pPr>
              <w:spacing w:after="0"/>
              <w:rPr>
                <w:sz w:val="20"/>
                <w:szCs w:val="20"/>
                <w:color w:val="auto"/>
              </w:rPr>
            </w:pPr>
          </w:p>
        </w:tc>
        <w:tc>
          <w:tcPr>
            <w:tcW w:w="1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w w:val="83"/>
              </w:rPr>
              <w:t>$</w:t>
            </w:r>
          </w:p>
        </w:tc>
        <w:tc>
          <w:tcPr>
            <w:tcW w:w="8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610,991</w:t>
            </w:r>
          </w:p>
        </w:tc>
        <w:tc>
          <w:tcPr>
            <w:tcW w:w="80" w:type="dxa"/>
            <w:vAlign w:val="bottom"/>
          </w:tcPr>
          <w:p>
            <w:pPr>
              <w:spacing w:after="0"/>
              <w:rPr>
                <w:sz w:val="20"/>
                <w:szCs w:val="20"/>
                <w:color w:val="auto"/>
              </w:rPr>
            </w:pPr>
          </w:p>
        </w:tc>
        <w:tc>
          <w:tcPr>
            <w:tcW w:w="240" w:type="dxa"/>
            <w:vAlign w:val="bottom"/>
            <w:tcBorders>
              <w:bottom w:val="single" w:sz="8" w:color="231F20"/>
            </w:tcBorders>
          </w:tcPr>
          <w:p>
            <w:pPr>
              <w:spacing w:after="0"/>
              <w:rPr>
                <w:sz w:val="20"/>
                <w:szCs w:val="20"/>
                <w:color w:val="auto"/>
              </w:rPr>
            </w:pPr>
          </w:p>
        </w:tc>
        <w:tc>
          <w:tcPr>
            <w:tcW w:w="7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570,708</w:t>
            </w:r>
          </w:p>
        </w:tc>
        <w:tc>
          <w:tcPr>
            <w:tcW w:w="60" w:type="dxa"/>
            <w:vAlign w:val="bottom"/>
          </w:tcPr>
          <w:p>
            <w:pPr>
              <w:spacing w:after="0"/>
              <w:rPr>
                <w:sz w:val="20"/>
                <w:szCs w:val="20"/>
                <w:color w:val="auto"/>
              </w:rPr>
            </w:pPr>
          </w:p>
        </w:tc>
        <w:tc>
          <w:tcPr>
            <w:tcW w:w="240" w:type="dxa"/>
            <w:vAlign w:val="bottom"/>
            <w:tcBorders>
              <w:bottom w:val="single" w:sz="8" w:color="231F20"/>
            </w:tcBorders>
          </w:tcPr>
          <w:p>
            <w:pPr>
              <w:jc w:val="right"/>
              <w:ind w:right="5"/>
              <w:spacing w:after="0"/>
              <w:rPr>
                <w:sz w:val="20"/>
                <w:szCs w:val="20"/>
                <w:color w:val="auto"/>
              </w:rPr>
            </w:pPr>
            <w:r>
              <w:rPr>
                <w:rFonts w:ascii="Times New Roman" w:cs="Times New Roman" w:eastAsia="Times New Roman" w:hAnsi="Times New Roman"/>
                <w:sz w:val="19"/>
                <w:szCs w:val="19"/>
                <w:color w:val="231F20"/>
              </w:rPr>
              <w:t>$</w:t>
            </w:r>
          </w:p>
        </w:tc>
        <w:tc>
          <w:tcPr>
            <w:tcW w:w="7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532,177</w:t>
            </w: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40" w:type="dxa"/>
            <w:vAlign w:val="bottom"/>
            <w:tcBorders>
              <w:bottom w:val="single" w:sz="8" w:color="231F20"/>
            </w:tcBorders>
          </w:tcPr>
          <w:p>
            <w:pPr>
              <w:spacing w:after="0" w:line="20" w:lineRule="exact"/>
              <w:rPr>
                <w:sz w:val="1"/>
                <w:szCs w:val="1"/>
                <w:color w:val="auto"/>
              </w:rPr>
            </w:pPr>
          </w:p>
        </w:tc>
        <w:tc>
          <w:tcPr>
            <w:tcW w:w="160" w:type="dxa"/>
            <w:vAlign w:val="bottom"/>
            <w:tcBorders>
              <w:bottom w:val="single" w:sz="8" w:color="231F20"/>
            </w:tcBorders>
          </w:tcPr>
          <w:p>
            <w:pPr>
              <w:spacing w:after="0" w:line="20" w:lineRule="exact"/>
              <w:rPr>
                <w:sz w:val="1"/>
                <w:szCs w:val="1"/>
                <w:color w:val="auto"/>
              </w:rPr>
            </w:pPr>
          </w:p>
        </w:tc>
        <w:tc>
          <w:tcPr>
            <w:tcW w:w="80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231F20"/>
            </w:tcBorders>
          </w:tcPr>
          <w:p>
            <w:pPr>
              <w:spacing w:after="0" w:line="20" w:lineRule="exact"/>
              <w:rPr>
                <w:sz w:val="1"/>
                <w:szCs w:val="1"/>
                <w:color w:val="auto"/>
              </w:rPr>
            </w:pPr>
          </w:p>
        </w:tc>
        <w:tc>
          <w:tcPr>
            <w:tcW w:w="78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231F20"/>
            </w:tcBorders>
          </w:tcPr>
          <w:p>
            <w:pPr>
              <w:spacing w:after="0" w:line="20" w:lineRule="exact"/>
              <w:rPr>
                <w:sz w:val="1"/>
                <w:szCs w:val="1"/>
                <w:color w:val="auto"/>
              </w:rPr>
            </w:pPr>
          </w:p>
        </w:tc>
        <w:tc>
          <w:tcPr>
            <w:tcW w:w="78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2"/>
        </w:trPr>
        <w:tc>
          <w:tcPr>
            <w:tcW w:w="662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231F20"/>
              </w:rPr>
              <w:t>Core FFO per diluted share (2)</w:t>
            </w:r>
          </w:p>
        </w:tc>
        <w:tc>
          <w:tcPr>
            <w:tcW w:w="160" w:type="dxa"/>
            <w:vAlign w:val="bottom"/>
          </w:tcPr>
          <w:p>
            <w:pPr>
              <w:jc w:val="right"/>
              <w:spacing w:after="0"/>
              <w:rPr>
                <w:sz w:val="20"/>
                <w:szCs w:val="20"/>
                <w:color w:val="auto"/>
              </w:rPr>
            </w:pPr>
            <w:r>
              <w:rPr>
                <w:rFonts w:ascii="Times New Roman" w:cs="Times New Roman" w:eastAsia="Times New Roman" w:hAnsi="Times New Roman"/>
                <w:sz w:val="19"/>
                <w:szCs w:val="19"/>
                <w:color w:val="231F20"/>
                <w:w w:val="83"/>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7.06</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9"/>
                <w:szCs w:val="19"/>
                <w:color w:val="231F2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6.77</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6.49</w:t>
            </w:r>
          </w:p>
        </w:tc>
        <w:tc>
          <w:tcPr>
            <w:tcW w:w="0" w:type="dxa"/>
            <w:vAlign w:val="bottom"/>
          </w:tcPr>
          <w:p>
            <w:pPr>
              <w:spacing w:after="0"/>
              <w:rPr>
                <w:sz w:val="1"/>
                <w:szCs w:val="1"/>
                <w:color w:val="auto"/>
              </w:rPr>
            </w:pPr>
          </w:p>
        </w:tc>
      </w:tr>
      <w:tr>
        <w:trPr>
          <w:trHeight w:val="296"/>
        </w:trPr>
        <w:tc>
          <w:tcPr>
            <w:tcW w:w="6580" w:type="dxa"/>
            <w:vAlign w:val="bottom"/>
          </w:tcPr>
          <w:p>
            <w:pPr>
              <w:spacing w:after="0"/>
              <w:rPr>
                <w:sz w:val="20"/>
                <w:szCs w:val="20"/>
                <w:color w:val="auto"/>
              </w:rPr>
            </w:pPr>
            <w:r>
              <w:rPr>
                <w:rFonts w:ascii="Times New Roman" w:cs="Times New Roman" w:eastAsia="Times New Roman" w:hAnsi="Times New Roman"/>
                <w:sz w:val="19"/>
                <w:szCs w:val="19"/>
                <w:color w:val="231F20"/>
              </w:rPr>
              <w:t>_____________________</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680" w:right="160" w:hanging="677"/>
        <w:spacing w:after="0" w:line="267" w:lineRule="auto"/>
        <w:tabs>
          <w:tab w:leader="none" w:pos="680" w:val="left"/>
        </w:tabs>
        <w:numPr>
          <w:ilvl w:val="0"/>
          <w:numId w:val="53"/>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For the years ended December 31, 2025, 2024 and 2023, dividends on our Series 1 preferred stock were not deducted in the calculation of FFO available to common shareholders, as the related shares were dilutive and included in "weighted average number of common shares, diluted."</w:t>
      </w:r>
    </w:p>
    <w:p>
      <w:pPr>
        <w:spacing w:after="0" w:line="12" w:lineRule="exact"/>
        <w:rPr>
          <w:rFonts w:ascii="Times New Roman" w:cs="Times New Roman" w:eastAsia="Times New Roman" w:hAnsi="Times New Roman"/>
          <w:sz w:val="19"/>
          <w:szCs w:val="19"/>
          <w:color w:val="231F20"/>
        </w:rPr>
      </w:pPr>
    </w:p>
    <w:p>
      <w:pPr>
        <w:ind w:left="680" w:right="160" w:hanging="677"/>
        <w:spacing w:after="0" w:line="259" w:lineRule="auto"/>
        <w:tabs>
          <w:tab w:leader="none" w:pos="680" w:val="left"/>
        </w:tabs>
        <w:numPr>
          <w:ilvl w:val="0"/>
          <w:numId w:val="53"/>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The weighted average common shares used to compute FFO per diluted common share includes shares issuable upon the assumed redemption of outstanding downREIT operating partnership units that were excluded from the computation of diluted EPS. The assumed issuance of shares upon redemption of these operating partnership units is dilutive in the computation of FFO per diluted common share but is anti-dilutive for the computation of diluted EPS for 2024 and 2023.</w:t>
      </w:r>
    </w:p>
    <w:p>
      <w:pPr>
        <w:spacing w:after="0" w:line="19" w:lineRule="exact"/>
        <w:rPr>
          <w:rFonts w:ascii="Times New Roman" w:cs="Times New Roman" w:eastAsia="Times New Roman" w:hAnsi="Times New Roman"/>
          <w:sz w:val="19"/>
          <w:szCs w:val="19"/>
          <w:color w:val="231F20"/>
        </w:rPr>
      </w:pPr>
    </w:p>
    <w:p>
      <w:pPr>
        <w:ind w:left="680" w:right="300" w:hanging="677"/>
        <w:spacing w:after="0" w:line="267" w:lineRule="auto"/>
        <w:tabs>
          <w:tab w:leader="none" w:pos="680" w:val="left"/>
        </w:tabs>
        <w:numPr>
          <w:ilvl w:val="0"/>
          <w:numId w:val="53"/>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The $13.0 million net new market tax credit transaction income for the year ended December 31, 2025 is due to the sale of new market tax credits related to Freedom Plaza (see Note 7 to the consolidated financial statements for additional information).</w:t>
      </w:r>
    </w:p>
    <w:p>
      <w:pPr>
        <w:spacing w:after="0" w:line="217"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9"/>
          <w:szCs w:val="19"/>
          <w:b w:val="1"/>
          <w:bCs w:val="1"/>
          <w:color w:val="231F20"/>
        </w:rPr>
        <w:t>ITEM 7A.</w:t>
        <w:tab/>
        <w:t>QUANTITATIVE AND QUALITATIVE DISCLOSURES ABOUT MARKET RISK</w:t>
      </w:r>
    </w:p>
    <w:p>
      <w:pPr>
        <w:spacing w:after="0" w:line="110"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9"/>
          <w:szCs w:val="19"/>
          <w:color w:val="231F20"/>
        </w:rPr>
        <w:t>Our use of financial instruments, such as debt instruments, subjects us to market risk which may affect our future earnings and cash flows, as well as the fair value of our assets. Market risk generally refers to the risk of loss from changes in interest rates and market prices. We manage our market risk by attempting to match anticipated inflow of cash from our operating, investing and financing activities with anticipated outflow of cash to fund debt payments, dividends to common and preferred shareholders, investments, capital expenditures and other cash requirements.</w:t>
      </w:r>
    </w:p>
    <w:p>
      <w:pPr>
        <w:sectPr>
          <w:pgSz w:w="11880" w:h="15480" w:orient="portrait"/>
          <w:cols w:equalWidth="0" w:num="1">
            <w:col w:w="9760"/>
          </w:cols>
          <w:pgMar w:left="1060" w:top="963" w:right="1060" w:bottom="0" w:gutter="0" w:footer="0" w:header="0"/>
        </w:sect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47</w:t>
      </w:r>
    </w:p>
    <w:p>
      <w:pPr>
        <w:sectPr>
          <w:pgSz w:w="11880" w:h="15480" w:orient="portrait"/>
          <w:cols w:equalWidth="0" w:num="1">
            <w:col w:w="9760"/>
          </w:cols>
          <w:pgMar w:left="1060" w:top="963" w:right="1060" w:bottom="0" w:gutter="0" w:footer="0" w:header="0"/>
          <w:type w:val="continuous"/>
        </w:sectPr>
      </w:pPr>
    </w:p>
    <w:bookmarkStart w:id="55" w:name="page56"/>
    <w:bookmarkEnd w:id="55"/>
    <w:p>
      <w:pPr>
        <w:ind w:right="500"/>
        <w:spacing w:after="0" w:line="261" w:lineRule="auto"/>
        <w:rPr>
          <w:sz w:val="20"/>
          <w:szCs w:val="20"/>
          <w:color w:val="auto"/>
        </w:rPr>
      </w:pPr>
      <w:r>
        <w:rPr>
          <w:rFonts w:ascii="Times New Roman" w:cs="Times New Roman" w:eastAsia="Times New Roman" w:hAnsi="Times New Roman"/>
          <w:sz w:val="19"/>
          <w:szCs w:val="19"/>
          <w:color w:val="231F20"/>
        </w:rPr>
        <w:t>We may enter into certain types of derivative financial instruments to further reduce interest rate risk. We use interest rate protection and swap agreements, for example, to convert some of our variable rate debt to a fixed-rate basis or to hedge anticipated financing transactions. We use derivatives for hedging purposes rather than speculation and do not enter into financial instruments for trading purposes.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Interest Rate Risk</w:t>
      </w:r>
    </w:p>
    <w:p>
      <w:pPr>
        <w:spacing w:after="0" w:line="11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9"/>
          <w:szCs w:val="19"/>
          <w:color w:val="231F20"/>
        </w:rPr>
        <w:t>The following discusses the effect of hypothetical changes in market rates of interest on interest expense for our variable rate debt and on the fair value of our total outstanding debt, including our fixed-rate debt. Interest rate risk amounts were determined by considering the impact of hypothetical interest rates on our debt. Quoted market prices were used to estimate the fair value of our marketable senior notes and debentures and discounted cash flow analysis is generally used to estimate the fair value of our mortgages and notes payable. Considerable judgment is necessary to estimate the fair value of financial instruments. This analysis does not purport to take into account all of the factors that may affect our debt, such as the effect that a changing interest rate environment could have on the overall level of economic activity or the action that our management might take to reduce our exposure to the change. This analysis assumes no change in our financial structure.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231F20"/>
        </w:rPr>
        <w:t>Fixed Interest Rate Debt</w:t>
      </w:r>
    </w:p>
    <w:p>
      <w:pPr>
        <w:spacing w:after="0" w:line="10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9"/>
          <w:szCs w:val="19"/>
          <w:color w:val="231F20"/>
        </w:rPr>
        <w:t>The majority of our outstanding debt obligations (maturing at various times through 2059) have fixed interest rates which limit the risk of fluctuating interest rates. However, interest rate fluctuations may affect the fair value of our fixed rate debt instruments. At December 31, 2025, we had $4.1 billion of fixed-rate debt outstanding, including $450.0 million of our unsecured term loan and $50.6 million of mortgage payables for which the rate is effectively fixed by interest rate swap agreements. If market interest rates used to calculate the fair value on our fixed-rate debt instruments at December 31, 2025 had been 1.0% higher, the fair value of those debt instruments on that date would have decreased by approximately $137.4 million. If market interest rates used to calculate the fair value on our fixed-rate debt instruments at December 31, 2025 had been 1.0% lower, the fair value of those debt instruments on that date would have increased by approximately $152.9 million.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231F20"/>
        </w:rPr>
        <w:t>Variable Interest Rate Debt</w:t>
      </w:r>
    </w:p>
    <w:p>
      <w:pPr>
        <w:spacing w:after="0" w:line="107"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9"/>
          <w:szCs w:val="19"/>
          <w:color w:val="231F20"/>
        </w:rPr>
        <w:t>Generally, we believe that our primary interest rate risk is due to fluctuations in interest rates on our outstanding variable rate debt. At December 31, 2025, we had $865.0 million of variable rate debt outstanding, comprised of $310.0 million outstanding on our revolving credit facility, $300.0 million of our unsecured term loan, our $200.0 million mortgage loan at Bethesda Row, and our $55.0 million mortgage loan at Azalea. Based upon this amount of variable rate debt and the specific terms, if market interest rates increased 1.0%, our annual interest expense would increase approximately $8.7 million with a corresponding decrease in our net income and cash flows for the year. Conversely, if market interest rates decreased 1.0%, our annual interest expense would decrease by approximately $8.7 million with a corresponding increase in our net income and cash flows for the year.</w:t>
      </w:r>
    </w:p>
    <w:p>
      <w:pPr>
        <w:spacing w:after="0" w:line="230"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9"/>
          <w:szCs w:val="19"/>
          <w:b w:val="1"/>
          <w:bCs w:val="1"/>
          <w:color w:val="231F20"/>
        </w:rPr>
        <w:t>ITEM 8.</w:t>
        <w:tab/>
        <w:t>FINANCIAL STATEMENTS AND SUPPLEMENTARY DATA</w:t>
      </w:r>
    </w:p>
    <w:p>
      <w:pPr>
        <w:spacing w:after="0" w:line="110" w:lineRule="exact"/>
        <w:rPr>
          <w:sz w:val="20"/>
          <w:szCs w:val="20"/>
          <w:color w:val="auto"/>
        </w:rPr>
      </w:pPr>
    </w:p>
    <w:p>
      <w:pPr>
        <w:ind w:right="60"/>
        <w:spacing w:after="0" w:line="284" w:lineRule="auto"/>
        <w:rPr>
          <w:sz w:val="20"/>
          <w:szCs w:val="20"/>
          <w:color w:val="auto"/>
        </w:rPr>
      </w:pPr>
      <w:r>
        <w:rPr>
          <w:rFonts w:ascii="Times New Roman" w:cs="Times New Roman" w:eastAsia="Times New Roman" w:hAnsi="Times New Roman"/>
          <w:sz w:val="19"/>
          <w:szCs w:val="19"/>
          <w:color w:val="231F20"/>
        </w:rPr>
        <w:t>Our consolidated financial statements and supplementary data are included as a separate section of this Annual Report on Form 10-K commencing on page F-1 and are incorporated herein by reference.</w:t>
      </w:r>
    </w:p>
    <w:p>
      <w:pPr>
        <w:spacing w:after="0" w:line="200"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9"/>
          <w:szCs w:val="19"/>
          <w:b w:val="1"/>
          <w:bCs w:val="1"/>
          <w:color w:val="231F20"/>
        </w:rPr>
        <w:t>ITEM 9. CHANGES IN AND DISAGREEMENTS WITH ACCOUNTANTS ON ACCOUNTING AND FINANCIAL DISCLOSURE</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None.</w:t>
      </w:r>
    </w:p>
    <w:p>
      <w:pPr>
        <w:spacing w:after="0" w:line="271"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9"/>
          <w:szCs w:val="19"/>
          <w:b w:val="1"/>
          <w:bCs w:val="1"/>
          <w:color w:val="231F20"/>
        </w:rPr>
        <w:t>ITEM 9A.</w:t>
      </w:r>
      <w:r>
        <w:rPr>
          <w:sz w:val="20"/>
          <w:szCs w:val="20"/>
          <w:color w:val="auto"/>
        </w:rPr>
        <w:tab/>
      </w:r>
      <w:r>
        <w:rPr>
          <w:rFonts w:ascii="Times New Roman" w:cs="Times New Roman" w:eastAsia="Times New Roman" w:hAnsi="Times New Roman"/>
          <w:sz w:val="18"/>
          <w:szCs w:val="18"/>
          <w:b w:val="1"/>
          <w:bCs w:val="1"/>
          <w:color w:val="231F20"/>
        </w:rPr>
        <w:t>CONTROLS AND PROCEDURES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Management's Evaluations of Disclosure Controls and Procedures</w:t>
      </w:r>
    </w:p>
    <w:p>
      <w:pPr>
        <w:spacing w:after="0" w:line="11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9"/>
          <w:szCs w:val="19"/>
          <w:color w:val="231F20"/>
        </w:rPr>
        <w:t>The Trust and the Operating Partnership maintain disclosure controls and procedures (as defined in Rule 13a-15(e) and 15d-15(e) under the Securities Exchange Act of 1934, as amended (the "Exchange Act")) that are designed to provide reasonable assurance that information required to be disclosed in the reports that we file or submit under the Exchange Act is recorded, processed, summarized and reported within the time periods specified in the SEC's rules and forms, and that such information is accumulated and communicated to the Trust and the Operating Partnership's management, including its Chief Executive Officer and Chief Financial Officer, as appropriate to allow timely decisions regarding required disclosures. Because of inherent limitations, disclosure controls and procedures, no matter how well designed and operated, can provide only reasonable, and not absolute, assurance that the objectives of disclosure controls and procedures are met.</w:t>
      </w:r>
    </w:p>
    <w:p>
      <w:pPr>
        <w:sectPr>
          <w:pgSz w:w="11880" w:h="15480" w:orient="portrait"/>
          <w:cols w:equalWidth="0" w:num="1">
            <w:col w:w="9760"/>
          </w:cols>
          <w:pgMar w:left="1060" w:top="963"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48</w:t>
      </w:r>
    </w:p>
    <w:p>
      <w:pPr>
        <w:sectPr>
          <w:pgSz w:w="11880" w:h="15480" w:orient="portrait"/>
          <w:cols w:equalWidth="0" w:num="1">
            <w:col w:w="9760"/>
          </w:cols>
          <w:pgMar w:left="1060" w:top="963" w:right="1060" w:bottom="0" w:gutter="0" w:footer="0" w:header="0"/>
          <w:type w:val="continuous"/>
        </w:sectPr>
      </w:pPr>
    </w:p>
    <w:bookmarkStart w:id="56" w:name="page57"/>
    <w:bookmarkEnd w:id="56"/>
    <w:p>
      <w:pPr>
        <w:jc w:val="both"/>
        <w:spacing w:after="0" w:line="259" w:lineRule="auto"/>
        <w:rPr>
          <w:sz w:val="20"/>
          <w:szCs w:val="20"/>
          <w:color w:val="auto"/>
        </w:rPr>
      </w:pPr>
      <w:r>
        <w:rPr>
          <w:rFonts w:ascii="Times New Roman" w:cs="Times New Roman" w:eastAsia="Times New Roman" w:hAnsi="Times New Roman"/>
          <w:sz w:val="19"/>
          <w:szCs w:val="19"/>
          <w:color w:val="231F20"/>
        </w:rPr>
        <w:t>Our management, with the participation of the Trust and the Operating Partnership’s Chief Executive Officer and Chief Financial Officer, evaluated the effectiveness of the design and operation of the Trust and the Operating Partnership’s disclosure controls and procedures as of December 31, 2025. Based on that evaluation, the Trust and the Operating Partnership’s Chief Executive Officer and Chief Financial Officer concluded that, as of December 31, 2025, the Trust and the Operating Partnership’s disclosure controls and procedures were effective at a reasonable assurance level.</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Management's Evaluations of Internal Control over Financial Reporting</w:t>
      </w:r>
    </w:p>
    <w:p>
      <w:pPr>
        <w:spacing w:after="0" w:line="1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9"/>
          <w:szCs w:val="19"/>
          <w:color w:val="231F20"/>
        </w:rPr>
        <w:t>The Trust and the Operating Partnership’s management is responsible for establishing and maintaining adequate internal control over financial reporting. Internal control over financial reporting is defined in Rule 13a-15(f) and 15d-15(f) under the Exchange Act as a process designed by, or under the supervision of, the Trust and the Operating Partnership’s principal executive and principal financial officers and effected by our Board of Trustees, management and other personnel, to provide reasonable assurance regarding the reliability of financial reporting and the preparation of financial statements for external purposes in accordance with generally accepted accounting principles in the United States of America (GAAP) and includes those policies and procedures that:</w:t>
      </w:r>
    </w:p>
    <w:p>
      <w:pPr>
        <w:spacing w:after="0" w:line="23" w:lineRule="exact"/>
        <w:rPr>
          <w:sz w:val="20"/>
          <w:szCs w:val="20"/>
          <w:color w:val="auto"/>
        </w:rPr>
      </w:pPr>
    </w:p>
    <w:p>
      <w:pPr>
        <w:ind w:left="680" w:right="680" w:hanging="335"/>
        <w:spacing w:after="0" w:line="262" w:lineRule="auto"/>
        <w:tabs>
          <w:tab w:leader="none" w:pos="680" w:val="left"/>
        </w:tabs>
        <w:numPr>
          <w:ilvl w:val="0"/>
          <w:numId w:val="54"/>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pertain to the maintenance of records that in reasonable detail accurately and fairly reflect our transactions and disposition of our assets;</w:t>
      </w:r>
    </w:p>
    <w:p>
      <w:pPr>
        <w:ind w:left="680" w:right="160" w:hanging="335"/>
        <w:spacing w:after="0" w:line="250" w:lineRule="auto"/>
        <w:tabs>
          <w:tab w:leader="none" w:pos="680" w:val="left"/>
        </w:tabs>
        <w:numPr>
          <w:ilvl w:val="0"/>
          <w:numId w:val="54"/>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provide reasonable assurance that transactions are recorded as necessary to permit preparation of financial statements in accordance with generally accepted accounting principles, and that our receipts and expenditures are being made only in accordance with authorization of management and our Trustees; and</w:t>
      </w:r>
    </w:p>
    <w:p>
      <w:pPr>
        <w:spacing w:after="0" w:line="1" w:lineRule="exact"/>
        <w:rPr>
          <w:rFonts w:ascii="Times New Roman" w:cs="Times New Roman" w:eastAsia="Times New Roman" w:hAnsi="Times New Roman"/>
          <w:sz w:val="19"/>
          <w:szCs w:val="19"/>
          <w:color w:val="231F20"/>
        </w:rPr>
      </w:pPr>
    </w:p>
    <w:p>
      <w:pPr>
        <w:ind w:left="680" w:right="160" w:hanging="335"/>
        <w:spacing w:after="0" w:line="261" w:lineRule="auto"/>
        <w:tabs>
          <w:tab w:leader="none" w:pos="680" w:val="left"/>
        </w:tabs>
        <w:numPr>
          <w:ilvl w:val="0"/>
          <w:numId w:val="54"/>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provide reasonable assurance regarding prevention or timely detection of unauthorized acquisition, use or disposition of any of our assets in circumstances that could have a material adverse effect on our financial statements.</w:t>
      </w:r>
    </w:p>
    <w:p>
      <w:pPr>
        <w:spacing w:after="0" w:line="18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9"/>
          <w:szCs w:val="19"/>
          <w:color w:val="231F20"/>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6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231F20"/>
        </w:rPr>
        <w:t xml:space="preserve">We assessed the effectiveness of the Trust and the Operating Partnership’s internal control over financial reporting as of December 31, 2025. In making this assessment, we used the criteria set forth by the Committee of Sponsoring Organizations of the Treadway Commission (COSO) in </w:t>
      </w:r>
      <w:r>
        <w:rPr>
          <w:rFonts w:ascii="Times New Roman" w:cs="Times New Roman" w:eastAsia="Times New Roman" w:hAnsi="Times New Roman"/>
          <w:sz w:val="19"/>
          <w:szCs w:val="19"/>
          <w:i w:val="1"/>
          <w:iCs w:val="1"/>
          <w:color w:val="231F20"/>
        </w:rPr>
        <w:t>Internal Control-Integrated Framework (2013)</w:t>
      </w:r>
      <w:r>
        <w:rPr>
          <w:rFonts w:ascii="Times New Roman" w:cs="Times New Roman" w:eastAsia="Times New Roman" w:hAnsi="Times New Roman"/>
          <w:sz w:val="19"/>
          <w:szCs w:val="19"/>
          <w:color w:val="231F20"/>
        </w:rPr>
        <w:t>. Based on that assessment and criteria, management concluded that the Trust and the Operating Partnership's internal control over financial reporting was effective as of December 31, 2025.</w:t>
      </w:r>
    </w:p>
    <w:p>
      <w:pPr>
        <w:spacing w:after="0" w:line="76"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9"/>
          <w:szCs w:val="19"/>
          <w:color w:val="231F20"/>
        </w:rPr>
        <w:t>Grant Thornton LLP, the independent registered public accounting firm that audited the Trust and the Operating Partnership's consolidated financial statements included in this Annual Report on Form 10-K, has issued an attestation report on the Trust and the Operating Partnership's internal control over financial reporting, which appears on page F-2 of this Annual Report on Form 10-K.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Changes in Internal Control Over Financial Reporting</w:t>
      </w:r>
    </w:p>
    <w:p>
      <w:pPr>
        <w:spacing w:after="0" w:line="110" w:lineRule="exact"/>
        <w:rPr>
          <w:sz w:val="20"/>
          <w:szCs w:val="20"/>
          <w:color w:val="auto"/>
        </w:rPr>
      </w:pPr>
    </w:p>
    <w:p>
      <w:pPr>
        <w:ind w:right="420"/>
        <w:spacing w:after="0" w:line="284" w:lineRule="auto"/>
        <w:rPr>
          <w:sz w:val="20"/>
          <w:szCs w:val="20"/>
          <w:color w:val="auto"/>
        </w:rPr>
      </w:pPr>
      <w:r>
        <w:rPr>
          <w:rFonts w:ascii="Times New Roman" w:cs="Times New Roman" w:eastAsia="Times New Roman" w:hAnsi="Times New Roman"/>
          <w:sz w:val="19"/>
          <w:szCs w:val="19"/>
          <w:color w:val="231F20"/>
        </w:rPr>
        <w:t>There was no change in our internal control over financial reporting during our fourth fiscal quarter of 2025 that materially affected, or is reasonably likely to materially affect, our internal control over financial reporting.</w:t>
      </w:r>
    </w:p>
    <w:p>
      <w:pPr>
        <w:spacing w:after="0" w:line="200" w:lineRule="exact"/>
        <w:rPr>
          <w:sz w:val="20"/>
          <w:szCs w:val="20"/>
          <w:color w:val="auto"/>
        </w:rPr>
      </w:pPr>
    </w:p>
    <w:p>
      <w:pPr>
        <w:spacing w:after="0" w:line="229"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9"/>
          <w:szCs w:val="19"/>
          <w:b w:val="1"/>
          <w:bCs w:val="1"/>
          <w:color w:val="231F20"/>
        </w:rPr>
        <w:t>ITEM 9B.</w:t>
      </w:r>
      <w:r>
        <w:rPr>
          <w:sz w:val="20"/>
          <w:szCs w:val="20"/>
          <w:color w:val="auto"/>
        </w:rPr>
        <w:tab/>
      </w:r>
      <w:r>
        <w:rPr>
          <w:rFonts w:ascii="Times New Roman" w:cs="Times New Roman" w:eastAsia="Times New Roman" w:hAnsi="Times New Roman"/>
          <w:sz w:val="18"/>
          <w:szCs w:val="18"/>
          <w:b w:val="1"/>
          <w:bCs w:val="1"/>
          <w:color w:val="231F20"/>
        </w:rPr>
        <w:t>OTHER INFORMATION</w:t>
      </w:r>
    </w:p>
    <w:p>
      <w:pPr>
        <w:spacing w:after="0" w:line="108"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9"/>
          <w:szCs w:val="19"/>
          <w:i w:val="1"/>
          <w:iCs w:val="1"/>
          <w:color w:val="231F20"/>
        </w:rPr>
        <w:t xml:space="preserve">Recent Legislation. </w:t>
      </w:r>
      <w:r>
        <w:rPr>
          <w:rFonts w:ascii="Times New Roman" w:cs="Times New Roman" w:eastAsia="Times New Roman" w:hAnsi="Times New Roman"/>
          <w:sz w:val="19"/>
          <w:szCs w:val="19"/>
          <w:color w:val="231F20"/>
        </w:rPr>
        <w:t>New legislation has been recently enacted that modifies certain disclosures under the heading "Material</w:t>
      </w:r>
      <w:r>
        <w:rPr>
          <w:rFonts w:ascii="Times New Roman" w:cs="Times New Roman" w:eastAsia="Times New Roman" w:hAnsi="Times New Roman"/>
          <w:sz w:val="19"/>
          <w:szCs w:val="19"/>
          <w:i w:val="1"/>
          <w:iCs w:val="1"/>
          <w:color w:val="231F20"/>
        </w:rPr>
        <w:t xml:space="preserve"> </w:t>
      </w:r>
      <w:r>
        <w:rPr>
          <w:rFonts w:ascii="Times New Roman" w:cs="Times New Roman" w:eastAsia="Times New Roman" w:hAnsi="Times New Roman"/>
          <w:sz w:val="19"/>
          <w:szCs w:val="19"/>
          <w:color w:val="231F20"/>
        </w:rPr>
        <w:t>Federal Income Tax Considerations" contained in prospectuses filed by Federal Realty Investment Trust and/or Federal Realty OP LP under the Securities Act of 1933 prior to the date of this Annual Report. See below for a brief description of these modifications.</w:t>
      </w:r>
    </w:p>
    <w:p>
      <w:pPr>
        <w:spacing w:after="0" w:line="56" w:lineRule="exact"/>
        <w:rPr>
          <w:sz w:val="20"/>
          <w:szCs w:val="20"/>
          <w:color w:val="auto"/>
        </w:rPr>
      </w:pPr>
    </w:p>
    <w:p>
      <w:pPr>
        <w:jc w:val="both"/>
        <w:ind w:left="680" w:right="420" w:hanging="335"/>
        <w:spacing w:after="0" w:line="267" w:lineRule="auto"/>
        <w:tabs>
          <w:tab w:leader="none" w:pos="680" w:val="left"/>
        </w:tabs>
        <w:numPr>
          <w:ilvl w:val="0"/>
          <w:numId w:val="55"/>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The new legislation permanently extends the ability of non-corporate shareholders to generally deduct 20% of the aggregate amount of ordinary dividends distributed by us, eliminating the previously-scheduled expiration of this deduction at the end of 2025.</w:t>
      </w:r>
    </w:p>
    <w:p>
      <w:pPr>
        <w:spacing w:after="0" w:line="50" w:lineRule="exact"/>
        <w:rPr>
          <w:rFonts w:ascii="Times New Roman" w:cs="Times New Roman" w:eastAsia="Times New Roman" w:hAnsi="Times New Roman"/>
          <w:sz w:val="19"/>
          <w:szCs w:val="19"/>
          <w:color w:val="231F20"/>
        </w:rPr>
      </w:pPr>
    </w:p>
    <w:p>
      <w:pPr>
        <w:ind w:left="680" w:right="40" w:hanging="335"/>
        <w:spacing w:after="0" w:line="284" w:lineRule="auto"/>
        <w:tabs>
          <w:tab w:leader="none" w:pos="680" w:val="left"/>
        </w:tabs>
        <w:numPr>
          <w:ilvl w:val="0"/>
          <w:numId w:val="55"/>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Under the new legislation, as of January 1, 2026, the 20% asset test quarterly limit on the value of our securities in one or more taxable REIT subsidiaries (unless they would otherwise be treated as real estate assets) will increase to 25%.</w:t>
      </w:r>
    </w:p>
    <w:p>
      <w:pPr>
        <w:spacing w:after="0" w:line="200" w:lineRule="exact"/>
        <w:rPr>
          <w:sz w:val="20"/>
          <w:szCs w:val="20"/>
          <w:color w:val="auto"/>
        </w:rPr>
      </w:pPr>
    </w:p>
    <w:p>
      <w:pPr>
        <w:spacing w:after="0" w:line="324" w:lineRule="exact"/>
        <w:rPr>
          <w:sz w:val="20"/>
          <w:szCs w:val="20"/>
          <w:color w:val="auto"/>
        </w:rPr>
      </w:pPr>
    </w:p>
    <w:p>
      <w:pPr>
        <w:ind w:right="920"/>
        <w:spacing w:after="0" w:line="394" w:lineRule="auto"/>
        <w:rPr>
          <w:sz w:val="20"/>
          <w:szCs w:val="20"/>
          <w:color w:val="auto"/>
        </w:rPr>
      </w:pPr>
      <w:r>
        <w:rPr>
          <w:rFonts w:ascii="Times New Roman" w:cs="Times New Roman" w:eastAsia="Times New Roman" w:hAnsi="Times New Roman"/>
          <w:sz w:val="19"/>
          <w:szCs w:val="19"/>
          <w:b w:val="1"/>
          <w:bCs w:val="1"/>
          <w:color w:val="231F20"/>
        </w:rPr>
        <w:t xml:space="preserve">ITEM 9C. DISCLOSURE REGARDING FOREIGN JURISDICTIONS THAT PREVENT INSPECTIONS </w:t>
      </w:r>
      <w:r>
        <w:rPr>
          <w:rFonts w:ascii="Times New Roman" w:cs="Times New Roman" w:eastAsia="Times New Roman" w:hAnsi="Times New Roman"/>
          <w:sz w:val="19"/>
          <w:szCs w:val="19"/>
          <w:color w:val="231F20"/>
        </w:rPr>
        <w:t>None.</w:t>
      </w:r>
    </w:p>
    <w:p>
      <w:pPr>
        <w:sectPr>
          <w:pgSz w:w="11880" w:h="15480" w:orient="portrait"/>
          <w:cols w:equalWidth="0" w:num="1">
            <w:col w:w="9760"/>
          </w:cols>
          <w:pgMar w:left="1060" w:top="963" w:right="1060" w:bottom="0" w:gutter="0" w:footer="0" w:header="0"/>
        </w:sect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49</w:t>
      </w:r>
    </w:p>
    <w:p>
      <w:pPr>
        <w:sectPr>
          <w:pgSz w:w="11880" w:h="15480" w:orient="portrait"/>
          <w:cols w:equalWidth="0" w:num="1">
            <w:col w:w="9760"/>
          </w:cols>
          <w:pgMar w:left="1060" w:top="963" w:right="1060" w:bottom="0" w:gutter="0" w:footer="0" w:header="0"/>
          <w:type w:val="continuous"/>
        </w:sectPr>
      </w:pPr>
    </w:p>
    <w:bookmarkStart w:id="57" w:name="page58"/>
    <w:bookmarkEnd w:id="5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50</w:t>
      </w:r>
    </w:p>
    <w:p>
      <w:pPr>
        <w:sectPr>
          <w:pgSz w:w="11880" w:h="15480" w:orient="portrait"/>
          <w:cols w:equalWidth="0" w:num="1">
            <w:col w:w="9000"/>
          </w:cols>
          <w:pgMar w:left="1440" w:top="1440" w:right="1440" w:bottom="0" w:gutter="0" w:footer="0" w:header="0"/>
        </w:sectPr>
      </w:pPr>
    </w:p>
    <w:bookmarkStart w:id="58" w:name="page59"/>
    <w:bookmarkEnd w:id="58"/>
    <w:p>
      <w:pPr>
        <w:jc w:val="center"/>
        <w:ind w:right="-99"/>
        <w:spacing w:after="0"/>
        <w:rPr>
          <w:sz w:val="20"/>
          <w:szCs w:val="20"/>
          <w:color w:val="auto"/>
        </w:rPr>
      </w:pPr>
      <w:r>
        <w:rPr>
          <w:rFonts w:ascii="Times New Roman" w:cs="Times New Roman" w:eastAsia="Times New Roman" w:hAnsi="Times New Roman"/>
          <w:sz w:val="19"/>
          <w:szCs w:val="19"/>
          <w:b w:val="1"/>
          <w:bCs w:val="1"/>
          <w:color w:val="231F20"/>
        </w:rPr>
        <w:t>PART III</w:t>
      </w:r>
    </w:p>
    <w:p>
      <w:pPr>
        <w:spacing w:after="0" w:line="186" w:lineRule="exact"/>
        <w:rPr>
          <w:sz w:val="20"/>
          <w:szCs w:val="20"/>
          <w:color w:val="auto"/>
        </w:rPr>
      </w:pPr>
    </w:p>
    <w:p>
      <w:pPr>
        <w:ind w:right="380"/>
        <w:spacing w:after="0" w:line="284" w:lineRule="auto"/>
        <w:rPr>
          <w:sz w:val="20"/>
          <w:szCs w:val="20"/>
          <w:color w:val="auto"/>
        </w:rPr>
      </w:pPr>
      <w:r>
        <w:rPr>
          <w:rFonts w:ascii="Times New Roman" w:cs="Times New Roman" w:eastAsia="Times New Roman" w:hAnsi="Times New Roman"/>
          <w:sz w:val="19"/>
          <w:szCs w:val="19"/>
          <w:color w:val="231F20"/>
        </w:rPr>
        <w:t>Certain information required in Part III is omitted from this Report but is incorporated herein by reference from our Proxy Statement for the 2026 Annual Meeting of Shareholders (as amended or supplemented, the “Proxy Statement”).</w:t>
      </w:r>
    </w:p>
    <w:p>
      <w:pPr>
        <w:spacing w:after="0" w:line="18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9"/>
          <w:szCs w:val="19"/>
          <w:b w:val="1"/>
          <w:bCs w:val="1"/>
          <w:color w:val="231F20"/>
        </w:rPr>
        <w:t>ITEM 10.</w:t>
        <w:tab/>
        <w:t>TRUSTEES, EXECUTIVE OFFICERS AND CORPORATE GOVERNANCE</w:t>
      </w:r>
    </w:p>
    <w:p>
      <w:pPr>
        <w:spacing w:after="0" w:line="36" w:lineRule="exact"/>
        <w:rPr>
          <w:sz w:val="20"/>
          <w:szCs w:val="20"/>
          <w:color w:val="auto"/>
        </w:rPr>
      </w:pPr>
    </w:p>
    <w:p>
      <w:pPr>
        <w:jc w:val="both"/>
        <w:ind w:right="80"/>
        <w:spacing w:after="0" w:line="288" w:lineRule="auto"/>
        <w:rPr>
          <w:sz w:val="20"/>
          <w:szCs w:val="20"/>
          <w:color w:val="auto"/>
        </w:rPr>
      </w:pPr>
      <w:r>
        <w:rPr>
          <w:rFonts w:ascii="Times New Roman" w:cs="Times New Roman" w:eastAsia="Times New Roman" w:hAnsi="Times New Roman"/>
          <w:sz w:val="19"/>
          <w:szCs w:val="19"/>
          <w:color w:val="231F20"/>
        </w:rPr>
        <w:t>The tables and narrative in the Proxy Statement identifying our Trustees and Board committees under the caption “Election of Trustees” and “Corporate Governance”, the sections of the Proxy Statement entitled “Executive Officers” and “Section 16(a) Beneficial Ownership Reporting Compliance,” the section of the Proxy Statement entitled "Equity Grant Practices," and other information included in the Proxy Statement required by this Item 10 are incorporated herein by reference.</w:t>
      </w:r>
    </w:p>
    <w:p>
      <w:pPr>
        <w:spacing w:after="0" w:line="129" w:lineRule="exact"/>
        <w:rPr>
          <w:sz w:val="20"/>
          <w:szCs w:val="20"/>
          <w:color w:val="auto"/>
        </w:rPr>
      </w:pPr>
    </w:p>
    <w:p>
      <w:pPr>
        <w:jc w:val="both"/>
        <w:ind w:right="80"/>
        <w:spacing w:after="0" w:line="284" w:lineRule="auto"/>
        <w:rPr>
          <w:sz w:val="20"/>
          <w:szCs w:val="20"/>
          <w:color w:val="auto"/>
        </w:rPr>
      </w:pPr>
      <w:r>
        <w:rPr>
          <w:rFonts w:ascii="Times New Roman" w:cs="Times New Roman" w:eastAsia="Times New Roman" w:hAnsi="Times New Roman"/>
          <w:sz w:val="19"/>
          <w:szCs w:val="19"/>
          <w:color w:val="231F20"/>
        </w:rPr>
        <w:t xml:space="preserve">We have adopted a Code of Ethics, which is applicable to our Chief Executive Officer and senior financial officers. The Code of Ethics is available in the Corporate Governance section of the Investors section of our website at </w:t>
      </w:r>
      <w:r>
        <w:rPr>
          <w:rFonts w:ascii="Times New Roman" w:cs="Times New Roman" w:eastAsia="Times New Roman" w:hAnsi="Times New Roman"/>
          <w:sz w:val="19"/>
          <w:szCs w:val="19"/>
          <w:i w:val="1"/>
          <w:iCs w:val="1"/>
          <w:color w:val="231F20"/>
        </w:rPr>
        <w:t>www.federalrealty.com</w:t>
      </w:r>
      <w:r>
        <w:rPr>
          <w:rFonts w:ascii="Times New Roman" w:cs="Times New Roman" w:eastAsia="Times New Roman" w:hAnsi="Times New Roman"/>
          <w:sz w:val="19"/>
          <w:szCs w:val="19"/>
          <w:color w:val="231F20"/>
        </w:rPr>
        <w:t>.</w:t>
      </w:r>
    </w:p>
    <w:p>
      <w:pPr>
        <w:spacing w:after="0" w:line="111" w:lineRule="exact"/>
        <w:rPr>
          <w:sz w:val="20"/>
          <w:szCs w:val="20"/>
          <w:color w:val="auto"/>
        </w:rPr>
      </w:pPr>
    </w:p>
    <w:p>
      <w:pPr>
        <w:jc w:val="both"/>
        <w:ind w:right="140"/>
        <w:spacing w:after="0" w:line="267" w:lineRule="auto"/>
        <w:rPr>
          <w:sz w:val="20"/>
          <w:szCs w:val="20"/>
          <w:color w:val="auto"/>
        </w:rPr>
      </w:pPr>
      <w:r>
        <w:rPr>
          <w:rFonts w:ascii="Times New Roman" w:cs="Times New Roman" w:eastAsia="Times New Roman" w:hAnsi="Times New Roman"/>
          <w:sz w:val="19"/>
          <w:szCs w:val="19"/>
          <w:color w:val="231F20"/>
        </w:rPr>
        <w:t>We have adopted an insider trading policy and related procedures governing the purchase, sale, and other dispositions of our securities that we believe are reasonably designed to promote compliance with insider trading laws, rules and regulations and any NYSE listing standards applicable to us.</w:t>
      </w:r>
    </w:p>
    <w:p>
      <w:pPr>
        <w:spacing w:after="0" w:line="19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9"/>
          <w:szCs w:val="19"/>
          <w:b w:val="1"/>
          <w:bCs w:val="1"/>
          <w:color w:val="231F20"/>
        </w:rPr>
        <w:t>ITEM 11.</w:t>
        <w:tab/>
        <w:t>EXECUTIVE COMPENSATION</w:t>
      </w:r>
    </w:p>
    <w:p>
      <w:pPr>
        <w:spacing w:after="0" w:line="44" w:lineRule="exact"/>
        <w:rPr>
          <w:sz w:val="20"/>
          <w:szCs w:val="20"/>
          <w:color w:val="auto"/>
        </w:rPr>
      </w:pPr>
    </w:p>
    <w:p>
      <w:pPr>
        <w:spacing w:after="0" w:line="327" w:lineRule="auto"/>
        <w:rPr>
          <w:sz w:val="20"/>
          <w:szCs w:val="20"/>
          <w:color w:val="auto"/>
        </w:rPr>
      </w:pPr>
      <w:r>
        <w:rPr>
          <w:rFonts w:ascii="Times New Roman" w:cs="Times New Roman" w:eastAsia="Times New Roman" w:hAnsi="Times New Roman"/>
          <w:sz w:val="18"/>
          <w:szCs w:val="18"/>
          <w:color w:val="231F20"/>
        </w:rPr>
        <w:t>The sections of the Proxy Statement entitled “Summary Compensation Table,” “Compensation Committee Interlocks and Insider Participation,” “Compensation Committee Report,” “Trustee Compensation” and “Compensation Discussion and Analysis” and other information included in the Proxy Statement required by this Item 11 are incorporated herein by reference.</w:t>
      </w:r>
    </w:p>
    <w:p>
      <w:pPr>
        <w:spacing w:after="0" w:line="185"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9"/>
          <w:szCs w:val="19"/>
          <w:b w:val="1"/>
          <w:bCs w:val="1"/>
          <w:color w:val="231F20"/>
        </w:rPr>
        <w:t>ITEM 12. SECURITY OWNERSHIP OF CERTAIN BENEFICIAL OWNERS AND MANAGEMENT AND RELATED SHAREHOLDER MATTERS</w:t>
      </w:r>
    </w:p>
    <w:p>
      <w:pPr>
        <w:spacing w:after="0" w:line="36" w:lineRule="exact"/>
        <w:rPr>
          <w:sz w:val="20"/>
          <w:szCs w:val="20"/>
          <w:color w:val="auto"/>
        </w:rPr>
      </w:pPr>
    </w:p>
    <w:p>
      <w:pPr>
        <w:ind w:right="460"/>
        <w:spacing w:after="0" w:line="284" w:lineRule="auto"/>
        <w:rPr>
          <w:sz w:val="20"/>
          <w:szCs w:val="20"/>
          <w:color w:val="auto"/>
        </w:rPr>
      </w:pPr>
      <w:r>
        <w:rPr>
          <w:rFonts w:ascii="Times New Roman" w:cs="Times New Roman" w:eastAsia="Times New Roman" w:hAnsi="Times New Roman"/>
          <w:sz w:val="19"/>
          <w:szCs w:val="19"/>
          <w:color w:val="231F20"/>
        </w:rPr>
        <w:t>The sections of the Proxy Statement entitled “Share Ownership” and “Equity Compensation Plan Information” and other information included in the Proxy Statement required by this Item 12 are incorporated herein by reference.</w:t>
      </w:r>
    </w:p>
    <w:p>
      <w:pPr>
        <w:spacing w:after="0" w:line="20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9"/>
          <w:szCs w:val="19"/>
          <w:b w:val="1"/>
          <w:bCs w:val="1"/>
          <w:color w:val="231F20"/>
        </w:rPr>
        <w:t>ITEM 13.</w:t>
        <w:tab/>
        <w:t>CERTAIN RELATIONSHIPS AND RELATED TRANSACTIONS, AND TRUSTEE INDEPENDENCE</w:t>
      </w:r>
    </w:p>
    <w:p>
      <w:pPr>
        <w:spacing w:after="0" w:line="110" w:lineRule="exact"/>
        <w:rPr>
          <w:sz w:val="20"/>
          <w:szCs w:val="20"/>
          <w:color w:val="auto"/>
        </w:rPr>
      </w:pPr>
    </w:p>
    <w:p>
      <w:pPr>
        <w:ind w:right="60"/>
        <w:spacing w:after="0" w:line="313" w:lineRule="auto"/>
        <w:rPr>
          <w:sz w:val="20"/>
          <w:szCs w:val="20"/>
          <w:color w:val="auto"/>
        </w:rPr>
      </w:pPr>
      <w:r>
        <w:rPr>
          <w:rFonts w:ascii="Times New Roman" w:cs="Times New Roman" w:eastAsia="Times New Roman" w:hAnsi="Times New Roman"/>
          <w:sz w:val="18"/>
          <w:szCs w:val="18"/>
          <w:color w:val="231F20"/>
        </w:rPr>
        <w:t>The sections of the Proxy Statement entitled “Certain Relationship and Related Transactions” and “Independence of Trustees” and other information included in the Proxy Statement required by this Item 13 are incorporated herein by reference.</w:t>
      </w:r>
    </w:p>
    <w:p>
      <w:pPr>
        <w:spacing w:after="0" w:line="17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9"/>
          <w:szCs w:val="19"/>
          <w:b w:val="1"/>
          <w:bCs w:val="1"/>
          <w:color w:val="231F20"/>
        </w:rPr>
        <w:t>ITEM 14.</w:t>
      </w:r>
      <w:r>
        <w:rPr>
          <w:sz w:val="20"/>
          <w:szCs w:val="20"/>
          <w:color w:val="auto"/>
        </w:rPr>
        <w:tab/>
      </w:r>
      <w:r>
        <w:rPr>
          <w:rFonts w:ascii="Times New Roman" w:cs="Times New Roman" w:eastAsia="Times New Roman" w:hAnsi="Times New Roman"/>
          <w:sz w:val="18"/>
          <w:szCs w:val="18"/>
          <w:b w:val="1"/>
          <w:bCs w:val="1"/>
          <w:color w:val="231F20"/>
        </w:rPr>
        <w:t>PRINCIPAL ACCOUNTANT FEES AND SERVICES</w:t>
      </w:r>
    </w:p>
    <w:p>
      <w:pPr>
        <w:spacing w:after="0" w:line="110" w:lineRule="exact"/>
        <w:rPr>
          <w:sz w:val="20"/>
          <w:szCs w:val="20"/>
          <w:color w:val="auto"/>
        </w:rPr>
      </w:pPr>
    </w:p>
    <w:p>
      <w:pPr>
        <w:ind w:right="220"/>
        <w:spacing w:after="0" w:line="267" w:lineRule="auto"/>
        <w:rPr>
          <w:sz w:val="20"/>
          <w:szCs w:val="20"/>
          <w:color w:val="auto"/>
        </w:rPr>
      </w:pPr>
      <w:r>
        <w:rPr>
          <w:rFonts w:ascii="Times New Roman" w:cs="Times New Roman" w:eastAsia="Times New Roman" w:hAnsi="Times New Roman"/>
          <w:sz w:val="19"/>
          <w:szCs w:val="19"/>
          <w:color w:val="231F20"/>
        </w:rPr>
        <w:t>The sections of the Proxy Statement entitled “Ratification of Independent Registered Public Accounting Firm” and “Relationship with Independent Registered Public Accounting Firm” and other information included in the Proxy Statement required by this Item 14 are incorporated herein by reference.</w:t>
      </w:r>
    </w:p>
    <w:p>
      <w:pPr>
        <w:spacing w:after="0" w:line="27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b w:val="1"/>
          <w:bCs w:val="1"/>
          <w:color w:val="231F20"/>
        </w:rPr>
        <w:t>PART IV</w:t>
      </w:r>
    </w:p>
    <w:p>
      <w:pPr>
        <w:spacing w:after="0" w:line="18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9"/>
          <w:szCs w:val="19"/>
          <w:b w:val="1"/>
          <w:bCs w:val="1"/>
          <w:color w:val="231F20"/>
        </w:rPr>
        <w:t>ITEM 15.</w:t>
      </w:r>
      <w:r>
        <w:rPr>
          <w:sz w:val="20"/>
          <w:szCs w:val="20"/>
          <w:color w:val="auto"/>
        </w:rPr>
        <w:tab/>
      </w:r>
      <w:r>
        <w:rPr>
          <w:rFonts w:ascii="Times New Roman" w:cs="Times New Roman" w:eastAsia="Times New Roman" w:hAnsi="Times New Roman"/>
          <w:sz w:val="18"/>
          <w:szCs w:val="18"/>
          <w:b w:val="1"/>
          <w:bCs w:val="1"/>
          <w:color w:val="231F20"/>
        </w:rPr>
        <w:t>EXHIBITS AND FINANCIAL STATEMENT SCHEDULES</w:t>
      </w:r>
    </w:p>
    <w:p>
      <w:pPr>
        <w:spacing w:after="0" w:line="17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b w:val="1"/>
          <w:bCs w:val="1"/>
          <w:color w:val="231F20"/>
        </w:rPr>
        <w:t>(a(1 Financial Statements</w:t>
      </w:r>
    </w:p>
    <w:p>
      <w:pPr>
        <w:spacing w:after="0" w:line="33" w:lineRule="exact"/>
        <w:rPr>
          <w:sz w:val="20"/>
          <w:szCs w:val="20"/>
          <w:color w:val="auto"/>
        </w:rPr>
      </w:pPr>
    </w:p>
    <w:p>
      <w:pPr>
        <w:ind w:left="60" w:right="120"/>
        <w:spacing w:after="0" w:line="276" w:lineRule="auto"/>
        <w:rPr>
          <w:sz w:val="20"/>
          <w:szCs w:val="20"/>
          <w:color w:val="auto"/>
        </w:rPr>
      </w:pPr>
      <w:r>
        <w:rPr>
          <w:rFonts w:ascii="Times New Roman" w:cs="Times New Roman" w:eastAsia="Times New Roman" w:hAnsi="Times New Roman"/>
          <w:sz w:val="19"/>
          <w:szCs w:val="19"/>
          <w:color w:val="231F20"/>
        </w:rPr>
        <w:t>Our consolidated financial statements and notes thereto, together with Reports of Independent Registered Public Accounting Firm are included as a separate section of this Annual Report on Form 10-K commencing on page F-1.</w:t>
      </w:r>
    </w:p>
    <w:p>
      <w:pPr>
        <w:spacing w:after="0" w:line="22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b w:val="1"/>
          <w:bCs w:val="1"/>
          <w:color w:val="231F20"/>
        </w:rPr>
        <w:t>(2 Financial Statement Schedules</w:t>
      </w:r>
    </w:p>
    <w:p>
      <w:pPr>
        <w:spacing w:after="0" w:line="37" w:lineRule="exact"/>
        <w:rPr>
          <w:sz w:val="20"/>
          <w:szCs w:val="20"/>
          <w:color w:val="auto"/>
        </w:rPr>
      </w:pPr>
    </w:p>
    <w:p>
      <w:pPr>
        <w:ind w:left="60" w:right="360"/>
        <w:spacing w:after="0" w:line="312" w:lineRule="auto"/>
        <w:rPr>
          <w:sz w:val="20"/>
          <w:szCs w:val="20"/>
          <w:color w:val="auto"/>
        </w:rPr>
      </w:pPr>
      <w:r>
        <w:rPr>
          <w:rFonts w:ascii="Times New Roman" w:cs="Times New Roman" w:eastAsia="Times New Roman" w:hAnsi="Times New Roman"/>
          <w:sz w:val="19"/>
          <w:szCs w:val="19"/>
          <w:color w:val="231F20"/>
        </w:rPr>
        <w:t>Our financial statement schedules are included in a separate section of this Annual Report on Form 10-K commencing on page F-41.</w:t>
      </w:r>
    </w:p>
    <w:p>
      <w:pPr>
        <w:spacing w:after="0" w:line="2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b w:val="1"/>
          <w:bCs w:val="1"/>
          <w:color w:val="231F20"/>
        </w:rPr>
        <w:t>(3 Exhibits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231F20"/>
        </w:rPr>
        <w:t>(b) The following documents are filed as exhibits are filed as part of, or incorporated by reference info, this report:</w:t>
      </w:r>
    </w:p>
    <w:p>
      <w:pPr>
        <w:sectPr>
          <w:pgSz w:w="11880" w:h="15480" w:orient="portrait"/>
          <w:cols w:equalWidth="0" w:num="1">
            <w:col w:w="9660"/>
          </w:cols>
          <w:pgMar w:left="1060" w:top="95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9"/>
          <w:szCs w:val="19"/>
          <w:color w:val="231F20"/>
        </w:rPr>
        <w:t>51</w:t>
      </w:r>
    </w:p>
    <w:p>
      <w:pPr>
        <w:sectPr>
          <w:pgSz w:w="11880" w:h="15480" w:orient="portrait"/>
          <w:cols w:equalWidth="0" w:num="1">
            <w:col w:w="9660"/>
          </w:cols>
          <w:pgMar w:left="1060" w:top="958" w:right="1160" w:bottom="0" w:gutter="0" w:footer="0" w:header="0"/>
          <w:type w:val="continuous"/>
        </w:sectPr>
      </w:pPr>
    </w:p>
    <w:bookmarkStart w:id="59" w:name="page60"/>
    <w:bookmarkEnd w:id="59"/>
    <w:p>
      <w:pPr>
        <w:jc w:val="center"/>
        <w:spacing w:after="0"/>
        <w:rPr>
          <w:sz w:val="20"/>
          <w:szCs w:val="20"/>
          <w:color w:val="auto"/>
        </w:rPr>
      </w:pPr>
      <w:r>
        <w:rPr>
          <w:rFonts w:ascii="Times New Roman" w:cs="Times New Roman" w:eastAsia="Times New Roman" w:hAnsi="Times New Roman"/>
          <w:sz w:val="19"/>
          <w:szCs w:val="19"/>
          <w:b w:val="1"/>
          <w:bCs w:val="1"/>
          <w:color w:val="231F20"/>
        </w:rPr>
        <w:t>EXHIBIT INDEX</w:t>
      </w:r>
    </w:p>
    <w:p>
      <w:pPr>
        <w:spacing w:after="0" w:line="19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b w:val="1"/>
          <w:bCs w:val="1"/>
          <w:color w:val="231F20"/>
        </w:rPr>
        <w:t>Exhibit</w:t>
      </w:r>
    </w:p>
    <w:p>
      <w:pPr>
        <w:ind w:left="140"/>
        <w:spacing w:after="0"/>
        <w:tabs>
          <w:tab w:leader="none" w:pos="680" w:val="left"/>
        </w:tabs>
        <w:rPr>
          <w:sz w:val="20"/>
          <w:szCs w:val="20"/>
          <w:color w:val="auto"/>
        </w:rPr>
      </w:pPr>
      <w:r>
        <w:rPr>
          <w:rFonts w:ascii="Times New Roman" w:cs="Times New Roman" w:eastAsia="Times New Roman" w:hAnsi="Times New Roman"/>
          <w:sz w:val="15"/>
          <w:szCs w:val="15"/>
          <w:b w:val="1"/>
          <w:bCs w:val="1"/>
          <w:color w:val="231F20"/>
        </w:rPr>
        <w:t>No.</w:t>
      </w:r>
      <w:r>
        <w:rPr>
          <w:sz w:val="20"/>
          <w:szCs w:val="20"/>
          <w:color w:val="auto"/>
        </w:rPr>
        <w:tab/>
      </w:r>
      <w:r>
        <w:rPr>
          <w:rFonts w:ascii="Times New Roman" w:cs="Times New Roman" w:eastAsia="Times New Roman" w:hAnsi="Times New Roman"/>
          <w:sz w:val="15"/>
          <w:szCs w:val="15"/>
          <w:b w:val="1"/>
          <w:bCs w:val="1"/>
          <w:color w:val="231F20"/>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9525</wp:posOffset>
            </wp:positionV>
            <wp:extent cx="6176010" cy="120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7">
                      <a:extLst>
                        <a:ext uri="{28A0092B-C50C-407E-A947-70E740481C1C}"/>
                      </a:extLst>
                    </a:blip>
                    <a:srcRect/>
                    <a:stretch>
                      <a:fillRect/>
                    </a:stretch>
                  </pic:blipFill>
                  <pic:spPr bwMode="auto">
                    <a:xfrm>
                      <a:off x="0" y="0"/>
                      <a:ext cx="6176010" cy="12065"/>
                    </a:xfrm>
                    <a:prstGeom prst="rect">
                      <a:avLst/>
                    </a:prstGeom>
                    <a:noFill/>
                  </pic:spPr>
                </pic:pic>
              </a:graphicData>
            </a:graphic>
          </wp:anchor>
        </w:drawing>
      </w:r>
    </w:p>
    <w:p>
      <w:pPr>
        <w:spacing w:after="0" w:line="66" w:lineRule="exact"/>
        <w:rPr>
          <w:sz w:val="20"/>
          <w:szCs w:val="20"/>
          <w:color w:val="auto"/>
        </w:rPr>
      </w:pPr>
    </w:p>
    <w:p>
      <w:pPr>
        <w:jc w:val="both"/>
        <w:ind w:left="700" w:right="40" w:hanging="712"/>
        <w:spacing w:after="0" w:line="230" w:lineRule="auto"/>
        <w:tabs>
          <w:tab w:leader="none" w:pos="680" w:val="left"/>
        </w:tabs>
        <w:rPr>
          <w:sz w:val="20"/>
          <w:szCs w:val="20"/>
          <w:color w:val="auto"/>
        </w:rPr>
      </w:pPr>
      <w:r>
        <w:rPr>
          <w:rFonts w:ascii="Times New Roman" w:cs="Times New Roman" w:eastAsia="Times New Roman" w:hAnsi="Times New Roman"/>
          <w:sz w:val="19"/>
          <w:szCs w:val="19"/>
          <w:color w:val="231F20"/>
        </w:rPr>
        <w:t>2.1</w:t>
      </w:r>
      <w:r>
        <w:rPr>
          <w:sz w:val="20"/>
          <w:szCs w:val="20"/>
          <w:color w:val="auto"/>
        </w:rPr>
        <w:tab/>
      </w:r>
      <w:r>
        <w:rPr>
          <w:rFonts w:ascii="Times New Roman" w:cs="Times New Roman" w:eastAsia="Times New Roman" w:hAnsi="Times New Roman"/>
          <w:sz w:val="19"/>
          <w:szCs w:val="19"/>
          <w:color w:val="231F20"/>
        </w:rPr>
        <w:t>Merger Agreement and Plan of Reorganization, dated December 2, 2021, by and among the Predecessor, the Parent Company, and Merger Sub (previously filed as Exhibit 2.1 to the Predecessor's Current Report on Form 8-K filed on December 2, 2021 and incorporated herein by reference) ‡</w:t>
      </w:r>
    </w:p>
    <w:p>
      <w:pPr>
        <w:spacing w:after="0" w:line="71" w:lineRule="exact"/>
        <w:rPr>
          <w:sz w:val="20"/>
          <w:szCs w:val="20"/>
          <w:color w:val="auto"/>
        </w:rPr>
      </w:pPr>
    </w:p>
    <w:p>
      <w:pPr>
        <w:jc w:val="both"/>
        <w:ind w:left="700" w:right="400" w:hanging="712"/>
        <w:spacing w:after="0" w:line="225" w:lineRule="auto"/>
        <w:tabs>
          <w:tab w:leader="none" w:pos="680" w:val="left"/>
        </w:tabs>
        <w:rPr>
          <w:sz w:val="20"/>
          <w:szCs w:val="20"/>
          <w:color w:val="auto"/>
        </w:rPr>
      </w:pPr>
      <w:r>
        <w:rPr>
          <w:rFonts w:ascii="Times New Roman" w:cs="Times New Roman" w:eastAsia="Times New Roman" w:hAnsi="Times New Roman"/>
          <w:sz w:val="19"/>
          <w:szCs w:val="19"/>
          <w:color w:val="231F20"/>
        </w:rPr>
        <w:t>3.1</w:t>
      </w:r>
      <w:r>
        <w:rPr>
          <w:sz w:val="20"/>
          <w:szCs w:val="20"/>
          <w:color w:val="auto"/>
        </w:rPr>
        <w:tab/>
      </w:r>
      <w:r>
        <w:rPr>
          <w:rFonts w:ascii="Times New Roman" w:cs="Times New Roman" w:eastAsia="Times New Roman" w:hAnsi="Times New Roman"/>
          <w:sz w:val="19"/>
          <w:szCs w:val="19"/>
          <w:color w:val="231F20"/>
        </w:rPr>
        <w:t>Amended and Restated Declaration of Trust of the Parent Company dated January 1, 2022, as amended by the Articles of Amendment effective as of January 1, 2022 and Articles of Amendment effective as of May 4, 2023 (previously filed as Exhibit 3.1 to our Quarterly Report on Form 10-Q filed on August 2, 2023 and incorporated herein by reference)</w:t>
      </w:r>
    </w:p>
    <w:p>
      <w:pPr>
        <w:spacing w:after="0" w:line="79" w:lineRule="exact"/>
        <w:rPr>
          <w:sz w:val="20"/>
          <w:szCs w:val="20"/>
          <w:color w:val="auto"/>
        </w:rPr>
      </w:pPr>
    </w:p>
    <w:p>
      <w:pPr>
        <w:ind w:left="700" w:right="60" w:hanging="712"/>
        <w:spacing w:after="0" w:line="230" w:lineRule="auto"/>
        <w:tabs>
          <w:tab w:leader="none" w:pos="680" w:val="left"/>
        </w:tabs>
        <w:rPr>
          <w:sz w:val="20"/>
          <w:szCs w:val="20"/>
          <w:color w:val="auto"/>
        </w:rPr>
      </w:pPr>
      <w:r>
        <w:rPr>
          <w:rFonts w:ascii="Times New Roman" w:cs="Times New Roman" w:eastAsia="Times New Roman" w:hAnsi="Times New Roman"/>
          <w:sz w:val="19"/>
          <w:szCs w:val="19"/>
          <w:color w:val="231F20"/>
        </w:rPr>
        <w:t>3.2</w:t>
      </w:r>
      <w:r>
        <w:rPr>
          <w:sz w:val="20"/>
          <w:szCs w:val="20"/>
          <w:color w:val="auto"/>
        </w:rPr>
        <w:tab/>
      </w:r>
      <w:r>
        <w:rPr>
          <w:rFonts w:ascii="Times New Roman" w:cs="Times New Roman" w:eastAsia="Times New Roman" w:hAnsi="Times New Roman"/>
          <w:sz w:val="19"/>
          <w:szCs w:val="19"/>
          <w:color w:val="231F20"/>
        </w:rPr>
        <w:t>Amended and Restated Bylaws of the Parent Company dated January 1, 2022, as amended February 7, 2023 (previously filed as Exhibit 3.1 to our Quarterly Report on Form 10-Q filed on May 4, 2023 and incorporated herein by reference)</w:t>
      </w:r>
    </w:p>
    <w:p>
      <w:pPr>
        <w:spacing w:after="0" w:line="56" w:lineRule="exact"/>
        <w:rPr>
          <w:sz w:val="20"/>
          <w:szCs w:val="20"/>
          <w:color w:val="auto"/>
        </w:rPr>
      </w:pPr>
    </w:p>
    <w:p>
      <w:pPr>
        <w:ind w:left="700" w:right="180" w:hanging="712"/>
        <w:spacing w:after="0" w:line="230" w:lineRule="auto"/>
        <w:tabs>
          <w:tab w:leader="none" w:pos="680" w:val="left"/>
        </w:tabs>
        <w:rPr>
          <w:sz w:val="20"/>
          <w:szCs w:val="20"/>
          <w:color w:val="auto"/>
        </w:rPr>
      </w:pPr>
      <w:r>
        <w:rPr>
          <w:rFonts w:ascii="Times New Roman" w:cs="Times New Roman" w:eastAsia="Times New Roman" w:hAnsi="Times New Roman"/>
          <w:sz w:val="19"/>
          <w:szCs w:val="19"/>
          <w:color w:val="231F20"/>
        </w:rPr>
        <w:t>3.3</w:t>
      </w:r>
      <w:r>
        <w:rPr>
          <w:sz w:val="20"/>
          <w:szCs w:val="20"/>
          <w:color w:val="auto"/>
        </w:rPr>
        <w:tab/>
      </w:r>
      <w:r>
        <w:rPr>
          <w:rFonts w:ascii="Times New Roman" w:cs="Times New Roman" w:eastAsia="Times New Roman" w:hAnsi="Times New Roman"/>
          <w:sz w:val="19"/>
          <w:szCs w:val="19"/>
          <w:color w:val="231F20"/>
        </w:rPr>
        <w:t>Articles of Merger, dated December 8, 2021, by and among Merger Sub and the Predecessor (previously filed as Exhibit 3.4 to the Parent Company's Current Report on Form 8-K filed on January 3, 2022 and incorporated herein by reference)</w:t>
      </w:r>
    </w:p>
    <w:p>
      <w:pPr>
        <w:spacing w:after="0" w:line="71" w:lineRule="exact"/>
        <w:rPr>
          <w:sz w:val="20"/>
          <w:szCs w:val="20"/>
          <w:color w:val="auto"/>
        </w:rPr>
      </w:pPr>
    </w:p>
    <w:p>
      <w:pPr>
        <w:ind w:left="700" w:right="60" w:hanging="712"/>
        <w:spacing w:after="0" w:line="242" w:lineRule="auto"/>
        <w:tabs>
          <w:tab w:leader="none" w:pos="680" w:val="left"/>
        </w:tabs>
        <w:rPr>
          <w:sz w:val="20"/>
          <w:szCs w:val="20"/>
          <w:color w:val="auto"/>
        </w:rPr>
      </w:pPr>
      <w:r>
        <w:rPr>
          <w:rFonts w:ascii="Times New Roman" w:cs="Times New Roman" w:eastAsia="Times New Roman" w:hAnsi="Times New Roman"/>
          <w:sz w:val="19"/>
          <w:szCs w:val="19"/>
          <w:color w:val="231F20"/>
        </w:rPr>
        <w:t>3.4</w:t>
      </w:r>
      <w:r>
        <w:rPr>
          <w:sz w:val="20"/>
          <w:szCs w:val="20"/>
          <w:color w:val="auto"/>
        </w:rPr>
        <w:tab/>
      </w:r>
      <w:r>
        <w:rPr>
          <w:rFonts w:ascii="Times New Roman" w:cs="Times New Roman" w:eastAsia="Times New Roman" w:hAnsi="Times New Roman"/>
          <w:sz w:val="19"/>
          <w:szCs w:val="19"/>
          <w:color w:val="231F20"/>
        </w:rPr>
        <w:t>Certificate of Limited Partnership of Federal Realty OP LP (previously filed as Exhibit 3.1 to our Current Report on Form 8-K filed on January 5, 2022 and incorporated herein by reference)</w:t>
      </w:r>
    </w:p>
    <w:p>
      <w:pPr>
        <w:spacing w:after="0" w:line="59" w:lineRule="exact"/>
        <w:rPr>
          <w:sz w:val="20"/>
          <w:szCs w:val="20"/>
          <w:color w:val="auto"/>
        </w:rPr>
      </w:pPr>
    </w:p>
    <w:p>
      <w:pPr>
        <w:ind w:left="700" w:hanging="712"/>
        <w:spacing w:after="0" w:line="230" w:lineRule="auto"/>
        <w:tabs>
          <w:tab w:leader="none" w:pos="680" w:val="left"/>
        </w:tabs>
        <w:rPr>
          <w:sz w:val="20"/>
          <w:szCs w:val="20"/>
          <w:color w:val="auto"/>
        </w:rPr>
      </w:pPr>
      <w:r>
        <w:rPr>
          <w:rFonts w:ascii="Times New Roman" w:cs="Times New Roman" w:eastAsia="Times New Roman" w:hAnsi="Times New Roman"/>
          <w:sz w:val="19"/>
          <w:szCs w:val="19"/>
          <w:color w:val="231F20"/>
        </w:rPr>
        <w:t>3.5</w:t>
      </w:r>
      <w:r>
        <w:rPr>
          <w:sz w:val="20"/>
          <w:szCs w:val="20"/>
          <w:color w:val="auto"/>
        </w:rPr>
        <w:tab/>
      </w:r>
      <w:r>
        <w:rPr>
          <w:rFonts w:ascii="Times New Roman" w:cs="Times New Roman" w:eastAsia="Times New Roman" w:hAnsi="Times New Roman"/>
          <w:sz w:val="19"/>
          <w:szCs w:val="19"/>
          <w:color w:val="231F20"/>
        </w:rPr>
        <w:t>Agreement of Limited Partnership of Federal Realty OP LP, dated as of January 5, 2022, by and between Federal Realty GP LLC and the Parent Company (Previously filed as Exhibit 3.2 to our Current Report on Form 8-K filed on January 5, 2022 and incorporated herein by reference)</w:t>
      </w:r>
    </w:p>
    <w:p>
      <w:pPr>
        <w:spacing w:after="0" w:line="71" w:lineRule="exact"/>
        <w:rPr>
          <w:sz w:val="20"/>
          <w:szCs w:val="20"/>
          <w:color w:val="auto"/>
        </w:rPr>
      </w:pPr>
    </w:p>
    <w:p>
      <w:pPr>
        <w:ind w:left="700" w:right="680" w:hanging="712"/>
        <w:spacing w:after="0" w:line="242" w:lineRule="auto"/>
        <w:tabs>
          <w:tab w:leader="none" w:pos="680" w:val="left"/>
        </w:tabs>
        <w:rPr>
          <w:sz w:val="20"/>
          <w:szCs w:val="20"/>
          <w:color w:val="auto"/>
        </w:rPr>
      </w:pPr>
      <w:r>
        <w:rPr>
          <w:rFonts w:ascii="Times New Roman" w:cs="Times New Roman" w:eastAsia="Times New Roman" w:hAnsi="Times New Roman"/>
          <w:sz w:val="19"/>
          <w:szCs w:val="19"/>
          <w:color w:val="231F20"/>
        </w:rPr>
        <w:t>4.1</w:t>
      </w:r>
      <w:r>
        <w:rPr>
          <w:sz w:val="20"/>
          <w:szCs w:val="20"/>
          <w:color w:val="auto"/>
        </w:rPr>
        <w:tab/>
      </w:r>
      <w:r>
        <w:rPr>
          <w:rFonts w:ascii="Times New Roman" w:cs="Times New Roman" w:eastAsia="Times New Roman" w:hAnsi="Times New Roman"/>
          <w:sz w:val="19"/>
          <w:szCs w:val="19"/>
          <w:color w:val="231F20"/>
        </w:rPr>
        <w:t>Specimen Common Share certificate (previously filed as Exhibit 4(i) to the Predecessor’s Annual Report on Form 10-K for the year ended December 31, 1999 and incorporated herein by reference)</w:t>
      </w:r>
    </w:p>
    <w:p>
      <w:pPr>
        <w:spacing w:after="0" w:line="101" w:lineRule="exact"/>
        <w:rPr>
          <w:sz w:val="20"/>
          <w:szCs w:val="20"/>
          <w:color w:val="auto"/>
        </w:rPr>
      </w:pPr>
    </w:p>
    <w:p>
      <w:pPr>
        <w:ind w:left="700" w:right="40" w:hanging="712"/>
        <w:spacing w:after="0" w:line="225" w:lineRule="auto"/>
        <w:tabs>
          <w:tab w:leader="none" w:pos="680" w:val="left"/>
        </w:tabs>
        <w:rPr>
          <w:sz w:val="20"/>
          <w:szCs w:val="20"/>
          <w:color w:val="auto"/>
        </w:rPr>
      </w:pPr>
      <w:r>
        <w:rPr>
          <w:rFonts w:ascii="Times New Roman" w:cs="Times New Roman" w:eastAsia="Times New Roman" w:hAnsi="Times New Roman"/>
          <w:sz w:val="19"/>
          <w:szCs w:val="19"/>
          <w:color w:val="231F20"/>
        </w:rPr>
        <w:t>4.2</w:t>
      </w:r>
      <w:r>
        <w:rPr>
          <w:sz w:val="20"/>
          <w:szCs w:val="20"/>
          <w:color w:val="auto"/>
        </w:rPr>
        <w:tab/>
      </w:r>
      <w:r>
        <w:rPr>
          <w:rFonts w:ascii="Times New Roman" w:cs="Times New Roman" w:eastAsia="Times New Roman" w:hAnsi="Times New Roman"/>
          <w:sz w:val="19"/>
          <w:szCs w:val="19"/>
          <w:color w:val="231F20"/>
        </w:rPr>
        <w:t>† Indenture dated December 1, 1993 related to the Partnership’s 7.48% Debentures due August 15, 2026; and 6.82% Medium Term Notes due August 1, 2027; (previously filed as Exhibit 4(a) to the Predecessor’s Registration Statement on Form S-3, and amended on Form S-3, filed on December 13, 1993 and incorporated herein by reference) ‡</w:t>
      </w:r>
    </w:p>
    <w:p>
      <w:pPr>
        <w:spacing w:after="0" w:line="108" w:lineRule="exact"/>
        <w:rPr>
          <w:sz w:val="20"/>
          <w:szCs w:val="20"/>
          <w:color w:val="auto"/>
        </w:rPr>
      </w:pPr>
    </w:p>
    <w:p>
      <w:pPr>
        <w:ind w:left="700" w:right="180" w:hanging="712"/>
        <w:spacing w:after="0" w:line="225" w:lineRule="auto"/>
        <w:tabs>
          <w:tab w:leader="none" w:pos="680" w:val="left"/>
        </w:tabs>
        <w:rPr>
          <w:sz w:val="20"/>
          <w:szCs w:val="20"/>
          <w:color w:val="auto"/>
        </w:rPr>
      </w:pPr>
      <w:r>
        <w:rPr>
          <w:rFonts w:ascii="Times New Roman" w:cs="Times New Roman" w:eastAsia="Times New Roman" w:hAnsi="Times New Roman"/>
          <w:sz w:val="19"/>
          <w:szCs w:val="19"/>
          <w:color w:val="231F20"/>
        </w:rPr>
        <w:t>4.3</w:t>
      </w:r>
      <w:r>
        <w:rPr>
          <w:sz w:val="20"/>
          <w:szCs w:val="20"/>
          <w:color w:val="auto"/>
        </w:rPr>
        <w:tab/>
      </w:r>
      <w:r>
        <w:rPr>
          <w:rFonts w:ascii="Times New Roman" w:cs="Times New Roman" w:eastAsia="Times New Roman" w:hAnsi="Times New Roman"/>
          <w:sz w:val="19"/>
          <w:szCs w:val="19"/>
          <w:color w:val="231F20"/>
        </w:rPr>
        <w:t>† Indenture dated September 1, 1998 related to the Partnership’s 2.75% Notes due 2023; 3.95% Notes due 2024; 4.50% Notes due 2044; 2.55% Notes due 2021; 3.625% Notes due 2046; 3.25% Notes due 2027; 3.20% Notes due 2029; 3.50% Notes due 2030; 1.25% Notes due 2026 (previously filed as Exhibit 4(a) to the Predecessor’s Registration Statement on Form S-3 filed on September 17, 1998 and incorporated herein by reference) ‡</w:t>
      </w:r>
    </w:p>
    <w:p>
      <w:pPr>
        <w:spacing w:after="0" w:line="65" w:lineRule="exact"/>
        <w:rPr>
          <w:sz w:val="20"/>
          <w:szCs w:val="20"/>
          <w:color w:val="auto"/>
        </w:rPr>
      </w:pPr>
    </w:p>
    <w:p>
      <w:pPr>
        <w:ind w:left="700" w:right="40" w:hanging="712"/>
        <w:spacing w:after="0" w:line="225" w:lineRule="auto"/>
        <w:tabs>
          <w:tab w:leader="none" w:pos="680" w:val="left"/>
        </w:tabs>
        <w:rPr>
          <w:sz w:val="20"/>
          <w:szCs w:val="20"/>
          <w:color w:val="auto"/>
        </w:rPr>
      </w:pPr>
      <w:r>
        <w:rPr>
          <w:rFonts w:ascii="Times New Roman" w:cs="Times New Roman" w:eastAsia="Times New Roman" w:hAnsi="Times New Roman"/>
          <w:sz w:val="19"/>
          <w:szCs w:val="19"/>
          <w:color w:val="231F20"/>
        </w:rPr>
        <w:t>4.4</w:t>
      </w:r>
      <w:r>
        <w:rPr>
          <w:sz w:val="20"/>
          <w:szCs w:val="20"/>
          <w:color w:val="auto"/>
        </w:rPr>
        <w:tab/>
      </w:r>
      <w:r>
        <w:rPr>
          <w:rFonts w:ascii="Times New Roman" w:cs="Times New Roman" w:eastAsia="Times New Roman" w:hAnsi="Times New Roman"/>
          <w:sz w:val="19"/>
          <w:szCs w:val="19"/>
          <w:color w:val="231F20"/>
        </w:rPr>
        <w:t>† First Supplemental Indenture, dated as of January 5, 2022, by and between Federal Realty OP LP and U.S. Bank National Association, with respect to the Partnership's Indenture dated December 1, 1993 related to the Partnership's 7.48% Debentures due August 15, 2026 and 6.82% Medium Term Notes due August 1, 2027 (previously filed as Exhibit 4.1 to our Current Report on Form 8-K filed on January 5, 2022 and incorporated herein by reference)</w:t>
      </w:r>
    </w:p>
    <w:p>
      <w:pPr>
        <w:spacing w:after="0" w:line="93" w:lineRule="exact"/>
        <w:rPr>
          <w:sz w:val="20"/>
          <w:szCs w:val="20"/>
          <w:color w:val="auto"/>
        </w:rPr>
      </w:pPr>
    </w:p>
    <w:p>
      <w:pPr>
        <w:ind w:left="700" w:right="20" w:hanging="712"/>
        <w:spacing w:after="0" w:line="219" w:lineRule="auto"/>
        <w:tabs>
          <w:tab w:leader="none" w:pos="680" w:val="left"/>
        </w:tabs>
        <w:rPr>
          <w:sz w:val="20"/>
          <w:szCs w:val="20"/>
          <w:color w:val="auto"/>
        </w:rPr>
      </w:pPr>
      <w:r>
        <w:rPr>
          <w:rFonts w:ascii="Times New Roman" w:cs="Times New Roman" w:eastAsia="Times New Roman" w:hAnsi="Times New Roman"/>
          <w:sz w:val="19"/>
          <w:szCs w:val="19"/>
          <w:color w:val="231F20"/>
        </w:rPr>
        <w:t>4.5</w:t>
      </w:r>
      <w:r>
        <w:rPr>
          <w:sz w:val="20"/>
          <w:szCs w:val="20"/>
          <w:color w:val="auto"/>
        </w:rPr>
        <w:tab/>
      </w:r>
      <w:r>
        <w:rPr>
          <w:rFonts w:ascii="Times New Roman" w:cs="Times New Roman" w:eastAsia="Times New Roman" w:hAnsi="Times New Roman"/>
          <w:sz w:val="19"/>
          <w:szCs w:val="19"/>
          <w:color w:val="231F20"/>
        </w:rPr>
        <w:t>† First Supplemental Indenture, dated as of January 5, 2022, by and between Federal Realty OP LP and U.S. Bank National Association, with respect to the Partnership's Indenture dated September 1, 1998 related to the Partnership's 2.75% Notes due 2023; 3.95% Notes due 2024; 4.50% Notes due 2044; 2.55% Notes due 2021; 3.625% Notes due 2046; 3.25% Notes due 2027; 3.20% Notes due 2029; 3.50% Notes due 2030; 1.25% Notes due 2026; 5.375% Notes due 2028 (previously filed as Exhibit 4.2 to our Current Report on Form 8-K filed on January 5, 2022 and incorporated herein by reference)</w:t>
      </w:r>
    </w:p>
    <w:p>
      <w:pPr>
        <w:spacing w:after="0" w:line="59" w:lineRule="exact"/>
        <w:rPr>
          <w:sz w:val="20"/>
          <w:szCs w:val="20"/>
          <w:color w:val="auto"/>
        </w:rPr>
      </w:pPr>
    </w:p>
    <w:p>
      <w:pPr>
        <w:ind w:left="700" w:right="100" w:hanging="712"/>
        <w:spacing w:after="0" w:line="225" w:lineRule="auto"/>
        <w:tabs>
          <w:tab w:leader="none" w:pos="680" w:val="left"/>
        </w:tabs>
        <w:rPr>
          <w:sz w:val="20"/>
          <w:szCs w:val="20"/>
          <w:color w:val="auto"/>
        </w:rPr>
      </w:pPr>
      <w:r>
        <w:rPr>
          <w:rFonts w:ascii="Times New Roman" w:cs="Times New Roman" w:eastAsia="Times New Roman" w:hAnsi="Times New Roman"/>
          <w:sz w:val="19"/>
          <w:szCs w:val="19"/>
          <w:color w:val="231F20"/>
        </w:rPr>
        <w:t>4.6</w:t>
      </w:r>
      <w:r>
        <w:rPr>
          <w:sz w:val="20"/>
          <w:szCs w:val="20"/>
          <w:color w:val="auto"/>
        </w:rPr>
        <w:tab/>
      </w:r>
      <w:r>
        <w:rPr>
          <w:rFonts w:ascii="Times New Roman" w:cs="Times New Roman" w:eastAsia="Times New Roman" w:hAnsi="Times New Roman"/>
          <w:sz w:val="19"/>
          <w:szCs w:val="19"/>
          <w:color w:val="231F20"/>
        </w:rPr>
        <w:t>Deposit Agreement, dated as of September 29, 2017, by and among Federal Realty Investment Trust, Equiniti Trust Company, LLC (successor to American Stock Transfer and Trust Company, LLC), as Depositary, and all holders from time to time of Receipt (previously filed as Exhibit 4.1 to the Predecessor's Registration Statement on Form 8-A, filed on September 29, 2017 and incorporated herein by reference)</w:t>
      </w:r>
    </w:p>
    <w:p>
      <w:pPr>
        <w:spacing w:after="0" w:line="51" w:lineRule="exact"/>
        <w:rPr>
          <w:sz w:val="20"/>
          <w:szCs w:val="20"/>
          <w:color w:val="auto"/>
        </w:rPr>
      </w:pPr>
    </w:p>
    <w:p>
      <w:pPr>
        <w:ind w:left="700" w:right="40" w:hanging="712"/>
        <w:spacing w:after="0" w:line="230" w:lineRule="auto"/>
        <w:tabs>
          <w:tab w:leader="none" w:pos="680" w:val="left"/>
        </w:tabs>
        <w:rPr>
          <w:sz w:val="20"/>
          <w:szCs w:val="20"/>
          <w:color w:val="auto"/>
        </w:rPr>
      </w:pPr>
      <w:r>
        <w:rPr>
          <w:rFonts w:ascii="Times New Roman" w:cs="Times New Roman" w:eastAsia="Times New Roman" w:hAnsi="Times New Roman"/>
          <w:sz w:val="19"/>
          <w:szCs w:val="19"/>
          <w:color w:val="231F20"/>
        </w:rPr>
        <w:t>4.7</w:t>
      </w:r>
      <w:r>
        <w:rPr>
          <w:sz w:val="20"/>
          <w:szCs w:val="20"/>
          <w:color w:val="auto"/>
        </w:rPr>
        <w:tab/>
      </w:r>
      <w:r>
        <w:rPr>
          <w:rFonts w:ascii="Times New Roman" w:cs="Times New Roman" w:eastAsia="Times New Roman" w:hAnsi="Times New Roman"/>
          <w:sz w:val="19"/>
          <w:szCs w:val="19"/>
          <w:color w:val="231F20"/>
        </w:rPr>
        <w:t>Specimen certificate relating to the 5.000% Series C Cumulative Redeemable Preferred Shares of Beneficial Interest (previously filed as Exhibit 4.3 to the Predecessor's Registration Statement on Form 8-A, filed on September 29, 2017 and incorporated herein by reference)</w:t>
      </w:r>
    </w:p>
    <w:p>
      <w:pPr>
        <w:spacing w:after="0" w:line="113" w:lineRule="exact"/>
        <w:rPr>
          <w:sz w:val="20"/>
          <w:szCs w:val="20"/>
          <w:color w:val="auto"/>
        </w:rPr>
      </w:pPr>
    </w:p>
    <w:p>
      <w:pPr>
        <w:ind w:left="700" w:right="200" w:hanging="712"/>
        <w:spacing w:after="0" w:line="230" w:lineRule="auto"/>
        <w:tabs>
          <w:tab w:leader="none" w:pos="680" w:val="left"/>
        </w:tabs>
        <w:rPr>
          <w:sz w:val="20"/>
          <w:szCs w:val="20"/>
          <w:color w:val="auto"/>
        </w:rPr>
      </w:pPr>
      <w:r>
        <w:rPr>
          <w:rFonts w:ascii="Times New Roman" w:cs="Times New Roman" w:eastAsia="Times New Roman" w:hAnsi="Times New Roman"/>
          <w:sz w:val="19"/>
          <w:szCs w:val="19"/>
          <w:color w:val="231F20"/>
        </w:rPr>
        <w:t>4.8</w:t>
      </w:r>
      <w:r>
        <w:rPr>
          <w:sz w:val="20"/>
          <w:szCs w:val="20"/>
          <w:color w:val="auto"/>
        </w:rPr>
        <w:tab/>
      </w:r>
      <w:r>
        <w:rPr>
          <w:rFonts w:ascii="Times New Roman" w:cs="Times New Roman" w:eastAsia="Times New Roman" w:hAnsi="Times New Roman"/>
          <w:sz w:val="19"/>
          <w:szCs w:val="19"/>
          <w:color w:val="231F20"/>
        </w:rPr>
        <w:t>† Indenture dated January 11, 2024 related to the 3.25% Exchangeable Senior Notes due 2029, by and between Federal Realty OP LP and U.S. Bank National Association (previously filed as Exhibit 4.1 to our current report on Form 8-K filed on January 11, 2023 and incorporated herein by reference)</w:t>
      </w:r>
    </w:p>
    <w:p>
      <w:pPr>
        <w:spacing w:after="0" w:line="71" w:lineRule="exact"/>
        <w:rPr>
          <w:sz w:val="20"/>
          <w:szCs w:val="20"/>
          <w:color w:val="auto"/>
        </w:rPr>
      </w:pPr>
    </w:p>
    <w:p>
      <w:pPr>
        <w:ind w:left="700" w:right="580" w:hanging="712"/>
        <w:spacing w:after="0" w:line="242" w:lineRule="auto"/>
        <w:tabs>
          <w:tab w:leader="none" w:pos="680" w:val="left"/>
        </w:tabs>
        <w:rPr>
          <w:sz w:val="20"/>
          <w:szCs w:val="20"/>
          <w:color w:val="auto"/>
        </w:rPr>
      </w:pPr>
      <w:r>
        <w:rPr>
          <w:rFonts w:ascii="Times New Roman" w:cs="Times New Roman" w:eastAsia="Times New Roman" w:hAnsi="Times New Roman"/>
          <w:sz w:val="19"/>
          <w:szCs w:val="19"/>
          <w:color w:val="231F20"/>
        </w:rPr>
        <w:t>4.9</w:t>
      </w:r>
      <w:r>
        <w:rPr>
          <w:sz w:val="20"/>
          <w:szCs w:val="20"/>
          <w:color w:val="auto"/>
        </w:rPr>
        <w:tab/>
      </w:r>
      <w:r>
        <w:rPr>
          <w:rFonts w:ascii="Times New Roman" w:cs="Times New Roman" w:eastAsia="Times New Roman" w:hAnsi="Times New Roman"/>
          <w:sz w:val="19"/>
          <w:szCs w:val="19"/>
          <w:color w:val="231F20"/>
        </w:rPr>
        <w:t>Description of Securities (previously filed as Exhibit 4.9 to the Trust's Annual Report on Form 10-K, filed on February 12, 2024 and incorporated here by reference)</w:t>
      </w:r>
    </w:p>
    <w:p>
      <w:pPr>
        <w:spacing w:after="0" w:line="59" w:lineRule="exact"/>
        <w:rPr>
          <w:sz w:val="20"/>
          <w:szCs w:val="20"/>
          <w:color w:val="auto"/>
        </w:rPr>
      </w:pPr>
    </w:p>
    <w:p>
      <w:pPr>
        <w:ind w:left="700" w:hanging="712"/>
        <w:spacing w:after="0" w:line="230" w:lineRule="auto"/>
        <w:tabs>
          <w:tab w:leader="none" w:pos="680" w:val="left"/>
        </w:tabs>
        <w:rPr>
          <w:sz w:val="20"/>
          <w:szCs w:val="20"/>
          <w:color w:val="auto"/>
        </w:rPr>
      </w:pPr>
      <w:r>
        <w:rPr>
          <w:rFonts w:ascii="Times New Roman" w:cs="Times New Roman" w:eastAsia="Times New Roman" w:hAnsi="Times New Roman"/>
          <w:sz w:val="19"/>
          <w:szCs w:val="19"/>
          <w:color w:val="231F20"/>
        </w:rPr>
        <w:t>10.1</w:t>
      </w:r>
      <w:r>
        <w:rPr>
          <w:sz w:val="20"/>
          <w:szCs w:val="20"/>
          <w:color w:val="auto"/>
        </w:rPr>
        <w:tab/>
      </w:r>
      <w:r>
        <w:rPr>
          <w:rFonts w:ascii="Times New Roman" w:cs="Times New Roman" w:eastAsia="Times New Roman" w:hAnsi="Times New Roman"/>
          <w:sz w:val="19"/>
          <w:szCs w:val="19"/>
          <w:color w:val="231F20"/>
        </w:rPr>
        <w:t>* Severance Agreement between Federal Realty Investment Trust and Donald C. Wood dated February 22, 1999 (previously filed as a portion of Exhibit 10 to the Predecessor's Quarterly Report on Form 10-Q for the quarter ended March 31, 1999 (the "1999 1Q Form 10-Q") and incorporated herein by reference)</w:t>
      </w:r>
    </w:p>
    <w:p>
      <w:pPr>
        <w:sectPr>
          <w:pgSz w:w="11880" w:h="15480" w:orient="portrait"/>
          <w:cols w:equalWidth="0" w:num="1">
            <w:col w:w="9600"/>
          </w:cols>
          <w:pgMar w:left="1140" w:top="958" w:right="11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52</w:t>
      </w:r>
    </w:p>
    <w:p>
      <w:pPr>
        <w:sectPr>
          <w:pgSz w:w="11880" w:h="15480" w:orient="portrait"/>
          <w:cols w:equalWidth="0" w:num="1">
            <w:col w:w="9600"/>
          </w:cols>
          <w:pgMar w:left="1140" w:top="958" w:right="1140" w:bottom="0"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15"/>
          <w:szCs w:val="15"/>
          <w:b w:val="1"/>
          <w:bCs w:val="1"/>
          <w:color w:val="231F20"/>
        </w:rPr>
        <w:t>Exhibit</w:t>
      </w:r>
    </w:p>
    <w:p>
      <w:pPr>
        <w:ind w:left="120"/>
        <w:spacing w:after="0"/>
        <w:tabs>
          <w:tab w:leader="none" w:pos="660" w:val="left"/>
        </w:tabs>
        <w:rPr>
          <w:sz w:val="20"/>
          <w:szCs w:val="20"/>
          <w:color w:val="auto"/>
        </w:rPr>
      </w:pPr>
      <w:r>
        <w:rPr>
          <w:rFonts w:ascii="Times New Roman" w:cs="Times New Roman" w:eastAsia="Times New Roman" w:hAnsi="Times New Roman"/>
          <w:sz w:val="15"/>
          <w:szCs w:val="15"/>
          <w:b w:val="1"/>
          <w:bCs w:val="1"/>
          <w:color w:val="231F20"/>
        </w:rPr>
        <w:t>No.</w:t>
      </w:r>
      <w:r>
        <w:rPr>
          <w:sz w:val="20"/>
          <w:szCs w:val="20"/>
          <w:color w:val="auto"/>
        </w:rPr>
        <w:tab/>
      </w:r>
      <w:r>
        <w:rPr>
          <w:rFonts w:ascii="Times New Roman" w:cs="Times New Roman" w:eastAsia="Times New Roman" w:hAnsi="Times New Roman"/>
          <w:sz w:val="15"/>
          <w:szCs w:val="15"/>
          <w:b w:val="1"/>
          <w:bCs w:val="1"/>
          <w:color w:val="231F20"/>
        </w:rPr>
        <w:t>Description</w:t>
      </w:r>
    </w:p>
    <w:p>
      <w:pPr>
        <w:spacing w:after="0" w:line="15" w:lineRule="exact"/>
        <w:rPr>
          <w:sz w:val="20"/>
          <w:szCs w:val="20"/>
          <w:color w:val="auto"/>
        </w:rPr>
      </w:pPr>
    </w:p>
    <w:p>
      <w:pPr>
        <w:jc w:val="both"/>
        <w:ind w:left="680" w:right="360" w:hanging="712"/>
        <w:spacing w:after="0" w:line="230" w:lineRule="auto"/>
        <w:tabs>
          <w:tab w:leader="none" w:pos="660" w:val="left"/>
        </w:tabs>
        <w:rPr>
          <w:sz w:val="20"/>
          <w:szCs w:val="20"/>
          <w:color w:val="auto"/>
        </w:rPr>
      </w:pPr>
      <w:r>
        <w:rPr>
          <w:rFonts w:ascii="Times New Roman" w:cs="Times New Roman" w:eastAsia="Times New Roman" w:hAnsi="Times New Roman"/>
          <w:sz w:val="19"/>
          <w:szCs w:val="19"/>
          <w:color w:val="231F20"/>
        </w:rPr>
        <w:t>10.2</w:t>
      </w:r>
      <w:r>
        <w:rPr>
          <w:sz w:val="20"/>
          <w:szCs w:val="20"/>
          <w:color w:val="auto"/>
        </w:rPr>
        <w:tab/>
      </w:r>
      <w:r>
        <w:rPr>
          <w:rFonts w:ascii="Times New Roman" w:cs="Times New Roman" w:eastAsia="Times New Roman" w:hAnsi="Times New Roman"/>
          <w:sz w:val="19"/>
          <w:szCs w:val="19"/>
          <w:color w:val="231F20"/>
        </w:rPr>
        <w:t>* Executive Agreement between Federal Realty Investment Trust and Donald C. Wood dated February 22, 1999 (previously filed as a portion of Exhibit 10 to the Predecessor's 1999 1Q Form 10-Q and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-52070</wp:posOffset>
            </wp:positionH>
            <wp:positionV relativeFrom="paragraph">
              <wp:posOffset>-398145</wp:posOffset>
            </wp:positionV>
            <wp:extent cx="6176010" cy="120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8">
                      <a:extLst>
                        <a:ext uri="{28A0092B-C50C-407E-A947-70E740481C1C}"/>
                      </a:extLst>
                    </a:blip>
                    <a:srcRect/>
                    <a:stretch>
                      <a:fillRect/>
                    </a:stretch>
                  </pic:blipFill>
                  <pic:spPr bwMode="auto">
                    <a:xfrm>
                      <a:off x="0" y="0"/>
                      <a:ext cx="6176010" cy="12065"/>
                    </a:xfrm>
                    <a:prstGeom prst="rect">
                      <a:avLst/>
                    </a:prstGeom>
                    <a:noFill/>
                  </pic:spPr>
                </pic:pic>
              </a:graphicData>
            </a:graphic>
          </wp:anchor>
        </w:drawing>
      </w:r>
    </w:p>
    <w:p>
      <w:pPr>
        <w:spacing w:after="0" w:line="22" w:lineRule="exact"/>
        <w:rPr>
          <w:sz w:val="20"/>
          <w:szCs w:val="20"/>
          <w:color w:val="auto"/>
        </w:rPr>
      </w:pPr>
    </w:p>
    <w:p>
      <w:pPr>
        <w:ind w:left="680" w:right="100" w:hanging="712"/>
        <w:spacing w:after="0" w:line="230" w:lineRule="auto"/>
        <w:tabs>
          <w:tab w:leader="none" w:pos="660" w:val="left"/>
        </w:tabs>
        <w:rPr>
          <w:sz w:val="20"/>
          <w:szCs w:val="20"/>
          <w:color w:val="auto"/>
        </w:rPr>
      </w:pPr>
      <w:r>
        <w:rPr>
          <w:rFonts w:ascii="Times New Roman" w:cs="Times New Roman" w:eastAsia="Times New Roman" w:hAnsi="Times New Roman"/>
          <w:sz w:val="19"/>
          <w:szCs w:val="19"/>
          <w:color w:val="231F20"/>
        </w:rPr>
        <w:t>10.3</w:t>
      </w:r>
      <w:r>
        <w:rPr>
          <w:sz w:val="20"/>
          <w:szCs w:val="20"/>
          <w:color w:val="auto"/>
        </w:rPr>
        <w:tab/>
      </w:r>
      <w:r>
        <w:rPr>
          <w:rFonts w:ascii="Times New Roman" w:cs="Times New Roman" w:eastAsia="Times New Roman" w:hAnsi="Times New Roman"/>
          <w:sz w:val="19"/>
          <w:szCs w:val="19"/>
          <w:color w:val="231F20"/>
        </w:rPr>
        <w:t>* Amendment to Executive Agreement between Federal Realty Investment Trust and Donald C. Wood dated February 16, 2005 (previously filed as Exhibit 10.12 to the Predecessor’s Annual Report on Form 10-K for the year ended December 31, 2004 (the “2004 Form 10-K”) and incorporated herein by reference)</w:t>
      </w:r>
    </w:p>
    <w:p>
      <w:pPr>
        <w:spacing w:after="0" w:line="42" w:lineRule="exact"/>
        <w:rPr>
          <w:sz w:val="20"/>
          <w:szCs w:val="20"/>
          <w:color w:val="auto"/>
        </w:rPr>
      </w:pPr>
    </w:p>
    <w:p>
      <w:pPr>
        <w:jc w:val="both"/>
        <w:ind w:left="680" w:right="200" w:hanging="712"/>
        <w:spacing w:after="0" w:line="230" w:lineRule="auto"/>
        <w:tabs>
          <w:tab w:leader="none" w:pos="660" w:val="left"/>
        </w:tabs>
        <w:rPr>
          <w:sz w:val="20"/>
          <w:szCs w:val="20"/>
          <w:color w:val="auto"/>
        </w:rPr>
      </w:pPr>
      <w:r>
        <w:rPr>
          <w:rFonts w:ascii="Times New Roman" w:cs="Times New Roman" w:eastAsia="Times New Roman" w:hAnsi="Times New Roman"/>
          <w:sz w:val="19"/>
          <w:szCs w:val="19"/>
          <w:color w:val="231F20"/>
        </w:rPr>
        <w:t>10.4</w:t>
      </w:r>
      <w:r>
        <w:rPr>
          <w:sz w:val="20"/>
          <w:szCs w:val="20"/>
          <w:color w:val="auto"/>
        </w:rPr>
        <w:tab/>
      </w:r>
      <w:r>
        <w:rPr>
          <w:rFonts w:ascii="Times New Roman" w:cs="Times New Roman" w:eastAsia="Times New Roman" w:hAnsi="Times New Roman"/>
          <w:sz w:val="19"/>
          <w:szCs w:val="19"/>
          <w:color w:val="231F20"/>
        </w:rPr>
        <w:t>* Health Coverage Continuation Agreement between Federal Realty Investment Trust and Donald C. Wood dated February 16, 2005 (previously filed as Exhibit 10.26 to the Predecessor's 2004 Form 10-K and incorporated herein by reference)</w:t>
      </w:r>
    </w:p>
    <w:p>
      <w:pPr>
        <w:spacing w:after="0" w:line="85" w:lineRule="exact"/>
        <w:rPr>
          <w:sz w:val="20"/>
          <w:szCs w:val="20"/>
          <w:color w:val="auto"/>
        </w:rPr>
      </w:pPr>
    </w:p>
    <w:p>
      <w:pPr>
        <w:ind w:left="680" w:right="260" w:hanging="712"/>
        <w:spacing w:after="0" w:line="242" w:lineRule="auto"/>
        <w:tabs>
          <w:tab w:leader="none" w:pos="660" w:val="left"/>
        </w:tabs>
        <w:rPr>
          <w:sz w:val="20"/>
          <w:szCs w:val="20"/>
          <w:color w:val="auto"/>
        </w:rPr>
      </w:pPr>
      <w:r>
        <w:rPr>
          <w:rFonts w:ascii="Times New Roman" w:cs="Times New Roman" w:eastAsia="Times New Roman" w:hAnsi="Times New Roman"/>
          <w:sz w:val="19"/>
          <w:szCs w:val="19"/>
          <w:color w:val="231F20"/>
        </w:rPr>
        <w:t>10.5</w:t>
      </w:r>
      <w:r>
        <w:rPr>
          <w:sz w:val="20"/>
          <w:szCs w:val="20"/>
          <w:color w:val="auto"/>
        </w:rPr>
        <w:tab/>
      </w:r>
      <w:r>
        <w:rPr>
          <w:rFonts w:ascii="Times New Roman" w:cs="Times New Roman" w:eastAsia="Times New Roman" w:hAnsi="Times New Roman"/>
          <w:sz w:val="19"/>
          <w:szCs w:val="19"/>
          <w:color w:val="231F20"/>
        </w:rPr>
        <w:t>* Severance Agreement between Federal Realty Investment Trust and Dawn M. Becker dated April 19, 2000 (previously filed as Exhibit 10.26 to the Predecessor’s 2005 2Q Form 10-Q and incorporated herein by reference)</w:t>
      </w:r>
    </w:p>
    <w:p>
      <w:pPr>
        <w:spacing w:after="0" w:line="101" w:lineRule="exact"/>
        <w:rPr>
          <w:sz w:val="20"/>
          <w:szCs w:val="20"/>
          <w:color w:val="auto"/>
        </w:rPr>
      </w:pPr>
    </w:p>
    <w:p>
      <w:pPr>
        <w:ind w:left="680" w:right="200" w:hanging="712"/>
        <w:spacing w:after="0" w:line="230" w:lineRule="auto"/>
        <w:tabs>
          <w:tab w:leader="none" w:pos="660" w:val="left"/>
        </w:tabs>
        <w:rPr>
          <w:sz w:val="20"/>
          <w:szCs w:val="20"/>
          <w:color w:val="auto"/>
        </w:rPr>
      </w:pPr>
      <w:r>
        <w:rPr>
          <w:rFonts w:ascii="Times New Roman" w:cs="Times New Roman" w:eastAsia="Times New Roman" w:hAnsi="Times New Roman"/>
          <w:sz w:val="19"/>
          <w:szCs w:val="19"/>
          <w:color w:val="231F20"/>
        </w:rPr>
        <w:t>10.6</w:t>
      </w:r>
      <w:r>
        <w:rPr>
          <w:sz w:val="20"/>
          <w:szCs w:val="20"/>
          <w:color w:val="auto"/>
        </w:rPr>
        <w:tab/>
      </w:r>
      <w:r>
        <w:rPr>
          <w:rFonts w:ascii="Times New Roman" w:cs="Times New Roman" w:eastAsia="Times New Roman" w:hAnsi="Times New Roman"/>
          <w:sz w:val="19"/>
          <w:szCs w:val="19"/>
          <w:color w:val="231F20"/>
        </w:rPr>
        <w:t>* Amendment to Severance Agreement between Federal Realty Investment Trust and Dawn M. Becker dated February 16, 2005 (previously filed as Exhibit 10.27 to the Predecessor's 2004 Form 10-K and incorporated herein by reference)</w:t>
      </w:r>
    </w:p>
    <w:p>
      <w:pPr>
        <w:spacing w:after="0" w:line="42" w:lineRule="exact"/>
        <w:rPr>
          <w:sz w:val="20"/>
          <w:szCs w:val="20"/>
          <w:color w:val="auto"/>
        </w:rPr>
      </w:pPr>
    </w:p>
    <w:p>
      <w:pPr>
        <w:ind w:left="680" w:right="160" w:hanging="712"/>
        <w:spacing w:after="0" w:line="230" w:lineRule="auto"/>
        <w:tabs>
          <w:tab w:leader="none" w:pos="660" w:val="left"/>
        </w:tabs>
        <w:rPr>
          <w:sz w:val="20"/>
          <w:szCs w:val="20"/>
          <w:color w:val="auto"/>
        </w:rPr>
      </w:pPr>
      <w:r>
        <w:rPr>
          <w:rFonts w:ascii="Times New Roman" w:cs="Times New Roman" w:eastAsia="Times New Roman" w:hAnsi="Times New Roman"/>
          <w:sz w:val="19"/>
          <w:szCs w:val="19"/>
          <w:color w:val="231F20"/>
        </w:rPr>
        <w:t>10.7</w:t>
      </w:r>
      <w:r>
        <w:rPr>
          <w:sz w:val="20"/>
          <w:szCs w:val="20"/>
          <w:color w:val="auto"/>
        </w:rPr>
        <w:tab/>
      </w:r>
      <w:r>
        <w:rPr>
          <w:rFonts w:ascii="Times New Roman" w:cs="Times New Roman" w:eastAsia="Times New Roman" w:hAnsi="Times New Roman"/>
          <w:sz w:val="19"/>
          <w:szCs w:val="19"/>
          <w:color w:val="231F20"/>
        </w:rPr>
        <w:t>Form of Restricted Share Award Agreement for long term vesting and retention awards for shares issued out of the 2010 Plan (previously filed as Exhibit 10.35 to the Predecessor's Annual Report on Form 10-K for the year ended December 31, 2010 (the "2010 Form 10-K") and incorporated herein by reference)</w:t>
      </w:r>
    </w:p>
    <w:p>
      <w:pPr>
        <w:spacing w:after="0" w:line="71" w:lineRule="exact"/>
        <w:rPr>
          <w:sz w:val="20"/>
          <w:szCs w:val="20"/>
          <w:color w:val="auto"/>
        </w:rPr>
      </w:pPr>
    </w:p>
    <w:p>
      <w:pPr>
        <w:ind w:left="680" w:right="300" w:hanging="712"/>
        <w:spacing w:after="0" w:line="230" w:lineRule="auto"/>
        <w:tabs>
          <w:tab w:leader="none" w:pos="660" w:val="left"/>
        </w:tabs>
        <w:rPr>
          <w:sz w:val="20"/>
          <w:szCs w:val="20"/>
          <w:color w:val="auto"/>
        </w:rPr>
      </w:pPr>
      <w:r>
        <w:rPr>
          <w:rFonts w:ascii="Times New Roman" w:cs="Times New Roman" w:eastAsia="Times New Roman" w:hAnsi="Times New Roman"/>
          <w:sz w:val="19"/>
          <w:szCs w:val="19"/>
          <w:color w:val="231F20"/>
        </w:rPr>
        <w:t>10.8</w:t>
      </w:r>
      <w:r>
        <w:rPr>
          <w:sz w:val="20"/>
          <w:szCs w:val="20"/>
          <w:color w:val="auto"/>
        </w:rPr>
        <w:tab/>
      </w:r>
      <w:r>
        <w:rPr>
          <w:rFonts w:ascii="Times New Roman" w:cs="Times New Roman" w:eastAsia="Times New Roman" w:hAnsi="Times New Roman"/>
          <w:sz w:val="19"/>
          <w:szCs w:val="19"/>
          <w:color w:val="231F20"/>
        </w:rPr>
        <w:t>* Amendment to Severance Agreement between Federal Realty Investment Trust and Donald C. Wood dated January 1, 2009 (previously filed as Exhibit 10.26 to the Predecessor’s Annual Report on Form 10-K for the year ended December 31, 2008 (“the 2008 Form 10-K”) and incorporated herein by reference)</w:t>
      </w:r>
    </w:p>
    <w:p>
      <w:pPr>
        <w:spacing w:after="0" w:line="71" w:lineRule="exact"/>
        <w:rPr>
          <w:sz w:val="20"/>
          <w:szCs w:val="20"/>
          <w:color w:val="auto"/>
        </w:rPr>
      </w:pPr>
    </w:p>
    <w:p>
      <w:pPr>
        <w:ind w:left="680" w:right="20" w:hanging="712"/>
        <w:spacing w:after="0" w:line="230" w:lineRule="auto"/>
        <w:tabs>
          <w:tab w:leader="none" w:pos="660" w:val="left"/>
        </w:tabs>
        <w:rPr>
          <w:sz w:val="20"/>
          <w:szCs w:val="20"/>
          <w:color w:val="auto"/>
        </w:rPr>
      </w:pPr>
      <w:r>
        <w:rPr>
          <w:rFonts w:ascii="Times New Roman" w:cs="Times New Roman" w:eastAsia="Times New Roman" w:hAnsi="Times New Roman"/>
          <w:sz w:val="19"/>
          <w:szCs w:val="19"/>
          <w:color w:val="231F20"/>
        </w:rPr>
        <w:t>10.9</w:t>
      </w:r>
      <w:r>
        <w:rPr>
          <w:sz w:val="20"/>
          <w:szCs w:val="20"/>
          <w:color w:val="auto"/>
        </w:rPr>
        <w:tab/>
      </w:r>
      <w:r>
        <w:rPr>
          <w:rFonts w:ascii="Times New Roman" w:cs="Times New Roman" w:eastAsia="Times New Roman" w:hAnsi="Times New Roman"/>
          <w:sz w:val="19"/>
          <w:szCs w:val="19"/>
          <w:color w:val="231F20"/>
        </w:rPr>
        <w:t>* Second Amendment to Executive Agreement between Federal Realty Investment Trust and Donald C. Wood dated January 1, 2009 (previously filed as Exhibit 10.27 to the Predecessor’s 2008 Form 10-K and incorporated herein by reference)</w:t>
      </w:r>
    </w:p>
    <w:p>
      <w:pPr>
        <w:spacing w:after="0" w:line="42" w:lineRule="exact"/>
        <w:rPr>
          <w:sz w:val="20"/>
          <w:szCs w:val="20"/>
          <w:color w:val="auto"/>
        </w:rPr>
      </w:pPr>
    </w:p>
    <w:p>
      <w:pPr>
        <w:ind w:left="680" w:right="20" w:hanging="712"/>
        <w:spacing w:after="0" w:line="230" w:lineRule="auto"/>
        <w:tabs>
          <w:tab w:leader="none" w:pos="660" w:val="left"/>
        </w:tabs>
        <w:rPr>
          <w:sz w:val="20"/>
          <w:szCs w:val="20"/>
          <w:color w:val="auto"/>
        </w:rPr>
      </w:pPr>
      <w:r>
        <w:rPr>
          <w:rFonts w:ascii="Times New Roman" w:cs="Times New Roman" w:eastAsia="Times New Roman" w:hAnsi="Times New Roman"/>
          <w:sz w:val="19"/>
          <w:szCs w:val="19"/>
          <w:color w:val="231F20"/>
        </w:rPr>
        <w:t>10.10</w:t>
        <w:tab/>
        <w:t>* Amendment to Health Coverage Continuation Agreement between Federal Realty Investment Trust and Donald C. Wood dated January 1, 2009 (previously filed as Exhibit 10.28 to the Predecessor’s 2008 Form 10-K and incorporated herein by reference)</w:t>
      </w:r>
    </w:p>
    <w:p>
      <w:pPr>
        <w:spacing w:after="0" w:line="71" w:lineRule="exact"/>
        <w:rPr>
          <w:sz w:val="20"/>
          <w:szCs w:val="20"/>
          <w:color w:val="auto"/>
        </w:rPr>
      </w:pPr>
    </w:p>
    <w:p>
      <w:pPr>
        <w:jc w:val="both"/>
        <w:ind w:left="680" w:right="420" w:hanging="712"/>
        <w:spacing w:after="0" w:line="230" w:lineRule="auto"/>
        <w:tabs>
          <w:tab w:leader="none" w:pos="660" w:val="left"/>
        </w:tabs>
        <w:rPr>
          <w:sz w:val="20"/>
          <w:szCs w:val="20"/>
          <w:color w:val="auto"/>
        </w:rPr>
      </w:pPr>
      <w:r>
        <w:rPr>
          <w:rFonts w:ascii="Times New Roman" w:cs="Times New Roman" w:eastAsia="Times New Roman" w:hAnsi="Times New Roman"/>
          <w:sz w:val="19"/>
          <w:szCs w:val="19"/>
          <w:color w:val="231F20"/>
        </w:rPr>
        <w:t>10.11</w:t>
        <w:tab/>
        <w:t>* Second Amendment to Severance Agreement between Federal Realty Investment Trust and Dawn M. Becker dated January 1, 2009 (previously filed as Exhibit 10.30 to the Predecessor’s 2008 Form 10-K and incorporated herein by reference)</w:t>
      </w:r>
    </w:p>
    <w:p>
      <w:pPr>
        <w:spacing w:after="0" w:line="56" w:lineRule="exact"/>
        <w:rPr>
          <w:sz w:val="20"/>
          <w:szCs w:val="20"/>
          <w:color w:val="auto"/>
        </w:rPr>
      </w:pPr>
    </w:p>
    <w:p>
      <w:pPr>
        <w:ind w:left="680" w:right="180" w:hanging="712"/>
        <w:spacing w:after="0" w:line="242" w:lineRule="auto"/>
        <w:tabs>
          <w:tab w:leader="none" w:pos="660" w:val="left"/>
        </w:tabs>
        <w:rPr>
          <w:sz w:val="20"/>
          <w:szCs w:val="20"/>
          <w:color w:val="auto"/>
        </w:rPr>
      </w:pPr>
      <w:r>
        <w:rPr>
          <w:rFonts w:ascii="Times New Roman" w:cs="Times New Roman" w:eastAsia="Times New Roman" w:hAnsi="Times New Roman"/>
          <w:sz w:val="19"/>
          <w:szCs w:val="19"/>
          <w:color w:val="231F20"/>
        </w:rPr>
        <w:t>10.12</w:t>
        <w:tab/>
        <w:t>2010 Performance Incentive Plan (previously filed as Appendix A to the Predecessor’s Definitive Proxy Statement for the 2010 Annual Meeting of Shareholders and incorporated herein by reference)</w:t>
      </w:r>
    </w:p>
    <w:p>
      <w:pPr>
        <w:spacing w:after="0" w:line="59" w:lineRule="exact"/>
        <w:rPr>
          <w:sz w:val="20"/>
          <w:szCs w:val="20"/>
          <w:color w:val="auto"/>
        </w:rPr>
      </w:pPr>
    </w:p>
    <w:p>
      <w:pPr>
        <w:ind w:left="680" w:right="120" w:hanging="712"/>
        <w:spacing w:after="0" w:line="242" w:lineRule="auto"/>
        <w:tabs>
          <w:tab w:leader="none" w:pos="660" w:val="left"/>
        </w:tabs>
        <w:rPr>
          <w:sz w:val="20"/>
          <w:szCs w:val="20"/>
          <w:color w:val="auto"/>
        </w:rPr>
      </w:pPr>
      <w:r>
        <w:rPr>
          <w:rFonts w:ascii="Times New Roman" w:cs="Times New Roman" w:eastAsia="Times New Roman" w:hAnsi="Times New Roman"/>
          <w:sz w:val="19"/>
          <w:szCs w:val="19"/>
          <w:color w:val="231F20"/>
        </w:rPr>
        <w:t>10.13</w:t>
        <w:tab/>
        <w:t>Amendment to 2010 Performance Incentive Plan (“the 2010 Plan”) (previously filed as Appendix A to the Predecessor’s Proxy Statement for the 2010 Annual Meeting of Shareholders and incorporated herein by reference)</w:t>
      </w:r>
    </w:p>
    <w:p>
      <w:pPr>
        <w:spacing w:after="0" w:line="59" w:lineRule="exact"/>
        <w:rPr>
          <w:sz w:val="20"/>
          <w:szCs w:val="20"/>
          <w:color w:val="auto"/>
        </w:rPr>
      </w:pPr>
    </w:p>
    <w:p>
      <w:pPr>
        <w:ind w:left="680" w:hanging="712"/>
        <w:spacing w:after="0" w:line="225" w:lineRule="auto"/>
        <w:tabs>
          <w:tab w:leader="none" w:pos="660" w:val="left"/>
        </w:tabs>
        <w:rPr>
          <w:sz w:val="20"/>
          <w:szCs w:val="20"/>
          <w:color w:val="auto"/>
        </w:rPr>
      </w:pPr>
      <w:r>
        <w:rPr>
          <w:rFonts w:ascii="Times New Roman" w:cs="Times New Roman" w:eastAsia="Times New Roman" w:hAnsi="Times New Roman"/>
          <w:sz w:val="19"/>
          <w:szCs w:val="19"/>
          <w:color w:val="231F20"/>
        </w:rPr>
        <w:t>10.14</w:t>
        <w:tab/>
        <w:t>Form of Restricted Share Award Agreement for awards made under Federal Realty Investment Trust’s Long-Term Incentive Award Program and the Trust’s Annual Incentive Bonus Program and basic awards with annual vesting for shares issued out of the 2010 Plan (previously filed as Exhibit 10.34 to the Predecessor’s 2010 Form 10-K and incorporated herein by reference)</w:t>
      </w:r>
    </w:p>
    <w:p>
      <w:pPr>
        <w:spacing w:after="0" w:line="51" w:lineRule="exact"/>
        <w:rPr>
          <w:sz w:val="20"/>
          <w:szCs w:val="20"/>
          <w:color w:val="auto"/>
        </w:rPr>
      </w:pPr>
    </w:p>
    <w:p>
      <w:pPr>
        <w:ind w:left="680" w:right="40" w:hanging="712"/>
        <w:spacing w:after="0" w:line="220" w:lineRule="auto"/>
        <w:tabs>
          <w:tab w:leader="none" w:pos="660" w:val="left"/>
        </w:tabs>
        <w:rPr>
          <w:sz w:val="20"/>
          <w:szCs w:val="20"/>
          <w:color w:val="auto"/>
        </w:rPr>
      </w:pPr>
      <w:r>
        <w:rPr>
          <w:rFonts w:ascii="Times New Roman" w:cs="Times New Roman" w:eastAsia="Times New Roman" w:hAnsi="Times New Roman"/>
          <w:sz w:val="19"/>
          <w:szCs w:val="19"/>
          <w:color w:val="231F20"/>
        </w:rPr>
        <w:t>10.15</w:t>
        <w:tab/>
        <w:t>Revised Form of Restricted Share Award Agreement for front loaded awards made under Federal Realty Investment Trust’s Long-Term Incentive Award Program for shares issued out of the 2010 Plan (previously filed as Exhibit</w:t>
      </w:r>
    </w:p>
    <w:p>
      <w:pPr>
        <w:spacing w:after="0" w:line="21" w:lineRule="exact"/>
        <w:rPr>
          <w:sz w:val="20"/>
          <w:szCs w:val="20"/>
          <w:color w:val="auto"/>
        </w:rPr>
      </w:pPr>
    </w:p>
    <w:p>
      <w:pPr>
        <w:ind w:left="680" w:right="60"/>
        <w:spacing w:after="0" w:line="229" w:lineRule="auto"/>
        <w:rPr>
          <w:sz w:val="20"/>
          <w:szCs w:val="20"/>
          <w:color w:val="auto"/>
        </w:rPr>
      </w:pPr>
      <w:r>
        <w:rPr>
          <w:rFonts w:ascii="Times New Roman" w:cs="Times New Roman" w:eastAsia="Times New Roman" w:hAnsi="Times New Roman"/>
          <w:sz w:val="19"/>
          <w:szCs w:val="19"/>
          <w:color w:val="231F20"/>
        </w:rPr>
        <w:t>10.35 to the Predecessor's Annual Report on Form 10-K for the year ended December 31, 2012 (the "2012 Form 10-K") and incorporated herein by reference)</w:t>
      </w:r>
    </w:p>
    <w:p>
      <w:pPr>
        <w:spacing w:after="0" w:line="59" w:lineRule="exact"/>
        <w:rPr>
          <w:sz w:val="20"/>
          <w:szCs w:val="20"/>
          <w:color w:val="auto"/>
        </w:rPr>
      </w:pPr>
    </w:p>
    <w:p>
      <w:pPr>
        <w:ind w:left="680" w:right="20" w:hanging="712"/>
        <w:spacing w:after="0" w:line="230" w:lineRule="auto"/>
        <w:tabs>
          <w:tab w:leader="none" w:pos="660" w:val="left"/>
        </w:tabs>
        <w:rPr>
          <w:sz w:val="20"/>
          <w:szCs w:val="20"/>
          <w:color w:val="auto"/>
        </w:rPr>
      </w:pPr>
      <w:r>
        <w:rPr>
          <w:rFonts w:ascii="Times New Roman" w:cs="Times New Roman" w:eastAsia="Times New Roman" w:hAnsi="Times New Roman"/>
          <w:sz w:val="19"/>
          <w:szCs w:val="19"/>
          <w:color w:val="231F20"/>
        </w:rPr>
        <w:t>10.16</w:t>
        <w:tab/>
        <w:t>Revised Form of Restricted Share Award Agreement for long-term vesting and retention awards made under Federal Realty Investment Trust’s Long-Term Incentive Award Program for shares issued out of the 2010 Plan (previously filed as Exhibit 10.36 to the Predecessor's 2012 Form 10-K and incorporated herein by reference)</w:t>
      </w:r>
    </w:p>
    <w:p>
      <w:pPr>
        <w:spacing w:after="0" w:line="56" w:lineRule="exact"/>
        <w:rPr>
          <w:sz w:val="20"/>
          <w:szCs w:val="20"/>
          <w:color w:val="auto"/>
        </w:rPr>
      </w:pPr>
    </w:p>
    <w:p>
      <w:pPr>
        <w:ind w:left="680" w:right="80" w:hanging="712"/>
        <w:spacing w:after="0" w:line="242" w:lineRule="auto"/>
        <w:tabs>
          <w:tab w:leader="none" w:pos="660" w:val="left"/>
        </w:tabs>
        <w:rPr>
          <w:sz w:val="20"/>
          <w:szCs w:val="20"/>
          <w:color w:val="auto"/>
        </w:rPr>
      </w:pPr>
      <w:r>
        <w:rPr>
          <w:rFonts w:ascii="Times New Roman" w:cs="Times New Roman" w:eastAsia="Times New Roman" w:hAnsi="Times New Roman"/>
          <w:sz w:val="19"/>
          <w:szCs w:val="19"/>
          <w:color w:val="231F20"/>
        </w:rPr>
        <w:t>10.17</w:t>
        <w:tab/>
        <w:t>Revised Form of Performance Share Award Agreement for shares awarded out of the 2010 Plan (previously filed as Exhibit 10.37 to the Predecessor's 2012 Form 10-K and incorporated herein by reference)</w:t>
      </w:r>
    </w:p>
    <w:p>
      <w:pPr>
        <w:spacing w:after="0" w:line="59" w:lineRule="exact"/>
        <w:rPr>
          <w:sz w:val="20"/>
          <w:szCs w:val="20"/>
          <w:color w:val="auto"/>
        </w:rPr>
      </w:pPr>
    </w:p>
    <w:p>
      <w:pPr>
        <w:ind w:left="680" w:right="340" w:hanging="712"/>
        <w:spacing w:after="0" w:line="225" w:lineRule="auto"/>
        <w:tabs>
          <w:tab w:leader="none" w:pos="660" w:val="left"/>
        </w:tabs>
        <w:rPr>
          <w:sz w:val="20"/>
          <w:szCs w:val="20"/>
          <w:color w:val="auto"/>
        </w:rPr>
      </w:pPr>
      <w:r>
        <w:rPr>
          <w:rFonts w:ascii="Times New Roman" w:cs="Times New Roman" w:eastAsia="Times New Roman" w:hAnsi="Times New Roman"/>
          <w:sz w:val="19"/>
          <w:szCs w:val="19"/>
          <w:color w:val="231F20"/>
        </w:rPr>
        <w:t>10.18</w:t>
        <w:tab/>
        <w:t>Revised Form of Restricted Share Award Agreement for awards made under Federal Realty Investment Trust’s Long-Term Incentive Award Program and the Trust’s Annual Incentive Bonus Program and basic awards with annual vesting for shares issued out of the 2010 Plan (previously filed as Exhibit 10.38 to the Predecessor's 2012 Form 10-K and incorporated herein by reference)</w:t>
      </w:r>
    </w:p>
    <w:p>
      <w:pPr>
        <w:spacing w:after="0" w:line="93" w:lineRule="exact"/>
        <w:rPr>
          <w:sz w:val="20"/>
          <w:szCs w:val="20"/>
          <w:color w:val="auto"/>
        </w:rPr>
      </w:pPr>
    </w:p>
    <w:p>
      <w:pPr>
        <w:ind w:left="680" w:right="360" w:hanging="712"/>
        <w:spacing w:after="0" w:line="230" w:lineRule="auto"/>
        <w:tabs>
          <w:tab w:leader="none" w:pos="660" w:val="left"/>
        </w:tabs>
        <w:rPr>
          <w:sz w:val="20"/>
          <w:szCs w:val="20"/>
          <w:color w:val="auto"/>
        </w:rPr>
      </w:pPr>
      <w:r>
        <w:rPr>
          <w:rFonts w:ascii="Times New Roman" w:cs="Times New Roman" w:eastAsia="Times New Roman" w:hAnsi="Times New Roman"/>
          <w:sz w:val="19"/>
          <w:szCs w:val="19"/>
          <w:color w:val="231F20"/>
        </w:rPr>
        <w:t>10.19</w:t>
        <w:tab/>
        <w:t>Severance Agreement between Federal Realty Investment Trust and Daniel Guglielmone dated August 15, 2016 (previously filed as Exhibit 10.36 to the Predecessor's Quarterly Report on Form 10-Q for the quarter ended September 30, 2016 and incorporated herein by reference)</w:t>
      </w:r>
    </w:p>
    <w:p>
      <w:pPr>
        <w:spacing w:after="0" w:line="42" w:lineRule="exact"/>
        <w:rPr>
          <w:sz w:val="20"/>
          <w:szCs w:val="20"/>
          <w:color w:val="auto"/>
        </w:rPr>
      </w:pPr>
    </w:p>
    <w:p>
      <w:pPr>
        <w:ind w:left="680" w:right="180" w:hanging="712"/>
        <w:spacing w:after="0" w:line="242" w:lineRule="auto"/>
        <w:tabs>
          <w:tab w:leader="none" w:pos="660" w:val="left"/>
        </w:tabs>
        <w:rPr>
          <w:sz w:val="20"/>
          <w:szCs w:val="20"/>
          <w:color w:val="auto"/>
        </w:rPr>
      </w:pPr>
      <w:r>
        <w:rPr>
          <w:rFonts w:ascii="Times New Roman" w:cs="Times New Roman" w:eastAsia="Times New Roman" w:hAnsi="Times New Roman"/>
          <w:sz w:val="19"/>
          <w:szCs w:val="19"/>
          <w:color w:val="231F20"/>
        </w:rPr>
        <w:t>10.20</w:t>
        <w:tab/>
        <w:t>2020 Performance Incentive Plan (previously filed as Appendix B to the Predecessor’s Definitive Proxy Statement for the 2020 Annual Meeting of Shareholders and incorporated herein by reference)</w:t>
      </w:r>
    </w:p>
    <w:p>
      <w:pPr>
        <w:sectPr>
          <w:pgSz w:w="11880" w:h="15480" w:orient="portrait"/>
          <w:cols w:equalWidth="0" w:num="1">
            <w:col w:w="9580"/>
          </w:cols>
          <w:pgMar w:left="1160" w:top="996" w:right="11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231F20"/>
        </w:rPr>
        <w:t>53</w:t>
      </w:r>
    </w:p>
    <w:p>
      <w:pPr>
        <w:sectPr>
          <w:pgSz w:w="11880" w:h="15480" w:orient="portrait"/>
          <w:cols w:equalWidth="0" w:num="1">
            <w:col w:w="9580"/>
          </w:cols>
          <w:pgMar w:left="1160" w:top="996" w:right="1140" w:bottom="0" w:gutter="0" w:footer="0" w:header="0"/>
          <w:type w:val="continuous"/>
        </w:sectPr>
      </w:pPr>
    </w:p>
    <w:bookmarkStart w:id="61" w:name="page62"/>
    <w:bookmarkEnd w:id="61"/>
    <w:tbl>
      <w:tblPr>
        <w:tblLayout w:type="fixed"/>
        <w:tblInd w:w="0" w:type="dxa"/>
        <w:tblCellMar>
          <w:top w:w="0" w:type="dxa"/>
          <w:left w:w="0" w:type="dxa"/>
          <w:bottom w:w="0" w:type="dxa"/>
          <w:right w:w="0" w:type="dxa"/>
        </w:tblCellMar>
      </w:tblPr>
      <w:tr>
        <w:trPr>
          <w:trHeight w:val="172"/>
        </w:trPr>
        <w:tc>
          <w:tcPr>
            <w:tcW w:w="620" w:type="dxa"/>
            <w:vAlign w:val="bottom"/>
          </w:tcPr>
          <w:p>
            <w:pPr>
              <w:ind w:left="40"/>
              <w:spacing w:after="0"/>
              <w:rPr>
                <w:sz w:val="20"/>
                <w:szCs w:val="20"/>
                <w:color w:val="auto"/>
              </w:rPr>
            </w:pPr>
            <w:r>
              <w:rPr>
                <w:rFonts w:ascii="Times New Roman" w:cs="Times New Roman" w:eastAsia="Times New Roman" w:hAnsi="Times New Roman"/>
                <w:sz w:val="15"/>
                <w:szCs w:val="15"/>
                <w:b w:val="1"/>
                <w:bCs w:val="1"/>
                <w:color w:val="231F20"/>
              </w:rPr>
              <w:t>Exhibit</w:t>
            </w:r>
          </w:p>
        </w:tc>
        <w:tc>
          <w:tcPr>
            <w:tcW w:w="9020" w:type="dxa"/>
            <w:vAlign w:val="bottom"/>
            <w:vMerge w:val="restart"/>
          </w:tcPr>
          <w:p>
            <w:pPr>
              <w:ind w:left="100"/>
              <w:spacing w:after="0"/>
              <w:rPr>
                <w:sz w:val="20"/>
                <w:szCs w:val="20"/>
                <w:color w:val="auto"/>
              </w:rPr>
            </w:pPr>
            <w:r>
              <w:rPr>
                <w:rFonts w:ascii="Times New Roman" w:cs="Times New Roman" w:eastAsia="Times New Roman" w:hAnsi="Times New Roman"/>
                <w:sz w:val="15"/>
                <w:szCs w:val="15"/>
                <w:b w:val="1"/>
                <w:bCs w:val="1"/>
                <w:color w:val="231F20"/>
              </w:rPr>
              <w:t>Description</w:t>
            </w:r>
          </w:p>
        </w:tc>
        <w:tc>
          <w:tcPr>
            <w:tcW w:w="0" w:type="dxa"/>
            <w:vAlign w:val="bottom"/>
          </w:tcPr>
          <w:p>
            <w:pPr>
              <w:spacing w:after="0"/>
              <w:rPr>
                <w:sz w:val="1"/>
                <w:szCs w:val="1"/>
                <w:color w:val="auto"/>
              </w:rPr>
            </w:pPr>
          </w:p>
        </w:tc>
      </w:tr>
      <w:tr>
        <w:trPr>
          <w:trHeight w:val="202"/>
        </w:trPr>
        <w:tc>
          <w:tcPr>
            <w:tcW w:w="620" w:type="dxa"/>
            <w:vAlign w:val="bottom"/>
          </w:tcPr>
          <w:p>
            <w:pPr>
              <w:ind w:left="160"/>
              <w:spacing w:after="0"/>
              <w:rPr>
                <w:sz w:val="20"/>
                <w:szCs w:val="20"/>
                <w:color w:val="auto"/>
              </w:rPr>
            </w:pPr>
            <w:r>
              <w:rPr>
                <w:rFonts w:ascii="Times New Roman" w:cs="Times New Roman" w:eastAsia="Times New Roman" w:hAnsi="Times New Roman"/>
                <w:sz w:val="15"/>
                <w:szCs w:val="15"/>
                <w:b w:val="1"/>
                <w:bCs w:val="1"/>
                <w:color w:val="231F20"/>
              </w:rPr>
              <w:t>No.</w:t>
            </w:r>
          </w:p>
        </w:tc>
        <w:tc>
          <w:tcPr>
            <w:tcW w:w="90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620" w:type="dxa"/>
            <w:vAlign w:val="bottom"/>
          </w:tcPr>
          <w:p>
            <w:pPr>
              <w:spacing w:after="0" w:line="193" w:lineRule="exact"/>
              <w:rPr>
                <w:sz w:val="20"/>
                <w:szCs w:val="20"/>
                <w:color w:val="auto"/>
              </w:rPr>
            </w:pPr>
            <w:r>
              <w:rPr>
                <w:rFonts w:ascii="Times New Roman" w:cs="Times New Roman" w:eastAsia="Times New Roman" w:hAnsi="Times New Roman"/>
                <w:sz w:val="19"/>
                <w:szCs w:val="19"/>
                <w:color w:val="231F20"/>
              </w:rPr>
              <w:t>10.21</w:t>
            </w:r>
          </w:p>
        </w:tc>
        <w:tc>
          <w:tcPr>
            <w:tcW w:w="9020" w:type="dxa"/>
            <w:vAlign w:val="bottom"/>
          </w:tcPr>
          <w:p>
            <w:pPr>
              <w:ind w:left="100"/>
              <w:spacing w:after="0" w:line="193" w:lineRule="exact"/>
              <w:rPr>
                <w:sz w:val="20"/>
                <w:szCs w:val="20"/>
                <w:color w:val="auto"/>
              </w:rPr>
            </w:pPr>
            <w:r>
              <w:rPr>
                <w:rFonts w:ascii="Times New Roman" w:cs="Times New Roman" w:eastAsia="Times New Roman" w:hAnsi="Times New Roman"/>
                <w:sz w:val="19"/>
                <w:szCs w:val="19"/>
                <w:color w:val="231F20"/>
              </w:rPr>
              <w:t>Form of Restricted Share Award Agreement for awards made under Federal Realty Investment Trust's Long-Term</w:t>
            </w:r>
          </w:p>
        </w:tc>
        <w:tc>
          <w:tcPr>
            <w:tcW w:w="0" w:type="dxa"/>
            <w:vAlign w:val="bottom"/>
          </w:tcPr>
          <w:p>
            <w:pPr>
              <w:spacing w:after="0"/>
              <w:rPr>
                <w:sz w:val="1"/>
                <w:szCs w:val="1"/>
                <w:color w:val="auto"/>
              </w:rPr>
            </w:pPr>
          </w:p>
        </w:tc>
      </w:tr>
      <w:tr>
        <w:trPr>
          <w:trHeight w:val="190"/>
        </w:trPr>
        <w:tc>
          <w:tcPr>
            <w:tcW w:w="620" w:type="dxa"/>
            <w:vAlign w:val="bottom"/>
          </w:tcPr>
          <w:p>
            <w:pPr>
              <w:spacing w:after="0"/>
              <w:rPr>
                <w:sz w:val="16"/>
                <w:szCs w:val="16"/>
                <w:color w:val="auto"/>
              </w:rPr>
            </w:pPr>
          </w:p>
        </w:tc>
        <w:tc>
          <w:tcPr>
            <w:tcW w:w="9020" w:type="dxa"/>
            <w:vAlign w:val="bottom"/>
          </w:tcPr>
          <w:p>
            <w:pPr>
              <w:ind w:left="100"/>
              <w:spacing w:after="0" w:line="190" w:lineRule="exact"/>
              <w:rPr>
                <w:sz w:val="20"/>
                <w:szCs w:val="20"/>
                <w:color w:val="auto"/>
              </w:rPr>
            </w:pPr>
            <w:r>
              <w:rPr>
                <w:rFonts w:ascii="Times New Roman" w:cs="Times New Roman" w:eastAsia="Times New Roman" w:hAnsi="Times New Roman"/>
                <w:sz w:val="19"/>
                <w:szCs w:val="19"/>
                <w:color w:val="231F20"/>
              </w:rPr>
              <w:t>Incentive Award Program and the Trust's Annual Incentive Bonus Program and basic awards with annual vesting for</w:t>
            </w:r>
          </w:p>
        </w:tc>
        <w:tc>
          <w:tcPr>
            <w:tcW w:w="0" w:type="dxa"/>
            <w:vAlign w:val="bottom"/>
          </w:tcPr>
          <w:p>
            <w:pPr>
              <w:spacing w:after="0"/>
              <w:rPr>
                <w:sz w:val="1"/>
                <w:szCs w:val="1"/>
                <w:color w:val="auto"/>
              </w:rPr>
            </w:pPr>
          </w:p>
        </w:tc>
      </w:tr>
      <w:tr>
        <w:trPr>
          <w:trHeight w:val="190"/>
        </w:trPr>
        <w:tc>
          <w:tcPr>
            <w:tcW w:w="620" w:type="dxa"/>
            <w:vAlign w:val="bottom"/>
          </w:tcPr>
          <w:p>
            <w:pPr>
              <w:spacing w:after="0"/>
              <w:rPr>
                <w:sz w:val="16"/>
                <w:szCs w:val="16"/>
                <w:color w:val="auto"/>
              </w:rPr>
            </w:pPr>
          </w:p>
        </w:tc>
        <w:tc>
          <w:tcPr>
            <w:tcW w:w="9020" w:type="dxa"/>
            <w:vAlign w:val="bottom"/>
          </w:tcPr>
          <w:p>
            <w:pPr>
              <w:ind w:left="100"/>
              <w:spacing w:after="0" w:line="190" w:lineRule="exact"/>
              <w:rPr>
                <w:sz w:val="20"/>
                <w:szCs w:val="20"/>
                <w:color w:val="auto"/>
              </w:rPr>
            </w:pPr>
            <w:r>
              <w:rPr>
                <w:rFonts w:ascii="Times New Roman" w:cs="Times New Roman" w:eastAsia="Times New Roman" w:hAnsi="Times New Roman"/>
                <w:sz w:val="19"/>
                <w:szCs w:val="19"/>
                <w:color w:val="231F20"/>
              </w:rPr>
              <w:t>shares issued out the 2020 Plan (previously filed as Exhibit 10.32 to the Predecessor's Annual Report on Form 10-K,</w:t>
            </w:r>
          </w:p>
        </w:tc>
        <w:tc>
          <w:tcPr>
            <w:tcW w:w="0" w:type="dxa"/>
            <w:vAlign w:val="bottom"/>
          </w:tcPr>
          <w:p>
            <w:pPr>
              <w:spacing w:after="0"/>
              <w:rPr>
                <w:sz w:val="1"/>
                <w:szCs w:val="1"/>
                <w:color w:val="auto"/>
              </w:rPr>
            </w:pPr>
          </w:p>
        </w:tc>
      </w:tr>
      <w:tr>
        <w:trPr>
          <w:trHeight w:val="249"/>
        </w:trPr>
        <w:tc>
          <w:tcPr>
            <w:tcW w:w="620" w:type="dxa"/>
            <w:vAlign w:val="bottom"/>
          </w:tcPr>
          <w:p>
            <w:pPr>
              <w:spacing w:after="0"/>
              <w:rPr>
                <w:sz w:val="21"/>
                <w:szCs w:val="21"/>
                <w:color w:val="auto"/>
              </w:rPr>
            </w:pPr>
          </w:p>
        </w:tc>
        <w:tc>
          <w:tcPr>
            <w:tcW w:w="9020" w:type="dxa"/>
            <w:vAlign w:val="bottom"/>
          </w:tcPr>
          <w:p>
            <w:pPr>
              <w:ind w:left="100"/>
              <w:spacing w:after="0"/>
              <w:rPr>
                <w:sz w:val="20"/>
                <w:szCs w:val="20"/>
                <w:color w:val="auto"/>
              </w:rPr>
            </w:pPr>
            <w:r>
              <w:rPr>
                <w:rFonts w:ascii="Times New Roman" w:cs="Times New Roman" w:eastAsia="Times New Roman" w:hAnsi="Times New Roman"/>
                <w:sz w:val="19"/>
                <w:szCs w:val="19"/>
                <w:color w:val="231F20"/>
              </w:rPr>
              <w:t>filed on February 11, 2021 and incorporated herein by reference)</w:t>
            </w:r>
          </w:p>
        </w:tc>
        <w:tc>
          <w:tcPr>
            <w:tcW w:w="0" w:type="dxa"/>
            <w:vAlign w:val="bottom"/>
          </w:tcPr>
          <w:p>
            <w:pPr>
              <w:spacing w:after="0"/>
              <w:rPr>
                <w:sz w:val="1"/>
                <w:szCs w:val="1"/>
                <w:color w:val="auto"/>
              </w:rPr>
            </w:pPr>
          </w:p>
        </w:tc>
      </w:tr>
      <w:tr>
        <w:trPr>
          <w:trHeight w:val="269"/>
        </w:trPr>
        <w:tc>
          <w:tcPr>
            <w:tcW w:w="620" w:type="dxa"/>
            <w:vAlign w:val="bottom"/>
          </w:tcPr>
          <w:p>
            <w:pPr>
              <w:spacing w:after="0"/>
              <w:rPr>
                <w:sz w:val="20"/>
                <w:szCs w:val="20"/>
                <w:color w:val="auto"/>
              </w:rPr>
            </w:pPr>
            <w:r>
              <w:rPr>
                <w:rFonts w:ascii="Times New Roman" w:cs="Times New Roman" w:eastAsia="Times New Roman" w:hAnsi="Times New Roman"/>
                <w:sz w:val="19"/>
                <w:szCs w:val="19"/>
                <w:color w:val="231F20"/>
              </w:rPr>
              <w:t>10.22</w:t>
            </w:r>
          </w:p>
        </w:tc>
        <w:tc>
          <w:tcPr>
            <w:tcW w:w="9020" w:type="dxa"/>
            <w:vAlign w:val="bottom"/>
          </w:tcPr>
          <w:p>
            <w:pPr>
              <w:ind w:left="100"/>
              <w:spacing w:after="0"/>
              <w:rPr>
                <w:sz w:val="20"/>
                <w:szCs w:val="20"/>
                <w:color w:val="auto"/>
              </w:rPr>
            </w:pPr>
            <w:r>
              <w:rPr>
                <w:rFonts w:ascii="Times New Roman" w:cs="Times New Roman" w:eastAsia="Times New Roman" w:hAnsi="Times New Roman"/>
                <w:sz w:val="19"/>
                <w:szCs w:val="19"/>
                <w:color w:val="231F20"/>
              </w:rPr>
              <w:t>Form of Option Award Agreement for awards made under Federal Realty Investment Trust’s Long-Term Incentive</w:t>
            </w:r>
          </w:p>
        </w:tc>
        <w:tc>
          <w:tcPr>
            <w:tcW w:w="0" w:type="dxa"/>
            <w:vAlign w:val="bottom"/>
          </w:tcPr>
          <w:p>
            <w:pPr>
              <w:spacing w:after="0"/>
              <w:rPr>
                <w:sz w:val="1"/>
                <w:szCs w:val="1"/>
                <w:color w:val="auto"/>
              </w:rPr>
            </w:pPr>
          </w:p>
        </w:tc>
      </w:tr>
      <w:tr>
        <w:trPr>
          <w:trHeight w:val="190"/>
        </w:trPr>
        <w:tc>
          <w:tcPr>
            <w:tcW w:w="620" w:type="dxa"/>
            <w:vAlign w:val="bottom"/>
          </w:tcPr>
          <w:p>
            <w:pPr>
              <w:spacing w:after="0"/>
              <w:rPr>
                <w:sz w:val="16"/>
                <w:szCs w:val="16"/>
                <w:color w:val="auto"/>
              </w:rPr>
            </w:pPr>
          </w:p>
        </w:tc>
        <w:tc>
          <w:tcPr>
            <w:tcW w:w="9020" w:type="dxa"/>
            <w:vAlign w:val="bottom"/>
          </w:tcPr>
          <w:p>
            <w:pPr>
              <w:ind w:left="100"/>
              <w:spacing w:after="0" w:line="190" w:lineRule="exact"/>
              <w:rPr>
                <w:sz w:val="20"/>
                <w:szCs w:val="20"/>
                <w:color w:val="auto"/>
              </w:rPr>
            </w:pPr>
            <w:r>
              <w:rPr>
                <w:rFonts w:ascii="Times New Roman" w:cs="Times New Roman" w:eastAsia="Times New Roman" w:hAnsi="Times New Roman"/>
                <w:sz w:val="19"/>
                <w:szCs w:val="19"/>
                <w:color w:val="231F20"/>
              </w:rPr>
              <w:t>Award Program for shares issued out of the 2020 Plan (previously filed as Exhibit 10.33 to the Predecessor's Annual</w:t>
            </w:r>
          </w:p>
        </w:tc>
        <w:tc>
          <w:tcPr>
            <w:tcW w:w="0" w:type="dxa"/>
            <w:vAlign w:val="bottom"/>
          </w:tcPr>
          <w:p>
            <w:pPr>
              <w:spacing w:after="0"/>
              <w:rPr>
                <w:sz w:val="1"/>
                <w:szCs w:val="1"/>
                <w:color w:val="auto"/>
              </w:rPr>
            </w:pPr>
          </w:p>
        </w:tc>
      </w:tr>
      <w:tr>
        <w:trPr>
          <w:trHeight w:val="249"/>
        </w:trPr>
        <w:tc>
          <w:tcPr>
            <w:tcW w:w="620" w:type="dxa"/>
            <w:vAlign w:val="bottom"/>
          </w:tcPr>
          <w:p>
            <w:pPr>
              <w:spacing w:after="0"/>
              <w:rPr>
                <w:sz w:val="21"/>
                <w:szCs w:val="21"/>
                <w:color w:val="auto"/>
              </w:rPr>
            </w:pPr>
          </w:p>
        </w:tc>
        <w:tc>
          <w:tcPr>
            <w:tcW w:w="9020" w:type="dxa"/>
            <w:vAlign w:val="bottom"/>
          </w:tcPr>
          <w:p>
            <w:pPr>
              <w:ind w:left="100"/>
              <w:spacing w:after="0"/>
              <w:rPr>
                <w:sz w:val="20"/>
                <w:szCs w:val="20"/>
                <w:color w:val="auto"/>
              </w:rPr>
            </w:pPr>
            <w:r>
              <w:rPr>
                <w:rFonts w:ascii="Times New Roman" w:cs="Times New Roman" w:eastAsia="Times New Roman" w:hAnsi="Times New Roman"/>
                <w:sz w:val="19"/>
                <w:szCs w:val="19"/>
                <w:color w:val="231F20"/>
              </w:rPr>
              <w:t>Report on Form 10-K, filed on February 11, 2021, and incorporated herein by reference)</w:t>
            </w:r>
          </w:p>
        </w:tc>
        <w:tc>
          <w:tcPr>
            <w:tcW w:w="0" w:type="dxa"/>
            <w:vAlign w:val="bottom"/>
          </w:tcPr>
          <w:p>
            <w:pPr>
              <w:spacing w:after="0"/>
              <w:rPr>
                <w:sz w:val="1"/>
                <w:szCs w:val="1"/>
                <w:color w:val="auto"/>
              </w:rPr>
            </w:pPr>
          </w:p>
        </w:tc>
      </w:tr>
      <w:tr>
        <w:trPr>
          <w:trHeight w:val="245"/>
        </w:trPr>
        <w:tc>
          <w:tcPr>
            <w:tcW w:w="620" w:type="dxa"/>
            <w:vAlign w:val="bottom"/>
          </w:tcPr>
          <w:p>
            <w:pPr>
              <w:spacing w:after="0"/>
              <w:rPr>
                <w:sz w:val="20"/>
                <w:szCs w:val="20"/>
                <w:color w:val="auto"/>
              </w:rPr>
            </w:pPr>
            <w:r>
              <w:rPr>
                <w:rFonts w:ascii="Times New Roman" w:cs="Times New Roman" w:eastAsia="Times New Roman" w:hAnsi="Times New Roman"/>
                <w:sz w:val="19"/>
                <w:szCs w:val="19"/>
                <w:color w:val="231F20"/>
              </w:rPr>
              <w:t>10.23</w:t>
            </w:r>
          </w:p>
        </w:tc>
        <w:tc>
          <w:tcPr>
            <w:tcW w:w="9020" w:type="dxa"/>
            <w:vAlign w:val="bottom"/>
          </w:tcPr>
          <w:p>
            <w:pPr>
              <w:ind w:left="100"/>
              <w:spacing w:after="0"/>
              <w:rPr>
                <w:sz w:val="20"/>
                <w:szCs w:val="20"/>
                <w:color w:val="auto"/>
              </w:rPr>
            </w:pPr>
            <w:r>
              <w:rPr>
                <w:rFonts w:ascii="Times New Roman" w:cs="Times New Roman" w:eastAsia="Times New Roman" w:hAnsi="Times New Roman"/>
                <w:sz w:val="19"/>
                <w:szCs w:val="19"/>
                <w:color w:val="231F20"/>
              </w:rPr>
              <w:t>Form of Restricted Share Award Agreement for long-term vesting and retention awards made under Federal Realty</w:t>
            </w:r>
          </w:p>
        </w:tc>
        <w:tc>
          <w:tcPr>
            <w:tcW w:w="0" w:type="dxa"/>
            <w:vAlign w:val="bottom"/>
          </w:tcPr>
          <w:p>
            <w:pPr>
              <w:spacing w:after="0"/>
              <w:rPr>
                <w:sz w:val="1"/>
                <w:szCs w:val="1"/>
                <w:color w:val="auto"/>
              </w:rPr>
            </w:pPr>
          </w:p>
        </w:tc>
      </w:tr>
      <w:tr>
        <w:trPr>
          <w:trHeight w:val="190"/>
        </w:trPr>
        <w:tc>
          <w:tcPr>
            <w:tcW w:w="620" w:type="dxa"/>
            <w:vAlign w:val="bottom"/>
          </w:tcPr>
          <w:p>
            <w:pPr>
              <w:spacing w:after="0"/>
              <w:rPr>
                <w:sz w:val="16"/>
                <w:szCs w:val="16"/>
                <w:color w:val="auto"/>
              </w:rPr>
            </w:pPr>
          </w:p>
        </w:tc>
        <w:tc>
          <w:tcPr>
            <w:tcW w:w="9020" w:type="dxa"/>
            <w:vAlign w:val="bottom"/>
          </w:tcPr>
          <w:p>
            <w:pPr>
              <w:ind w:left="100"/>
              <w:spacing w:after="0" w:line="190" w:lineRule="exact"/>
              <w:rPr>
                <w:sz w:val="20"/>
                <w:szCs w:val="20"/>
                <w:color w:val="auto"/>
              </w:rPr>
            </w:pPr>
            <w:r>
              <w:rPr>
                <w:rFonts w:ascii="Times New Roman" w:cs="Times New Roman" w:eastAsia="Times New Roman" w:hAnsi="Times New Roman"/>
                <w:sz w:val="19"/>
                <w:szCs w:val="19"/>
                <w:color w:val="231F20"/>
              </w:rPr>
              <w:t>Investment Trust’s Long-Term Incentive Award Program for shares issued out of the 2020 Plan (previously filed as</w:t>
            </w:r>
          </w:p>
        </w:tc>
        <w:tc>
          <w:tcPr>
            <w:tcW w:w="0" w:type="dxa"/>
            <w:vAlign w:val="bottom"/>
          </w:tcPr>
          <w:p>
            <w:pPr>
              <w:spacing w:after="0"/>
              <w:rPr>
                <w:sz w:val="1"/>
                <w:szCs w:val="1"/>
                <w:color w:val="auto"/>
              </w:rPr>
            </w:pPr>
          </w:p>
        </w:tc>
      </w:tr>
      <w:tr>
        <w:trPr>
          <w:trHeight w:val="190"/>
        </w:trPr>
        <w:tc>
          <w:tcPr>
            <w:tcW w:w="620" w:type="dxa"/>
            <w:vAlign w:val="bottom"/>
          </w:tcPr>
          <w:p>
            <w:pPr>
              <w:spacing w:after="0"/>
              <w:rPr>
                <w:sz w:val="16"/>
                <w:szCs w:val="16"/>
                <w:color w:val="auto"/>
              </w:rPr>
            </w:pPr>
          </w:p>
        </w:tc>
        <w:tc>
          <w:tcPr>
            <w:tcW w:w="9020" w:type="dxa"/>
            <w:vAlign w:val="bottom"/>
          </w:tcPr>
          <w:p>
            <w:pPr>
              <w:ind w:left="100"/>
              <w:spacing w:after="0" w:line="190" w:lineRule="exact"/>
              <w:rPr>
                <w:sz w:val="20"/>
                <w:szCs w:val="20"/>
                <w:color w:val="auto"/>
              </w:rPr>
            </w:pPr>
            <w:r>
              <w:rPr>
                <w:rFonts w:ascii="Times New Roman" w:cs="Times New Roman" w:eastAsia="Times New Roman" w:hAnsi="Times New Roman"/>
                <w:sz w:val="19"/>
                <w:szCs w:val="19"/>
                <w:color w:val="231F20"/>
                <w:w w:val="99"/>
              </w:rPr>
              <w:t>Exhibit 10.34 to the Predecessor's Annual Report on Form 10-K, filed on February 11, 2021, and incorporated herein</w:t>
            </w:r>
          </w:p>
        </w:tc>
        <w:tc>
          <w:tcPr>
            <w:tcW w:w="0" w:type="dxa"/>
            <w:vAlign w:val="bottom"/>
          </w:tcPr>
          <w:p>
            <w:pPr>
              <w:spacing w:after="0"/>
              <w:rPr>
                <w:sz w:val="1"/>
                <w:szCs w:val="1"/>
                <w:color w:val="auto"/>
              </w:rPr>
            </w:pPr>
          </w:p>
        </w:tc>
      </w:tr>
      <w:tr>
        <w:trPr>
          <w:trHeight w:val="249"/>
        </w:trPr>
        <w:tc>
          <w:tcPr>
            <w:tcW w:w="620" w:type="dxa"/>
            <w:vAlign w:val="bottom"/>
          </w:tcPr>
          <w:p>
            <w:pPr>
              <w:spacing w:after="0"/>
              <w:rPr>
                <w:sz w:val="21"/>
                <w:szCs w:val="21"/>
                <w:color w:val="auto"/>
              </w:rPr>
            </w:pPr>
          </w:p>
        </w:tc>
        <w:tc>
          <w:tcPr>
            <w:tcW w:w="9020" w:type="dxa"/>
            <w:vAlign w:val="bottom"/>
          </w:tcPr>
          <w:p>
            <w:pPr>
              <w:ind w:left="100"/>
              <w:spacing w:after="0"/>
              <w:rPr>
                <w:sz w:val="20"/>
                <w:szCs w:val="20"/>
                <w:color w:val="auto"/>
              </w:rPr>
            </w:pPr>
            <w:r>
              <w:rPr>
                <w:rFonts w:ascii="Times New Roman" w:cs="Times New Roman" w:eastAsia="Times New Roman" w:hAnsi="Times New Roman"/>
                <w:sz w:val="19"/>
                <w:szCs w:val="19"/>
                <w:color w:val="231F20"/>
              </w:rPr>
              <w:t>by reference)</w:t>
            </w:r>
          </w:p>
        </w:tc>
        <w:tc>
          <w:tcPr>
            <w:tcW w:w="0" w:type="dxa"/>
            <w:vAlign w:val="bottom"/>
          </w:tcPr>
          <w:p>
            <w:pPr>
              <w:spacing w:after="0"/>
              <w:rPr>
                <w:sz w:val="1"/>
                <w:szCs w:val="1"/>
                <w:color w:val="auto"/>
              </w:rPr>
            </w:pPr>
          </w:p>
        </w:tc>
      </w:tr>
      <w:tr>
        <w:trPr>
          <w:trHeight w:val="240"/>
        </w:trPr>
        <w:tc>
          <w:tcPr>
            <w:tcW w:w="620" w:type="dxa"/>
            <w:vAlign w:val="bottom"/>
          </w:tcPr>
          <w:p>
            <w:pPr>
              <w:spacing w:after="0"/>
              <w:rPr>
                <w:sz w:val="20"/>
                <w:szCs w:val="20"/>
                <w:color w:val="auto"/>
              </w:rPr>
            </w:pPr>
            <w:r>
              <w:rPr>
                <w:rFonts w:ascii="Times New Roman" w:cs="Times New Roman" w:eastAsia="Times New Roman" w:hAnsi="Times New Roman"/>
                <w:sz w:val="19"/>
                <w:szCs w:val="19"/>
                <w:color w:val="231F20"/>
              </w:rPr>
              <w:t>10.24</w:t>
            </w:r>
          </w:p>
        </w:tc>
        <w:tc>
          <w:tcPr>
            <w:tcW w:w="9020" w:type="dxa"/>
            <w:vAlign w:val="bottom"/>
          </w:tcPr>
          <w:p>
            <w:pPr>
              <w:ind w:left="100"/>
              <w:spacing w:after="0"/>
              <w:rPr>
                <w:sz w:val="20"/>
                <w:szCs w:val="20"/>
                <w:color w:val="auto"/>
              </w:rPr>
            </w:pPr>
            <w:r>
              <w:rPr>
                <w:rFonts w:ascii="Times New Roman" w:cs="Times New Roman" w:eastAsia="Times New Roman" w:hAnsi="Times New Roman"/>
                <w:sz w:val="19"/>
                <w:szCs w:val="19"/>
                <w:color w:val="231F20"/>
              </w:rPr>
              <w:t>Form of Performance Share Award Agreement for shares awarded out of the 2020 Plan (previously filed as Exhibit</w:t>
            </w:r>
          </w:p>
        </w:tc>
        <w:tc>
          <w:tcPr>
            <w:tcW w:w="0" w:type="dxa"/>
            <w:vAlign w:val="bottom"/>
          </w:tcPr>
          <w:p>
            <w:pPr>
              <w:spacing w:after="0"/>
              <w:rPr>
                <w:sz w:val="1"/>
                <w:szCs w:val="1"/>
                <w:color w:val="auto"/>
              </w:rPr>
            </w:pPr>
          </w:p>
        </w:tc>
      </w:tr>
      <w:tr>
        <w:trPr>
          <w:trHeight w:val="190"/>
        </w:trPr>
        <w:tc>
          <w:tcPr>
            <w:tcW w:w="620" w:type="dxa"/>
            <w:vAlign w:val="bottom"/>
          </w:tcPr>
          <w:p>
            <w:pPr>
              <w:spacing w:after="0"/>
              <w:rPr>
                <w:sz w:val="16"/>
                <w:szCs w:val="16"/>
                <w:color w:val="auto"/>
              </w:rPr>
            </w:pPr>
          </w:p>
        </w:tc>
        <w:tc>
          <w:tcPr>
            <w:tcW w:w="9020" w:type="dxa"/>
            <w:vAlign w:val="bottom"/>
          </w:tcPr>
          <w:p>
            <w:pPr>
              <w:ind w:left="100"/>
              <w:spacing w:after="0" w:line="190" w:lineRule="exact"/>
              <w:rPr>
                <w:sz w:val="20"/>
                <w:szCs w:val="20"/>
                <w:color w:val="auto"/>
              </w:rPr>
            </w:pPr>
            <w:r>
              <w:rPr>
                <w:rFonts w:ascii="Times New Roman" w:cs="Times New Roman" w:eastAsia="Times New Roman" w:hAnsi="Times New Roman"/>
                <w:sz w:val="19"/>
                <w:szCs w:val="19"/>
                <w:color w:val="231F20"/>
              </w:rPr>
              <w:t>10.35 to the Predecessor's Annual Report on From 10-K, filed on February 11, 2021, and incorporated herein by</w:t>
            </w:r>
          </w:p>
        </w:tc>
        <w:tc>
          <w:tcPr>
            <w:tcW w:w="0" w:type="dxa"/>
            <w:vAlign w:val="bottom"/>
          </w:tcPr>
          <w:p>
            <w:pPr>
              <w:spacing w:after="0"/>
              <w:rPr>
                <w:sz w:val="1"/>
                <w:szCs w:val="1"/>
                <w:color w:val="auto"/>
              </w:rPr>
            </w:pPr>
          </w:p>
        </w:tc>
      </w:tr>
      <w:tr>
        <w:trPr>
          <w:trHeight w:val="249"/>
        </w:trPr>
        <w:tc>
          <w:tcPr>
            <w:tcW w:w="620" w:type="dxa"/>
            <w:vAlign w:val="bottom"/>
          </w:tcPr>
          <w:p>
            <w:pPr>
              <w:spacing w:after="0"/>
              <w:rPr>
                <w:sz w:val="21"/>
                <w:szCs w:val="21"/>
                <w:color w:val="auto"/>
              </w:rPr>
            </w:pPr>
          </w:p>
        </w:tc>
        <w:tc>
          <w:tcPr>
            <w:tcW w:w="9020" w:type="dxa"/>
            <w:vAlign w:val="bottom"/>
          </w:tcPr>
          <w:p>
            <w:pPr>
              <w:ind w:left="100"/>
              <w:spacing w:after="0"/>
              <w:rPr>
                <w:sz w:val="20"/>
                <w:szCs w:val="20"/>
                <w:color w:val="auto"/>
              </w:rPr>
            </w:pPr>
            <w:r>
              <w:rPr>
                <w:rFonts w:ascii="Times New Roman" w:cs="Times New Roman" w:eastAsia="Times New Roman" w:hAnsi="Times New Roman"/>
                <w:sz w:val="19"/>
                <w:szCs w:val="19"/>
                <w:color w:val="231F20"/>
              </w:rPr>
              <w:t>reference)</w:t>
            </w:r>
          </w:p>
        </w:tc>
        <w:tc>
          <w:tcPr>
            <w:tcW w:w="0" w:type="dxa"/>
            <w:vAlign w:val="bottom"/>
          </w:tcPr>
          <w:p>
            <w:pPr>
              <w:spacing w:after="0"/>
              <w:rPr>
                <w:sz w:val="1"/>
                <w:szCs w:val="1"/>
                <w:color w:val="auto"/>
              </w:rPr>
            </w:pPr>
          </w:p>
        </w:tc>
      </w:tr>
      <w:tr>
        <w:trPr>
          <w:trHeight w:val="231"/>
        </w:trPr>
        <w:tc>
          <w:tcPr>
            <w:tcW w:w="620" w:type="dxa"/>
            <w:vAlign w:val="bottom"/>
          </w:tcPr>
          <w:p>
            <w:pPr>
              <w:spacing w:after="0"/>
              <w:rPr>
                <w:sz w:val="20"/>
                <w:szCs w:val="20"/>
                <w:color w:val="auto"/>
              </w:rPr>
            </w:pPr>
            <w:r>
              <w:rPr>
                <w:rFonts w:ascii="Times New Roman" w:cs="Times New Roman" w:eastAsia="Times New Roman" w:hAnsi="Times New Roman"/>
                <w:sz w:val="19"/>
                <w:szCs w:val="19"/>
                <w:color w:val="231F20"/>
              </w:rPr>
              <w:t>10.25</w:t>
            </w:r>
          </w:p>
        </w:tc>
        <w:tc>
          <w:tcPr>
            <w:tcW w:w="9020" w:type="dxa"/>
            <w:vAlign w:val="bottom"/>
          </w:tcPr>
          <w:p>
            <w:pPr>
              <w:ind w:left="100"/>
              <w:spacing w:after="0"/>
              <w:rPr>
                <w:sz w:val="20"/>
                <w:szCs w:val="20"/>
                <w:color w:val="auto"/>
              </w:rPr>
            </w:pPr>
            <w:r>
              <w:rPr>
                <w:rFonts w:ascii="Times New Roman" w:cs="Times New Roman" w:eastAsia="Times New Roman" w:hAnsi="Times New Roman"/>
                <w:sz w:val="19"/>
                <w:szCs w:val="19"/>
                <w:color w:val="231F20"/>
              </w:rPr>
              <w:t>Form of Option Award Agreement for basic options awarded out of the 2020 Plan (previously filed as Exhibit 10.36</w:t>
            </w:r>
          </w:p>
        </w:tc>
        <w:tc>
          <w:tcPr>
            <w:tcW w:w="0" w:type="dxa"/>
            <w:vAlign w:val="bottom"/>
          </w:tcPr>
          <w:p>
            <w:pPr>
              <w:spacing w:after="0"/>
              <w:rPr>
                <w:sz w:val="1"/>
                <w:szCs w:val="1"/>
                <w:color w:val="auto"/>
              </w:rPr>
            </w:pPr>
          </w:p>
        </w:tc>
      </w:tr>
      <w:tr>
        <w:trPr>
          <w:trHeight w:val="249"/>
        </w:trPr>
        <w:tc>
          <w:tcPr>
            <w:tcW w:w="620" w:type="dxa"/>
            <w:vAlign w:val="bottom"/>
          </w:tcPr>
          <w:p>
            <w:pPr>
              <w:spacing w:after="0"/>
              <w:rPr>
                <w:sz w:val="21"/>
                <w:szCs w:val="21"/>
                <w:color w:val="auto"/>
              </w:rPr>
            </w:pPr>
          </w:p>
        </w:tc>
        <w:tc>
          <w:tcPr>
            <w:tcW w:w="9020" w:type="dxa"/>
            <w:vAlign w:val="bottom"/>
          </w:tcPr>
          <w:p>
            <w:pPr>
              <w:ind w:left="100"/>
              <w:spacing w:after="0"/>
              <w:rPr>
                <w:sz w:val="20"/>
                <w:szCs w:val="20"/>
                <w:color w:val="auto"/>
              </w:rPr>
            </w:pPr>
            <w:r>
              <w:rPr>
                <w:rFonts w:ascii="Times New Roman" w:cs="Times New Roman" w:eastAsia="Times New Roman" w:hAnsi="Times New Roman"/>
                <w:sz w:val="19"/>
                <w:szCs w:val="19"/>
                <w:color w:val="231F20"/>
              </w:rPr>
              <w:t>to the Predecessor's Annual Report on Form 10-K, filed on February 11, 2021, and incorporated herein by reference)</w:t>
            </w:r>
          </w:p>
        </w:tc>
        <w:tc>
          <w:tcPr>
            <w:tcW w:w="0" w:type="dxa"/>
            <w:vAlign w:val="bottom"/>
          </w:tcPr>
          <w:p>
            <w:pPr>
              <w:spacing w:after="0"/>
              <w:rPr>
                <w:sz w:val="1"/>
                <w:szCs w:val="1"/>
                <w:color w:val="auto"/>
              </w:rPr>
            </w:pPr>
          </w:p>
        </w:tc>
      </w:tr>
      <w:tr>
        <w:trPr>
          <w:trHeight w:val="278"/>
        </w:trPr>
        <w:tc>
          <w:tcPr>
            <w:tcW w:w="620" w:type="dxa"/>
            <w:vAlign w:val="bottom"/>
          </w:tcPr>
          <w:p>
            <w:pPr>
              <w:spacing w:after="0"/>
              <w:rPr>
                <w:sz w:val="20"/>
                <w:szCs w:val="20"/>
                <w:color w:val="auto"/>
              </w:rPr>
            </w:pPr>
            <w:r>
              <w:rPr>
                <w:rFonts w:ascii="Times New Roman" w:cs="Times New Roman" w:eastAsia="Times New Roman" w:hAnsi="Times New Roman"/>
                <w:sz w:val="19"/>
                <w:szCs w:val="19"/>
                <w:color w:val="231F20"/>
              </w:rPr>
              <w:t>10.26</w:t>
            </w:r>
          </w:p>
        </w:tc>
        <w:tc>
          <w:tcPr>
            <w:tcW w:w="9020" w:type="dxa"/>
            <w:vAlign w:val="bottom"/>
          </w:tcPr>
          <w:p>
            <w:pPr>
              <w:ind w:left="100"/>
              <w:spacing w:after="0"/>
              <w:rPr>
                <w:sz w:val="20"/>
                <w:szCs w:val="20"/>
                <w:color w:val="auto"/>
              </w:rPr>
            </w:pPr>
            <w:r>
              <w:rPr>
                <w:rFonts w:ascii="Times New Roman" w:cs="Times New Roman" w:eastAsia="Times New Roman" w:hAnsi="Times New Roman"/>
                <w:sz w:val="19"/>
                <w:szCs w:val="19"/>
                <w:color w:val="231F20"/>
              </w:rPr>
              <w:t>Omnibus Assignment, Assumption and Amendment entered into between the Predecessor and the Parent Company</w:t>
            </w:r>
          </w:p>
        </w:tc>
        <w:tc>
          <w:tcPr>
            <w:tcW w:w="0" w:type="dxa"/>
            <w:vAlign w:val="bottom"/>
          </w:tcPr>
          <w:p>
            <w:pPr>
              <w:spacing w:after="0"/>
              <w:rPr>
                <w:sz w:val="1"/>
                <w:szCs w:val="1"/>
                <w:color w:val="auto"/>
              </w:rPr>
            </w:pPr>
          </w:p>
        </w:tc>
      </w:tr>
      <w:tr>
        <w:trPr>
          <w:trHeight w:val="186"/>
        </w:trPr>
        <w:tc>
          <w:tcPr>
            <w:tcW w:w="620" w:type="dxa"/>
            <w:vAlign w:val="bottom"/>
          </w:tcPr>
          <w:p>
            <w:pPr>
              <w:spacing w:after="0"/>
              <w:rPr>
                <w:sz w:val="16"/>
                <w:szCs w:val="16"/>
                <w:color w:val="auto"/>
              </w:rPr>
            </w:pPr>
          </w:p>
        </w:tc>
        <w:tc>
          <w:tcPr>
            <w:tcW w:w="9020" w:type="dxa"/>
            <w:vAlign w:val="bottom"/>
          </w:tcPr>
          <w:p>
            <w:pPr>
              <w:ind w:left="100"/>
              <w:spacing w:after="0" w:line="186" w:lineRule="exact"/>
              <w:rPr>
                <w:sz w:val="20"/>
                <w:szCs w:val="20"/>
                <w:color w:val="auto"/>
              </w:rPr>
            </w:pPr>
            <w:r>
              <w:rPr>
                <w:rFonts w:ascii="Times New Roman" w:cs="Times New Roman" w:eastAsia="Times New Roman" w:hAnsi="Times New Roman"/>
                <w:sz w:val="19"/>
                <w:szCs w:val="19"/>
                <w:color w:val="231F20"/>
              </w:rPr>
              <w:t>(previously filed as Exhibit 10.1 to our Current Report on Form 8-K, filed on January 3, 2022 and incorporated</w:t>
            </w:r>
          </w:p>
        </w:tc>
        <w:tc>
          <w:tcPr>
            <w:tcW w:w="0" w:type="dxa"/>
            <w:vAlign w:val="bottom"/>
          </w:tcPr>
          <w:p>
            <w:pPr>
              <w:spacing w:after="0"/>
              <w:rPr>
                <w:sz w:val="1"/>
                <w:szCs w:val="1"/>
                <w:color w:val="auto"/>
              </w:rPr>
            </w:pPr>
          </w:p>
        </w:tc>
      </w:tr>
      <w:tr>
        <w:trPr>
          <w:trHeight w:val="249"/>
        </w:trPr>
        <w:tc>
          <w:tcPr>
            <w:tcW w:w="620" w:type="dxa"/>
            <w:vAlign w:val="bottom"/>
          </w:tcPr>
          <w:p>
            <w:pPr>
              <w:spacing w:after="0"/>
              <w:rPr>
                <w:sz w:val="21"/>
                <w:szCs w:val="21"/>
                <w:color w:val="auto"/>
              </w:rPr>
            </w:pPr>
          </w:p>
        </w:tc>
        <w:tc>
          <w:tcPr>
            <w:tcW w:w="9020" w:type="dxa"/>
            <w:vAlign w:val="bottom"/>
          </w:tcPr>
          <w:p>
            <w:pPr>
              <w:ind w:left="100"/>
              <w:spacing w:after="0"/>
              <w:rPr>
                <w:sz w:val="20"/>
                <w:szCs w:val="20"/>
                <w:color w:val="auto"/>
              </w:rPr>
            </w:pPr>
            <w:r>
              <w:rPr>
                <w:rFonts w:ascii="Times New Roman" w:cs="Times New Roman" w:eastAsia="Times New Roman" w:hAnsi="Times New Roman"/>
                <w:sz w:val="19"/>
                <w:szCs w:val="19"/>
                <w:color w:val="231F20"/>
              </w:rPr>
              <w:t>herein by reference)</w:t>
            </w:r>
          </w:p>
        </w:tc>
        <w:tc>
          <w:tcPr>
            <w:tcW w:w="0" w:type="dxa"/>
            <w:vAlign w:val="bottom"/>
          </w:tcPr>
          <w:p>
            <w:pPr>
              <w:spacing w:after="0"/>
              <w:rPr>
                <w:sz w:val="1"/>
                <w:szCs w:val="1"/>
                <w:color w:val="auto"/>
              </w:rPr>
            </w:pPr>
          </w:p>
        </w:tc>
      </w:tr>
      <w:tr>
        <w:trPr>
          <w:trHeight w:val="306"/>
        </w:trPr>
        <w:tc>
          <w:tcPr>
            <w:tcW w:w="620" w:type="dxa"/>
            <w:vAlign w:val="bottom"/>
          </w:tcPr>
          <w:p>
            <w:pPr>
              <w:spacing w:after="0"/>
              <w:rPr>
                <w:sz w:val="20"/>
                <w:szCs w:val="20"/>
                <w:color w:val="auto"/>
              </w:rPr>
            </w:pPr>
            <w:r>
              <w:rPr>
                <w:rFonts w:ascii="Times New Roman" w:cs="Times New Roman" w:eastAsia="Times New Roman" w:hAnsi="Times New Roman"/>
                <w:sz w:val="19"/>
                <w:szCs w:val="19"/>
                <w:color w:val="231F20"/>
              </w:rPr>
              <w:t>10.27</w:t>
            </w:r>
          </w:p>
        </w:tc>
        <w:tc>
          <w:tcPr>
            <w:tcW w:w="9020" w:type="dxa"/>
            <w:vAlign w:val="bottom"/>
          </w:tcPr>
          <w:p>
            <w:pPr>
              <w:ind w:left="100"/>
              <w:spacing w:after="0"/>
              <w:rPr>
                <w:sz w:val="20"/>
                <w:szCs w:val="20"/>
                <w:color w:val="auto"/>
              </w:rPr>
            </w:pPr>
            <w:r>
              <w:rPr>
                <w:rFonts w:ascii="Times New Roman" w:cs="Times New Roman" w:eastAsia="Times New Roman" w:hAnsi="Times New Roman"/>
                <w:sz w:val="19"/>
                <w:szCs w:val="19"/>
                <w:color w:val="231F20"/>
              </w:rPr>
              <w:t>Second Amended and Restated Credit Agreement, dated as of October 5, 2022, by and among the Partnership, as</w:t>
            </w:r>
          </w:p>
        </w:tc>
        <w:tc>
          <w:tcPr>
            <w:tcW w:w="0" w:type="dxa"/>
            <w:vAlign w:val="bottom"/>
          </w:tcPr>
          <w:p>
            <w:pPr>
              <w:spacing w:after="0"/>
              <w:rPr>
                <w:sz w:val="1"/>
                <w:szCs w:val="1"/>
                <w:color w:val="auto"/>
              </w:rPr>
            </w:pPr>
          </w:p>
        </w:tc>
      </w:tr>
      <w:tr>
        <w:trPr>
          <w:trHeight w:val="190"/>
        </w:trPr>
        <w:tc>
          <w:tcPr>
            <w:tcW w:w="620" w:type="dxa"/>
            <w:vAlign w:val="bottom"/>
          </w:tcPr>
          <w:p>
            <w:pPr>
              <w:spacing w:after="0"/>
              <w:rPr>
                <w:sz w:val="16"/>
                <w:szCs w:val="16"/>
                <w:color w:val="auto"/>
              </w:rPr>
            </w:pPr>
          </w:p>
        </w:tc>
        <w:tc>
          <w:tcPr>
            <w:tcW w:w="9020" w:type="dxa"/>
            <w:vAlign w:val="bottom"/>
          </w:tcPr>
          <w:p>
            <w:pPr>
              <w:ind w:left="100"/>
              <w:spacing w:after="0" w:line="190" w:lineRule="exact"/>
              <w:rPr>
                <w:sz w:val="20"/>
                <w:szCs w:val="20"/>
                <w:color w:val="auto"/>
              </w:rPr>
            </w:pPr>
            <w:r>
              <w:rPr>
                <w:rFonts w:ascii="Times New Roman" w:cs="Times New Roman" w:eastAsia="Times New Roman" w:hAnsi="Times New Roman"/>
                <w:sz w:val="19"/>
                <w:szCs w:val="19"/>
                <w:color w:val="231F20"/>
              </w:rPr>
              <w:t>borrower, each of the lenders party thereto and Wells Fargo Bank, National Association, as administrative agent</w:t>
            </w:r>
          </w:p>
        </w:tc>
        <w:tc>
          <w:tcPr>
            <w:tcW w:w="0" w:type="dxa"/>
            <w:vAlign w:val="bottom"/>
          </w:tcPr>
          <w:p>
            <w:pPr>
              <w:spacing w:after="0"/>
              <w:rPr>
                <w:sz w:val="1"/>
                <w:szCs w:val="1"/>
                <w:color w:val="auto"/>
              </w:rPr>
            </w:pPr>
          </w:p>
        </w:tc>
      </w:tr>
      <w:tr>
        <w:trPr>
          <w:trHeight w:val="190"/>
        </w:trPr>
        <w:tc>
          <w:tcPr>
            <w:tcW w:w="620" w:type="dxa"/>
            <w:vAlign w:val="bottom"/>
          </w:tcPr>
          <w:p>
            <w:pPr>
              <w:spacing w:after="0"/>
              <w:rPr>
                <w:sz w:val="16"/>
                <w:szCs w:val="16"/>
                <w:color w:val="auto"/>
              </w:rPr>
            </w:pPr>
          </w:p>
        </w:tc>
        <w:tc>
          <w:tcPr>
            <w:tcW w:w="9020" w:type="dxa"/>
            <w:vAlign w:val="bottom"/>
          </w:tcPr>
          <w:p>
            <w:pPr>
              <w:ind w:left="100"/>
              <w:spacing w:after="0" w:line="190" w:lineRule="exact"/>
              <w:rPr>
                <w:sz w:val="20"/>
                <w:szCs w:val="20"/>
                <w:color w:val="auto"/>
              </w:rPr>
            </w:pPr>
            <w:r>
              <w:rPr>
                <w:rFonts w:ascii="Times New Roman" w:cs="Times New Roman" w:eastAsia="Times New Roman" w:hAnsi="Times New Roman"/>
                <w:sz w:val="19"/>
                <w:szCs w:val="19"/>
                <w:color w:val="231F20"/>
              </w:rPr>
              <w:t>(previously filed as Exhibit 10.1 to the Trust’s Current Report on Form 8-K filed on October 11, 2022 and</w:t>
            </w:r>
          </w:p>
        </w:tc>
        <w:tc>
          <w:tcPr>
            <w:tcW w:w="0" w:type="dxa"/>
            <w:vAlign w:val="bottom"/>
          </w:tcPr>
          <w:p>
            <w:pPr>
              <w:spacing w:after="0"/>
              <w:rPr>
                <w:sz w:val="1"/>
                <w:szCs w:val="1"/>
                <w:color w:val="auto"/>
              </w:rPr>
            </w:pPr>
          </w:p>
        </w:tc>
      </w:tr>
      <w:tr>
        <w:trPr>
          <w:trHeight w:val="249"/>
        </w:trPr>
        <w:tc>
          <w:tcPr>
            <w:tcW w:w="620" w:type="dxa"/>
            <w:vAlign w:val="bottom"/>
          </w:tcPr>
          <w:p>
            <w:pPr>
              <w:spacing w:after="0"/>
              <w:rPr>
                <w:sz w:val="21"/>
                <w:szCs w:val="21"/>
                <w:color w:val="auto"/>
              </w:rPr>
            </w:pPr>
          </w:p>
        </w:tc>
        <w:tc>
          <w:tcPr>
            <w:tcW w:w="9020" w:type="dxa"/>
            <w:vAlign w:val="bottom"/>
          </w:tcPr>
          <w:p>
            <w:pPr>
              <w:ind w:left="100"/>
              <w:spacing w:after="0"/>
              <w:rPr>
                <w:sz w:val="20"/>
                <w:szCs w:val="20"/>
                <w:color w:val="auto"/>
              </w:rPr>
            </w:pPr>
            <w:r>
              <w:rPr>
                <w:rFonts w:ascii="Times New Roman" w:cs="Times New Roman" w:eastAsia="Times New Roman" w:hAnsi="Times New Roman"/>
                <w:sz w:val="19"/>
                <w:szCs w:val="19"/>
                <w:color w:val="231F20"/>
              </w:rPr>
              <w:t>incorporated herein by reference)</w:t>
            </w:r>
          </w:p>
        </w:tc>
        <w:tc>
          <w:tcPr>
            <w:tcW w:w="0" w:type="dxa"/>
            <w:vAlign w:val="bottom"/>
          </w:tcPr>
          <w:p>
            <w:pPr>
              <w:spacing w:after="0"/>
              <w:rPr>
                <w:sz w:val="1"/>
                <w:szCs w:val="1"/>
                <w:color w:val="auto"/>
              </w:rPr>
            </w:pPr>
          </w:p>
        </w:tc>
      </w:tr>
      <w:tr>
        <w:trPr>
          <w:trHeight w:val="269"/>
        </w:trPr>
        <w:tc>
          <w:tcPr>
            <w:tcW w:w="620" w:type="dxa"/>
            <w:vAlign w:val="bottom"/>
          </w:tcPr>
          <w:p>
            <w:pPr>
              <w:spacing w:after="0"/>
              <w:rPr>
                <w:sz w:val="20"/>
                <w:szCs w:val="20"/>
                <w:color w:val="auto"/>
              </w:rPr>
            </w:pPr>
            <w:r>
              <w:rPr>
                <w:rFonts w:ascii="Times New Roman" w:cs="Times New Roman" w:eastAsia="Times New Roman" w:hAnsi="Times New Roman"/>
                <w:sz w:val="19"/>
                <w:szCs w:val="19"/>
                <w:color w:val="231F20"/>
              </w:rPr>
              <w:t>10.28</w:t>
            </w:r>
          </w:p>
        </w:tc>
        <w:tc>
          <w:tcPr>
            <w:tcW w:w="9020" w:type="dxa"/>
            <w:vAlign w:val="bottom"/>
          </w:tcPr>
          <w:p>
            <w:pPr>
              <w:ind w:left="100"/>
              <w:spacing w:after="0"/>
              <w:rPr>
                <w:sz w:val="20"/>
                <w:szCs w:val="20"/>
                <w:color w:val="auto"/>
              </w:rPr>
            </w:pPr>
            <w:r>
              <w:rPr>
                <w:rFonts w:ascii="Times New Roman" w:cs="Times New Roman" w:eastAsia="Times New Roman" w:hAnsi="Times New Roman"/>
                <w:sz w:val="19"/>
                <w:szCs w:val="19"/>
                <w:color w:val="231F20"/>
              </w:rPr>
              <w:t>First Amendment to Second Amended and Restated Credit Agreement, dated as of August 25, 2023, by and among</w:t>
            </w:r>
          </w:p>
        </w:tc>
        <w:tc>
          <w:tcPr>
            <w:tcW w:w="0" w:type="dxa"/>
            <w:vAlign w:val="bottom"/>
          </w:tcPr>
          <w:p>
            <w:pPr>
              <w:spacing w:after="0"/>
              <w:rPr>
                <w:sz w:val="1"/>
                <w:szCs w:val="1"/>
                <w:color w:val="auto"/>
              </w:rPr>
            </w:pPr>
          </w:p>
        </w:tc>
      </w:tr>
      <w:tr>
        <w:trPr>
          <w:trHeight w:val="190"/>
        </w:trPr>
        <w:tc>
          <w:tcPr>
            <w:tcW w:w="620" w:type="dxa"/>
            <w:vAlign w:val="bottom"/>
          </w:tcPr>
          <w:p>
            <w:pPr>
              <w:spacing w:after="0"/>
              <w:rPr>
                <w:sz w:val="16"/>
                <w:szCs w:val="16"/>
                <w:color w:val="auto"/>
              </w:rPr>
            </w:pPr>
          </w:p>
        </w:tc>
        <w:tc>
          <w:tcPr>
            <w:tcW w:w="9020" w:type="dxa"/>
            <w:vAlign w:val="bottom"/>
          </w:tcPr>
          <w:p>
            <w:pPr>
              <w:ind w:left="100"/>
              <w:spacing w:after="0" w:line="190" w:lineRule="exact"/>
              <w:rPr>
                <w:sz w:val="20"/>
                <w:szCs w:val="20"/>
                <w:color w:val="auto"/>
              </w:rPr>
            </w:pPr>
            <w:r>
              <w:rPr>
                <w:rFonts w:ascii="Times New Roman" w:cs="Times New Roman" w:eastAsia="Times New Roman" w:hAnsi="Times New Roman"/>
                <w:sz w:val="19"/>
                <w:szCs w:val="19"/>
                <w:color w:val="231F20"/>
              </w:rPr>
              <w:t>the Partnership, as borrower, each of the lenders party thereto and Wells Fargo Bank, National Association, as</w:t>
            </w:r>
          </w:p>
        </w:tc>
        <w:tc>
          <w:tcPr>
            <w:tcW w:w="0" w:type="dxa"/>
            <w:vAlign w:val="bottom"/>
          </w:tcPr>
          <w:p>
            <w:pPr>
              <w:spacing w:after="0"/>
              <w:rPr>
                <w:sz w:val="1"/>
                <w:szCs w:val="1"/>
                <w:color w:val="auto"/>
              </w:rPr>
            </w:pPr>
          </w:p>
        </w:tc>
      </w:tr>
      <w:tr>
        <w:trPr>
          <w:trHeight w:val="190"/>
        </w:trPr>
        <w:tc>
          <w:tcPr>
            <w:tcW w:w="620" w:type="dxa"/>
            <w:vAlign w:val="bottom"/>
          </w:tcPr>
          <w:p>
            <w:pPr>
              <w:spacing w:after="0"/>
              <w:rPr>
                <w:sz w:val="16"/>
                <w:szCs w:val="16"/>
                <w:color w:val="auto"/>
              </w:rPr>
            </w:pPr>
          </w:p>
        </w:tc>
        <w:tc>
          <w:tcPr>
            <w:tcW w:w="9020" w:type="dxa"/>
            <w:vAlign w:val="bottom"/>
          </w:tcPr>
          <w:p>
            <w:pPr>
              <w:ind w:left="100"/>
              <w:spacing w:after="0" w:line="190" w:lineRule="exact"/>
              <w:rPr>
                <w:sz w:val="20"/>
                <w:szCs w:val="20"/>
                <w:color w:val="auto"/>
              </w:rPr>
            </w:pPr>
            <w:r>
              <w:rPr>
                <w:rFonts w:ascii="Times New Roman" w:cs="Times New Roman" w:eastAsia="Times New Roman" w:hAnsi="Times New Roman"/>
                <w:sz w:val="19"/>
                <w:szCs w:val="19"/>
                <w:color w:val="231F20"/>
              </w:rPr>
              <w:t>administrative agent (previously filed a Exhibit 10.34 to the Trust's Annual Report on Form 10-K, filed on February</w:t>
            </w:r>
          </w:p>
        </w:tc>
        <w:tc>
          <w:tcPr>
            <w:tcW w:w="0" w:type="dxa"/>
            <w:vAlign w:val="bottom"/>
          </w:tcPr>
          <w:p>
            <w:pPr>
              <w:spacing w:after="0"/>
              <w:rPr>
                <w:sz w:val="1"/>
                <w:szCs w:val="1"/>
                <w:color w:val="auto"/>
              </w:rPr>
            </w:pPr>
          </w:p>
        </w:tc>
      </w:tr>
      <w:tr>
        <w:trPr>
          <w:trHeight w:val="249"/>
        </w:trPr>
        <w:tc>
          <w:tcPr>
            <w:tcW w:w="620" w:type="dxa"/>
            <w:vAlign w:val="bottom"/>
          </w:tcPr>
          <w:p>
            <w:pPr>
              <w:spacing w:after="0"/>
              <w:rPr>
                <w:sz w:val="21"/>
                <w:szCs w:val="21"/>
                <w:color w:val="auto"/>
              </w:rPr>
            </w:pPr>
          </w:p>
        </w:tc>
        <w:tc>
          <w:tcPr>
            <w:tcW w:w="9020" w:type="dxa"/>
            <w:vAlign w:val="bottom"/>
          </w:tcPr>
          <w:p>
            <w:pPr>
              <w:ind w:left="100"/>
              <w:spacing w:after="0"/>
              <w:rPr>
                <w:sz w:val="20"/>
                <w:szCs w:val="20"/>
                <w:color w:val="auto"/>
              </w:rPr>
            </w:pPr>
            <w:r>
              <w:rPr>
                <w:rFonts w:ascii="Times New Roman" w:cs="Times New Roman" w:eastAsia="Times New Roman" w:hAnsi="Times New Roman"/>
                <w:sz w:val="19"/>
                <w:szCs w:val="19"/>
                <w:color w:val="231F20"/>
              </w:rPr>
              <w:t>12, 2024 and incorporated herein by reference)</w:t>
            </w:r>
          </w:p>
        </w:tc>
        <w:tc>
          <w:tcPr>
            <w:tcW w:w="0" w:type="dxa"/>
            <w:vAlign w:val="bottom"/>
          </w:tcPr>
          <w:p>
            <w:pPr>
              <w:spacing w:after="0"/>
              <w:rPr>
                <w:sz w:val="1"/>
                <w:szCs w:val="1"/>
                <w:color w:val="auto"/>
              </w:rPr>
            </w:pPr>
          </w:p>
        </w:tc>
      </w:tr>
      <w:tr>
        <w:trPr>
          <w:trHeight w:val="283"/>
        </w:trPr>
        <w:tc>
          <w:tcPr>
            <w:tcW w:w="620" w:type="dxa"/>
            <w:vAlign w:val="bottom"/>
          </w:tcPr>
          <w:p>
            <w:pPr>
              <w:spacing w:after="0"/>
              <w:rPr>
                <w:sz w:val="20"/>
                <w:szCs w:val="20"/>
                <w:color w:val="auto"/>
              </w:rPr>
            </w:pPr>
            <w:r>
              <w:rPr>
                <w:rFonts w:ascii="Times New Roman" w:cs="Times New Roman" w:eastAsia="Times New Roman" w:hAnsi="Times New Roman"/>
                <w:sz w:val="19"/>
                <w:szCs w:val="19"/>
                <w:color w:val="231F20"/>
              </w:rPr>
              <w:t>10.29</w:t>
            </w:r>
          </w:p>
        </w:tc>
        <w:tc>
          <w:tcPr>
            <w:tcW w:w="9020" w:type="dxa"/>
            <w:vAlign w:val="bottom"/>
          </w:tcPr>
          <w:p>
            <w:pPr>
              <w:ind w:left="100"/>
              <w:spacing w:after="0"/>
              <w:rPr>
                <w:sz w:val="20"/>
                <w:szCs w:val="20"/>
                <w:color w:val="auto"/>
              </w:rPr>
            </w:pPr>
            <w:r>
              <w:rPr>
                <w:rFonts w:ascii="Times New Roman" w:cs="Times New Roman" w:eastAsia="Times New Roman" w:hAnsi="Times New Roman"/>
                <w:sz w:val="19"/>
                <w:szCs w:val="19"/>
                <w:color w:val="231F20"/>
                <w:w w:val="99"/>
              </w:rPr>
              <w:t>Second Amendment to Second Amended and Restated Credit Agreement, dated as of January 2, 2024, by and among</w:t>
            </w:r>
          </w:p>
        </w:tc>
        <w:tc>
          <w:tcPr>
            <w:tcW w:w="0" w:type="dxa"/>
            <w:vAlign w:val="bottom"/>
          </w:tcPr>
          <w:p>
            <w:pPr>
              <w:spacing w:after="0"/>
              <w:rPr>
                <w:sz w:val="1"/>
                <w:szCs w:val="1"/>
                <w:color w:val="auto"/>
              </w:rPr>
            </w:pPr>
          </w:p>
        </w:tc>
      </w:tr>
      <w:tr>
        <w:trPr>
          <w:trHeight w:val="190"/>
        </w:trPr>
        <w:tc>
          <w:tcPr>
            <w:tcW w:w="620" w:type="dxa"/>
            <w:vAlign w:val="bottom"/>
          </w:tcPr>
          <w:p>
            <w:pPr>
              <w:spacing w:after="0"/>
              <w:rPr>
                <w:sz w:val="16"/>
                <w:szCs w:val="16"/>
                <w:color w:val="auto"/>
              </w:rPr>
            </w:pPr>
          </w:p>
        </w:tc>
        <w:tc>
          <w:tcPr>
            <w:tcW w:w="9020" w:type="dxa"/>
            <w:vAlign w:val="bottom"/>
          </w:tcPr>
          <w:p>
            <w:pPr>
              <w:ind w:left="100"/>
              <w:spacing w:after="0" w:line="190" w:lineRule="exact"/>
              <w:rPr>
                <w:sz w:val="20"/>
                <w:szCs w:val="20"/>
                <w:color w:val="auto"/>
              </w:rPr>
            </w:pPr>
            <w:r>
              <w:rPr>
                <w:rFonts w:ascii="Times New Roman" w:cs="Times New Roman" w:eastAsia="Times New Roman" w:hAnsi="Times New Roman"/>
                <w:sz w:val="19"/>
                <w:szCs w:val="19"/>
                <w:color w:val="231F20"/>
              </w:rPr>
              <w:t>the Partnership, as borrower, each of the lenders party thereto and Wells Fargo Bank, National Association, as</w:t>
            </w:r>
          </w:p>
        </w:tc>
        <w:tc>
          <w:tcPr>
            <w:tcW w:w="0" w:type="dxa"/>
            <w:vAlign w:val="bottom"/>
          </w:tcPr>
          <w:p>
            <w:pPr>
              <w:spacing w:after="0"/>
              <w:rPr>
                <w:sz w:val="1"/>
                <w:szCs w:val="1"/>
                <w:color w:val="auto"/>
              </w:rPr>
            </w:pPr>
          </w:p>
        </w:tc>
      </w:tr>
      <w:tr>
        <w:trPr>
          <w:trHeight w:val="190"/>
        </w:trPr>
        <w:tc>
          <w:tcPr>
            <w:tcW w:w="620" w:type="dxa"/>
            <w:vAlign w:val="bottom"/>
          </w:tcPr>
          <w:p>
            <w:pPr>
              <w:spacing w:after="0"/>
              <w:rPr>
                <w:sz w:val="16"/>
                <w:szCs w:val="16"/>
                <w:color w:val="auto"/>
              </w:rPr>
            </w:pPr>
          </w:p>
        </w:tc>
        <w:tc>
          <w:tcPr>
            <w:tcW w:w="9020" w:type="dxa"/>
            <w:vAlign w:val="bottom"/>
          </w:tcPr>
          <w:p>
            <w:pPr>
              <w:ind w:left="100"/>
              <w:spacing w:after="0" w:line="190" w:lineRule="exact"/>
              <w:rPr>
                <w:sz w:val="20"/>
                <w:szCs w:val="20"/>
                <w:color w:val="auto"/>
              </w:rPr>
            </w:pPr>
            <w:r>
              <w:rPr>
                <w:rFonts w:ascii="Times New Roman" w:cs="Times New Roman" w:eastAsia="Times New Roman" w:hAnsi="Times New Roman"/>
                <w:sz w:val="19"/>
                <w:szCs w:val="19"/>
                <w:color w:val="231F20"/>
              </w:rPr>
              <w:t>administrative agent (previously filed a Exhibit 10.36 to the Trust's Annual Report on Form 10-K, filed on February</w:t>
            </w:r>
          </w:p>
        </w:tc>
        <w:tc>
          <w:tcPr>
            <w:tcW w:w="0" w:type="dxa"/>
            <w:vAlign w:val="bottom"/>
          </w:tcPr>
          <w:p>
            <w:pPr>
              <w:spacing w:after="0"/>
              <w:rPr>
                <w:sz w:val="1"/>
                <w:szCs w:val="1"/>
                <w:color w:val="auto"/>
              </w:rPr>
            </w:pPr>
          </w:p>
        </w:tc>
      </w:tr>
      <w:tr>
        <w:trPr>
          <w:trHeight w:val="249"/>
        </w:trPr>
        <w:tc>
          <w:tcPr>
            <w:tcW w:w="620" w:type="dxa"/>
            <w:vAlign w:val="bottom"/>
          </w:tcPr>
          <w:p>
            <w:pPr>
              <w:spacing w:after="0"/>
              <w:rPr>
                <w:sz w:val="21"/>
                <w:szCs w:val="21"/>
                <w:color w:val="auto"/>
              </w:rPr>
            </w:pPr>
          </w:p>
        </w:tc>
        <w:tc>
          <w:tcPr>
            <w:tcW w:w="9020" w:type="dxa"/>
            <w:vAlign w:val="bottom"/>
          </w:tcPr>
          <w:p>
            <w:pPr>
              <w:ind w:left="100"/>
              <w:spacing w:after="0"/>
              <w:rPr>
                <w:sz w:val="20"/>
                <w:szCs w:val="20"/>
                <w:color w:val="auto"/>
              </w:rPr>
            </w:pPr>
            <w:r>
              <w:rPr>
                <w:rFonts w:ascii="Times New Roman" w:cs="Times New Roman" w:eastAsia="Times New Roman" w:hAnsi="Times New Roman"/>
                <w:sz w:val="19"/>
                <w:szCs w:val="19"/>
                <w:color w:val="231F20"/>
              </w:rPr>
              <w:t>12, 2024 and incorporated herein by reference)</w:t>
            </w:r>
          </w:p>
        </w:tc>
        <w:tc>
          <w:tcPr>
            <w:tcW w:w="0" w:type="dxa"/>
            <w:vAlign w:val="bottom"/>
          </w:tcPr>
          <w:p>
            <w:pPr>
              <w:spacing w:after="0"/>
              <w:rPr>
                <w:sz w:val="1"/>
                <w:szCs w:val="1"/>
                <w:color w:val="auto"/>
              </w:rPr>
            </w:pPr>
          </w:p>
        </w:tc>
      </w:tr>
      <w:tr>
        <w:trPr>
          <w:trHeight w:val="283"/>
        </w:trPr>
        <w:tc>
          <w:tcPr>
            <w:tcW w:w="620" w:type="dxa"/>
            <w:vAlign w:val="bottom"/>
          </w:tcPr>
          <w:p>
            <w:pPr>
              <w:spacing w:after="0"/>
              <w:rPr>
                <w:sz w:val="20"/>
                <w:szCs w:val="20"/>
                <w:color w:val="auto"/>
              </w:rPr>
            </w:pPr>
            <w:r>
              <w:rPr>
                <w:rFonts w:ascii="Times New Roman" w:cs="Times New Roman" w:eastAsia="Times New Roman" w:hAnsi="Times New Roman"/>
                <w:sz w:val="19"/>
                <w:szCs w:val="19"/>
                <w:color w:val="231F20"/>
              </w:rPr>
              <w:t>10.30</w:t>
            </w:r>
          </w:p>
        </w:tc>
        <w:tc>
          <w:tcPr>
            <w:tcW w:w="9020" w:type="dxa"/>
            <w:vAlign w:val="bottom"/>
          </w:tcPr>
          <w:p>
            <w:pPr>
              <w:ind w:left="100"/>
              <w:spacing w:after="0"/>
              <w:rPr>
                <w:sz w:val="20"/>
                <w:szCs w:val="20"/>
                <w:color w:val="auto"/>
              </w:rPr>
            </w:pPr>
            <w:r>
              <w:rPr>
                <w:rFonts w:ascii="Times New Roman" w:cs="Times New Roman" w:eastAsia="Times New Roman" w:hAnsi="Times New Roman"/>
                <w:sz w:val="19"/>
                <w:szCs w:val="19"/>
                <w:color w:val="231F20"/>
              </w:rPr>
              <w:t>Registration Rights Agreement dated January 11, 2024 among the Issuer, the Parent and the Representatives</w:t>
            </w:r>
          </w:p>
        </w:tc>
        <w:tc>
          <w:tcPr>
            <w:tcW w:w="0" w:type="dxa"/>
            <w:vAlign w:val="bottom"/>
          </w:tcPr>
          <w:p>
            <w:pPr>
              <w:spacing w:after="0"/>
              <w:rPr>
                <w:sz w:val="1"/>
                <w:szCs w:val="1"/>
                <w:color w:val="auto"/>
              </w:rPr>
            </w:pPr>
          </w:p>
        </w:tc>
      </w:tr>
      <w:tr>
        <w:trPr>
          <w:trHeight w:val="190"/>
        </w:trPr>
        <w:tc>
          <w:tcPr>
            <w:tcW w:w="620" w:type="dxa"/>
            <w:vAlign w:val="bottom"/>
          </w:tcPr>
          <w:p>
            <w:pPr>
              <w:spacing w:after="0"/>
              <w:rPr>
                <w:sz w:val="16"/>
                <w:szCs w:val="16"/>
                <w:color w:val="auto"/>
              </w:rPr>
            </w:pPr>
          </w:p>
        </w:tc>
        <w:tc>
          <w:tcPr>
            <w:tcW w:w="9020" w:type="dxa"/>
            <w:vAlign w:val="bottom"/>
          </w:tcPr>
          <w:p>
            <w:pPr>
              <w:ind w:left="100"/>
              <w:spacing w:after="0" w:line="190" w:lineRule="exact"/>
              <w:rPr>
                <w:sz w:val="20"/>
                <w:szCs w:val="20"/>
                <w:color w:val="auto"/>
              </w:rPr>
            </w:pPr>
            <w:r>
              <w:rPr>
                <w:rFonts w:ascii="Times New Roman" w:cs="Times New Roman" w:eastAsia="Times New Roman" w:hAnsi="Times New Roman"/>
                <w:sz w:val="19"/>
                <w:szCs w:val="19"/>
                <w:color w:val="231F20"/>
              </w:rPr>
              <w:t>(previously filed as Exhibit 10.1 to the Trust’s Current Report on Form 8-K filed on January 11, 2024 and</w:t>
            </w:r>
          </w:p>
        </w:tc>
        <w:tc>
          <w:tcPr>
            <w:tcW w:w="0" w:type="dxa"/>
            <w:vAlign w:val="bottom"/>
          </w:tcPr>
          <w:p>
            <w:pPr>
              <w:spacing w:after="0"/>
              <w:rPr>
                <w:sz w:val="1"/>
                <w:szCs w:val="1"/>
                <w:color w:val="auto"/>
              </w:rPr>
            </w:pPr>
          </w:p>
        </w:tc>
      </w:tr>
      <w:tr>
        <w:trPr>
          <w:trHeight w:val="249"/>
        </w:trPr>
        <w:tc>
          <w:tcPr>
            <w:tcW w:w="620" w:type="dxa"/>
            <w:vAlign w:val="bottom"/>
          </w:tcPr>
          <w:p>
            <w:pPr>
              <w:spacing w:after="0"/>
              <w:rPr>
                <w:sz w:val="21"/>
                <w:szCs w:val="21"/>
                <w:color w:val="auto"/>
              </w:rPr>
            </w:pPr>
          </w:p>
        </w:tc>
        <w:tc>
          <w:tcPr>
            <w:tcW w:w="9020" w:type="dxa"/>
            <w:vAlign w:val="bottom"/>
          </w:tcPr>
          <w:p>
            <w:pPr>
              <w:ind w:left="100"/>
              <w:spacing w:after="0"/>
              <w:rPr>
                <w:sz w:val="20"/>
                <w:szCs w:val="20"/>
                <w:color w:val="auto"/>
              </w:rPr>
            </w:pPr>
            <w:r>
              <w:rPr>
                <w:rFonts w:ascii="Times New Roman" w:cs="Times New Roman" w:eastAsia="Times New Roman" w:hAnsi="Times New Roman"/>
                <w:sz w:val="19"/>
                <w:szCs w:val="19"/>
                <w:color w:val="231F20"/>
              </w:rPr>
              <w:t>incorporated herein by reference)</w:t>
            </w:r>
          </w:p>
        </w:tc>
        <w:tc>
          <w:tcPr>
            <w:tcW w:w="0" w:type="dxa"/>
            <w:vAlign w:val="bottom"/>
          </w:tcPr>
          <w:p>
            <w:pPr>
              <w:spacing w:after="0"/>
              <w:rPr>
                <w:sz w:val="1"/>
                <w:szCs w:val="1"/>
                <w:color w:val="auto"/>
              </w:rPr>
            </w:pPr>
          </w:p>
        </w:tc>
      </w:tr>
      <w:tr>
        <w:trPr>
          <w:trHeight w:val="288"/>
        </w:trPr>
        <w:tc>
          <w:tcPr>
            <w:tcW w:w="620" w:type="dxa"/>
            <w:vAlign w:val="bottom"/>
          </w:tcPr>
          <w:p>
            <w:pPr>
              <w:spacing w:after="0"/>
              <w:rPr>
                <w:sz w:val="20"/>
                <w:szCs w:val="20"/>
                <w:color w:val="auto"/>
              </w:rPr>
            </w:pPr>
            <w:r>
              <w:rPr>
                <w:rFonts w:ascii="Times New Roman" w:cs="Times New Roman" w:eastAsia="Times New Roman" w:hAnsi="Times New Roman"/>
                <w:sz w:val="19"/>
                <w:szCs w:val="19"/>
                <w:color w:val="231F20"/>
              </w:rPr>
              <w:t>10.31</w:t>
            </w:r>
          </w:p>
        </w:tc>
        <w:tc>
          <w:tcPr>
            <w:tcW w:w="9020" w:type="dxa"/>
            <w:vAlign w:val="bottom"/>
          </w:tcPr>
          <w:p>
            <w:pPr>
              <w:ind w:left="100"/>
              <w:spacing w:after="0"/>
              <w:rPr>
                <w:sz w:val="20"/>
                <w:szCs w:val="20"/>
                <w:color w:val="auto"/>
              </w:rPr>
            </w:pPr>
            <w:r>
              <w:rPr>
                <w:rFonts w:ascii="Times New Roman" w:cs="Times New Roman" w:eastAsia="Times New Roman" w:hAnsi="Times New Roman"/>
                <w:sz w:val="19"/>
                <w:szCs w:val="19"/>
                <w:color w:val="231F20"/>
              </w:rPr>
              <w:t>Third Amendment to Second Amended and Restated Credit Agreement, dated as of March 14, 2024, by and among</w:t>
            </w:r>
          </w:p>
        </w:tc>
        <w:tc>
          <w:tcPr>
            <w:tcW w:w="0" w:type="dxa"/>
            <w:vAlign w:val="bottom"/>
          </w:tcPr>
          <w:p>
            <w:pPr>
              <w:spacing w:after="0"/>
              <w:rPr>
                <w:sz w:val="1"/>
                <w:szCs w:val="1"/>
                <w:color w:val="auto"/>
              </w:rPr>
            </w:pPr>
          </w:p>
        </w:tc>
      </w:tr>
      <w:tr>
        <w:trPr>
          <w:trHeight w:val="190"/>
        </w:trPr>
        <w:tc>
          <w:tcPr>
            <w:tcW w:w="620" w:type="dxa"/>
            <w:vAlign w:val="bottom"/>
          </w:tcPr>
          <w:p>
            <w:pPr>
              <w:spacing w:after="0"/>
              <w:rPr>
                <w:sz w:val="16"/>
                <w:szCs w:val="16"/>
                <w:color w:val="auto"/>
              </w:rPr>
            </w:pPr>
          </w:p>
        </w:tc>
        <w:tc>
          <w:tcPr>
            <w:tcW w:w="9020" w:type="dxa"/>
            <w:vAlign w:val="bottom"/>
          </w:tcPr>
          <w:p>
            <w:pPr>
              <w:ind w:left="100"/>
              <w:spacing w:after="0" w:line="190" w:lineRule="exact"/>
              <w:rPr>
                <w:sz w:val="20"/>
                <w:szCs w:val="20"/>
                <w:color w:val="auto"/>
              </w:rPr>
            </w:pPr>
            <w:r>
              <w:rPr>
                <w:rFonts w:ascii="Times New Roman" w:cs="Times New Roman" w:eastAsia="Times New Roman" w:hAnsi="Times New Roman"/>
                <w:sz w:val="19"/>
                <w:szCs w:val="19"/>
                <w:color w:val="231F20"/>
              </w:rPr>
              <w:t>the Partnership, as borrower, each of the lenders arty thereto and Wells Fargo Bank, National Association, as</w:t>
            </w:r>
          </w:p>
        </w:tc>
        <w:tc>
          <w:tcPr>
            <w:tcW w:w="0" w:type="dxa"/>
            <w:vAlign w:val="bottom"/>
          </w:tcPr>
          <w:p>
            <w:pPr>
              <w:spacing w:after="0"/>
              <w:rPr>
                <w:sz w:val="1"/>
                <w:szCs w:val="1"/>
                <w:color w:val="auto"/>
              </w:rPr>
            </w:pPr>
          </w:p>
        </w:tc>
      </w:tr>
      <w:tr>
        <w:trPr>
          <w:trHeight w:val="190"/>
        </w:trPr>
        <w:tc>
          <w:tcPr>
            <w:tcW w:w="620" w:type="dxa"/>
            <w:vAlign w:val="bottom"/>
          </w:tcPr>
          <w:p>
            <w:pPr>
              <w:spacing w:after="0"/>
              <w:rPr>
                <w:sz w:val="16"/>
                <w:szCs w:val="16"/>
                <w:color w:val="auto"/>
              </w:rPr>
            </w:pPr>
          </w:p>
        </w:tc>
        <w:tc>
          <w:tcPr>
            <w:tcW w:w="9020" w:type="dxa"/>
            <w:vAlign w:val="bottom"/>
          </w:tcPr>
          <w:p>
            <w:pPr>
              <w:ind w:left="100"/>
              <w:spacing w:after="0" w:line="190" w:lineRule="exact"/>
              <w:rPr>
                <w:sz w:val="20"/>
                <w:szCs w:val="20"/>
                <w:color w:val="auto"/>
              </w:rPr>
            </w:pPr>
            <w:r>
              <w:rPr>
                <w:rFonts w:ascii="Times New Roman" w:cs="Times New Roman" w:eastAsia="Times New Roman" w:hAnsi="Times New Roman"/>
                <w:sz w:val="19"/>
                <w:szCs w:val="19"/>
                <w:color w:val="231F20"/>
              </w:rPr>
              <w:t>administrative agent (previously filed as Exhibit 10.1 to the Trust's Quarterly Report on Form 10-Q for the quarter</w:t>
            </w:r>
          </w:p>
        </w:tc>
        <w:tc>
          <w:tcPr>
            <w:tcW w:w="0" w:type="dxa"/>
            <w:vAlign w:val="bottom"/>
          </w:tcPr>
          <w:p>
            <w:pPr>
              <w:spacing w:after="0"/>
              <w:rPr>
                <w:sz w:val="1"/>
                <w:szCs w:val="1"/>
                <w:color w:val="auto"/>
              </w:rPr>
            </w:pPr>
          </w:p>
        </w:tc>
      </w:tr>
      <w:tr>
        <w:trPr>
          <w:trHeight w:val="249"/>
        </w:trPr>
        <w:tc>
          <w:tcPr>
            <w:tcW w:w="620" w:type="dxa"/>
            <w:vAlign w:val="bottom"/>
          </w:tcPr>
          <w:p>
            <w:pPr>
              <w:spacing w:after="0"/>
              <w:rPr>
                <w:sz w:val="21"/>
                <w:szCs w:val="21"/>
                <w:color w:val="auto"/>
              </w:rPr>
            </w:pPr>
          </w:p>
        </w:tc>
        <w:tc>
          <w:tcPr>
            <w:tcW w:w="9020" w:type="dxa"/>
            <w:vAlign w:val="bottom"/>
          </w:tcPr>
          <w:p>
            <w:pPr>
              <w:ind w:left="100"/>
              <w:spacing w:after="0"/>
              <w:rPr>
                <w:sz w:val="20"/>
                <w:szCs w:val="20"/>
                <w:color w:val="auto"/>
              </w:rPr>
            </w:pPr>
            <w:r>
              <w:rPr>
                <w:rFonts w:ascii="Times New Roman" w:cs="Times New Roman" w:eastAsia="Times New Roman" w:hAnsi="Times New Roman"/>
                <w:sz w:val="19"/>
                <w:szCs w:val="19"/>
                <w:color w:val="231F20"/>
              </w:rPr>
              <w:t>ended March 31, 2024 and incorporated herein by reference)</w:t>
            </w:r>
          </w:p>
        </w:tc>
        <w:tc>
          <w:tcPr>
            <w:tcW w:w="0" w:type="dxa"/>
            <w:vAlign w:val="bottom"/>
          </w:tcPr>
          <w:p>
            <w:pPr>
              <w:spacing w:after="0"/>
              <w:rPr>
                <w:sz w:val="1"/>
                <w:szCs w:val="1"/>
                <w:color w:val="auto"/>
              </w:rPr>
            </w:pPr>
          </w:p>
        </w:tc>
      </w:tr>
      <w:tr>
        <w:trPr>
          <w:trHeight w:val="315"/>
        </w:trPr>
        <w:tc>
          <w:tcPr>
            <w:tcW w:w="620" w:type="dxa"/>
            <w:vAlign w:val="bottom"/>
          </w:tcPr>
          <w:p>
            <w:pPr>
              <w:spacing w:after="0"/>
              <w:rPr>
                <w:sz w:val="20"/>
                <w:szCs w:val="20"/>
                <w:color w:val="auto"/>
              </w:rPr>
            </w:pPr>
            <w:r>
              <w:rPr>
                <w:rFonts w:ascii="Times New Roman" w:cs="Times New Roman" w:eastAsia="Times New Roman" w:hAnsi="Times New Roman"/>
                <w:sz w:val="19"/>
                <w:szCs w:val="19"/>
                <w:color w:val="231F20"/>
              </w:rPr>
              <w:t>10.32</w:t>
            </w:r>
          </w:p>
        </w:tc>
        <w:tc>
          <w:tcPr>
            <w:tcW w:w="9020" w:type="dxa"/>
            <w:vAlign w:val="bottom"/>
          </w:tcPr>
          <w:p>
            <w:pPr>
              <w:ind w:left="100"/>
              <w:spacing w:after="0" w:line="244" w:lineRule="exact"/>
              <w:rPr>
                <w:sz w:val="20"/>
                <w:szCs w:val="20"/>
                <w:color w:val="auto"/>
              </w:rPr>
            </w:pPr>
            <w:r>
              <w:rPr>
                <w:rFonts w:ascii="PMingLiU" w:cs="PMingLiU" w:eastAsia="PMingLiU" w:hAnsi="PMingLiU"/>
                <w:sz w:val="20"/>
                <w:szCs w:val="20"/>
                <w:color w:val="231F20"/>
              </w:rPr>
              <w:t/>
            </w:r>
            <w:r>
              <w:rPr>
                <w:rFonts w:ascii="Times New Roman" w:cs="Times New Roman" w:eastAsia="Times New Roman" w:hAnsi="Times New Roman"/>
                <w:sz w:val="19"/>
                <w:szCs w:val="19"/>
                <w:color w:val="231F20"/>
              </w:rPr>
              <w:t xml:space="preserve"> Consulting Agreement between Federal Realty OP LP and Jeffrey S. Berkes, dated January 1, 2025 (previously</w:t>
            </w:r>
          </w:p>
        </w:tc>
        <w:tc>
          <w:tcPr>
            <w:tcW w:w="0" w:type="dxa"/>
            <w:vAlign w:val="bottom"/>
          </w:tcPr>
          <w:p>
            <w:pPr>
              <w:spacing w:after="0"/>
              <w:rPr>
                <w:sz w:val="1"/>
                <w:szCs w:val="1"/>
                <w:color w:val="auto"/>
              </w:rPr>
            </w:pPr>
          </w:p>
        </w:tc>
      </w:tr>
      <w:tr>
        <w:trPr>
          <w:trHeight w:val="191"/>
        </w:trPr>
        <w:tc>
          <w:tcPr>
            <w:tcW w:w="620" w:type="dxa"/>
            <w:vAlign w:val="bottom"/>
          </w:tcPr>
          <w:p>
            <w:pPr>
              <w:spacing w:after="0"/>
              <w:rPr>
                <w:sz w:val="16"/>
                <w:szCs w:val="16"/>
                <w:color w:val="auto"/>
              </w:rPr>
            </w:pPr>
          </w:p>
        </w:tc>
        <w:tc>
          <w:tcPr>
            <w:tcW w:w="9020" w:type="dxa"/>
            <w:vAlign w:val="bottom"/>
          </w:tcPr>
          <w:p>
            <w:pPr>
              <w:ind w:left="100"/>
              <w:spacing w:after="0" w:line="192" w:lineRule="exact"/>
              <w:rPr>
                <w:sz w:val="20"/>
                <w:szCs w:val="20"/>
                <w:color w:val="auto"/>
              </w:rPr>
            </w:pPr>
            <w:r>
              <w:rPr>
                <w:rFonts w:ascii="Times New Roman" w:cs="Times New Roman" w:eastAsia="Times New Roman" w:hAnsi="Times New Roman"/>
                <w:sz w:val="19"/>
                <w:szCs w:val="19"/>
                <w:color w:val="231F20"/>
              </w:rPr>
              <w:t>filed as Exhibit 10.40 to the Trust's Annual Report on Form 10-K, filed on February 13, 2025 and incorporated here</w:t>
            </w:r>
          </w:p>
        </w:tc>
        <w:tc>
          <w:tcPr>
            <w:tcW w:w="0" w:type="dxa"/>
            <w:vAlign w:val="bottom"/>
          </w:tcPr>
          <w:p>
            <w:pPr>
              <w:spacing w:after="0"/>
              <w:rPr>
                <w:sz w:val="1"/>
                <w:szCs w:val="1"/>
                <w:color w:val="auto"/>
              </w:rPr>
            </w:pPr>
          </w:p>
        </w:tc>
      </w:tr>
      <w:tr>
        <w:trPr>
          <w:trHeight w:val="249"/>
        </w:trPr>
        <w:tc>
          <w:tcPr>
            <w:tcW w:w="620" w:type="dxa"/>
            <w:vAlign w:val="bottom"/>
          </w:tcPr>
          <w:p>
            <w:pPr>
              <w:spacing w:after="0"/>
              <w:rPr>
                <w:sz w:val="21"/>
                <w:szCs w:val="21"/>
                <w:color w:val="auto"/>
              </w:rPr>
            </w:pPr>
          </w:p>
        </w:tc>
        <w:tc>
          <w:tcPr>
            <w:tcW w:w="9020" w:type="dxa"/>
            <w:vAlign w:val="bottom"/>
          </w:tcPr>
          <w:p>
            <w:pPr>
              <w:ind w:left="100"/>
              <w:spacing w:after="0"/>
              <w:rPr>
                <w:sz w:val="20"/>
                <w:szCs w:val="20"/>
                <w:color w:val="auto"/>
              </w:rPr>
            </w:pPr>
            <w:r>
              <w:rPr>
                <w:rFonts w:ascii="Times New Roman" w:cs="Times New Roman" w:eastAsia="Times New Roman" w:hAnsi="Times New Roman"/>
                <w:sz w:val="19"/>
                <w:szCs w:val="19"/>
                <w:color w:val="231F20"/>
              </w:rPr>
              <w:t>by reference)</w:t>
            </w:r>
          </w:p>
        </w:tc>
        <w:tc>
          <w:tcPr>
            <w:tcW w:w="0" w:type="dxa"/>
            <w:vAlign w:val="bottom"/>
          </w:tcPr>
          <w:p>
            <w:pPr>
              <w:spacing w:after="0"/>
              <w:rPr>
                <w:sz w:val="1"/>
                <w:szCs w:val="1"/>
                <w:color w:val="auto"/>
              </w:rPr>
            </w:pPr>
          </w:p>
        </w:tc>
      </w:tr>
      <w:tr>
        <w:trPr>
          <w:trHeight w:val="283"/>
        </w:trPr>
        <w:tc>
          <w:tcPr>
            <w:tcW w:w="620" w:type="dxa"/>
            <w:vAlign w:val="bottom"/>
          </w:tcPr>
          <w:p>
            <w:pPr>
              <w:spacing w:after="0"/>
              <w:rPr>
                <w:sz w:val="20"/>
                <w:szCs w:val="20"/>
                <w:color w:val="auto"/>
              </w:rPr>
            </w:pPr>
            <w:r>
              <w:rPr>
                <w:rFonts w:ascii="Times New Roman" w:cs="Times New Roman" w:eastAsia="Times New Roman" w:hAnsi="Times New Roman"/>
                <w:sz w:val="19"/>
                <w:szCs w:val="19"/>
                <w:color w:val="231F20"/>
              </w:rPr>
              <w:t>10.33</w:t>
            </w:r>
          </w:p>
        </w:tc>
        <w:tc>
          <w:tcPr>
            <w:tcW w:w="9020" w:type="dxa"/>
            <w:vAlign w:val="bottom"/>
          </w:tcPr>
          <w:p>
            <w:pPr>
              <w:ind w:left="100"/>
              <w:spacing w:after="0"/>
              <w:rPr>
                <w:sz w:val="20"/>
                <w:szCs w:val="20"/>
                <w:color w:val="auto"/>
              </w:rPr>
            </w:pPr>
            <w:r>
              <w:rPr>
                <w:rFonts w:ascii="Times New Roman" w:cs="Times New Roman" w:eastAsia="Times New Roman" w:hAnsi="Times New Roman"/>
                <w:sz w:val="19"/>
                <w:szCs w:val="19"/>
                <w:color w:val="231F20"/>
              </w:rPr>
              <w:t>Amended and Restated Term Loan Agreement, dated as of March 20, 2025, by and among the Partnership, FRIT</w:t>
            </w:r>
          </w:p>
        </w:tc>
        <w:tc>
          <w:tcPr>
            <w:tcW w:w="0" w:type="dxa"/>
            <w:vAlign w:val="bottom"/>
          </w:tcPr>
          <w:p>
            <w:pPr>
              <w:spacing w:after="0"/>
              <w:rPr>
                <w:sz w:val="1"/>
                <w:szCs w:val="1"/>
                <w:color w:val="auto"/>
              </w:rPr>
            </w:pPr>
          </w:p>
        </w:tc>
      </w:tr>
      <w:tr>
        <w:trPr>
          <w:trHeight w:val="190"/>
        </w:trPr>
        <w:tc>
          <w:tcPr>
            <w:tcW w:w="620" w:type="dxa"/>
            <w:vAlign w:val="bottom"/>
          </w:tcPr>
          <w:p>
            <w:pPr>
              <w:spacing w:after="0"/>
              <w:rPr>
                <w:sz w:val="16"/>
                <w:szCs w:val="16"/>
                <w:color w:val="auto"/>
              </w:rPr>
            </w:pPr>
          </w:p>
        </w:tc>
        <w:tc>
          <w:tcPr>
            <w:tcW w:w="9020" w:type="dxa"/>
            <w:vAlign w:val="bottom"/>
          </w:tcPr>
          <w:p>
            <w:pPr>
              <w:ind w:left="100"/>
              <w:spacing w:after="0" w:line="190" w:lineRule="exact"/>
              <w:rPr>
                <w:sz w:val="20"/>
                <w:szCs w:val="20"/>
                <w:color w:val="auto"/>
              </w:rPr>
            </w:pPr>
            <w:r>
              <w:rPr>
                <w:rFonts w:ascii="Times New Roman" w:cs="Times New Roman" w:eastAsia="Times New Roman" w:hAnsi="Times New Roman"/>
                <w:sz w:val="19"/>
                <w:szCs w:val="19"/>
                <w:color w:val="231F20"/>
              </w:rPr>
              <w:t>San Jose Town and Country Village, LLC, the financial institutions party thereto, as Lenders, PNC Bank, National</w:t>
            </w:r>
          </w:p>
        </w:tc>
        <w:tc>
          <w:tcPr>
            <w:tcW w:w="0" w:type="dxa"/>
            <w:vAlign w:val="bottom"/>
          </w:tcPr>
          <w:p>
            <w:pPr>
              <w:spacing w:after="0"/>
              <w:rPr>
                <w:sz w:val="1"/>
                <w:szCs w:val="1"/>
                <w:color w:val="auto"/>
              </w:rPr>
            </w:pPr>
          </w:p>
        </w:tc>
      </w:tr>
      <w:tr>
        <w:trPr>
          <w:trHeight w:val="190"/>
        </w:trPr>
        <w:tc>
          <w:tcPr>
            <w:tcW w:w="620" w:type="dxa"/>
            <w:vAlign w:val="bottom"/>
          </w:tcPr>
          <w:p>
            <w:pPr>
              <w:spacing w:after="0"/>
              <w:rPr>
                <w:sz w:val="16"/>
                <w:szCs w:val="16"/>
                <w:color w:val="auto"/>
              </w:rPr>
            </w:pPr>
          </w:p>
        </w:tc>
        <w:tc>
          <w:tcPr>
            <w:tcW w:w="9020" w:type="dxa"/>
            <w:vAlign w:val="bottom"/>
          </w:tcPr>
          <w:p>
            <w:pPr>
              <w:ind w:left="100"/>
              <w:spacing w:after="0" w:line="190" w:lineRule="exact"/>
              <w:rPr>
                <w:sz w:val="20"/>
                <w:szCs w:val="20"/>
                <w:color w:val="auto"/>
              </w:rPr>
            </w:pPr>
            <w:r>
              <w:rPr>
                <w:rFonts w:ascii="Times New Roman" w:cs="Times New Roman" w:eastAsia="Times New Roman" w:hAnsi="Times New Roman"/>
                <w:sz w:val="19"/>
                <w:szCs w:val="19"/>
                <w:color w:val="231F20"/>
              </w:rPr>
              <w:t>Association, as Administrative Agent, and the other parties thereto (previously filed as Exhibit 10.1 to the Trust's</w:t>
            </w:r>
          </w:p>
        </w:tc>
        <w:tc>
          <w:tcPr>
            <w:tcW w:w="0" w:type="dxa"/>
            <w:vAlign w:val="bottom"/>
          </w:tcPr>
          <w:p>
            <w:pPr>
              <w:spacing w:after="0"/>
              <w:rPr>
                <w:sz w:val="1"/>
                <w:szCs w:val="1"/>
                <w:color w:val="auto"/>
              </w:rPr>
            </w:pPr>
          </w:p>
        </w:tc>
      </w:tr>
      <w:tr>
        <w:trPr>
          <w:trHeight w:val="249"/>
        </w:trPr>
        <w:tc>
          <w:tcPr>
            <w:tcW w:w="620" w:type="dxa"/>
            <w:vAlign w:val="bottom"/>
          </w:tcPr>
          <w:p>
            <w:pPr>
              <w:spacing w:after="0"/>
              <w:rPr>
                <w:sz w:val="21"/>
                <w:szCs w:val="21"/>
                <w:color w:val="auto"/>
              </w:rPr>
            </w:pPr>
          </w:p>
        </w:tc>
        <w:tc>
          <w:tcPr>
            <w:tcW w:w="9020" w:type="dxa"/>
            <w:vAlign w:val="bottom"/>
          </w:tcPr>
          <w:p>
            <w:pPr>
              <w:ind w:left="100"/>
              <w:spacing w:after="0"/>
              <w:rPr>
                <w:sz w:val="20"/>
                <w:szCs w:val="20"/>
                <w:color w:val="auto"/>
              </w:rPr>
            </w:pPr>
            <w:r>
              <w:rPr>
                <w:rFonts w:ascii="Times New Roman" w:cs="Times New Roman" w:eastAsia="Times New Roman" w:hAnsi="Times New Roman"/>
                <w:sz w:val="19"/>
                <w:szCs w:val="19"/>
                <w:color w:val="231F20"/>
              </w:rPr>
              <w:t>Current Report on Form 8-K file on March 21, 2025 and incorporated by reference)</w:t>
            </w:r>
          </w:p>
        </w:tc>
        <w:tc>
          <w:tcPr>
            <w:tcW w:w="0" w:type="dxa"/>
            <w:vAlign w:val="bottom"/>
          </w:tcPr>
          <w:p>
            <w:pPr>
              <w:spacing w:after="0"/>
              <w:rPr>
                <w:sz w:val="1"/>
                <w:szCs w:val="1"/>
                <w:color w:val="auto"/>
              </w:rPr>
            </w:pPr>
          </w:p>
        </w:tc>
      </w:tr>
      <w:tr>
        <w:trPr>
          <w:trHeight w:val="269"/>
        </w:trPr>
        <w:tc>
          <w:tcPr>
            <w:tcW w:w="620" w:type="dxa"/>
            <w:vAlign w:val="bottom"/>
          </w:tcPr>
          <w:p>
            <w:pPr>
              <w:spacing w:after="0"/>
              <w:rPr>
                <w:sz w:val="20"/>
                <w:szCs w:val="20"/>
                <w:color w:val="auto"/>
              </w:rPr>
            </w:pPr>
            <w:r>
              <w:rPr>
                <w:rFonts w:ascii="Times New Roman" w:cs="Times New Roman" w:eastAsia="Times New Roman" w:hAnsi="Times New Roman"/>
                <w:sz w:val="19"/>
                <w:szCs w:val="19"/>
                <w:color w:val="231F20"/>
              </w:rPr>
              <w:t>10.34</w:t>
            </w:r>
          </w:p>
        </w:tc>
        <w:tc>
          <w:tcPr>
            <w:tcW w:w="9020" w:type="dxa"/>
            <w:vAlign w:val="bottom"/>
          </w:tcPr>
          <w:p>
            <w:pPr>
              <w:ind w:left="100"/>
              <w:spacing w:after="0"/>
              <w:rPr>
                <w:sz w:val="20"/>
                <w:szCs w:val="20"/>
                <w:color w:val="auto"/>
              </w:rPr>
            </w:pPr>
            <w:r>
              <w:rPr>
                <w:rFonts w:ascii="Times New Roman" w:cs="Times New Roman" w:eastAsia="Times New Roman" w:hAnsi="Times New Roman"/>
                <w:sz w:val="19"/>
                <w:szCs w:val="19"/>
                <w:color w:val="231F20"/>
                <w:w w:val="99"/>
              </w:rPr>
              <w:t>First Amendment to Severance Agreement dated as of May 7, 2025, by and between Federal Realty Investment Trust</w:t>
            </w:r>
          </w:p>
        </w:tc>
        <w:tc>
          <w:tcPr>
            <w:tcW w:w="0" w:type="dxa"/>
            <w:vAlign w:val="bottom"/>
          </w:tcPr>
          <w:p>
            <w:pPr>
              <w:spacing w:after="0"/>
              <w:rPr>
                <w:sz w:val="1"/>
                <w:szCs w:val="1"/>
                <w:color w:val="auto"/>
              </w:rPr>
            </w:pPr>
          </w:p>
        </w:tc>
      </w:tr>
      <w:tr>
        <w:trPr>
          <w:trHeight w:val="190"/>
        </w:trPr>
        <w:tc>
          <w:tcPr>
            <w:tcW w:w="620" w:type="dxa"/>
            <w:vAlign w:val="bottom"/>
          </w:tcPr>
          <w:p>
            <w:pPr>
              <w:spacing w:after="0"/>
              <w:rPr>
                <w:sz w:val="16"/>
                <w:szCs w:val="16"/>
                <w:color w:val="auto"/>
              </w:rPr>
            </w:pPr>
          </w:p>
        </w:tc>
        <w:tc>
          <w:tcPr>
            <w:tcW w:w="9020" w:type="dxa"/>
            <w:vAlign w:val="bottom"/>
          </w:tcPr>
          <w:p>
            <w:pPr>
              <w:ind w:left="100"/>
              <w:spacing w:after="0" w:line="190" w:lineRule="exact"/>
              <w:rPr>
                <w:sz w:val="20"/>
                <w:szCs w:val="20"/>
                <w:color w:val="auto"/>
              </w:rPr>
            </w:pPr>
            <w:r>
              <w:rPr>
                <w:rFonts w:ascii="Times New Roman" w:cs="Times New Roman" w:eastAsia="Times New Roman" w:hAnsi="Times New Roman"/>
                <w:sz w:val="19"/>
                <w:szCs w:val="19"/>
                <w:color w:val="231F20"/>
              </w:rPr>
              <w:t>and Daniel Guglielmone (previously filed as Exhibit 10.1 to the Trust's Current Report on Form 8-K filed on May 9,</w:t>
            </w:r>
          </w:p>
        </w:tc>
        <w:tc>
          <w:tcPr>
            <w:tcW w:w="0" w:type="dxa"/>
            <w:vAlign w:val="bottom"/>
          </w:tcPr>
          <w:p>
            <w:pPr>
              <w:spacing w:after="0"/>
              <w:rPr>
                <w:sz w:val="1"/>
                <w:szCs w:val="1"/>
                <w:color w:val="auto"/>
              </w:rPr>
            </w:pPr>
          </w:p>
        </w:tc>
      </w:tr>
      <w:tr>
        <w:trPr>
          <w:trHeight w:val="249"/>
        </w:trPr>
        <w:tc>
          <w:tcPr>
            <w:tcW w:w="620" w:type="dxa"/>
            <w:vAlign w:val="bottom"/>
          </w:tcPr>
          <w:p>
            <w:pPr>
              <w:spacing w:after="0"/>
              <w:rPr>
                <w:sz w:val="21"/>
                <w:szCs w:val="21"/>
                <w:color w:val="auto"/>
              </w:rPr>
            </w:pPr>
          </w:p>
        </w:tc>
        <w:tc>
          <w:tcPr>
            <w:tcW w:w="9020" w:type="dxa"/>
            <w:vAlign w:val="bottom"/>
          </w:tcPr>
          <w:p>
            <w:pPr>
              <w:ind w:left="100"/>
              <w:spacing w:after="0"/>
              <w:rPr>
                <w:sz w:val="20"/>
                <w:szCs w:val="20"/>
                <w:color w:val="auto"/>
              </w:rPr>
            </w:pPr>
            <w:r>
              <w:rPr>
                <w:rFonts w:ascii="Times New Roman" w:cs="Times New Roman" w:eastAsia="Times New Roman" w:hAnsi="Times New Roman"/>
                <w:sz w:val="19"/>
                <w:szCs w:val="19"/>
                <w:color w:val="231F20"/>
              </w:rPr>
              <w:t>2025 and incorporated herein by reference)</w:t>
            </w:r>
          </w:p>
        </w:tc>
        <w:tc>
          <w:tcPr>
            <w:tcW w:w="0" w:type="dxa"/>
            <w:vAlign w:val="bottom"/>
          </w:tcPr>
          <w:p>
            <w:pPr>
              <w:spacing w:after="0"/>
              <w:rPr>
                <w:sz w:val="1"/>
                <w:szCs w:val="1"/>
                <w:color w:val="auto"/>
              </w:rPr>
            </w:pPr>
          </w:p>
        </w:tc>
      </w:tr>
      <w:tr>
        <w:trPr>
          <w:trHeight w:val="259"/>
        </w:trPr>
        <w:tc>
          <w:tcPr>
            <w:tcW w:w="620" w:type="dxa"/>
            <w:vAlign w:val="bottom"/>
          </w:tcPr>
          <w:p>
            <w:pPr>
              <w:spacing w:after="0"/>
              <w:rPr>
                <w:sz w:val="20"/>
                <w:szCs w:val="20"/>
                <w:color w:val="auto"/>
              </w:rPr>
            </w:pPr>
            <w:r>
              <w:rPr>
                <w:rFonts w:ascii="Times New Roman" w:cs="Times New Roman" w:eastAsia="Times New Roman" w:hAnsi="Times New Roman"/>
                <w:sz w:val="19"/>
                <w:szCs w:val="19"/>
                <w:color w:val="231F20"/>
              </w:rPr>
              <w:t>10.35</w:t>
            </w:r>
          </w:p>
        </w:tc>
        <w:tc>
          <w:tcPr>
            <w:tcW w:w="9020" w:type="dxa"/>
            <w:vAlign w:val="bottom"/>
          </w:tcPr>
          <w:p>
            <w:pPr>
              <w:ind w:left="100"/>
              <w:spacing w:after="0"/>
              <w:rPr>
                <w:sz w:val="20"/>
                <w:szCs w:val="20"/>
                <w:color w:val="auto"/>
              </w:rPr>
            </w:pPr>
            <w:r>
              <w:rPr>
                <w:rFonts w:ascii="Times New Roman" w:cs="Times New Roman" w:eastAsia="Times New Roman" w:hAnsi="Times New Roman"/>
                <w:sz w:val="19"/>
                <w:szCs w:val="19"/>
                <w:color w:val="231F20"/>
              </w:rPr>
              <w:t>Term Loan Agreement dated as of November 17, 2025, by and among the Partnership, as Borrower, the financial</w:t>
            </w:r>
          </w:p>
        </w:tc>
        <w:tc>
          <w:tcPr>
            <w:tcW w:w="0" w:type="dxa"/>
            <w:vAlign w:val="bottom"/>
          </w:tcPr>
          <w:p>
            <w:pPr>
              <w:spacing w:after="0"/>
              <w:rPr>
                <w:sz w:val="1"/>
                <w:szCs w:val="1"/>
                <w:color w:val="auto"/>
              </w:rPr>
            </w:pPr>
          </w:p>
        </w:tc>
      </w:tr>
      <w:tr>
        <w:trPr>
          <w:trHeight w:val="190"/>
        </w:trPr>
        <w:tc>
          <w:tcPr>
            <w:tcW w:w="620" w:type="dxa"/>
            <w:vAlign w:val="bottom"/>
          </w:tcPr>
          <w:p>
            <w:pPr>
              <w:spacing w:after="0"/>
              <w:rPr>
                <w:sz w:val="16"/>
                <w:szCs w:val="16"/>
                <w:color w:val="auto"/>
              </w:rPr>
            </w:pPr>
          </w:p>
        </w:tc>
        <w:tc>
          <w:tcPr>
            <w:tcW w:w="9020" w:type="dxa"/>
            <w:vAlign w:val="bottom"/>
          </w:tcPr>
          <w:p>
            <w:pPr>
              <w:ind w:left="100"/>
              <w:spacing w:after="0" w:line="190" w:lineRule="exact"/>
              <w:rPr>
                <w:sz w:val="20"/>
                <w:szCs w:val="20"/>
                <w:color w:val="auto"/>
              </w:rPr>
            </w:pPr>
            <w:r>
              <w:rPr>
                <w:rFonts w:ascii="Times New Roman" w:cs="Times New Roman" w:eastAsia="Times New Roman" w:hAnsi="Times New Roman"/>
                <w:sz w:val="19"/>
                <w:szCs w:val="19"/>
                <w:color w:val="231F20"/>
                <w:w w:val="99"/>
              </w:rPr>
              <w:t>institutions party thereto as Lenders, Truist Bank, as Administrative Agent, Bank of America, N.A and Mizuho Bank</w:t>
            </w:r>
          </w:p>
        </w:tc>
        <w:tc>
          <w:tcPr>
            <w:tcW w:w="0" w:type="dxa"/>
            <w:vAlign w:val="bottom"/>
          </w:tcPr>
          <w:p>
            <w:pPr>
              <w:spacing w:after="0"/>
              <w:rPr>
                <w:sz w:val="1"/>
                <w:szCs w:val="1"/>
                <w:color w:val="auto"/>
              </w:rPr>
            </w:pPr>
          </w:p>
        </w:tc>
      </w:tr>
      <w:tr>
        <w:trPr>
          <w:trHeight w:val="190"/>
        </w:trPr>
        <w:tc>
          <w:tcPr>
            <w:tcW w:w="620" w:type="dxa"/>
            <w:vAlign w:val="bottom"/>
          </w:tcPr>
          <w:p>
            <w:pPr>
              <w:spacing w:after="0"/>
              <w:rPr>
                <w:sz w:val="16"/>
                <w:szCs w:val="16"/>
                <w:color w:val="auto"/>
              </w:rPr>
            </w:pPr>
          </w:p>
        </w:tc>
        <w:tc>
          <w:tcPr>
            <w:tcW w:w="9020" w:type="dxa"/>
            <w:vAlign w:val="bottom"/>
          </w:tcPr>
          <w:p>
            <w:pPr>
              <w:ind w:left="100"/>
              <w:spacing w:after="0" w:line="190" w:lineRule="exact"/>
              <w:rPr>
                <w:sz w:val="20"/>
                <w:szCs w:val="20"/>
                <w:color w:val="auto"/>
              </w:rPr>
            </w:pPr>
            <w:r>
              <w:rPr>
                <w:rFonts w:ascii="Times New Roman" w:cs="Times New Roman" w:eastAsia="Times New Roman" w:hAnsi="Times New Roman"/>
                <w:sz w:val="19"/>
                <w:szCs w:val="19"/>
                <w:color w:val="231F20"/>
              </w:rPr>
              <w:t>LTD., as Co-Syndication Agents, each of Truist Securities, Inc., BOA Securities, Inc., and Mizuho Bank LTD., as</w:t>
            </w:r>
          </w:p>
        </w:tc>
        <w:tc>
          <w:tcPr>
            <w:tcW w:w="0" w:type="dxa"/>
            <w:vAlign w:val="bottom"/>
          </w:tcPr>
          <w:p>
            <w:pPr>
              <w:spacing w:after="0"/>
              <w:rPr>
                <w:sz w:val="1"/>
                <w:szCs w:val="1"/>
                <w:color w:val="auto"/>
              </w:rPr>
            </w:pPr>
          </w:p>
        </w:tc>
      </w:tr>
      <w:tr>
        <w:trPr>
          <w:trHeight w:val="190"/>
        </w:trPr>
        <w:tc>
          <w:tcPr>
            <w:tcW w:w="620" w:type="dxa"/>
            <w:vAlign w:val="bottom"/>
          </w:tcPr>
          <w:p>
            <w:pPr>
              <w:spacing w:after="0"/>
              <w:rPr>
                <w:sz w:val="16"/>
                <w:szCs w:val="16"/>
                <w:color w:val="auto"/>
              </w:rPr>
            </w:pPr>
          </w:p>
        </w:tc>
        <w:tc>
          <w:tcPr>
            <w:tcW w:w="9020" w:type="dxa"/>
            <w:vAlign w:val="bottom"/>
          </w:tcPr>
          <w:p>
            <w:pPr>
              <w:ind w:left="100"/>
              <w:spacing w:after="0" w:line="190" w:lineRule="exact"/>
              <w:rPr>
                <w:sz w:val="20"/>
                <w:szCs w:val="20"/>
                <w:color w:val="auto"/>
              </w:rPr>
            </w:pPr>
            <w:r>
              <w:rPr>
                <w:rFonts w:ascii="Times New Roman" w:cs="Times New Roman" w:eastAsia="Times New Roman" w:hAnsi="Times New Roman"/>
                <w:sz w:val="19"/>
                <w:szCs w:val="19"/>
                <w:color w:val="231F20"/>
              </w:rPr>
              <w:t>Joint Lead Arrangers and and Truist Securities, Inc., as Sole Book Manager (previously filed as Exhibit 10.1 to the</w:t>
            </w:r>
          </w:p>
        </w:tc>
        <w:tc>
          <w:tcPr>
            <w:tcW w:w="0" w:type="dxa"/>
            <w:vAlign w:val="bottom"/>
          </w:tcPr>
          <w:p>
            <w:pPr>
              <w:spacing w:after="0"/>
              <w:rPr>
                <w:sz w:val="1"/>
                <w:szCs w:val="1"/>
                <w:color w:val="auto"/>
              </w:rPr>
            </w:pPr>
          </w:p>
        </w:tc>
      </w:tr>
      <w:tr>
        <w:trPr>
          <w:trHeight w:val="249"/>
        </w:trPr>
        <w:tc>
          <w:tcPr>
            <w:tcW w:w="620" w:type="dxa"/>
            <w:vAlign w:val="bottom"/>
          </w:tcPr>
          <w:p>
            <w:pPr>
              <w:spacing w:after="0"/>
              <w:rPr>
                <w:sz w:val="21"/>
                <w:szCs w:val="21"/>
                <w:color w:val="auto"/>
              </w:rPr>
            </w:pPr>
          </w:p>
        </w:tc>
        <w:tc>
          <w:tcPr>
            <w:tcW w:w="9020" w:type="dxa"/>
            <w:vAlign w:val="bottom"/>
          </w:tcPr>
          <w:p>
            <w:pPr>
              <w:ind w:left="100"/>
              <w:spacing w:after="0"/>
              <w:rPr>
                <w:sz w:val="20"/>
                <w:szCs w:val="20"/>
                <w:color w:val="auto"/>
              </w:rPr>
            </w:pPr>
            <w:r>
              <w:rPr>
                <w:rFonts w:ascii="Times New Roman" w:cs="Times New Roman" w:eastAsia="Times New Roman" w:hAnsi="Times New Roman"/>
                <w:sz w:val="19"/>
                <w:szCs w:val="19"/>
                <w:color w:val="231F20"/>
              </w:rPr>
              <w:t>Trust's Current Report on Form 8-K, filed on November 20, 2025 and incorporated herein by reference)</w:t>
            </w:r>
          </w:p>
        </w:tc>
        <w:tc>
          <w:tcPr>
            <w:tcW w:w="0" w:type="dxa"/>
            <w:vAlign w:val="bottom"/>
          </w:tcPr>
          <w:p>
            <w:pPr>
              <w:spacing w:after="0"/>
              <w:rPr>
                <w:sz w:val="1"/>
                <w:szCs w:val="1"/>
                <w:color w:val="auto"/>
              </w:rPr>
            </w:pPr>
          </w:p>
        </w:tc>
      </w:tr>
      <w:tr>
        <w:trPr>
          <w:trHeight w:val="336"/>
        </w:trPr>
        <w:tc>
          <w:tcPr>
            <w:tcW w:w="620" w:type="dxa"/>
            <w:vAlign w:val="bottom"/>
          </w:tcPr>
          <w:p>
            <w:pPr>
              <w:spacing w:after="0"/>
              <w:rPr>
                <w:sz w:val="20"/>
                <w:szCs w:val="20"/>
                <w:color w:val="auto"/>
              </w:rPr>
            </w:pPr>
            <w:r>
              <w:rPr>
                <w:rFonts w:ascii="Times New Roman" w:cs="Times New Roman" w:eastAsia="Times New Roman" w:hAnsi="Times New Roman"/>
                <w:sz w:val="19"/>
                <w:szCs w:val="19"/>
                <w:color w:val="231F20"/>
              </w:rPr>
              <w:t>19.1</w:t>
            </w:r>
          </w:p>
        </w:tc>
        <w:tc>
          <w:tcPr>
            <w:tcW w:w="9020" w:type="dxa"/>
            <w:vAlign w:val="bottom"/>
          </w:tcPr>
          <w:p>
            <w:pPr>
              <w:ind w:left="100"/>
              <w:spacing w:after="0"/>
              <w:rPr>
                <w:sz w:val="20"/>
                <w:szCs w:val="20"/>
                <w:color w:val="auto"/>
              </w:rPr>
            </w:pPr>
            <w:r>
              <w:rPr>
                <w:rFonts w:ascii="Times New Roman" w:cs="Times New Roman" w:eastAsia="Times New Roman" w:hAnsi="Times New Roman"/>
                <w:sz w:val="19"/>
                <w:szCs w:val="19"/>
                <w:color w:val="231F20"/>
              </w:rPr>
              <w:t>Policy on Insider Information and Trading in Federal Realty Shares and other Securities (previously filed as Exhibit</w:t>
            </w:r>
          </w:p>
        </w:tc>
        <w:tc>
          <w:tcPr>
            <w:tcW w:w="0" w:type="dxa"/>
            <w:vAlign w:val="bottom"/>
          </w:tcPr>
          <w:p>
            <w:pPr>
              <w:spacing w:after="0"/>
              <w:rPr>
                <w:sz w:val="1"/>
                <w:szCs w:val="1"/>
                <w:color w:val="auto"/>
              </w:rPr>
            </w:pPr>
          </w:p>
        </w:tc>
      </w:tr>
      <w:tr>
        <w:trPr>
          <w:trHeight w:val="249"/>
        </w:trPr>
        <w:tc>
          <w:tcPr>
            <w:tcW w:w="620" w:type="dxa"/>
            <w:vAlign w:val="bottom"/>
          </w:tcPr>
          <w:p>
            <w:pPr>
              <w:spacing w:after="0"/>
              <w:rPr>
                <w:sz w:val="21"/>
                <w:szCs w:val="21"/>
                <w:color w:val="auto"/>
              </w:rPr>
            </w:pPr>
          </w:p>
        </w:tc>
        <w:tc>
          <w:tcPr>
            <w:tcW w:w="9020" w:type="dxa"/>
            <w:vAlign w:val="bottom"/>
          </w:tcPr>
          <w:p>
            <w:pPr>
              <w:ind w:left="100"/>
              <w:spacing w:after="0"/>
              <w:rPr>
                <w:sz w:val="20"/>
                <w:szCs w:val="20"/>
                <w:color w:val="auto"/>
              </w:rPr>
            </w:pPr>
            <w:r>
              <w:rPr>
                <w:rFonts w:ascii="Times New Roman" w:cs="Times New Roman" w:eastAsia="Times New Roman" w:hAnsi="Times New Roman"/>
                <w:sz w:val="19"/>
                <w:szCs w:val="19"/>
                <w:color w:val="231F20"/>
              </w:rPr>
              <w:t>19.1 to the Trust's Annual Report on Form 10-K, filed on February 12, 2024 and incorporated here by reference)</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9640"/>
          </w:cols>
          <w:pgMar w:left="1120" w:top="1022" w:right="1120" w:bottom="0" w:gutter="0" w:footer="0" w:header="0"/>
        </w:sect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54</w:t>
      </w:r>
    </w:p>
    <w:p>
      <w:pPr>
        <w:sectPr>
          <w:pgSz w:w="11880" w:h="15480" w:orient="portrait"/>
          <w:cols w:equalWidth="0" w:num="1">
            <w:col w:w="9640"/>
          </w:cols>
          <w:pgMar w:left="1120" w:top="1022" w:right="1120" w:bottom="0" w:gutter="0" w:footer="0" w:header="0"/>
          <w:type w:val="continuous"/>
        </w:sectPr>
      </w:pPr>
    </w:p>
    <w:bookmarkStart w:id="62" w:name="page63"/>
    <w:bookmarkEnd w:id="62"/>
    <w:tbl>
      <w:tblPr>
        <w:tblLayout w:type="fixed"/>
        <w:tblInd w:w="60" w:type="dxa"/>
        <w:tblCellMar>
          <w:top w:w="0" w:type="dxa"/>
          <w:left w:w="0" w:type="dxa"/>
          <w:bottom w:w="0" w:type="dxa"/>
          <w:right w:w="0" w:type="dxa"/>
        </w:tblCellMar>
      </w:tblPr>
      <w:tr>
        <w:trPr>
          <w:trHeight w:val="172"/>
        </w:trPr>
        <w:tc>
          <w:tcPr>
            <w:tcW w:w="7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231F20"/>
              </w:rPr>
              <w:t>Exhibit</w:t>
            </w:r>
          </w:p>
        </w:tc>
        <w:tc>
          <w:tcPr>
            <w:tcW w:w="8200" w:type="dxa"/>
            <w:vAlign w:val="bottom"/>
            <w:vMerge w:val="restart"/>
          </w:tcPr>
          <w:p>
            <w:pPr>
              <w:ind w:left="120"/>
              <w:spacing w:after="0"/>
              <w:rPr>
                <w:sz w:val="20"/>
                <w:szCs w:val="20"/>
                <w:color w:val="auto"/>
              </w:rPr>
            </w:pPr>
            <w:r>
              <w:rPr>
                <w:rFonts w:ascii="Times New Roman" w:cs="Times New Roman" w:eastAsia="Times New Roman" w:hAnsi="Times New Roman"/>
                <w:sz w:val="15"/>
                <w:szCs w:val="15"/>
                <w:b w:val="1"/>
                <w:bCs w:val="1"/>
                <w:color w:val="231F20"/>
              </w:rPr>
              <w:t>Description</w:t>
            </w:r>
          </w:p>
        </w:tc>
        <w:tc>
          <w:tcPr>
            <w:tcW w:w="0" w:type="dxa"/>
            <w:vAlign w:val="bottom"/>
          </w:tcPr>
          <w:p>
            <w:pPr>
              <w:spacing w:after="0"/>
              <w:rPr>
                <w:sz w:val="1"/>
                <w:szCs w:val="1"/>
                <w:color w:val="auto"/>
              </w:rPr>
            </w:pPr>
          </w:p>
        </w:tc>
      </w:tr>
      <w:tr>
        <w:trPr>
          <w:trHeight w:val="202"/>
        </w:trPr>
        <w:tc>
          <w:tcPr>
            <w:tcW w:w="7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231F20"/>
              </w:rPr>
              <w:t>No.</w:t>
            </w:r>
          </w:p>
        </w:tc>
        <w:tc>
          <w:tcPr>
            <w:tcW w:w="8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43"/>
        </w:trPr>
        <w:tc>
          <w:tcPr>
            <w:tcW w:w="700" w:type="dxa"/>
            <w:vAlign w:val="bottom"/>
          </w:tcPr>
          <w:p>
            <w:pPr>
              <w:jc w:val="right"/>
              <w:ind w:right="290"/>
              <w:spacing w:after="0"/>
              <w:rPr>
                <w:sz w:val="20"/>
                <w:szCs w:val="20"/>
                <w:color w:val="auto"/>
              </w:rPr>
            </w:pPr>
            <w:r>
              <w:rPr>
                <w:rFonts w:ascii="Times New Roman" w:cs="Times New Roman" w:eastAsia="Times New Roman" w:hAnsi="Times New Roman"/>
                <w:sz w:val="19"/>
                <w:szCs w:val="19"/>
                <w:color w:val="231F20"/>
                <w:w w:val="90"/>
              </w:rPr>
              <w:t>21.1</w:t>
            </w:r>
          </w:p>
        </w:tc>
        <w:tc>
          <w:tcPr>
            <w:tcW w:w="8200" w:type="dxa"/>
            <w:vAlign w:val="bottom"/>
          </w:tcPr>
          <w:p>
            <w:pPr>
              <w:ind w:left="120"/>
              <w:spacing w:after="0"/>
              <w:rPr>
                <w:sz w:val="20"/>
                <w:szCs w:val="20"/>
                <w:color w:val="auto"/>
              </w:rPr>
            </w:pPr>
            <w:r>
              <w:rPr>
                <w:rFonts w:ascii="Times New Roman" w:cs="Times New Roman" w:eastAsia="Times New Roman" w:hAnsi="Times New Roman"/>
                <w:sz w:val="19"/>
                <w:szCs w:val="19"/>
                <w:color w:val="231F20"/>
              </w:rPr>
              <w:t>Subsidiaries of Federal Realty Investment Trust and Federal Realty OP LP (filed herewith)</w:t>
            </w:r>
          </w:p>
        </w:tc>
        <w:tc>
          <w:tcPr>
            <w:tcW w:w="0" w:type="dxa"/>
            <w:vAlign w:val="bottom"/>
          </w:tcPr>
          <w:p>
            <w:pPr>
              <w:spacing w:after="0"/>
              <w:rPr>
                <w:sz w:val="1"/>
                <w:szCs w:val="1"/>
                <w:color w:val="auto"/>
              </w:rPr>
            </w:pPr>
          </w:p>
        </w:tc>
      </w:tr>
      <w:tr>
        <w:trPr>
          <w:trHeight w:val="342"/>
        </w:trPr>
        <w:tc>
          <w:tcPr>
            <w:tcW w:w="700" w:type="dxa"/>
            <w:vAlign w:val="bottom"/>
          </w:tcPr>
          <w:p>
            <w:pPr>
              <w:jc w:val="right"/>
              <w:ind w:right="290"/>
              <w:spacing w:after="0"/>
              <w:rPr>
                <w:sz w:val="20"/>
                <w:szCs w:val="20"/>
                <w:color w:val="auto"/>
              </w:rPr>
            </w:pPr>
            <w:r>
              <w:rPr>
                <w:rFonts w:ascii="Times New Roman" w:cs="Times New Roman" w:eastAsia="Times New Roman" w:hAnsi="Times New Roman"/>
                <w:sz w:val="19"/>
                <w:szCs w:val="19"/>
                <w:color w:val="231F20"/>
                <w:w w:val="90"/>
              </w:rPr>
              <w:t>23.1</w:t>
            </w:r>
          </w:p>
        </w:tc>
        <w:tc>
          <w:tcPr>
            <w:tcW w:w="8200" w:type="dxa"/>
            <w:vAlign w:val="bottom"/>
          </w:tcPr>
          <w:p>
            <w:pPr>
              <w:ind w:left="120"/>
              <w:spacing w:after="0"/>
              <w:rPr>
                <w:sz w:val="20"/>
                <w:szCs w:val="20"/>
                <w:color w:val="auto"/>
              </w:rPr>
            </w:pPr>
            <w:r>
              <w:rPr>
                <w:rFonts w:ascii="Times New Roman" w:cs="Times New Roman" w:eastAsia="Times New Roman" w:hAnsi="Times New Roman"/>
                <w:sz w:val="19"/>
                <w:szCs w:val="19"/>
                <w:color w:val="231F20"/>
              </w:rPr>
              <w:t>Consent of Grant Thornton LLP (filed herewith)</w:t>
            </w:r>
          </w:p>
        </w:tc>
        <w:tc>
          <w:tcPr>
            <w:tcW w:w="0" w:type="dxa"/>
            <w:vAlign w:val="bottom"/>
          </w:tcPr>
          <w:p>
            <w:pPr>
              <w:spacing w:after="0"/>
              <w:rPr>
                <w:sz w:val="1"/>
                <w:szCs w:val="1"/>
                <w:color w:val="auto"/>
              </w:rPr>
            </w:pPr>
          </w:p>
        </w:tc>
      </w:tr>
      <w:tr>
        <w:trPr>
          <w:trHeight w:val="328"/>
        </w:trPr>
        <w:tc>
          <w:tcPr>
            <w:tcW w:w="700" w:type="dxa"/>
            <w:vAlign w:val="bottom"/>
          </w:tcPr>
          <w:p>
            <w:pPr>
              <w:jc w:val="right"/>
              <w:ind w:right="290"/>
              <w:spacing w:after="0"/>
              <w:rPr>
                <w:sz w:val="20"/>
                <w:szCs w:val="20"/>
                <w:color w:val="auto"/>
              </w:rPr>
            </w:pPr>
            <w:r>
              <w:rPr>
                <w:rFonts w:ascii="Times New Roman" w:cs="Times New Roman" w:eastAsia="Times New Roman" w:hAnsi="Times New Roman"/>
                <w:sz w:val="19"/>
                <w:szCs w:val="19"/>
                <w:color w:val="231F20"/>
                <w:w w:val="90"/>
              </w:rPr>
              <w:t>31.1</w:t>
            </w:r>
          </w:p>
        </w:tc>
        <w:tc>
          <w:tcPr>
            <w:tcW w:w="8200" w:type="dxa"/>
            <w:vAlign w:val="bottom"/>
          </w:tcPr>
          <w:p>
            <w:pPr>
              <w:ind w:left="120"/>
              <w:spacing w:after="0"/>
              <w:rPr>
                <w:sz w:val="20"/>
                <w:szCs w:val="20"/>
                <w:color w:val="auto"/>
              </w:rPr>
            </w:pPr>
            <w:r>
              <w:rPr>
                <w:rFonts w:ascii="Times New Roman" w:cs="Times New Roman" w:eastAsia="Times New Roman" w:hAnsi="Times New Roman"/>
                <w:sz w:val="19"/>
                <w:szCs w:val="19"/>
                <w:color w:val="231F20"/>
                <w:w w:val="99"/>
              </w:rPr>
              <w:t>Rule 13a-14(a) Certification of Chief Executive Officer - Federal Realty Investment Trust (filed herewith)</w:t>
            </w:r>
          </w:p>
        </w:tc>
        <w:tc>
          <w:tcPr>
            <w:tcW w:w="0" w:type="dxa"/>
            <w:vAlign w:val="bottom"/>
          </w:tcPr>
          <w:p>
            <w:pPr>
              <w:spacing w:after="0"/>
              <w:rPr>
                <w:sz w:val="1"/>
                <w:szCs w:val="1"/>
                <w:color w:val="auto"/>
              </w:rPr>
            </w:pPr>
          </w:p>
        </w:tc>
      </w:tr>
      <w:tr>
        <w:trPr>
          <w:trHeight w:val="342"/>
        </w:trPr>
        <w:tc>
          <w:tcPr>
            <w:tcW w:w="700" w:type="dxa"/>
            <w:vAlign w:val="bottom"/>
          </w:tcPr>
          <w:p>
            <w:pPr>
              <w:jc w:val="right"/>
              <w:ind w:right="290"/>
              <w:spacing w:after="0"/>
              <w:rPr>
                <w:sz w:val="20"/>
                <w:szCs w:val="20"/>
                <w:color w:val="auto"/>
              </w:rPr>
            </w:pPr>
            <w:r>
              <w:rPr>
                <w:rFonts w:ascii="Times New Roman" w:cs="Times New Roman" w:eastAsia="Times New Roman" w:hAnsi="Times New Roman"/>
                <w:sz w:val="19"/>
                <w:szCs w:val="19"/>
                <w:color w:val="231F20"/>
                <w:w w:val="90"/>
              </w:rPr>
              <w:t>31.2</w:t>
            </w:r>
          </w:p>
        </w:tc>
        <w:tc>
          <w:tcPr>
            <w:tcW w:w="8200" w:type="dxa"/>
            <w:vAlign w:val="bottom"/>
          </w:tcPr>
          <w:p>
            <w:pPr>
              <w:ind w:left="120"/>
              <w:spacing w:after="0"/>
              <w:rPr>
                <w:sz w:val="20"/>
                <w:szCs w:val="20"/>
                <w:color w:val="auto"/>
              </w:rPr>
            </w:pPr>
            <w:r>
              <w:rPr>
                <w:rFonts w:ascii="Times New Roman" w:cs="Times New Roman" w:eastAsia="Times New Roman" w:hAnsi="Times New Roman"/>
                <w:sz w:val="19"/>
                <w:szCs w:val="19"/>
                <w:color w:val="231F20"/>
              </w:rPr>
              <w:t>Rule 13a-14(a) Certification of Chief Financial Officer - Federal Realty Investment Trust (filed herewith)</w:t>
            </w:r>
          </w:p>
        </w:tc>
        <w:tc>
          <w:tcPr>
            <w:tcW w:w="0" w:type="dxa"/>
            <w:vAlign w:val="bottom"/>
          </w:tcPr>
          <w:p>
            <w:pPr>
              <w:spacing w:after="0"/>
              <w:rPr>
                <w:sz w:val="1"/>
                <w:szCs w:val="1"/>
                <w:color w:val="auto"/>
              </w:rPr>
            </w:pPr>
          </w:p>
        </w:tc>
      </w:tr>
      <w:tr>
        <w:trPr>
          <w:trHeight w:val="342"/>
        </w:trPr>
        <w:tc>
          <w:tcPr>
            <w:tcW w:w="700" w:type="dxa"/>
            <w:vAlign w:val="bottom"/>
          </w:tcPr>
          <w:p>
            <w:pPr>
              <w:jc w:val="right"/>
              <w:ind w:right="290"/>
              <w:spacing w:after="0"/>
              <w:rPr>
                <w:sz w:val="20"/>
                <w:szCs w:val="20"/>
                <w:color w:val="auto"/>
              </w:rPr>
            </w:pPr>
            <w:r>
              <w:rPr>
                <w:rFonts w:ascii="Times New Roman" w:cs="Times New Roman" w:eastAsia="Times New Roman" w:hAnsi="Times New Roman"/>
                <w:sz w:val="19"/>
                <w:szCs w:val="19"/>
                <w:color w:val="231F20"/>
                <w:w w:val="90"/>
              </w:rPr>
              <w:t>31.3</w:t>
            </w:r>
          </w:p>
        </w:tc>
        <w:tc>
          <w:tcPr>
            <w:tcW w:w="8200" w:type="dxa"/>
            <w:vAlign w:val="bottom"/>
          </w:tcPr>
          <w:p>
            <w:pPr>
              <w:ind w:left="120"/>
              <w:spacing w:after="0"/>
              <w:rPr>
                <w:sz w:val="20"/>
                <w:szCs w:val="20"/>
                <w:color w:val="auto"/>
              </w:rPr>
            </w:pPr>
            <w:r>
              <w:rPr>
                <w:rFonts w:ascii="Times New Roman" w:cs="Times New Roman" w:eastAsia="Times New Roman" w:hAnsi="Times New Roman"/>
                <w:sz w:val="19"/>
                <w:szCs w:val="19"/>
                <w:color w:val="231F20"/>
              </w:rPr>
              <w:t>Rule 13a-14(a) Certification of Chief Executive Officer - Federal Realty OP LP (filed herewith)</w:t>
            </w:r>
          </w:p>
        </w:tc>
        <w:tc>
          <w:tcPr>
            <w:tcW w:w="0" w:type="dxa"/>
            <w:vAlign w:val="bottom"/>
          </w:tcPr>
          <w:p>
            <w:pPr>
              <w:spacing w:after="0"/>
              <w:rPr>
                <w:sz w:val="1"/>
                <w:szCs w:val="1"/>
                <w:color w:val="auto"/>
              </w:rPr>
            </w:pPr>
          </w:p>
        </w:tc>
      </w:tr>
      <w:tr>
        <w:trPr>
          <w:trHeight w:val="342"/>
        </w:trPr>
        <w:tc>
          <w:tcPr>
            <w:tcW w:w="700" w:type="dxa"/>
            <w:vAlign w:val="bottom"/>
          </w:tcPr>
          <w:p>
            <w:pPr>
              <w:jc w:val="right"/>
              <w:ind w:right="290"/>
              <w:spacing w:after="0"/>
              <w:rPr>
                <w:sz w:val="20"/>
                <w:szCs w:val="20"/>
                <w:color w:val="auto"/>
              </w:rPr>
            </w:pPr>
            <w:r>
              <w:rPr>
                <w:rFonts w:ascii="Times New Roman" w:cs="Times New Roman" w:eastAsia="Times New Roman" w:hAnsi="Times New Roman"/>
                <w:sz w:val="19"/>
                <w:szCs w:val="19"/>
                <w:color w:val="231F20"/>
                <w:w w:val="90"/>
              </w:rPr>
              <w:t>31.4</w:t>
            </w:r>
          </w:p>
        </w:tc>
        <w:tc>
          <w:tcPr>
            <w:tcW w:w="8200" w:type="dxa"/>
            <w:vAlign w:val="bottom"/>
          </w:tcPr>
          <w:p>
            <w:pPr>
              <w:ind w:left="120"/>
              <w:spacing w:after="0"/>
              <w:rPr>
                <w:sz w:val="20"/>
                <w:szCs w:val="20"/>
                <w:color w:val="auto"/>
              </w:rPr>
            </w:pPr>
            <w:r>
              <w:rPr>
                <w:rFonts w:ascii="Times New Roman" w:cs="Times New Roman" w:eastAsia="Times New Roman" w:hAnsi="Times New Roman"/>
                <w:sz w:val="19"/>
                <w:szCs w:val="19"/>
                <w:color w:val="231F20"/>
              </w:rPr>
              <w:t>Rule 13a-14(a) Certification of Chief Financial Officer - Federal Realty OP LP (filed herewith)</w:t>
            </w:r>
          </w:p>
        </w:tc>
        <w:tc>
          <w:tcPr>
            <w:tcW w:w="0" w:type="dxa"/>
            <w:vAlign w:val="bottom"/>
          </w:tcPr>
          <w:p>
            <w:pPr>
              <w:spacing w:after="0"/>
              <w:rPr>
                <w:sz w:val="1"/>
                <w:szCs w:val="1"/>
                <w:color w:val="auto"/>
              </w:rPr>
            </w:pPr>
          </w:p>
        </w:tc>
      </w:tr>
      <w:tr>
        <w:trPr>
          <w:trHeight w:val="342"/>
        </w:trPr>
        <w:tc>
          <w:tcPr>
            <w:tcW w:w="700" w:type="dxa"/>
            <w:vAlign w:val="bottom"/>
          </w:tcPr>
          <w:p>
            <w:pPr>
              <w:jc w:val="right"/>
              <w:ind w:right="290"/>
              <w:spacing w:after="0"/>
              <w:rPr>
                <w:sz w:val="20"/>
                <w:szCs w:val="20"/>
                <w:color w:val="auto"/>
              </w:rPr>
            </w:pPr>
            <w:r>
              <w:rPr>
                <w:rFonts w:ascii="Times New Roman" w:cs="Times New Roman" w:eastAsia="Times New Roman" w:hAnsi="Times New Roman"/>
                <w:sz w:val="19"/>
                <w:szCs w:val="19"/>
                <w:color w:val="231F20"/>
                <w:w w:val="90"/>
              </w:rPr>
              <w:t>32.1</w:t>
            </w:r>
          </w:p>
        </w:tc>
        <w:tc>
          <w:tcPr>
            <w:tcW w:w="8200" w:type="dxa"/>
            <w:vAlign w:val="bottom"/>
          </w:tcPr>
          <w:p>
            <w:pPr>
              <w:ind w:left="120"/>
              <w:spacing w:after="0"/>
              <w:rPr>
                <w:sz w:val="20"/>
                <w:szCs w:val="20"/>
                <w:color w:val="auto"/>
              </w:rPr>
            </w:pPr>
            <w:r>
              <w:rPr>
                <w:rFonts w:ascii="Times New Roman" w:cs="Times New Roman" w:eastAsia="Times New Roman" w:hAnsi="Times New Roman"/>
                <w:sz w:val="19"/>
                <w:szCs w:val="19"/>
                <w:color w:val="231F20"/>
              </w:rPr>
              <w:t>Section 1350 Certification of Chief Executive Officer - Federal Realty Investment Trust (filed herewith)</w:t>
            </w:r>
          </w:p>
        </w:tc>
        <w:tc>
          <w:tcPr>
            <w:tcW w:w="0" w:type="dxa"/>
            <w:vAlign w:val="bottom"/>
          </w:tcPr>
          <w:p>
            <w:pPr>
              <w:spacing w:after="0"/>
              <w:rPr>
                <w:sz w:val="1"/>
                <w:szCs w:val="1"/>
                <w:color w:val="auto"/>
              </w:rPr>
            </w:pPr>
          </w:p>
        </w:tc>
      </w:tr>
      <w:tr>
        <w:trPr>
          <w:trHeight w:val="342"/>
        </w:trPr>
        <w:tc>
          <w:tcPr>
            <w:tcW w:w="700" w:type="dxa"/>
            <w:vAlign w:val="bottom"/>
          </w:tcPr>
          <w:p>
            <w:pPr>
              <w:jc w:val="right"/>
              <w:ind w:right="290"/>
              <w:spacing w:after="0"/>
              <w:rPr>
                <w:sz w:val="20"/>
                <w:szCs w:val="20"/>
                <w:color w:val="auto"/>
              </w:rPr>
            </w:pPr>
            <w:r>
              <w:rPr>
                <w:rFonts w:ascii="Times New Roman" w:cs="Times New Roman" w:eastAsia="Times New Roman" w:hAnsi="Times New Roman"/>
                <w:sz w:val="19"/>
                <w:szCs w:val="19"/>
                <w:color w:val="231F20"/>
                <w:w w:val="90"/>
              </w:rPr>
              <w:t>32.2</w:t>
            </w:r>
          </w:p>
        </w:tc>
        <w:tc>
          <w:tcPr>
            <w:tcW w:w="8200" w:type="dxa"/>
            <w:vAlign w:val="bottom"/>
          </w:tcPr>
          <w:p>
            <w:pPr>
              <w:ind w:left="120"/>
              <w:spacing w:after="0"/>
              <w:rPr>
                <w:sz w:val="20"/>
                <w:szCs w:val="20"/>
                <w:color w:val="auto"/>
              </w:rPr>
            </w:pPr>
            <w:r>
              <w:rPr>
                <w:rFonts w:ascii="Times New Roman" w:cs="Times New Roman" w:eastAsia="Times New Roman" w:hAnsi="Times New Roman"/>
                <w:sz w:val="19"/>
                <w:szCs w:val="19"/>
                <w:color w:val="231F20"/>
              </w:rPr>
              <w:t>Section 1350 Certification of Chief Financial Officer - Federal Realty Investment Trust (filed herewith)</w:t>
            </w:r>
          </w:p>
        </w:tc>
        <w:tc>
          <w:tcPr>
            <w:tcW w:w="0" w:type="dxa"/>
            <w:vAlign w:val="bottom"/>
          </w:tcPr>
          <w:p>
            <w:pPr>
              <w:spacing w:after="0"/>
              <w:rPr>
                <w:sz w:val="1"/>
                <w:szCs w:val="1"/>
                <w:color w:val="auto"/>
              </w:rPr>
            </w:pPr>
          </w:p>
        </w:tc>
      </w:tr>
      <w:tr>
        <w:trPr>
          <w:trHeight w:val="212"/>
        </w:trPr>
        <w:tc>
          <w:tcPr>
            <w:tcW w:w="7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231F20"/>
              </w:rPr>
              <w:t>Exhibit</w:t>
            </w:r>
          </w:p>
        </w:tc>
        <w:tc>
          <w:tcPr>
            <w:tcW w:w="8200" w:type="dxa"/>
            <w:vAlign w:val="bottom"/>
            <w:vMerge w:val="restart"/>
          </w:tcPr>
          <w:p>
            <w:pPr>
              <w:ind w:left="120"/>
              <w:spacing w:after="0"/>
              <w:rPr>
                <w:sz w:val="20"/>
                <w:szCs w:val="20"/>
                <w:color w:val="auto"/>
              </w:rPr>
            </w:pPr>
            <w:r>
              <w:rPr>
                <w:rFonts w:ascii="Times New Roman" w:cs="Times New Roman" w:eastAsia="Times New Roman" w:hAnsi="Times New Roman"/>
                <w:sz w:val="15"/>
                <w:szCs w:val="15"/>
                <w:b w:val="1"/>
                <w:bCs w:val="1"/>
                <w:color w:val="231F20"/>
              </w:rPr>
              <w:t>Description</w:t>
            </w:r>
          </w:p>
        </w:tc>
        <w:tc>
          <w:tcPr>
            <w:tcW w:w="0" w:type="dxa"/>
            <w:vAlign w:val="bottom"/>
          </w:tcPr>
          <w:p>
            <w:pPr>
              <w:spacing w:after="0"/>
              <w:rPr>
                <w:sz w:val="1"/>
                <w:szCs w:val="1"/>
                <w:color w:val="auto"/>
              </w:rPr>
            </w:pPr>
          </w:p>
        </w:tc>
      </w:tr>
      <w:tr>
        <w:trPr>
          <w:trHeight w:val="202"/>
        </w:trPr>
        <w:tc>
          <w:tcPr>
            <w:tcW w:w="7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231F20"/>
              </w:rPr>
              <w:t>No.</w:t>
            </w:r>
          </w:p>
        </w:tc>
        <w:tc>
          <w:tcPr>
            <w:tcW w:w="8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86"/>
        </w:trPr>
        <w:tc>
          <w:tcPr>
            <w:tcW w:w="700" w:type="dxa"/>
            <w:vAlign w:val="bottom"/>
          </w:tcPr>
          <w:p>
            <w:pPr>
              <w:jc w:val="right"/>
              <w:ind w:right="290"/>
              <w:spacing w:after="0"/>
              <w:rPr>
                <w:sz w:val="20"/>
                <w:szCs w:val="20"/>
                <w:color w:val="auto"/>
              </w:rPr>
            </w:pPr>
            <w:r>
              <w:rPr>
                <w:rFonts w:ascii="Times New Roman" w:cs="Times New Roman" w:eastAsia="Times New Roman" w:hAnsi="Times New Roman"/>
                <w:sz w:val="19"/>
                <w:szCs w:val="19"/>
                <w:color w:val="231F20"/>
                <w:w w:val="90"/>
              </w:rPr>
              <w:t>32.3</w:t>
            </w:r>
          </w:p>
        </w:tc>
        <w:tc>
          <w:tcPr>
            <w:tcW w:w="8200" w:type="dxa"/>
            <w:vAlign w:val="bottom"/>
          </w:tcPr>
          <w:p>
            <w:pPr>
              <w:ind w:left="120"/>
              <w:spacing w:after="0"/>
              <w:rPr>
                <w:sz w:val="20"/>
                <w:szCs w:val="20"/>
                <w:color w:val="auto"/>
              </w:rPr>
            </w:pPr>
            <w:r>
              <w:rPr>
                <w:rFonts w:ascii="Times New Roman" w:cs="Times New Roman" w:eastAsia="Times New Roman" w:hAnsi="Times New Roman"/>
                <w:sz w:val="19"/>
                <w:szCs w:val="19"/>
                <w:color w:val="231F20"/>
              </w:rPr>
              <w:t>Section 1350 Certification of Chief Executive Officer - Federal Realty OP LP (filed herewith)</w:t>
            </w:r>
          </w:p>
        </w:tc>
        <w:tc>
          <w:tcPr>
            <w:tcW w:w="0" w:type="dxa"/>
            <w:vAlign w:val="bottom"/>
          </w:tcPr>
          <w:p>
            <w:pPr>
              <w:spacing w:after="0"/>
              <w:rPr>
                <w:sz w:val="1"/>
                <w:szCs w:val="1"/>
                <w:color w:val="auto"/>
              </w:rPr>
            </w:pPr>
          </w:p>
        </w:tc>
      </w:tr>
      <w:tr>
        <w:trPr>
          <w:trHeight w:val="342"/>
        </w:trPr>
        <w:tc>
          <w:tcPr>
            <w:tcW w:w="700" w:type="dxa"/>
            <w:vAlign w:val="bottom"/>
          </w:tcPr>
          <w:p>
            <w:pPr>
              <w:jc w:val="right"/>
              <w:ind w:right="290"/>
              <w:spacing w:after="0"/>
              <w:rPr>
                <w:sz w:val="20"/>
                <w:szCs w:val="20"/>
                <w:color w:val="auto"/>
              </w:rPr>
            </w:pPr>
            <w:r>
              <w:rPr>
                <w:rFonts w:ascii="Times New Roman" w:cs="Times New Roman" w:eastAsia="Times New Roman" w:hAnsi="Times New Roman"/>
                <w:sz w:val="19"/>
                <w:szCs w:val="19"/>
                <w:color w:val="231F20"/>
                <w:w w:val="90"/>
              </w:rPr>
              <w:t>32.4</w:t>
            </w:r>
          </w:p>
        </w:tc>
        <w:tc>
          <w:tcPr>
            <w:tcW w:w="8200" w:type="dxa"/>
            <w:vAlign w:val="bottom"/>
          </w:tcPr>
          <w:p>
            <w:pPr>
              <w:ind w:left="120"/>
              <w:spacing w:after="0"/>
              <w:rPr>
                <w:sz w:val="20"/>
                <w:szCs w:val="20"/>
                <w:color w:val="auto"/>
              </w:rPr>
            </w:pPr>
            <w:r>
              <w:rPr>
                <w:rFonts w:ascii="Times New Roman" w:cs="Times New Roman" w:eastAsia="Times New Roman" w:hAnsi="Times New Roman"/>
                <w:sz w:val="19"/>
                <w:szCs w:val="19"/>
                <w:color w:val="231F20"/>
              </w:rPr>
              <w:t>Section 1350 Certification of Chief Financial Officer - Federal Realty OP LP (filed herewith)</w:t>
            </w:r>
          </w:p>
        </w:tc>
        <w:tc>
          <w:tcPr>
            <w:tcW w:w="0" w:type="dxa"/>
            <w:vAlign w:val="bottom"/>
          </w:tcPr>
          <w:p>
            <w:pPr>
              <w:spacing w:after="0"/>
              <w:rPr>
                <w:sz w:val="1"/>
                <w:szCs w:val="1"/>
                <w:color w:val="auto"/>
              </w:rPr>
            </w:pPr>
          </w:p>
        </w:tc>
      </w:tr>
    </w:tbl>
    <w:p>
      <w:pPr>
        <w:spacing w:after="0" w:line="60" w:lineRule="exact"/>
        <w:rPr>
          <w:sz w:val="20"/>
          <w:szCs w:val="20"/>
          <w:color w:val="auto"/>
        </w:rPr>
      </w:pPr>
    </w:p>
    <w:p>
      <w:pPr>
        <w:ind w:left="880" w:right="40" w:hanging="827"/>
        <w:spacing w:after="0" w:line="242" w:lineRule="auto"/>
        <w:tabs>
          <w:tab w:leader="none" w:pos="880" w:val="left"/>
        </w:tabs>
        <w:numPr>
          <w:ilvl w:val="0"/>
          <w:numId w:val="56"/>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Federal Realty Investment Trust and Federal Realty OP LP Clawback Policy (previously filed as Exhibit 97 to the Trust's Annual Report on Form 10-K, filed on February 12, 2024 and incorporated here by reference)</w:t>
      </w:r>
    </w:p>
    <w:p>
      <w:pPr>
        <w:spacing w:after="0" w:line="87" w:lineRule="exact"/>
        <w:rPr>
          <w:sz w:val="20"/>
          <w:szCs w:val="20"/>
          <w:color w:val="auto"/>
        </w:rPr>
      </w:pPr>
    </w:p>
    <w:p>
      <w:pPr>
        <w:ind w:left="880" w:right="40" w:hanging="827"/>
        <w:spacing w:after="0" w:line="221" w:lineRule="auto"/>
        <w:tabs>
          <w:tab w:leader="none" w:pos="880" w:val="left"/>
        </w:tabs>
        <w:numPr>
          <w:ilvl w:val="0"/>
          <w:numId w:val="57"/>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The following materials from this Annual Report on Form 10-K for the year ended December 31, 2025, formatted in XBRL (Extensible Business Reporting Language): (1) the Consolidated Balance Sheets, (2) the Consolidated Statements of Comprehensive Income, (3) the Consolidated Statement of Shareholders’ Equity, (4) the Consolidated Statements of Cash Flows, and (5) Notes to Consolidated Financial Statements that have been detail tagged.</w:t>
      </w:r>
    </w:p>
    <w:p>
      <w:pPr>
        <w:spacing w:after="0" w:line="40" w:lineRule="exact"/>
        <w:rPr>
          <w:sz w:val="20"/>
          <w:szCs w:val="20"/>
          <w:color w:val="auto"/>
        </w:rPr>
      </w:pPr>
    </w:p>
    <w:p>
      <w:pPr>
        <w:ind w:left="60"/>
        <w:spacing w:after="0"/>
        <w:tabs>
          <w:tab w:leader="none" w:pos="860" w:val="left"/>
        </w:tabs>
        <w:rPr>
          <w:sz w:val="20"/>
          <w:szCs w:val="20"/>
          <w:color w:val="auto"/>
        </w:rPr>
      </w:pPr>
      <w:r>
        <w:rPr>
          <w:rFonts w:ascii="Times New Roman" w:cs="Times New Roman" w:eastAsia="Times New Roman" w:hAnsi="Times New Roman"/>
          <w:sz w:val="19"/>
          <w:szCs w:val="19"/>
          <w:color w:val="231F20"/>
        </w:rPr>
        <w:t>104</w:t>
      </w:r>
      <w:r>
        <w:rPr>
          <w:sz w:val="20"/>
          <w:szCs w:val="20"/>
          <w:color w:val="auto"/>
        </w:rPr>
        <w:tab/>
      </w:r>
      <w:r>
        <w:rPr>
          <w:rFonts w:ascii="Times New Roman" w:cs="Times New Roman" w:eastAsia="Times New Roman" w:hAnsi="Times New Roman"/>
          <w:sz w:val="19"/>
          <w:szCs w:val="19"/>
          <w:color w:val="231F20"/>
        </w:rPr>
        <w:t>Cover Page Interactive Data File (formatted in Inline XBRL and contained in Exhibit 101)</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_____________________</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 Management contract or compensatory plan required to be filed as an exhibit pursuant to Item 15(b) of Form 10-K.</w:t>
      </w:r>
    </w:p>
    <w:p>
      <w:pPr>
        <w:spacing w:after="0" w:line="10" w:lineRule="exact"/>
        <w:rPr>
          <w:sz w:val="20"/>
          <w:szCs w:val="20"/>
          <w:color w:val="auto"/>
        </w:rPr>
      </w:pPr>
    </w:p>
    <w:p>
      <w:pPr>
        <w:ind w:right="40" w:firstLine="3"/>
        <w:spacing w:after="0" w:line="250" w:lineRule="auto"/>
        <w:tabs>
          <w:tab w:leader="none" w:pos="143" w:val="left"/>
        </w:tabs>
        <w:numPr>
          <w:ilvl w:val="0"/>
          <w:numId w:val="58"/>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Pursuant to Regulation S-K Item 601(b)(4)(iii), the Trust and the Partnership by this filing agree, upon request, to furnish to the Securities and Exchange Commission a copy of other instruments defining the rights of holders of long-term debt of the Trust and the Partnership.</w:t>
      </w:r>
    </w:p>
    <w:p>
      <w:pPr>
        <w:spacing w:after="0" w:line="1" w:lineRule="exact"/>
        <w:rPr>
          <w:rFonts w:ascii="Times New Roman" w:cs="Times New Roman" w:eastAsia="Times New Roman" w:hAnsi="Times New Roman"/>
          <w:sz w:val="19"/>
          <w:szCs w:val="19"/>
          <w:color w:val="231F20"/>
        </w:rPr>
      </w:pPr>
    </w:p>
    <w:p>
      <w:pPr>
        <w:spacing w:after="0" w:line="243" w:lineRule="auto"/>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 In this Exhibit Index, the term "Predecessor" refers to Federal Realty Investment Trust before the effectiveness of our UPREIT conversion as described in our Current Reports on Form 8-K filed on January 3 and 5, 2022. Upon completion of the UPREIT conversion, the Partnership became the successor to the Predecessor's rights and obligations under this instrument.</w:t>
      </w:r>
    </w:p>
    <w:p>
      <w:pPr>
        <w:spacing w:after="0" w:line="13" w:lineRule="exact"/>
        <w:rPr>
          <w:sz w:val="20"/>
          <w:szCs w:val="20"/>
          <w:color w:val="auto"/>
        </w:rPr>
      </w:pPr>
    </w:p>
    <w:p>
      <w:pPr>
        <w:ind w:right="380" w:firstLine="3"/>
        <w:spacing w:after="0" w:line="285" w:lineRule="auto"/>
        <w:tabs>
          <w:tab w:leader="none" w:pos="195" w:val="left"/>
        </w:tabs>
        <w:numPr>
          <w:ilvl w:val="0"/>
          <w:numId w:val="59"/>
        </w:numPr>
        <w:rPr>
          <w:rFonts w:ascii="PMingLiU" w:cs="PMingLiU" w:eastAsia="PMingLiU" w:hAnsi="PMingLiU"/>
          <w:sz w:val="19"/>
          <w:szCs w:val="19"/>
          <w:color w:val="231F20"/>
        </w:rPr>
      </w:pPr>
      <w:r>
        <w:rPr>
          <w:rFonts w:ascii="Times New Roman" w:cs="Times New Roman" w:eastAsia="Times New Roman" w:hAnsi="Times New Roman"/>
          <w:sz w:val="17"/>
          <w:szCs w:val="17"/>
          <w:color w:val="231F20"/>
        </w:rPr>
        <w:t>Portions of this exhibit have been redacted because (i) the registrants customarily and actually treat that information as private or confidential and (ii) the omitted information is not material.</w:t>
      </w:r>
    </w:p>
    <w:p>
      <w:pPr>
        <w:spacing w:after="0" w:line="77"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9"/>
          <w:szCs w:val="19"/>
          <w:b w:val="1"/>
          <w:bCs w:val="1"/>
          <w:color w:val="231F20"/>
        </w:rPr>
        <w:t>ITEM 16.</w:t>
        <w:tab/>
        <w:t>FORM 10-K SUMMARY</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None.</w:t>
      </w:r>
    </w:p>
    <w:p>
      <w:pPr>
        <w:sectPr>
          <w:pgSz w:w="11880" w:h="15480" w:orient="portrait"/>
          <w:cols w:equalWidth="0" w:num="1">
            <w:col w:w="9600"/>
          </w:cols>
          <w:pgMar w:left="1060" w:top="1022" w:right="12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9"/>
          <w:szCs w:val="19"/>
          <w:color w:val="231F20"/>
        </w:rPr>
        <w:t>55</w:t>
      </w:r>
    </w:p>
    <w:p>
      <w:pPr>
        <w:sectPr>
          <w:pgSz w:w="11880" w:h="15480" w:orient="portrait"/>
          <w:cols w:equalWidth="0" w:num="1">
            <w:col w:w="9600"/>
          </w:cols>
          <w:pgMar w:left="1060" w:top="1022" w:right="1220" w:bottom="0" w:gutter="0" w:footer="0" w:header="0"/>
          <w:type w:val="continuous"/>
        </w:sectPr>
      </w:pPr>
    </w:p>
    <w:bookmarkStart w:id="63" w:name="page64"/>
    <w:bookmarkEnd w:id="63"/>
    <w:p>
      <w:pPr>
        <w:jc w:val="center"/>
        <w:ind w:right="-59"/>
        <w:spacing w:after="0"/>
        <w:rPr>
          <w:sz w:val="20"/>
          <w:szCs w:val="20"/>
          <w:color w:val="auto"/>
        </w:rPr>
      </w:pPr>
      <w:r>
        <w:rPr>
          <w:rFonts w:ascii="Times New Roman" w:cs="Times New Roman" w:eastAsia="Times New Roman" w:hAnsi="Times New Roman"/>
          <w:sz w:val="19"/>
          <w:szCs w:val="19"/>
          <w:b w:val="1"/>
          <w:bCs w:val="1"/>
          <w:color w:val="231F20"/>
        </w:rPr>
        <w:t>SIGNATURES</w:t>
      </w:r>
    </w:p>
    <w:p>
      <w:pPr>
        <w:spacing w:after="0" w:line="391" w:lineRule="exact"/>
        <w:rPr>
          <w:sz w:val="20"/>
          <w:szCs w:val="20"/>
          <w:color w:val="auto"/>
        </w:rPr>
      </w:pPr>
    </w:p>
    <w:p>
      <w:pPr>
        <w:jc w:val="both"/>
        <w:ind w:right="840"/>
        <w:spacing w:after="0" w:line="267" w:lineRule="auto"/>
        <w:rPr>
          <w:sz w:val="20"/>
          <w:szCs w:val="20"/>
          <w:color w:val="auto"/>
        </w:rPr>
      </w:pPr>
      <w:r>
        <w:rPr>
          <w:rFonts w:ascii="Times New Roman" w:cs="Times New Roman" w:eastAsia="Times New Roman" w:hAnsi="Times New Roman"/>
          <w:sz w:val="19"/>
          <w:szCs w:val="19"/>
          <w:color w:val="231F20"/>
        </w:rPr>
        <w:t>Pursuant to the requirements of Section 13 or 15(d) of the Securities Exchange Act of 1934, as amended, each of the Registrants have duly caused this Report to be signed on its behalf by the undersigned thereunto duly authorized this February 12, 2026.</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9"/>
          <w:szCs w:val="19"/>
          <w:color w:val="231F20"/>
        </w:rPr>
        <w:t>Federal Realty Investment Trust</w:t>
      </w:r>
    </w:p>
    <w:p>
      <w:pPr>
        <w:spacing w:after="0" w:line="67"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9"/>
          <w:szCs w:val="19"/>
          <w:color w:val="231F20"/>
        </w:rPr>
        <w:t>Federal Realty OP LP</w:t>
      </w:r>
    </w:p>
    <w:p>
      <w:pPr>
        <w:spacing w:after="0" w:line="318" w:lineRule="exact"/>
        <w:rPr>
          <w:sz w:val="20"/>
          <w:szCs w:val="20"/>
          <w:color w:val="auto"/>
        </w:rPr>
      </w:pPr>
    </w:p>
    <w:p>
      <w:pPr>
        <w:ind w:left="4240"/>
        <w:spacing w:after="0"/>
        <w:tabs>
          <w:tab w:leader="none" w:pos="5240" w:val="left"/>
        </w:tabs>
        <w:rPr>
          <w:sz w:val="20"/>
          <w:szCs w:val="20"/>
          <w:color w:val="auto"/>
        </w:rPr>
      </w:pPr>
      <w:r>
        <w:rPr>
          <w:rFonts w:ascii="Times New Roman" w:cs="Times New Roman" w:eastAsia="Times New Roman" w:hAnsi="Times New Roman"/>
          <w:sz w:val="19"/>
          <w:szCs w:val="19"/>
          <w:color w:val="231F20"/>
        </w:rPr>
        <w:t>By:</w:t>
      </w:r>
      <w:r>
        <w:rPr>
          <w:sz w:val="20"/>
          <w:szCs w:val="20"/>
          <w:color w:val="auto"/>
        </w:rPr>
        <w:tab/>
      </w:r>
      <w:r>
        <w:rPr>
          <w:rFonts w:ascii="Times New Roman" w:cs="Times New Roman" w:eastAsia="Times New Roman" w:hAnsi="Times New Roman"/>
          <w:sz w:val="19"/>
          <w:szCs w:val="19"/>
          <w:color w:val="231F20"/>
        </w:rPr>
        <w:t>/S/ 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2899410</wp:posOffset>
            </wp:positionH>
            <wp:positionV relativeFrom="paragraph">
              <wp:posOffset>33655</wp:posOffset>
            </wp:positionV>
            <wp:extent cx="2100580" cy="120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9">
                      <a:extLst>
                        <a:ext uri="{28A0092B-C50C-407E-A947-70E740481C1C}"/>
                      </a:extLst>
                    </a:blip>
                    <a:srcRect/>
                    <a:stretch>
                      <a:fillRect/>
                    </a:stretch>
                  </pic:blipFill>
                  <pic:spPr bwMode="auto">
                    <a:xfrm>
                      <a:off x="0" y="0"/>
                      <a:ext cx="2100580" cy="12065"/>
                    </a:xfrm>
                    <a:prstGeom prst="rect">
                      <a:avLst/>
                    </a:prstGeom>
                    <a:noFill/>
                  </pic:spPr>
                </pic:pic>
              </a:graphicData>
            </a:graphic>
          </wp:anchor>
        </w:drawing>
      </w:r>
    </w:p>
    <w:p>
      <w:pPr>
        <w:spacing w:after="0" w:line="58" w:lineRule="exact"/>
        <w:rPr>
          <w:sz w:val="20"/>
          <w:szCs w:val="20"/>
          <w:color w:val="auto"/>
        </w:rPr>
      </w:pPr>
    </w:p>
    <w:p>
      <w:pPr>
        <w:jc w:val="center"/>
        <w:ind w:left="2680"/>
        <w:spacing w:after="0"/>
        <w:rPr>
          <w:sz w:val="20"/>
          <w:szCs w:val="20"/>
          <w:color w:val="auto"/>
        </w:rPr>
      </w:pPr>
      <w:r>
        <w:rPr>
          <w:rFonts w:ascii="Times New Roman" w:cs="Times New Roman" w:eastAsia="Times New Roman" w:hAnsi="Times New Roman"/>
          <w:sz w:val="15"/>
          <w:szCs w:val="15"/>
          <w:b w:val="1"/>
          <w:bCs w:val="1"/>
          <w:color w:val="231F20"/>
        </w:rPr>
        <w:t>Donald C. Wood</w:t>
      </w:r>
    </w:p>
    <w:p>
      <w:pPr>
        <w:jc w:val="center"/>
        <w:ind w:left="2700"/>
        <w:spacing w:after="0"/>
        <w:rPr>
          <w:sz w:val="20"/>
          <w:szCs w:val="20"/>
          <w:color w:val="auto"/>
        </w:rPr>
      </w:pPr>
      <w:r>
        <w:rPr>
          <w:rFonts w:ascii="Times New Roman" w:cs="Times New Roman" w:eastAsia="Times New Roman" w:hAnsi="Times New Roman"/>
          <w:sz w:val="15"/>
          <w:szCs w:val="15"/>
          <w:b w:val="1"/>
          <w:bCs w:val="1"/>
          <w:color w:val="231F20"/>
        </w:rPr>
        <w:t>Chief Executive Officer and Trustee</w:t>
      </w:r>
    </w:p>
    <w:p>
      <w:pPr>
        <w:spacing w:after="0" w:line="13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9"/>
          <w:szCs w:val="19"/>
          <w:color w:val="231F20"/>
        </w:rPr>
        <w:t>Pursuant to the requirements of the Securities Exchange Act of 1934, as amended, this Report has been signed below by the following persons on behalf of each of the Registrants and in the capacity and on the dates indicated. Each person whose signature appears below hereby constitutes and appoints each of Donald C. Wood and Dawn M. Becker as his or her attorney-in-fact and agent, with full power of substitution and resubstitution for him or her in any and all capacities, to sign any or all amendments to this Report and to file same, with exhibits thereto and other documents in connection therewith, granting unto such attorney-in-fact and agent full power and authority to do and perform each and every act and thing requisite and necessary in connection with such matters and hereby ratifying and confirming all that such attorney-in-fact and agent or his or her substitutes may do or cause to be done by virtue hereof.</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620" w:type="dxa"/>
            <w:vAlign w:val="bottom"/>
          </w:tcPr>
          <w:p>
            <w:pPr>
              <w:spacing w:after="0"/>
              <w:rPr>
                <w:sz w:val="15"/>
                <w:szCs w:val="15"/>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231F20"/>
              </w:rPr>
              <w:t>Signature</w:t>
            </w:r>
          </w:p>
        </w:tc>
        <w:tc>
          <w:tcPr>
            <w:tcW w:w="16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5"/>
                <w:szCs w:val="15"/>
                <w:b w:val="1"/>
                <w:bCs w:val="1"/>
                <w:color w:val="231F20"/>
                <w:w w:val="99"/>
              </w:rPr>
              <w:t>Title</w:t>
            </w:r>
          </w:p>
        </w:tc>
        <w:tc>
          <w:tcPr>
            <w:tcW w:w="17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60" w:type="dxa"/>
            <w:vAlign w:val="bottom"/>
            <w:gridSpan w:val="2"/>
          </w:tcPr>
          <w:p>
            <w:pPr>
              <w:jc w:val="center"/>
              <w:ind w:right="560"/>
              <w:spacing w:after="0"/>
              <w:rPr>
                <w:sz w:val="20"/>
                <w:szCs w:val="20"/>
                <w:color w:val="auto"/>
              </w:rPr>
            </w:pPr>
            <w:r>
              <w:rPr>
                <w:rFonts w:ascii="Times New Roman" w:cs="Times New Roman" w:eastAsia="Times New Roman" w:hAnsi="Times New Roman"/>
                <w:sz w:val="15"/>
                <w:szCs w:val="15"/>
                <w:b w:val="1"/>
                <w:bCs w:val="1"/>
                <w:color w:val="231F20"/>
                <w:w w:val="99"/>
              </w:rPr>
              <w:t>Date</w:t>
            </w:r>
          </w:p>
        </w:tc>
      </w:tr>
      <w:tr>
        <w:trPr>
          <w:trHeight w:val="20"/>
        </w:trPr>
        <w:tc>
          <w:tcPr>
            <w:tcW w:w="1620" w:type="dxa"/>
            <w:vAlign w:val="bottom"/>
          </w:tcPr>
          <w:p>
            <w:pPr>
              <w:spacing w:after="0" w:line="20" w:lineRule="exact"/>
              <w:rPr>
                <w:sz w:val="1"/>
                <w:szCs w:val="1"/>
                <w:color w:val="auto"/>
              </w:rPr>
            </w:pPr>
          </w:p>
        </w:tc>
        <w:tc>
          <w:tcPr>
            <w:tcW w:w="640" w:type="dxa"/>
            <w:vAlign w:val="bottom"/>
            <w:shd w:val="clear" w:color="auto" w:fill="231F2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20" w:type="dxa"/>
            <w:vAlign w:val="bottom"/>
            <w:shd w:val="clear" w:color="auto" w:fill="231F2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shd w:val="clear" w:color="auto" w:fill="231F2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46"/>
        </w:trPr>
        <w:tc>
          <w:tcPr>
            <w:tcW w:w="3880" w:type="dxa"/>
            <w:vAlign w:val="bottom"/>
            <w:tcBorders>
              <w:bottom w:val="single" w:sz="8" w:color="231F20"/>
            </w:tcBorders>
            <w:gridSpan w:val="3"/>
          </w:tcPr>
          <w:p>
            <w:pPr>
              <w:jc w:val="center"/>
              <w:spacing w:after="0"/>
              <w:rPr>
                <w:sz w:val="20"/>
                <w:szCs w:val="20"/>
                <w:color w:val="auto"/>
              </w:rPr>
            </w:pPr>
            <w:r>
              <w:rPr>
                <w:rFonts w:ascii="Times New Roman" w:cs="Times New Roman" w:eastAsia="Times New Roman" w:hAnsi="Times New Roman"/>
                <w:sz w:val="19"/>
                <w:szCs w:val="19"/>
                <w:color w:val="231F20"/>
                <w:w w:val="99"/>
              </w:rPr>
              <w:t>/S/ DONALD C. WOOD</w:t>
            </w:r>
          </w:p>
        </w:tc>
        <w:tc>
          <w:tcPr>
            <w:tcW w:w="3960" w:type="dxa"/>
            <w:vAlign w:val="bottom"/>
            <w:gridSpan w:val="3"/>
          </w:tcPr>
          <w:p>
            <w:pPr>
              <w:ind w:left="400"/>
              <w:spacing w:after="0"/>
              <w:rPr>
                <w:sz w:val="20"/>
                <w:szCs w:val="20"/>
                <w:color w:val="auto"/>
              </w:rPr>
            </w:pPr>
            <w:r>
              <w:rPr>
                <w:rFonts w:ascii="Times New Roman" w:cs="Times New Roman" w:eastAsia="Times New Roman" w:hAnsi="Times New Roman"/>
                <w:sz w:val="19"/>
                <w:szCs w:val="19"/>
                <w:color w:val="231F20"/>
              </w:rPr>
              <w:t>Chief Executive Officer and Trustee</w:t>
            </w:r>
          </w:p>
        </w:tc>
        <w:tc>
          <w:tcPr>
            <w:tcW w:w="1700" w:type="dxa"/>
            <w:vAlign w:val="bottom"/>
            <w:gridSpan w:val="3"/>
          </w:tcPr>
          <w:p>
            <w:pPr>
              <w:jc w:val="center"/>
              <w:ind w:left="205"/>
              <w:spacing w:after="0"/>
              <w:rPr>
                <w:sz w:val="20"/>
                <w:szCs w:val="20"/>
                <w:color w:val="auto"/>
              </w:rPr>
            </w:pPr>
            <w:r>
              <w:rPr>
                <w:rFonts w:ascii="Times New Roman" w:cs="Times New Roman" w:eastAsia="Times New Roman" w:hAnsi="Times New Roman"/>
                <w:sz w:val="19"/>
                <w:szCs w:val="19"/>
                <w:color w:val="231F20"/>
              </w:rPr>
              <w:t>February 12, 2026</w:t>
            </w:r>
          </w:p>
        </w:tc>
      </w:tr>
      <w:tr>
        <w:trPr>
          <w:trHeight w:val="230"/>
        </w:trPr>
        <w:tc>
          <w:tcPr>
            <w:tcW w:w="3880" w:type="dxa"/>
            <w:vAlign w:val="bottom"/>
            <w:gridSpan w:val="3"/>
          </w:tcPr>
          <w:p>
            <w:pPr>
              <w:jc w:val="center"/>
              <w:spacing w:after="0"/>
              <w:rPr>
                <w:sz w:val="20"/>
                <w:szCs w:val="20"/>
                <w:color w:val="auto"/>
              </w:rPr>
            </w:pPr>
            <w:r>
              <w:rPr>
                <w:rFonts w:ascii="Times New Roman" w:cs="Times New Roman" w:eastAsia="Times New Roman" w:hAnsi="Times New Roman"/>
                <w:sz w:val="15"/>
                <w:szCs w:val="15"/>
                <w:b w:val="1"/>
                <w:bCs w:val="1"/>
                <w:color w:val="231F20"/>
              </w:rPr>
              <w:t>Donald C. Wood</w:t>
            </w:r>
          </w:p>
        </w:tc>
        <w:tc>
          <w:tcPr>
            <w:tcW w:w="3960" w:type="dxa"/>
            <w:vAlign w:val="bottom"/>
            <w:gridSpan w:val="3"/>
          </w:tcPr>
          <w:p>
            <w:pPr>
              <w:ind w:left="620"/>
              <w:spacing w:after="0"/>
              <w:rPr>
                <w:sz w:val="20"/>
                <w:szCs w:val="20"/>
                <w:color w:val="auto"/>
              </w:rPr>
            </w:pPr>
            <w:r>
              <w:rPr>
                <w:rFonts w:ascii="Times New Roman" w:cs="Times New Roman" w:eastAsia="Times New Roman" w:hAnsi="Times New Roman"/>
                <w:sz w:val="19"/>
                <w:szCs w:val="19"/>
                <w:color w:val="231F20"/>
              </w:rPr>
              <w:t>(Principal Executive Officer)</w:t>
            </w:r>
          </w:p>
        </w:tc>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478"/>
        </w:trPr>
        <w:tc>
          <w:tcPr>
            <w:tcW w:w="3880" w:type="dxa"/>
            <w:vAlign w:val="bottom"/>
            <w:tcBorders>
              <w:bottom w:val="single" w:sz="8" w:color="231F20"/>
            </w:tcBorders>
            <w:gridSpan w:val="3"/>
          </w:tcPr>
          <w:p>
            <w:pPr>
              <w:jc w:val="center"/>
              <w:spacing w:after="0"/>
              <w:rPr>
                <w:sz w:val="20"/>
                <w:szCs w:val="20"/>
                <w:color w:val="auto"/>
              </w:rPr>
            </w:pPr>
            <w:r>
              <w:rPr>
                <w:rFonts w:ascii="Times New Roman" w:cs="Times New Roman" w:eastAsia="Times New Roman" w:hAnsi="Times New Roman"/>
                <w:sz w:val="19"/>
                <w:szCs w:val="19"/>
                <w:color w:val="231F20"/>
              </w:rPr>
              <w:t>/S/ DANIEL GUGLIELMONE</w:t>
            </w:r>
          </w:p>
        </w:tc>
        <w:tc>
          <w:tcPr>
            <w:tcW w:w="3960" w:type="dxa"/>
            <w:vAlign w:val="bottom"/>
            <w:gridSpan w:val="3"/>
          </w:tcPr>
          <w:p>
            <w:pPr>
              <w:ind w:left="400"/>
              <w:spacing w:after="0"/>
              <w:rPr>
                <w:sz w:val="20"/>
                <w:szCs w:val="20"/>
                <w:color w:val="auto"/>
              </w:rPr>
            </w:pPr>
            <w:r>
              <w:rPr>
                <w:rFonts w:ascii="Times New Roman" w:cs="Times New Roman" w:eastAsia="Times New Roman" w:hAnsi="Times New Roman"/>
                <w:sz w:val="19"/>
                <w:szCs w:val="19"/>
                <w:color w:val="231F20"/>
              </w:rPr>
              <w:t>Executive Vice President - Chief Financial</w:t>
            </w:r>
          </w:p>
        </w:tc>
        <w:tc>
          <w:tcPr>
            <w:tcW w:w="1700" w:type="dxa"/>
            <w:vAlign w:val="bottom"/>
            <w:gridSpan w:val="3"/>
          </w:tcPr>
          <w:p>
            <w:pPr>
              <w:jc w:val="center"/>
              <w:ind w:left="205"/>
              <w:spacing w:after="0"/>
              <w:rPr>
                <w:sz w:val="20"/>
                <w:szCs w:val="20"/>
                <w:color w:val="auto"/>
              </w:rPr>
            </w:pPr>
            <w:r>
              <w:rPr>
                <w:rFonts w:ascii="Times New Roman" w:cs="Times New Roman" w:eastAsia="Times New Roman" w:hAnsi="Times New Roman"/>
                <w:sz w:val="19"/>
                <w:szCs w:val="19"/>
                <w:color w:val="231F20"/>
              </w:rPr>
              <w:t>February 12, 2026</w:t>
            </w:r>
          </w:p>
        </w:tc>
      </w:tr>
      <w:tr>
        <w:trPr>
          <w:trHeight w:val="214"/>
        </w:trPr>
        <w:tc>
          <w:tcPr>
            <w:tcW w:w="3880" w:type="dxa"/>
            <w:vAlign w:val="bottom"/>
            <w:gridSpan w:val="3"/>
          </w:tcPr>
          <w:p>
            <w:pPr>
              <w:jc w:val="center"/>
              <w:spacing w:after="0"/>
              <w:rPr>
                <w:sz w:val="20"/>
                <w:szCs w:val="20"/>
                <w:color w:val="auto"/>
              </w:rPr>
            </w:pPr>
            <w:r>
              <w:rPr>
                <w:rFonts w:ascii="Times New Roman" w:cs="Times New Roman" w:eastAsia="Times New Roman" w:hAnsi="Times New Roman"/>
                <w:sz w:val="15"/>
                <w:szCs w:val="15"/>
                <w:b w:val="1"/>
                <w:bCs w:val="1"/>
                <w:color w:val="231F20"/>
              </w:rPr>
              <w:t>Daniel Guglielmone</w:t>
            </w:r>
          </w:p>
        </w:tc>
        <w:tc>
          <w:tcPr>
            <w:tcW w:w="3960" w:type="dxa"/>
            <w:vAlign w:val="bottom"/>
            <w:gridSpan w:val="3"/>
          </w:tcPr>
          <w:p>
            <w:pPr>
              <w:ind w:left="620"/>
              <w:spacing w:after="0" w:line="214" w:lineRule="exact"/>
              <w:rPr>
                <w:sz w:val="20"/>
                <w:szCs w:val="20"/>
                <w:color w:val="auto"/>
              </w:rPr>
            </w:pPr>
            <w:r>
              <w:rPr>
                <w:rFonts w:ascii="Times New Roman" w:cs="Times New Roman" w:eastAsia="Times New Roman" w:hAnsi="Times New Roman"/>
                <w:sz w:val="19"/>
                <w:szCs w:val="19"/>
                <w:color w:val="231F20"/>
              </w:rPr>
              <w:t>Officer and Treasurer (Principal</w:t>
            </w: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49"/>
        </w:trPr>
        <w:tc>
          <w:tcPr>
            <w:tcW w:w="16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3960" w:type="dxa"/>
            <w:vAlign w:val="bottom"/>
            <w:gridSpan w:val="3"/>
          </w:tcPr>
          <w:p>
            <w:pPr>
              <w:ind w:left="620"/>
              <w:spacing w:after="0"/>
              <w:rPr>
                <w:sz w:val="20"/>
                <w:szCs w:val="20"/>
                <w:color w:val="auto"/>
              </w:rPr>
            </w:pPr>
            <w:r>
              <w:rPr>
                <w:rFonts w:ascii="Times New Roman" w:cs="Times New Roman" w:eastAsia="Times New Roman" w:hAnsi="Times New Roman"/>
                <w:sz w:val="19"/>
                <w:szCs w:val="19"/>
                <w:color w:val="231F20"/>
              </w:rPr>
              <w:t>Financial and Accounting Officer)</w:t>
            </w:r>
          </w:p>
        </w:tc>
        <w:tc>
          <w:tcPr>
            <w:tcW w:w="8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487"/>
        </w:trPr>
        <w:tc>
          <w:tcPr>
            <w:tcW w:w="3880" w:type="dxa"/>
            <w:vAlign w:val="bottom"/>
            <w:tcBorders>
              <w:bottom w:val="single" w:sz="8" w:color="231F20"/>
            </w:tcBorders>
            <w:gridSpan w:val="3"/>
          </w:tcPr>
          <w:p>
            <w:pPr>
              <w:jc w:val="center"/>
              <w:spacing w:after="0"/>
              <w:rPr>
                <w:sz w:val="20"/>
                <w:szCs w:val="20"/>
                <w:color w:val="auto"/>
              </w:rPr>
            </w:pPr>
            <w:r>
              <w:rPr>
                <w:rFonts w:ascii="Times New Roman" w:cs="Times New Roman" w:eastAsia="Times New Roman" w:hAnsi="Times New Roman"/>
                <w:sz w:val="19"/>
                <w:szCs w:val="19"/>
                <w:color w:val="231F20"/>
                <w:w w:val="99"/>
              </w:rPr>
              <w:t>/S/ DAVID W. FAEDER</w:t>
            </w:r>
          </w:p>
        </w:tc>
        <w:tc>
          <w:tcPr>
            <w:tcW w:w="3960" w:type="dxa"/>
            <w:vAlign w:val="bottom"/>
            <w:gridSpan w:val="3"/>
          </w:tcPr>
          <w:p>
            <w:pPr>
              <w:ind w:left="400"/>
              <w:spacing w:after="0"/>
              <w:rPr>
                <w:sz w:val="20"/>
                <w:szCs w:val="20"/>
                <w:color w:val="auto"/>
              </w:rPr>
            </w:pPr>
            <w:r>
              <w:rPr>
                <w:rFonts w:ascii="Times New Roman" w:cs="Times New Roman" w:eastAsia="Times New Roman" w:hAnsi="Times New Roman"/>
                <w:sz w:val="19"/>
                <w:szCs w:val="19"/>
                <w:color w:val="231F20"/>
              </w:rPr>
              <w:t>Non -Executive Chairman</w:t>
            </w:r>
          </w:p>
        </w:tc>
        <w:tc>
          <w:tcPr>
            <w:tcW w:w="1700" w:type="dxa"/>
            <w:vAlign w:val="bottom"/>
            <w:gridSpan w:val="3"/>
          </w:tcPr>
          <w:p>
            <w:pPr>
              <w:jc w:val="center"/>
              <w:ind w:left="205"/>
              <w:spacing w:after="0"/>
              <w:rPr>
                <w:sz w:val="20"/>
                <w:szCs w:val="20"/>
                <w:color w:val="auto"/>
              </w:rPr>
            </w:pPr>
            <w:r>
              <w:rPr>
                <w:rFonts w:ascii="Times New Roman" w:cs="Times New Roman" w:eastAsia="Times New Roman" w:hAnsi="Times New Roman"/>
                <w:sz w:val="19"/>
                <w:szCs w:val="19"/>
                <w:color w:val="231F20"/>
              </w:rPr>
              <w:t>February 12, 2026</w:t>
            </w:r>
          </w:p>
        </w:tc>
      </w:tr>
      <w:tr>
        <w:trPr>
          <w:trHeight w:val="201"/>
        </w:trPr>
        <w:tc>
          <w:tcPr>
            <w:tcW w:w="3880" w:type="dxa"/>
            <w:vAlign w:val="bottom"/>
            <w:gridSpan w:val="3"/>
          </w:tcPr>
          <w:p>
            <w:pPr>
              <w:jc w:val="center"/>
              <w:spacing w:after="0"/>
              <w:rPr>
                <w:sz w:val="20"/>
                <w:szCs w:val="20"/>
                <w:color w:val="auto"/>
              </w:rPr>
            </w:pPr>
            <w:r>
              <w:rPr>
                <w:rFonts w:ascii="Times New Roman" w:cs="Times New Roman" w:eastAsia="Times New Roman" w:hAnsi="Times New Roman"/>
                <w:sz w:val="15"/>
                <w:szCs w:val="15"/>
                <w:b w:val="1"/>
                <w:bCs w:val="1"/>
                <w:color w:val="231F20"/>
              </w:rPr>
              <w:t>David W. Faeder</w:t>
            </w:r>
          </w:p>
        </w:tc>
        <w:tc>
          <w:tcPr>
            <w:tcW w:w="1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550"/>
        </w:trPr>
        <w:tc>
          <w:tcPr>
            <w:tcW w:w="3880" w:type="dxa"/>
            <w:vAlign w:val="bottom"/>
            <w:tcBorders>
              <w:bottom w:val="single" w:sz="8" w:color="231F20"/>
            </w:tcBorders>
            <w:gridSpan w:val="3"/>
          </w:tcPr>
          <w:p>
            <w:pPr>
              <w:jc w:val="center"/>
              <w:spacing w:after="0"/>
              <w:rPr>
                <w:sz w:val="20"/>
                <w:szCs w:val="20"/>
                <w:color w:val="auto"/>
              </w:rPr>
            </w:pPr>
            <w:r>
              <w:rPr>
                <w:rFonts w:ascii="Times New Roman" w:cs="Times New Roman" w:eastAsia="Times New Roman" w:hAnsi="Times New Roman"/>
                <w:sz w:val="19"/>
                <w:szCs w:val="19"/>
                <w:color w:val="231F20"/>
              </w:rPr>
              <w:t>/S/ JOSEPH D. FISHER</w:t>
            </w:r>
          </w:p>
        </w:tc>
        <w:tc>
          <w:tcPr>
            <w:tcW w:w="3960" w:type="dxa"/>
            <w:vAlign w:val="bottom"/>
            <w:gridSpan w:val="3"/>
          </w:tcPr>
          <w:p>
            <w:pPr>
              <w:ind w:left="400"/>
              <w:spacing w:after="0"/>
              <w:rPr>
                <w:sz w:val="20"/>
                <w:szCs w:val="20"/>
                <w:color w:val="auto"/>
              </w:rPr>
            </w:pPr>
            <w:r>
              <w:rPr>
                <w:rFonts w:ascii="Times New Roman" w:cs="Times New Roman" w:eastAsia="Times New Roman" w:hAnsi="Times New Roman"/>
                <w:sz w:val="19"/>
                <w:szCs w:val="19"/>
                <w:color w:val="231F20"/>
              </w:rPr>
              <w:t>Trustee</w:t>
            </w:r>
          </w:p>
        </w:tc>
        <w:tc>
          <w:tcPr>
            <w:tcW w:w="1700" w:type="dxa"/>
            <w:vAlign w:val="bottom"/>
            <w:gridSpan w:val="3"/>
          </w:tcPr>
          <w:p>
            <w:pPr>
              <w:jc w:val="center"/>
              <w:ind w:left="205"/>
              <w:spacing w:after="0"/>
              <w:rPr>
                <w:sz w:val="20"/>
                <w:szCs w:val="20"/>
                <w:color w:val="auto"/>
              </w:rPr>
            </w:pPr>
            <w:r>
              <w:rPr>
                <w:rFonts w:ascii="Times New Roman" w:cs="Times New Roman" w:eastAsia="Times New Roman" w:hAnsi="Times New Roman"/>
                <w:sz w:val="19"/>
                <w:szCs w:val="19"/>
                <w:color w:val="231F20"/>
              </w:rPr>
              <w:t>February 12, 2026</w:t>
            </w:r>
          </w:p>
        </w:tc>
      </w:tr>
      <w:tr>
        <w:trPr>
          <w:trHeight w:val="201"/>
        </w:trPr>
        <w:tc>
          <w:tcPr>
            <w:tcW w:w="3880" w:type="dxa"/>
            <w:vAlign w:val="bottom"/>
            <w:gridSpan w:val="3"/>
          </w:tcPr>
          <w:p>
            <w:pPr>
              <w:jc w:val="center"/>
              <w:spacing w:after="0"/>
              <w:rPr>
                <w:sz w:val="20"/>
                <w:szCs w:val="20"/>
                <w:color w:val="auto"/>
              </w:rPr>
            </w:pPr>
            <w:r>
              <w:rPr>
                <w:rFonts w:ascii="Times New Roman" w:cs="Times New Roman" w:eastAsia="Times New Roman" w:hAnsi="Times New Roman"/>
                <w:sz w:val="15"/>
                <w:szCs w:val="15"/>
                <w:b w:val="1"/>
                <w:bCs w:val="1"/>
                <w:color w:val="231F20"/>
              </w:rPr>
              <w:t>Joseph D. Fisher</w:t>
            </w:r>
          </w:p>
        </w:tc>
        <w:tc>
          <w:tcPr>
            <w:tcW w:w="1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507"/>
        </w:trPr>
        <w:tc>
          <w:tcPr>
            <w:tcW w:w="3880" w:type="dxa"/>
            <w:vAlign w:val="bottom"/>
            <w:tcBorders>
              <w:bottom w:val="single" w:sz="8" w:color="231F20"/>
            </w:tcBorders>
            <w:gridSpan w:val="3"/>
          </w:tcPr>
          <w:p>
            <w:pPr>
              <w:jc w:val="center"/>
              <w:spacing w:after="0"/>
              <w:rPr>
                <w:sz w:val="20"/>
                <w:szCs w:val="20"/>
                <w:color w:val="auto"/>
              </w:rPr>
            </w:pPr>
            <w:r>
              <w:rPr>
                <w:rFonts w:ascii="Times New Roman" w:cs="Times New Roman" w:eastAsia="Times New Roman" w:hAnsi="Times New Roman"/>
                <w:sz w:val="19"/>
                <w:szCs w:val="19"/>
                <w:color w:val="231F20"/>
              </w:rPr>
              <w:t>/S/ ELIZABETH I. HOLLAND</w:t>
            </w:r>
          </w:p>
        </w:tc>
        <w:tc>
          <w:tcPr>
            <w:tcW w:w="3960" w:type="dxa"/>
            <w:vAlign w:val="bottom"/>
            <w:gridSpan w:val="3"/>
          </w:tcPr>
          <w:p>
            <w:pPr>
              <w:ind w:left="400"/>
              <w:spacing w:after="0"/>
              <w:rPr>
                <w:sz w:val="20"/>
                <w:szCs w:val="20"/>
                <w:color w:val="auto"/>
              </w:rPr>
            </w:pPr>
            <w:r>
              <w:rPr>
                <w:rFonts w:ascii="Times New Roman" w:cs="Times New Roman" w:eastAsia="Times New Roman" w:hAnsi="Times New Roman"/>
                <w:sz w:val="19"/>
                <w:szCs w:val="19"/>
                <w:color w:val="231F20"/>
              </w:rPr>
              <w:t>Trustee</w:t>
            </w:r>
          </w:p>
        </w:tc>
        <w:tc>
          <w:tcPr>
            <w:tcW w:w="1700" w:type="dxa"/>
            <w:vAlign w:val="bottom"/>
            <w:gridSpan w:val="3"/>
          </w:tcPr>
          <w:p>
            <w:pPr>
              <w:jc w:val="center"/>
              <w:ind w:left="205"/>
              <w:spacing w:after="0"/>
              <w:rPr>
                <w:sz w:val="20"/>
                <w:szCs w:val="20"/>
                <w:color w:val="auto"/>
              </w:rPr>
            </w:pPr>
            <w:r>
              <w:rPr>
                <w:rFonts w:ascii="Times New Roman" w:cs="Times New Roman" w:eastAsia="Times New Roman" w:hAnsi="Times New Roman"/>
                <w:sz w:val="19"/>
                <w:szCs w:val="19"/>
                <w:color w:val="231F20"/>
              </w:rPr>
              <w:t>February 12, 2026</w:t>
            </w:r>
          </w:p>
        </w:tc>
      </w:tr>
      <w:tr>
        <w:trPr>
          <w:trHeight w:val="201"/>
        </w:trPr>
        <w:tc>
          <w:tcPr>
            <w:tcW w:w="3880" w:type="dxa"/>
            <w:vAlign w:val="bottom"/>
            <w:gridSpan w:val="3"/>
          </w:tcPr>
          <w:p>
            <w:pPr>
              <w:jc w:val="center"/>
              <w:spacing w:after="0"/>
              <w:rPr>
                <w:sz w:val="20"/>
                <w:szCs w:val="20"/>
                <w:color w:val="auto"/>
              </w:rPr>
            </w:pPr>
            <w:r>
              <w:rPr>
                <w:rFonts w:ascii="Times New Roman" w:cs="Times New Roman" w:eastAsia="Times New Roman" w:hAnsi="Times New Roman"/>
                <w:sz w:val="15"/>
                <w:szCs w:val="15"/>
                <w:b w:val="1"/>
                <w:bCs w:val="1"/>
                <w:color w:val="231F20"/>
              </w:rPr>
              <w:t>Elizabeth I. Holland</w:t>
            </w:r>
          </w:p>
        </w:tc>
        <w:tc>
          <w:tcPr>
            <w:tcW w:w="1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507"/>
        </w:trPr>
        <w:tc>
          <w:tcPr>
            <w:tcW w:w="3880" w:type="dxa"/>
            <w:vAlign w:val="bottom"/>
            <w:tcBorders>
              <w:bottom w:val="single" w:sz="8" w:color="231F20"/>
            </w:tcBorders>
            <w:gridSpan w:val="3"/>
          </w:tcPr>
          <w:p>
            <w:pPr>
              <w:jc w:val="center"/>
              <w:spacing w:after="0"/>
              <w:rPr>
                <w:sz w:val="20"/>
                <w:szCs w:val="20"/>
                <w:color w:val="auto"/>
              </w:rPr>
            </w:pPr>
            <w:r>
              <w:rPr>
                <w:rFonts w:ascii="Times New Roman" w:cs="Times New Roman" w:eastAsia="Times New Roman" w:hAnsi="Times New Roman"/>
                <w:sz w:val="19"/>
                <w:szCs w:val="19"/>
                <w:color w:val="231F20"/>
              </w:rPr>
              <w:t>/S/ NICOLE Y. LAMB-HALE</w:t>
            </w:r>
          </w:p>
        </w:tc>
        <w:tc>
          <w:tcPr>
            <w:tcW w:w="3960" w:type="dxa"/>
            <w:vAlign w:val="bottom"/>
            <w:gridSpan w:val="3"/>
          </w:tcPr>
          <w:p>
            <w:pPr>
              <w:ind w:left="400"/>
              <w:spacing w:after="0"/>
              <w:rPr>
                <w:sz w:val="20"/>
                <w:szCs w:val="20"/>
                <w:color w:val="auto"/>
              </w:rPr>
            </w:pPr>
            <w:r>
              <w:rPr>
                <w:rFonts w:ascii="Times New Roman" w:cs="Times New Roman" w:eastAsia="Times New Roman" w:hAnsi="Times New Roman"/>
                <w:sz w:val="19"/>
                <w:szCs w:val="19"/>
                <w:color w:val="231F20"/>
              </w:rPr>
              <w:t>Trustee</w:t>
            </w:r>
          </w:p>
        </w:tc>
        <w:tc>
          <w:tcPr>
            <w:tcW w:w="1700" w:type="dxa"/>
            <w:vAlign w:val="bottom"/>
            <w:gridSpan w:val="3"/>
          </w:tcPr>
          <w:p>
            <w:pPr>
              <w:jc w:val="center"/>
              <w:ind w:left="205"/>
              <w:spacing w:after="0"/>
              <w:rPr>
                <w:sz w:val="20"/>
                <w:szCs w:val="20"/>
                <w:color w:val="auto"/>
              </w:rPr>
            </w:pPr>
            <w:r>
              <w:rPr>
                <w:rFonts w:ascii="Times New Roman" w:cs="Times New Roman" w:eastAsia="Times New Roman" w:hAnsi="Times New Roman"/>
                <w:sz w:val="19"/>
                <w:szCs w:val="19"/>
                <w:color w:val="231F20"/>
              </w:rPr>
              <w:t>February 12, 2026</w:t>
            </w:r>
          </w:p>
        </w:tc>
      </w:tr>
      <w:tr>
        <w:trPr>
          <w:trHeight w:val="201"/>
        </w:trPr>
        <w:tc>
          <w:tcPr>
            <w:tcW w:w="3880" w:type="dxa"/>
            <w:vAlign w:val="bottom"/>
            <w:gridSpan w:val="3"/>
          </w:tcPr>
          <w:p>
            <w:pPr>
              <w:jc w:val="center"/>
              <w:spacing w:after="0"/>
              <w:rPr>
                <w:sz w:val="20"/>
                <w:szCs w:val="20"/>
                <w:color w:val="auto"/>
              </w:rPr>
            </w:pPr>
            <w:r>
              <w:rPr>
                <w:rFonts w:ascii="Times New Roman" w:cs="Times New Roman" w:eastAsia="Times New Roman" w:hAnsi="Times New Roman"/>
                <w:sz w:val="15"/>
                <w:szCs w:val="15"/>
                <w:b w:val="1"/>
                <w:bCs w:val="1"/>
                <w:color w:val="231F20"/>
              </w:rPr>
              <w:t>Nicole Y. Lamb-Hale</w:t>
            </w:r>
          </w:p>
        </w:tc>
        <w:tc>
          <w:tcPr>
            <w:tcW w:w="1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507"/>
        </w:trPr>
        <w:tc>
          <w:tcPr>
            <w:tcW w:w="3880" w:type="dxa"/>
            <w:vAlign w:val="bottom"/>
            <w:tcBorders>
              <w:bottom w:val="single" w:sz="8" w:color="231F20"/>
            </w:tcBorders>
            <w:gridSpan w:val="3"/>
          </w:tcPr>
          <w:p>
            <w:pPr>
              <w:jc w:val="center"/>
              <w:spacing w:after="0"/>
              <w:rPr>
                <w:sz w:val="20"/>
                <w:szCs w:val="20"/>
                <w:color w:val="auto"/>
              </w:rPr>
            </w:pPr>
            <w:r>
              <w:rPr>
                <w:rFonts w:ascii="Times New Roman" w:cs="Times New Roman" w:eastAsia="Times New Roman" w:hAnsi="Times New Roman"/>
                <w:sz w:val="19"/>
                <w:szCs w:val="19"/>
                <w:color w:val="231F20"/>
              </w:rPr>
              <w:t>/S/ THOMAS A. MCEACHIN</w:t>
            </w:r>
          </w:p>
        </w:tc>
        <w:tc>
          <w:tcPr>
            <w:tcW w:w="3960" w:type="dxa"/>
            <w:vAlign w:val="bottom"/>
            <w:gridSpan w:val="3"/>
          </w:tcPr>
          <w:p>
            <w:pPr>
              <w:ind w:left="400"/>
              <w:spacing w:after="0"/>
              <w:rPr>
                <w:sz w:val="20"/>
                <w:szCs w:val="20"/>
                <w:color w:val="auto"/>
              </w:rPr>
            </w:pPr>
            <w:r>
              <w:rPr>
                <w:rFonts w:ascii="Times New Roman" w:cs="Times New Roman" w:eastAsia="Times New Roman" w:hAnsi="Times New Roman"/>
                <w:sz w:val="19"/>
                <w:szCs w:val="19"/>
                <w:color w:val="231F20"/>
              </w:rPr>
              <w:t>Trustee</w:t>
            </w:r>
          </w:p>
        </w:tc>
        <w:tc>
          <w:tcPr>
            <w:tcW w:w="1700" w:type="dxa"/>
            <w:vAlign w:val="bottom"/>
            <w:gridSpan w:val="3"/>
          </w:tcPr>
          <w:p>
            <w:pPr>
              <w:jc w:val="center"/>
              <w:ind w:left="205"/>
              <w:spacing w:after="0"/>
              <w:rPr>
                <w:sz w:val="20"/>
                <w:szCs w:val="20"/>
                <w:color w:val="auto"/>
              </w:rPr>
            </w:pPr>
            <w:r>
              <w:rPr>
                <w:rFonts w:ascii="Times New Roman" w:cs="Times New Roman" w:eastAsia="Times New Roman" w:hAnsi="Times New Roman"/>
                <w:sz w:val="19"/>
                <w:szCs w:val="19"/>
                <w:color w:val="231F20"/>
              </w:rPr>
              <w:t>February 12, 2026</w:t>
            </w:r>
          </w:p>
        </w:tc>
      </w:tr>
      <w:tr>
        <w:trPr>
          <w:trHeight w:val="201"/>
        </w:trPr>
        <w:tc>
          <w:tcPr>
            <w:tcW w:w="3880" w:type="dxa"/>
            <w:vAlign w:val="bottom"/>
            <w:gridSpan w:val="3"/>
          </w:tcPr>
          <w:p>
            <w:pPr>
              <w:jc w:val="center"/>
              <w:spacing w:after="0"/>
              <w:rPr>
                <w:sz w:val="20"/>
                <w:szCs w:val="20"/>
                <w:color w:val="auto"/>
              </w:rPr>
            </w:pPr>
            <w:r>
              <w:rPr>
                <w:rFonts w:ascii="Times New Roman" w:cs="Times New Roman" w:eastAsia="Times New Roman" w:hAnsi="Times New Roman"/>
                <w:sz w:val="15"/>
                <w:szCs w:val="15"/>
                <w:b w:val="1"/>
                <w:bCs w:val="1"/>
                <w:color w:val="231F20"/>
              </w:rPr>
              <w:t>Thomas A. McEachin</w:t>
            </w:r>
          </w:p>
        </w:tc>
        <w:tc>
          <w:tcPr>
            <w:tcW w:w="1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507"/>
        </w:trPr>
        <w:tc>
          <w:tcPr>
            <w:tcW w:w="3880" w:type="dxa"/>
            <w:vAlign w:val="bottom"/>
            <w:tcBorders>
              <w:bottom w:val="single" w:sz="8" w:color="231F20"/>
            </w:tcBorders>
            <w:gridSpan w:val="3"/>
          </w:tcPr>
          <w:p>
            <w:pPr>
              <w:jc w:val="center"/>
              <w:spacing w:after="0"/>
              <w:rPr>
                <w:sz w:val="20"/>
                <w:szCs w:val="20"/>
                <w:color w:val="auto"/>
              </w:rPr>
            </w:pPr>
            <w:r>
              <w:rPr>
                <w:rFonts w:ascii="Times New Roman" w:cs="Times New Roman" w:eastAsia="Times New Roman" w:hAnsi="Times New Roman"/>
                <w:sz w:val="19"/>
                <w:szCs w:val="19"/>
                <w:color w:val="231F20"/>
              </w:rPr>
              <w:t>/S/ ANTHONY P. NADER, III</w:t>
            </w:r>
          </w:p>
        </w:tc>
        <w:tc>
          <w:tcPr>
            <w:tcW w:w="3960" w:type="dxa"/>
            <w:vAlign w:val="bottom"/>
            <w:gridSpan w:val="3"/>
          </w:tcPr>
          <w:p>
            <w:pPr>
              <w:ind w:left="400"/>
              <w:spacing w:after="0"/>
              <w:rPr>
                <w:sz w:val="20"/>
                <w:szCs w:val="20"/>
                <w:color w:val="auto"/>
              </w:rPr>
            </w:pPr>
            <w:r>
              <w:rPr>
                <w:rFonts w:ascii="Times New Roman" w:cs="Times New Roman" w:eastAsia="Times New Roman" w:hAnsi="Times New Roman"/>
                <w:sz w:val="19"/>
                <w:szCs w:val="19"/>
                <w:color w:val="231F20"/>
              </w:rPr>
              <w:t>Trustee</w:t>
            </w:r>
          </w:p>
        </w:tc>
        <w:tc>
          <w:tcPr>
            <w:tcW w:w="1700" w:type="dxa"/>
            <w:vAlign w:val="bottom"/>
            <w:gridSpan w:val="3"/>
          </w:tcPr>
          <w:p>
            <w:pPr>
              <w:jc w:val="center"/>
              <w:ind w:left="205"/>
              <w:spacing w:after="0"/>
              <w:rPr>
                <w:sz w:val="20"/>
                <w:szCs w:val="20"/>
                <w:color w:val="auto"/>
              </w:rPr>
            </w:pPr>
            <w:r>
              <w:rPr>
                <w:rFonts w:ascii="Times New Roman" w:cs="Times New Roman" w:eastAsia="Times New Roman" w:hAnsi="Times New Roman"/>
                <w:sz w:val="19"/>
                <w:szCs w:val="19"/>
                <w:color w:val="231F20"/>
              </w:rPr>
              <w:t>February 12, 2026</w:t>
            </w:r>
          </w:p>
        </w:tc>
      </w:tr>
      <w:tr>
        <w:trPr>
          <w:trHeight w:val="201"/>
        </w:trPr>
        <w:tc>
          <w:tcPr>
            <w:tcW w:w="3880" w:type="dxa"/>
            <w:vAlign w:val="bottom"/>
            <w:gridSpan w:val="3"/>
          </w:tcPr>
          <w:p>
            <w:pPr>
              <w:jc w:val="center"/>
              <w:spacing w:after="0"/>
              <w:rPr>
                <w:sz w:val="20"/>
                <w:szCs w:val="20"/>
                <w:color w:val="auto"/>
              </w:rPr>
            </w:pPr>
            <w:r>
              <w:rPr>
                <w:rFonts w:ascii="Times New Roman" w:cs="Times New Roman" w:eastAsia="Times New Roman" w:hAnsi="Times New Roman"/>
                <w:sz w:val="15"/>
                <w:szCs w:val="15"/>
                <w:b w:val="1"/>
                <w:bCs w:val="1"/>
                <w:color w:val="231F20"/>
              </w:rPr>
              <w:t>Anthony P. Nader, III</w:t>
            </w:r>
          </w:p>
        </w:tc>
        <w:tc>
          <w:tcPr>
            <w:tcW w:w="1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507"/>
        </w:trPr>
        <w:tc>
          <w:tcPr>
            <w:tcW w:w="3880" w:type="dxa"/>
            <w:vAlign w:val="bottom"/>
            <w:tcBorders>
              <w:bottom w:val="single" w:sz="8" w:color="231F20"/>
            </w:tcBorders>
            <w:gridSpan w:val="3"/>
          </w:tcPr>
          <w:p>
            <w:pPr>
              <w:jc w:val="center"/>
              <w:spacing w:after="0"/>
              <w:rPr>
                <w:sz w:val="20"/>
                <w:szCs w:val="20"/>
                <w:color w:val="auto"/>
              </w:rPr>
            </w:pPr>
            <w:r>
              <w:rPr>
                <w:rFonts w:ascii="Times New Roman" w:cs="Times New Roman" w:eastAsia="Times New Roman" w:hAnsi="Times New Roman"/>
                <w:sz w:val="19"/>
                <w:szCs w:val="19"/>
                <w:color w:val="231F20"/>
                <w:w w:val="99"/>
              </w:rPr>
              <w:t>/S/ GAIL P. STEINEL</w:t>
            </w:r>
          </w:p>
        </w:tc>
        <w:tc>
          <w:tcPr>
            <w:tcW w:w="3960" w:type="dxa"/>
            <w:vAlign w:val="bottom"/>
            <w:gridSpan w:val="3"/>
          </w:tcPr>
          <w:p>
            <w:pPr>
              <w:ind w:left="400"/>
              <w:spacing w:after="0"/>
              <w:rPr>
                <w:sz w:val="20"/>
                <w:szCs w:val="20"/>
                <w:color w:val="auto"/>
              </w:rPr>
            </w:pPr>
            <w:r>
              <w:rPr>
                <w:rFonts w:ascii="Times New Roman" w:cs="Times New Roman" w:eastAsia="Times New Roman" w:hAnsi="Times New Roman"/>
                <w:sz w:val="19"/>
                <w:szCs w:val="19"/>
                <w:color w:val="231F20"/>
              </w:rPr>
              <w:t>Trustee</w:t>
            </w:r>
          </w:p>
        </w:tc>
        <w:tc>
          <w:tcPr>
            <w:tcW w:w="1700" w:type="dxa"/>
            <w:vAlign w:val="bottom"/>
            <w:gridSpan w:val="3"/>
          </w:tcPr>
          <w:p>
            <w:pPr>
              <w:jc w:val="center"/>
              <w:ind w:left="205"/>
              <w:spacing w:after="0"/>
              <w:rPr>
                <w:sz w:val="20"/>
                <w:szCs w:val="20"/>
                <w:color w:val="auto"/>
              </w:rPr>
            </w:pPr>
            <w:r>
              <w:rPr>
                <w:rFonts w:ascii="Times New Roman" w:cs="Times New Roman" w:eastAsia="Times New Roman" w:hAnsi="Times New Roman"/>
                <w:sz w:val="19"/>
                <w:szCs w:val="19"/>
                <w:color w:val="231F20"/>
              </w:rPr>
              <w:t>February 12, 2026</w:t>
            </w:r>
          </w:p>
        </w:tc>
      </w:tr>
      <w:tr>
        <w:trPr>
          <w:trHeight w:val="201"/>
        </w:trPr>
        <w:tc>
          <w:tcPr>
            <w:tcW w:w="3880" w:type="dxa"/>
            <w:vAlign w:val="bottom"/>
            <w:gridSpan w:val="3"/>
          </w:tcPr>
          <w:p>
            <w:pPr>
              <w:jc w:val="center"/>
              <w:spacing w:after="0"/>
              <w:rPr>
                <w:sz w:val="20"/>
                <w:szCs w:val="20"/>
                <w:color w:val="auto"/>
              </w:rPr>
            </w:pPr>
            <w:r>
              <w:rPr>
                <w:rFonts w:ascii="Times New Roman" w:cs="Times New Roman" w:eastAsia="Times New Roman" w:hAnsi="Times New Roman"/>
                <w:sz w:val="15"/>
                <w:szCs w:val="15"/>
                <w:b w:val="1"/>
                <w:bCs w:val="1"/>
                <w:color w:val="231F20"/>
              </w:rPr>
              <w:t>Gail P. Steinel</w:t>
            </w:r>
          </w:p>
        </w:tc>
        <w:tc>
          <w:tcPr>
            <w:tcW w:w="1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r>
    </w:tbl>
    <w:p>
      <w:pPr>
        <w:spacing w:after="0" w:line="200" w:lineRule="exact"/>
        <w:rPr>
          <w:sz w:val="20"/>
          <w:szCs w:val="20"/>
          <w:color w:val="auto"/>
        </w:rPr>
      </w:pPr>
    </w:p>
    <w:p>
      <w:pPr>
        <w:sectPr>
          <w:pgSz w:w="11880" w:h="15480" w:orient="portrait"/>
          <w:cols w:equalWidth="0" w:num="1">
            <w:col w:w="9700"/>
          </w:cols>
          <w:pgMar w:left="1060" w:top="958" w:right="11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color w:val="231F20"/>
        </w:rPr>
        <w:t>56</w:t>
      </w:r>
    </w:p>
    <w:p>
      <w:pPr>
        <w:sectPr>
          <w:pgSz w:w="11880" w:h="15480" w:orient="portrait"/>
          <w:cols w:equalWidth="0" w:num="1">
            <w:col w:w="9700"/>
          </w:cols>
          <w:pgMar w:left="1060" w:top="958" w:right="1120" w:bottom="0" w:gutter="0" w:footer="0" w:header="0"/>
          <w:type w:val="continuous"/>
        </w:sectPr>
      </w:pPr>
    </w:p>
    <w:bookmarkStart w:id="64" w:name="page65"/>
    <w:bookmarkEnd w:id="64"/>
    <w:p>
      <w:pPr>
        <w:jc w:val="center"/>
        <w:ind w:left="1380"/>
        <w:spacing w:after="0"/>
        <w:rPr>
          <w:sz w:val="20"/>
          <w:szCs w:val="20"/>
          <w:color w:val="auto"/>
        </w:rPr>
      </w:pPr>
      <w:r>
        <w:rPr>
          <w:rFonts w:ascii="Times New Roman" w:cs="Times New Roman" w:eastAsia="Times New Roman" w:hAnsi="Times New Roman"/>
          <w:sz w:val="19"/>
          <w:szCs w:val="19"/>
          <w:b w:val="1"/>
          <w:bCs w:val="1"/>
          <w:color w:val="231F20"/>
        </w:rPr>
        <w:t>Item 8 and Item 15(a)(1) and (2)</w:t>
      </w:r>
    </w:p>
    <w:p>
      <w:pPr>
        <w:spacing w:after="0" w:line="33" w:lineRule="exact"/>
        <w:rPr>
          <w:sz w:val="20"/>
          <w:szCs w:val="20"/>
          <w:color w:val="auto"/>
        </w:rPr>
      </w:pPr>
    </w:p>
    <w:p>
      <w:pPr>
        <w:jc w:val="center"/>
        <w:ind w:left="1380"/>
        <w:spacing w:after="0"/>
        <w:rPr>
          <w:sz w:val="20"/>
          <w:szCs w:val="20"/>
          <w:color w:val="auto"/>
        </w:rPr>
      </w:pPr>
      <w:r>
        <w:rPr>
          <w:rFonts w:ascii="Times New Roman" w:cs="Times New Roman" w:eastAsia="Times New Roman" w:hAnsi="Times New Roman"/>
          <w:sz w:val="19"/>
          <w:szCs w:val="19"/>
          <w:b w:val="1"/>
          <w:bCs w:val="1"/>
          <w:color w:val="231F20"/>
        </w:rPr>
        <w:t>Index to Consolidated Financial Statements and Schedules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231F20"/>
        </w:rPr>
        <w:t>Report of Independent Registered Public Accounting Firm ( PCAOB ID Number 248)</w:t>
      </w:r>
    </w:p>
    <w:p>
      <w:pPr>
        <w:spacing w:after="0" w:line="2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b w:val="1"/>
          <w:bCs w:val="1"/>
          <w:color w:val="231F20"/>
        </w:rPr>
        <w:t>Federal Realty Investment Trust:</w:t>
      </w:r>
    </w:p>
    <w:p>
      <w:pPr>
        <w:spacing w:after="0" w:line="5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231F20"/>
        </w:rPr>
        <w:t>Consolidated Balance Sheets as of December 31, 2025 and 2024</w:t>
      </w:r>
    </w:p>
    <w:p>
      <w:pPr>
        <w:spacing w:after="0" w:line="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231F20"/>
        </w:rPr>
        <w:t>Consolidated Statements of Comprehensive Income for the Years Ended December 31, 2025, 2024, and 2023</w:t>
      </w:r>
    </w:p>
    <w:p>
      <w:pPr>
        <w:spacing w:after="0" w:line="6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231F20"/>
        </w:rPr>
        <w:t>Consolidated Statements of Shareholders’ Equity for the Years Ended December 31, 2025, 2024, and 2023</w:t>
      </w:r>
    </w:p>
    <w:p>
      <w:pPr>
        <w:spacing w:after="0" w:line="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231F20"/>
        </w:rPr>
        <w:t>Consolidated Statements of Cash Flows for the Years Ended December 31, 2025, 2024, and 2023</w:t>
      </w:r>
    </w:p>
    <w:p>
      <w:pPr>
        <w:spacing w:after="0" w:line="3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b w:val="1"/>
          <w:bCs w:val="1"/>
          <w:color w:val="231F20"/>
        </w:rPr>
        <w:t>Federal Realty OP LP:</w:t>
      </w:r>
    </w:p>
    <w:p>
      <w:pPr>
        <w:spacing w:after="0" w:line="5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231F20"/>
        </w:rPr>
        <w:t>Consolidated Balance Sheets as of December 31, 2025 and 2024</w:t>
      </w:r>
    </w:p>
    <w:p>
      <w:pPr>
        <w:spacing w:after="0" w:line="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231F20"/>
        </w:rPr>
        <w:t>Consolidated Statements of Comprehensive Income for the Years Ended December 31, 2025, 2024, and 2023</w:t>
      </w:r>
    </w:p>
    <w:p>
      <w:pPr>
        <w:spacing w:after="0" w:line="6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231F20"/>
        </w:rPr>
        <w:t>Consolidated Statements of Capital for the Years Ended December 31, 2025, 2024, and 2023</w:t>
      </w:r>
    </w:p>
    <w:p>
      <w:pPr>
        <w:spacing w:after="0" w:line="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231F20"/>
        </w:rPr>
        <w:t>Consolidated Statements of Cash Flows for the Years Ended December 31, 2025, 2024, and 2023</w:t>
      </w:r>
    </w:p>
    <w:p>
      <w:pPr>
        <w:spacing w:after="0" w:line="3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231F20"/>
        </w:rPr>
        <w:t>Notes to Consolidated Financial Statements</w:t>
      </w:r>
    </w:p>
    <w:p>
      <w:pPr>
        <w:spacing w:after="0" w:line="3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i w:val="1"/>
          <w:iCs w:val="1"/>
          <w:color w:val="231F20"/>
        </w:rPr>
        <w:t>Financial Statement Schedules</w:t>
      </w:r>
    </w:p>
    <w:p>
      <w:pPr>
        <w:spacing w:after="0" w:line="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231F20"/>
        </w:rPr>
        <w:t>Schedule III—Summary of Real Estate and Accumulated Depreciation</w:t>
      </w:r>
    </w:p>
    <w:p>
      <w:pPr>
        <w:spacing w:after="0" w:line="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231F20"/>
        </w:rPr>
        <w:t>Schedule IV—Mortgage Loans on Real Estate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Page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20955</wp:posOffset>
            </wp:positionV>
            <wp:extent cx="615950" cy="120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0">
                      <a:extLst>
                        <a:ext uri="{28A0092B-C50C-407E-A947-70E740481C1C}"/>
                      </a:extLst>
                    </a:blip>
                    <a:srcRect/>
                    <a:stretch>
                      <a:fillRect/>
                    </a:stretch>
                  </pic:blipFill>
                  <pic:spPr bwMode="auto">
                    <a:xfrm>
                      <a:off x="0" y="0"/>
                      <a:ext cx="615950" cy="12065"/>
                    </a:xfrm>
                    <a:prstGeom prst="rect">
                      <a:avLst/>
                    </a:prstGeom>
                    <a:noFill/>
                  </pic:spPr>
                </pic:pic>
              </a:graphicData>
            </a:graphic>
          </wp:anchor>
        </w:drawing>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F-2</w:t>
      </w:r>
    </w:p>
    <w:p>
      <w:pPr>
        <w:spacing w:after="0" w:line="200" w:lineRule="exact"/>
        <w:rPr>
          <w:sz w:val="20"/>
          <w:szCs w:val="20"/>
          <w:color w:val="auto"/>
        </w:rPr>
      </w:pPr>
    </w:p>
    <w:p>
      <w:pPr>
        <w:spacing w:after="0" w:line="29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9"/>
          <w:szCs w:val="19"/>
          <w:color w:val="231F20"/>
        </w:rPr>
        <w:t>F-8</w:t>
      </w:r>
    </w:p>
    <w:p>
      <w:pPr>
        <w:spacing w:after="0" w:line="5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9"/>
          <w:szCs w:val="19"/>
          <w:color w:val="231F20"/>
        </w:rPr>
        <w:t>F-9</w:t>
      </w:r>
    </w:p>
    <w:p>
      <w:pPr>
        <w:spacing w:after="0" w:line="5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9"/>
          <w:szCs w:val="19"/>
          <w:color w:val="231F20"/>
        </w:rPr>
        <w:t>F-10</w:t>
      </w:r>
    </w:p>
    <w:p>
      <w:pPr>
        <w:spacing w:after="0" w:line="5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9"/>
          <w:szCs w:val="19"/>
          <w:color w:val="231F20"/>
        </w:rPr>
        <w:t>F-11</w:t>
      </w:r>
    </w:p>
    <w:p>
      <w:pPr>
        <w:spacing w:after="0" w:line="200" w:lineRule="exact"/>
        <w:rPr>
          <w:sz w:val="20"/>
          <w:szCs w:val="20"/>
          <w:color w:val="auto"/>
        </w:rPr>
      </w:pPr>
    </w:p>
    <w:p>
      <w:pPr>
        <w:spacing w:after="0" w:line="39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9"/>
          <w:szCs w:val="19"/>
          <w:color w:val="231F20"/>
        </w:rPr>
        <w:t>F-12</w:t>
      </w:r>
    </w:p>
    <w:p>
      <w:pPr>
        <w:spacing w:after="0" w:line="5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9"/>
          <w:szCs w:val="19"/>
          <w:color w:val="231F20"/>
        </w:rPr>
        <w:t>F-13</w:t>
      </w:r>
    </w:p>
    <w:p>
      <w:pPr>
        <w:spacing w:after="0" w:line="5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9"/>
          <w:szCs w:val="19"/>
          <w:color w:val="231F20"/>
        </w:rPr>
        <w:t>F-14</w:t>
      </w:r>
    </w:p>
    <w:p>
      <w:pPr>
        <w:spacing w:after="0" w:line="5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9"/>
          <w:szCs w:val="19"/>
          <w:color w:val="231F20"/>
        </w:rPr>
        <w:t>F-15</w:t>
      </w:r>
    </w:p>
    <w:p>
      <w:pPr>
        <w:spacing w:after="0" w:line="3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9"/>
          <w:szCs w:val="19"/>
          <w:color w:val="231F20"/>
        </w:rPr>
        <w:t>F-16</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9"/>
          <w:szCs w:val="19"/>
          <w:color w:val="231F20"/>
        </w:rPr>
        <w:t>F-41</w:t>
      </w:r>
    </w:p>
    <w:p>
      <w:pPr>
        <w:spacing w:after="0" w:line="5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9"/>
          <w:szCs w:val="19"/>
          <w:color w:val="231F20"/>
        </w:rPr>
        <w:t>F-49</w:t>
      </w:r>
    </w:p>
    <w:p>
      <w:pPr>
        <w:spacing w:after="0" w:line="154" w:lineRule="exact"/>
        <w:rPr>
          <w:sz w:val="20"/>
          <w:szCs w:val="20"/>
          <w:color w:val="auto"/>
        </w:rPr>
      </w:pPr>
    </w:p>
    <w:p>
      <w:pPr>
        <w:sectPr>
          <w:pgSz w:w="11880" w:h="15480" w:orient="portrait"/>
          <w:cols w:equalWidth="0" w:num="2">
            <w:col w:w="8380" w:space="540"/>
            <w:col w:w="700"/>
          </w:cols>
          <w:pgMar w:left="1060" w:top="958" w:right="1200" w:bottom="0" w:gutter="0" w:footer="0" w:header="0"/>
        </w:sectPr>
      </w:pPr>
    </w:p>
    <w:p>
      <w:pPr>
        <w:ind w:right="380"/>
        <w:spacing w:after="0" w:line="284" w:lineRule="auto"/>
        <w:rPr>
          <w:sz w:val="20"/>
          <w:szCs w:val="20"/>
          <w:color w:val="auto"/>
        </w:rPr>
      </w:pPr>
      <w:r>
        <w:rPr>
          <w:rFonts w:ascii="Times New Roman" w:cs="Times New Roman" w:eastAsia="Times New Roman" w:hAnsi="Times New Roman"/>
          <w:sz w:val="19"/>
          <w:szCs w:val="19"/>
          <w:color w:val="231F20"/>
        </w:rPr>
        <w:t>All other schedules have been omitted either because the information is not applicable, not material, or is disclosed in our consolidated financial statements and related notes.</w:t>
      </w:r>
    </w:p>
    <w:p>
      <w:pPr>
        <w:sectPr>
          <w:pgSz w:w="11880" w:h="15480" w:orient="portrait"/>
          <w:cols w:equalWidth="0" w:num="1">
            <w:col w:w="9620"/>
          </w:cols>
          <w:pgMar w:left="1060" w:top="958" w:right="120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9"/>
          <w:szCs w:val="19"/>
          <w:color w:val="231F20"/>
        </w:rPr>
        <w:t>F-1</w:t>
      </w:r>
    </w:p>
    <w:p>
      <w:pPr>
        <w:sectPr>
          <w:pgSz w:w="11880" w:h="15480" w:orient="portrait"/>
          <w:cols w:equalWidth="0" w:num="1">
            <w:col w:w="9620"/>
          </w:cols>
          <w:pgMar w:left="1060" w:top="958" w:right="1200" w:bottom="0" w:gutter="0" w:footer="0" w:header="0"/>
          <w:type w:val="continuous"/>
        </w:sectPr>
      </w:pPr>
    </w:p>
    <w:bookmarkStart w:id="65" w:name="page66"/>
    <w:bookmarkEnd w:id="65"/>
    <w:p>
      <w:pPr>
        <w:spacing w:after="0"/>
        <w:rPr>
          <w:sz w:val="20"/>
          <w:szCs w:val="20"/>
          <w:color w:val="auto"/>
        </w:rPr>
      </w:pPr>
      <w:r>
        <w:rPr>
          <w:rFonts w:ascii="Times New Roman" w:cs="Times New Roman" w:eastAsia="Times New Roman" w:hAnsi="Times New Roman"/>
          <w:sz w:val="19"/>
          <w:szCs w:val="19"/>
          <w:b w:val="1"/>
          <w:bCs w:val="1"/>
          <w:color w:val="231F20"/>
        </w:rPr>
        <w:t>Report of Independent Registered Public Accounting Firm</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Trustees and Shareholders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Federal Realty Investment Trust</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Opinion on internal control over financial reporting</w:t>
      </w:r>
    </w:p>
    <w:p>
      <w:pPr>
        <w:spacing w:after="0" w:line="110" w:lineRule="exact"/>
        <w:rPr>
          <w:sz w:val="20"/>
          <w:szCs w:val="20"/>
          <w:color w:val="auto"/>
        </w:rPr>
      </w:pPr>
    </w:p>
    <w:p>
      <w:pPr>
        <w:ind w:right="80"/>
        <w:spacing w:after="0" w:line="242" w:lineRule="auto"/>
        <w:rPr>
          <w:sz w:val="20"/>
          <w:szCs w:val="20"/>
          <w:color w:val="auto"/>
        </w:rPr>
      </w:pPr>
      <w:r>
        <w:rPr>
          <w:rFonts w:ascii="Times New Roman" w:cs="Times New Roman" w:eastAsia="Times New Roman" w:hAnsi="Times New Roman"/>
          <w:sz w:val="19"/>
          <w:szCs w:val="19"/>
          <w:color w:val="231F20"/>
        </w:rPr>
        <w:t xml:space="preserve">We have audited the internal control over financial reporting of Federal Realty Investment Trust (a Maryland real estate investment trust) and subsidiaries (collectively, the "Trust") as of December 31, 2025, based on criteria established in the 2013 </w:t>
      </w:r>
      <w:r>
        <w:rPr>
          <w:rFonts w:ascii="Times New Roman" w:cs="Times New Roman" w:eastAsia="Times New Roman" w:hAnsi="Times New Roman"/>
          <w:sz w:val="19"/>
          <w:szCs w:val="19"/>
          <w:i w:val="1"/>
          <w:iCs w:val="1"/>
          <w:color w:val="231F20"/>
        </w:rPr>
        <w:t xml:space="preserve">Internal Control—Integrated Framework </w:t>
      </w:r>
      <w:r>
        <w:rPr>
          <w:rFonts w:ascii="Times New Roman" w:cs="Times New Roman" w:eastAsia="Times New Roman" w:hAnsi="Times New Roman"/>
          <w:sz w:val="19"/>
          <w:szCs w:val="19"/>
          <w:color w:val="231F20"/>
        </w:rPr>
        <w:t>issued by the Committee of Sponsoring Organizations of the Treadway Commission</w:t>
      </w:r>
      <w:r>
        <w:rPr>
          <w:rFonts w:ascii="Times New Roman" w:cs="Times New Roman" w:eastAsia="Times New Roman" w:hAnsi="Times New Roman"/>
          <w:sz w:val="19"/>
          <w:szCs w:val="19"/>
          <w:i w:val="1"/>
          <w:iCs w:val="1"/>
          <w:color w:val="231F20"/>
        </w:rPr>
        <w:t xml:space="preserve"> </w:t>
      </w:r>
      <w:r>
        <w:rPr>
          <w:rFonts w:ascii="Times New Roman" w:cs="Times New Roman" w:eastAsia="Times New Roman" w:hAnsi="Times New Roman"/>
          <w:sz w:val="19"/>
          <w:szCs w:val="19"/>
          <w:color w:val="231F20"/>
        </w:rPr>
        <w:t xml:space="preserve">("COSO"). In our opinion, the Trust maintained, in all material respects, effective internal control over financial reporting as of December 31, 2025, based on criteria established in the 2013 </w:t>
      </w:r>
      <w:r>
        <w:rPr>
          <w:rFonts w:ascii="Times New Roman" w:cs="Times New Roman" w:eastAsia="Times New Roman" w:hAnsi="Times New Roman"/>
          <w:sz w:val="19"/>
          <w:szCs w:val="19"/>
          <w:i w:val="1"/>
          <w:iCs w:val="1"/>
          <w:color w:val="231F20"/>
        </w:rPr>
        <w:t>Internal Control-Integrated Framework</w:t>
      </w:r>
      <w:r>
        <w:rPr>
          <w:rFonts w:ascii="Times New Roman" w:cs="Times New Roman" w:eastAsia="Times New Roman" w:hAnsi="Times New Roman"/>
          <w:sz w:val="19"/>
          <w:szCs w:val="19"/>
          <w:color w:val="231F20"/>
        </w:rPr>
        <w:t xml:space="preserve"> issued by COSO.</w:t>
      </w:r>
    </w:p>
    <w:p>
      <w:pPr>
        <w:spacing w:after="0" w:line="19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9"/>
          <w:szCs w:val="19"/>
          <w:color w:val="231F20"/>
        </w:rPr>
        <w:t>We also have audited, in accordance with the standards of the Public Company Accounting Oversight Board (United States) (“PCAOB”), the consolidated financial statements of the Trust as of and for the year ended December 31, 2025, and our report dated February 12, 2026 expressed an unqualified opinion on those financial statements.</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Basis for opinion</w:t>
      </w:r>
    </w:p>
    <w:p>
      <w:pPr>
        <w:spacing w:after="0" w:line="110" w:lineRule="exact"/>
        <w:rPr>
          <w:sz w:val="20"/>
          <w:szCs w:val="20"/>
          <w:color w:val="auto"/>
        </w:rPr>
      </w:pPr>
    </w:p>
    <w:p>
      <w:pPr>
        <w:ind w:right="80"/>
        <w:spacing w:after="0" w:line="231" w:lineRule="auto"/>
        <w:rPr>
          <w:sz w:val="20"/>
          <w:szCs w:val="20"/>
          <w:color w:val="auto"/>
        </w:rPr>
      </w:pPr>
      <w:r>
        <w:rPr>
          <w:rFonts w:ascii="Times New Roman" w:cs="Times New Roman" w:eastAsia="Times New Roman" w:hAnsi="Times New Roman"/>
          <w:sz w:val="19"/>
          <w:szCs w:val="19"/>
          <w:color w:val="231F20"/>
        </w:rPr>
        <w:t>The Trust’s management is responsible for maintaining effective internal control over financial reporting and for its assessment of the effectiveness of internal control over financial reporting, included in the accompanying Management's Evaluation of Internal Control over Financial Reporting. Our responsibility is to express an opinion on the Trust’s internal control over financial reporting based on our audit. We are a public accounting firm registered with the PCAOB and are required to be independent with respect to the Trust in accordance with the U.S. federal securities laws and the applicable rules and regulations of the Securities and Exchange Commission and the PCAOB.</w:t>
      </w:r>
    </w:p>
    <w:p>
      <w:pPr>
        <w:spacing w:after="0" w:line="162" w:lineRule="exact"/>
        <w:rPr>
          <w:sz w:val="20"/>
          <w:szCs w:val="20"/>
          <w:color w:val="auto"/>
        </w:rPr>
      </w:pPr>
    </w:p>
    <w:p>
      <w:pPr>
        <w:ind w:right="40"/>
        <w:spacing w:after="0" w:line="231" w:lineRule="auto"/>
        <w:rPr>
          <w:sz w:val="20"/>
          <w:szCs w:val="20"/>
          <w:color w:val="auto"/>
        </w:rPr>
      </w:pPr>
      <w:r>
        <w:rPr>
          <w:rFonts w:ascii="Times New Roman" w:cs="Times New Roman" w:eastAsia="Times New Roman" w:hAnsi="Times New Roman"/>
          <w:sz w:val="19"/>
          <w:szCs w:val="19"/>
          <w:color w:val="231F20"/>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Definition and limitations of internal control over financial reporting</w:t>
      </w:r>
    </w:p>
    <w:p>
      <w:pPr>
        <w:spacing w:after="0" w:line="110" w:lineRule="exact"/>
        <w:rPr>
          <w:sz w:val="20"/>
          <w:szCs w:val="20"/>
          <w:color w:val="auto"/>
        </w:rPr>
      </w:pPr>
    </w:p>
    <w:p>
      <w:pPr>
        <w:ind w:right="40"/>
        <w:spacing w:after="0" w:line="229" w:lineRule="auto"/>
        <w:rPr>
          <w:sz w:val="20"/>
          <w:szCs w:val="20"/>
          <w:color w:val="auto"/>
        </w:rPr>
      </w:pPr>
      <w:r>
        <w:rPr>
          <w:rFonts w:ascii="Times New Roman" w:cs="Times New Roman" w:eastAsia="Times New Roman" w:hAnsi="Times New Roman"/>
          <w:sz w:val="19"/>
          <w:szCs w:val="19"/>
          <w:color w:val="231F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58" w:lineRule="exact"/>
        <w:rPr>
          <w:sz w:val="20"/>
          <w:szCs w:val="20"/>
          <w:color w:val="auto"/>
        </w:rPr>
      </w:pPr>
    </w:p>
    <w:p>
      <w:pPr>
        <w:jc w:val="both"/>
        <w:ind w:right="440"/>
        <w:spacing w:after="0"/>
        <w:rPr>
          <w:sz w:val="20"/>
          <w:szCs w:val="20"/>
          <w:color w:val="auto"/>
        </w:rPr>
      </w:pPr>
      <w:r>
        <w:rPr>
          <w:rFonts w:ascii="Times New Roman" w:cs="Times New Roman" w:eastAsia="Times New Roman" w:hAnsi="Times New Roman"/>
          <w:sz w:val="19"/>
          <w:szCs w:val="19"/>
          <w:color w:val="231F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/s/ GRANT THORNTON LLP</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Jacksonville, Florida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February 12, 2026</w:t>
      </w:r>
    </w:p>
    <w:p>
      <w:pPr>
        <w:sectPr>
          <w:pgSz w:w="11880" w:h="15480" w:orient="portrait"/>
          <w:cols w:equalWidth="0" w:num="1">
            <w:col w:w="9760"/>
          </w:cols>
          <w:pgMar w:left="1060" w:top="958"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F-2</w:t>
      </w:r>
    </w:p>
    <w:p>
      <w:pPr>
        <w:sectPr>
          <w:pgSz w:w="11880" w:h="15480" w:orient="portrait"/>
          <w:cols w:equalWidth="0" w:num="1">
            <w:col w:w="9760"/>
          </w:cols>
          <w:pgMar w:left="1060" w:top="958" w:right="1060" w:bottom="0" w:gutter="0" w:footer="0" w:header="0"/>
          <w:type w:val="continuous"/>
        </w:sectPr>
      </w:pPr>
    </w:p>
    <w:bookmarkStart w:id="66" w:name="page67"/>
    <w:bookmarkEnd w:id="66"/>
    <w:p>
      <w:pPr>
        <w:spacing w:after="0"/>
        <w:rPr>
          <w:sz w:val="20"/>
          <w:szCs w:val="20"/>
          <w:color w:val="auto"/>
        </w:rPr>
      </w:pPr>
      <w:r>
        <w:rPr>
          <w:rFonts w:ascii="Times New Roman" w:cs="Times New Roman" w:eastAsia="Times New Roman" w:hAnsi="Times New Roman"/>
          <w:sz w:val="19"/>
          <w:szCs w:val="19"/>
          <w:b w:val="1"/>
          <w:bCs w:val="1"/>
          <w:color w:val="231F20"/>
        </w:rPr>
        <w:t>Report of Independent Registered Public Accounting Firm</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Trustees and Shareholders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Federal Realty Investment Trust</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Opinion on the financial statements</w:t>
      </w:r>
    </w:p>
    <w:p>
      <w:pPr>
        <w:spacing w:after="0" w:line="11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9"/>
          <w:szCs w:val="19"/>
          <w:color w:val="231F20"/>
        </w:rPr>
        <w:t>We have audited the accompanying consolidated balance sheets of Federal Realty Investment Trust (a Maryland real estate investment trust) and subsidiaries (collectively, the "Trust") as of December 31, 2025 and 2024, the related consolidated statements of comprehensive income, shareholders’ equity, and cash flows for each of the three years in the period ended December 31, 2025, and the related notes and financial statement schedules included under Item 15(a)(2) (collectively referred to as the “consolidated financial statements”). In our opinion, the consolidated financial statements present fairly, in all material respects, the financial position of the Trust as of December 31, 2025 and 2024, and the results of its operations and its cash flows for each of the three years in the period ended December 31, 2025, in conformity with accounting principles generally accepted in the United States of America.</w:t>
      </w:r>
    </w:p>
    <w:p>
      <w:pPr>
        <w:spacing w:after="0" w:line="19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231F20"/>
        </w:rPr>
        <w:t xml:space="preserve">We also have audited, in accordance with the standards of the Public Company Accounting Oversight Board (United States) (“PCAOB”), the Trust’s internal control over financial reporting as of December 31, 2025, based on criteria established in the 2013 </w:t>
      </w:r>
      <w:r>
        <w:rPr>
          <w:rFonts w:ascii="Times New Roman" w:cs="Times New Roman" w:eastAsia="Times New Roman" w:hAnsi="Times New Roman"/>
          <w:sz w:val="19"/>
          <w:szCs w:val="19"/>
          <w:i w:val="1"/>
          <w:iCs w:val="1"/>
          <w:color w:val="231F20"/>
        </w:rPr>
        <w:t>Internal Control-Integrated Framework</w:t>
      </w:r>
      <w:r>
        <w:rPr>
          <w:rFonts w:ascii="Times New Roman" w:cs="Times New Roman" w:eastAsia="Times New Roman" w:hAnsi="Times New Roman"/>
          <w:sz w:val="19"/>
          <w:szCs w:val="19"/>
          <w:color w:val="231F20"/>
        </w:rPr>
        <w:t xml:space="preserve"> issued by the Committee of Sponsoring Organizations of the Treadway Commission (“COSO”), and our report dated February 12, 2026 expressed an unqualified opinion.</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Basis for opinion</w:t>
      </w:r>
    </w:p>
    <w:p>
      <w:pPr>
        <w:spacing w:after="0" w:line="110" w:lineRule="exact"/>
        <w:rPr>
          <w:sz w:val="20"/>
          <w:szCs w:val="20"/>
          <w:color w:val="auto"/>
        </w:rPr>
      </w:pPr>
    </w:p>
    <w:p>
      <w:pPr>
        <w:ind w:right="60"/>
        <w:spacing w:after="0" w:line="236" w:lineRule="auto"/>
        <w:rPr>
          <w:sz w:val="20"/>
          <w:szCs w:val="20"/>
          <w:color w:val="auto"/>
        </w:rPr>
      </w:pPr>
      <w:r>
        <w:rPr>
          <w:rFonts w:ascii="Times New Roman" w:cs="Times New Roman" w:eastAsia="Times New Roman" w:hAnsi="Times New Roman"/>
          <w:sz w:val="19"/>
          <w:szCs w:val="19"/>
          <w:color w:val="231F20"/>
        </w:rPr>
        <w:t>These consolidated financial statements are the responsibility of the Trust’s management. Our responsibility is to express an opinion on the Trust’s consolidated financial statements based on our audits. We are a public accounting firm registered with the PCAOB and are required to be independent with respect to the Trust in accordance with the U.S. federal securities laws and the applicable rules and regulations of the Securities and Exchange Commission and the PCAOB.</w:t>
      </w:r>
    </w:p>
    <w:p>
      <w:pPr>
        <w:spacing w:after="0" w:line="50" w:lineRule="exact"/>
        <w:rPr>
          <w:sz w:val="20"/>
          <w:szCs w:val="20"/>
          <w:color w:val="auto"/>
        </w:rPr>
      </w:pPr>
    </w:p>
    <w:p>
      <w:pPr>
        <w:ind w:right="20"/>
        <w:spacing w:after="0" w:line="230" w:lineRule="auto"/>
        <w:rPr>
          <w:sz w:val="20"/>
          <w:szCs w:val="20"/>
          <w:color w:val="auto"/>
        </w:rPr>
      </w:pPr>
      <w:r>
        <w:rPr>
          <w:rFonts w:ascii="Times New Roman" w:cs="Times New Roman" w:eastAsia="Times New Roman" w:hAnsi="Times New Roman"/>
          <w:sz w:val="19"/>
          <w:szCs w:val="19"/>
          <w:color w:val="231F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Critical audit matter</w:t>
      </w:r>
    </w:p>
    <w:p>
      <w:pPr>
        <w:spacing w:after="0" w:line="110" w:lineRule="exact"/>
        <w:rPr>
          <w:sz w:val="20"/>
          <w:szCs w:val="20"/>
          <w:color w:val="auto"/>
        </w:rPr>
      </w:pPr>
    </w:p>
    <w:p>
      <w:pPr>
        <w:spacing w:after="0" w:line="231" w:lineRule="auto"/>
        <w:rPr>
          <w:sz w:val="20"/>
          <w:szCs w:val="20"/>
          <w:color w:val="auto"/>
        </w:rPr>
      </w:pPr>
      <w:r>
        <w:rPr>
          <w:rFonts w:ascii="Times New Roman" w:cs="Times New Roman" w:eastAsia="Times New Roman" w:hAnsi="Times New Roman"/>
          <w:sz w:val="19"/>
          <w:szCs w:val="19"/>
          <w:color w:val="231F20"/>
        </w:rPr>
        <w:t>The critical audit matter communicated below is a matter arising from the current period audit of the financial statements that was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separate opinions on the critical audit matter or on the accounts or disclosures to which it relates.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Lease Collectibility Assessment</w:t>
      </w:r>
    </w:p>
    <w:p>
      <w:pPr>
        <w:spacing w:after="0" w:line="85" w:lineRule="exact"/>
        <w:rPr>
          <w:sz w:val="20"/>
          <w:szCs w:val="20"/>
          <w:color w:val="auto"/>
        </w:rPr>
      </w:pPr>
    </w:p>
    <w:p>
      <w:pPr>
        <w:ind w:right="60"/>
        <w:spacing w:after="0" w:line="236" w:lineRule="auto"/>
        <w:rPr>
          <w:sz w:val="20"/>
          <w:szCs w:val="20"/>
          <w:color w:val="auto"/>
        </w:rPr>
      </w:pPr>
      <w:r>
        <w:rPr>
          <w:rFonts w:ascii="Times New Roman" w:cs="Times New Roman" w:eastAsia="Times New Roman" w:hAnsi="Times New Roman"/>
          <w:sz w:val="19"/>
          <w:szCs w:val="19"/>
          <w:color w:val="231F20"/>
        </w:rPr>
        <w:t>In order to recognize rental income on an accrual basis, the Trust must determine whether substantially all the rents due under a lease arrangement are collectible. If the Trust reaches the conclusion that substantially all of the rents are not collectible for a specific lease, then rental income under that arrangement can only be recognized when cash payment from the tenant is received.</w:t>
      </w:r>
    </w:p>
    <w:p>
      <w:pPr>
        <w:spacing w:after="0" w:line="158" w:lineRule="exact"/>
        <w:rPr>
          <w:sz w:val="20"/>
          <w:szCs w:val="20"/>
          <w:color w:val="auto"/>
        </w:rPr>
      </w:pPr>
    </w:p>
    <w:p>
      <w:pPr>
        <w:ind w:right="1000"/>
        <w:spacing w:after="0" w:line="254" w:lineRule="auto"/>
        <w:rPr>
          <w:sz w:val="20"/>
          <w:szCs w:val="20"/>
          <w:color w:val="auto"/>
        </w:rPr>
      </w:pPr>
      <w:r>
        <w:rPr>
          <w:rFonts w:ascii="Times New Roman" w:cs="Times New Roman" w:eastAsia="Times New Roman" w:hAnsi="Times New Roman"/>
          <w:sz w:val="19"/>
          <w:szCs w:val="19"/>
          <w:color w:val="231F20"/>
        </w:rPr>
        <w:t>Significant judgment is exercised by the Trust when making a collectibility assessment and includes the following considerations which require challenging and subjective auditor judgment in the execution of our audit procedures:</w:t>
      </w:r>
    </w:p>
    <w:p>
      <w:pPr>
        <w:spacing w:after="0" w:line="1" w:lineRule="exact"/>
        <w:rPr>
          <w:sz w:val="20"/>
          <w:szCs w:val="20"/>
          <w:color w:val="auto"/>
        </w:rPr>
      </w:pPr>
    </w:p>
    <w:p>
      <w:pPr>
        <w:ind w:left="680" w:hanging="335"/>
        <w:spacing w:after="0"/>
        <w:tabs>
          <w:tab w:leader="none" w:pos="680" w:val="left"/>
        </w:tabs>
        <w:numPr>
          <w:ilvl w:val="0"/>
          <w:numId w:val="60"/>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Creditworthiness of the tenant</w:t>
      </w:r>
    </w:p>
    <w:p>
      <w:pPr>
        <w:spacing w:after="0" w:line="41" w:lineRule="exact"/>
        <w:rPr>
          <w:rFonts w:ascii="Times New Roman" w:cs="Times New Roman" w:eastAsia="Times New Roman" w:hAnsi="Times New Roman"/>
          <w:sz w:val="19"/>
          <w:szCs w:val="19"/>
          <w:color w:val="231F20"/>
        </w:rPr>
      </w:pPr>
    </w:p>
    <w:p>
      <w:pPr>
        <w:ind w:left="680" w:hanging="335"/>
        <w:spacing w:after="0"/>
        <w:tabs>
          <w:tab w:leader="none" w:pos="680" w:val="left"/>
        </w:tabs>
        <w:numPr>
          <w:ilvl w:val="0"/>
          <w:numId w:val="60"/>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Current economic conditions</w:t>
      </w:r>
    </w:p>
    <w:p>
      <w:pPr>
        <w:spacing w:after="0" w:line="41" w:lineRule="exact"/>
        <w:rPr>
          <w:rFonts w:ascii="Times New Roman" w:cs="Times New Roman" w:eastAsia="Times New Roman" w:hAnsi="Times New Roman"/>
          <w:sz w:val="19"/>
          <w:szCs w:val="19"/>
          <w:color w:val="231F20"/>
        </w:rPr>
      </w:pPr>
    </w:p>
    <w:p>
      <w:pPr>
        <w:ind w:left="680" w:hanging="335"/>
        <w:spacing w:after="0"/>
        <w:tabs>
          <w:tab w:leader="none" w:pos="680" w:val="left"/>
        </w:tabs>
        <w:numPr>
          <w:ilvl w:val="0"/>
          <w:numId w:val="60"/>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Historical experience with the tenant and other tenants operating in the same industry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Our audit procedures related to the collectibility assessment included the following:</w:t>
      </w:r>
    </w:p>
    <w:p>
      <w:pPr>
        <w:spacing w:after="0" w:line="80" w:lineRule="exact"/>
        <w:rPr>
          <w:sz w:val="20"/>
          <w:szCs w:val="20"/>
          <w:color w:val="auto"/>
        </w:rPr>
      </w:pPr>
    </w:p>
    <w:p>
      <w:pPr>
        <w:ind w:left="680" w:right="100" w:hanging="335"/>
        <w:spacing w:after="0" w:line="257" w:lineRule="auto"/>
        <w:tabs>
          <w:tab w:leader="none" w:pos="680" w:val="left"/>
        </w:tabs>
        <w:numPr>
          <w:ilvl w:val="0"/>
          <w:numId w:val="61"/>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We tested the design and tested the operating effectiveness of internal controls relating to the collectibility assessment process.</w:t>
      </w:r>
    </w:p>
    <w:p>
      <w:pPr>
        <w:sectPr>
          <w:pgSz w:w="11880" w:h="15480" w:orient="portrait"/>
          <w:cols w:equalWidth="0" w:num="1">
            <w:col w:w="9760"/>
          </w:cols>
          <w:pgMar w:left="1060" w:top="958" w:right="1060" w:bottom="0" w:gutter="0" w:footer="0" w:header="0"/>
        </w:sect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F-3</w:t>
      </w:r>
    </w:p>
    <w:p>
      <w:pPr>
        <w:sectPr>
          <w:pgSz w:w="11880" w:h="15480" w:orient="portrait"/>
          <w:cols w:equalWidth="0" w:num="1">
            <w:col w:w="9760"/>
          </w:cols>
          <w:pgMar w:left="1060" w:top="958" w:right="1060" w:bottom="0" w:gutter="0" w:footer="0" w:header="0"/>
          <w:type w:val="continuous"/>
        </w:sectPr>
      </w:pPr>
    </w:p>
    <w:bookmarkStart w:id="67" w:name="page68"/>
    <w:bookmarkEnd w:id="67"/>
    <w:p>
      <w:pPr>
        <w:ind w:left="680" w:hanging="335"/>
        <w:spacing w:after="0"/>
        <w:tabs>
          <w:tab w:leader="none" w:pos="680" w:val="left"/>
        </w:tabs>
        <w:numPr>
          <w:ilvl w:val="0"/>
          <w:numId w:val="62"/>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We evaluated management’s accounting policies related to this assessment.</w:t>
      </w:r>
    </w:p>
    <w:p>
      <w:pPr>
        <w:spacing w:after="0" w:line="42" w:lineRule="exact"/>
        <w:rPr>
          <w:rFonts w:ascii="Times New Roman" w:cs="Times New Roman" w:eastAsia="Times New Roman" w:hAnsi="Times New Roman"/>
          <w:sz w:val="19"/>
          <w:szCs w:val="19"/>
          <w:color w:val="231F20"/>
        </w:rPr>
      </w:pPr>
    </w:p>
    <w:p>
      <w:pPr>
        <w:ind w:left="680" w:hanging="335"/>
        <w:spacing w:after="0"/>
        <w:tabs>
          <w:tab w:leader="none" w:pos="680" w:val="left"/>
        </w:tabs>
        <w:numPr>
          <w:ilvl w:val="0"/>
          <w:numId w:val="62"/>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We verified the completeness of the population of tenants that management evaluated.</w:t>
      </w:r>
    </w:p>
    <w:p>
      <w:pPr>
        <w:spacing w:after="0" w:line="42" w:lineRule="exact"/>
        <w:rPr>
          <w:rFonts w:ascii="Times New Roman" w:cs="Times New Roman" w:eastAsia="Times New Roman" w:hAnsi="Times New Roman"/>
          <w:sz w:val="19"/>
          <w:szCs w:val="19"/>
          <w:color w:val="231F20"/>
        </w:rPr>
      </w:pPr>
    </w:p>
    <w:p>
      <w:pPr>
        <w:ind w:left="680" w:hanging="335"/>
        <w:spacing w:after="0" w:line="236" w:lineRule="auto"/>
        <w:tabs>
          <w:tab w:leader="none" w:pos="680" w:val="left"/>
        </w:tabs>
        <w:numPr>
          <w:ilvl w:val="0"/>
          <w:numId w:val="62"/>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We researched recent publicly available information, including information for a selection of tenants with the highest rental income recognized in the year ended December 31, 2025, such as bankruptcy filings, industry journals, and periodicals, and for any of the Trust’s tenants identified in our research, we evaluated whether such information was considered in management’s collectibility assessment.</w:t>
      </w:r>
    </w:p>
    <w:p>
      <w:pPr>
        <w:spacing w:after="0" w:line="11" w:lineRule="exact"/>
        <w:rPr>
          <w:rFonts w:ascii="Times New Roman" w:cs="Times New Roman" w:eastAsia="Times New Roman" w:hAnsi="Times New Roman"/>
          <w:sz w:val="19"/>
          <w:szCs w:val="19"/>
          <w:color w:val="231F20"/>
        </w:rPr>
      </w:pPr>
    </w:p>
    <w:p>
      <w:pPr>
        <w:ind w:left="680" w:right="380" w:hanging="335"/>
        <w:spacing w:after="0" w:line="254" w:lineRule="auto"/>
        <w:tabs>
          <w:tab w:leader="none" w:pos="680" w:val="left"/>
        </w:tabs>
        <w:numPr>
          <w:ilvl w:val="0"/>
          <w:numId w:val="62"/>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For a selection of tenant receivables where collectibility was deemed as probable, we evaluated the collectibility assessment conclusion reached by management and performed the following procedures for each selection:</w:t>
      </w:r>
    </w:p>
    <w:p>
      <w:pPr>
        <w:spacing w:after="0" w:line="1" w:lineRule="exact"/>
        <w:rPr>
          <w:rFonts w:ascii="Times New Roman" w:cs="Times New Roman" w:eastAsia="Times New Roman" w:hAnsi="Times New Roman"/>
          <w:sz w:val="19"/>
          <w:szCs w:val="19"/>
          <w:color w:val="231F20"/>
        </w:rPr>
      </w:pPr>
    </w:p>
    <w:p>
      <w:pPr>
        <w:ind w:left="1380" w:hanging="350"/>
        <w:spacing w:after="0"/>
        <w:tabs>
          <w:tab w:leader="none" w:pos="1380" w:val="left"/>
        </w:tabs>
        <w:numPr>
          <w:ilvl w:val="1"/>
          <w:numId w:val="62"/>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Verified that management’s accounting policies related to the collectibility assessment were followed.</w:t>
      </w:r>
    </w:p>
    <w:p>
      <w:pPr>
        <w:spacing w:after="0" w:line="41" w:lineRule="exact"/>
        <w:rPr>
          <w:rFonts w:ascii="Times New Roman" w:cs="Times New Roman" w:eastAsia="Times New Roman" w:hAnsi="Times New Roman"/>
          <w:sz w:val="19"/>
          <w:szCs w:val="19"/>
          <w:color w:val="231F20"/>
        </w:rPr>
      </w:pPr>
    </w:p>
    <w:p>
      <w:pPr>
        <w:ind w:left="1380" w:right="40" w:hanging="350"/>
        <w:spacing w:after="0" w:line="268" w:lineRule="auto"/>
        <w:tabs>
          <w:tab w:leader="none" w:pos="1380" w:val="left"/>
        </w:tabs>
        <w:numPr>
          <w:ilvl w:val="1"/>
          <w:numId w:val="6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Inspected documentation from management such as tenant collection history and any direct correspondence and evaluated management’s considerations supporting the collectibility assessment conclusion reached.</w:t>
      </w:r>
    </w:p>
    <w:p>
      <w:pPr>
        <w:spacing w:after="0" w:line="1" w:lineRule="exact"/>
        <w:rPr>
          <w:rFonts w:ascii="Times New Roman" w:cs="Times New Roman" w:eastAsia="Times New Roman" w:hAnsi="Times New Roman"/>
          <w:sz w:val="18"/>
          <w:szCs w:val="18"/>
          <w:color w:val="231F20"/>
        </w:rPr>
      </w:pPr>
    </w:p>
    <w:p>
      <w:pPr>
        <w:ind w:left="1380" w:hanging="350"/>
        <w:spacing w:after="0"/>
        <w:tabs>
          <w:tab w:leader="none" w:pos="1380" w:val="left"/>
        </w:tabs>
        <w:numPr>
          <w:ilvl w:val="1"/>
          <w:numId w:val="62"/>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Recalculated the aging using supporting documentation.</w:t>
      </w:r>
    </w:p>
    <w:p>
      <w:pPr>
        <w:spacing w:after="0" w:line="42" w:lineRule="exact"/>
        <w:rPr>
          <w:rFonts w:ascii="Times New Roman" w:cs="Times New Roman" w:eastAsia="Times New Roman" w:hAnsi="Times New Roman"/>
          <w:sz w:val="19"/>
          <w:szCs w:val="19"/>
          <w:color w:val="231F20"/>
        </w:rPr>
      </w:pPr>
    </w:p>
    <w:p>
      <w:pPr>
        <w:ind w:left="1380" w:right="580" w:hanging="350"/>
        <w:spacing w:after="0" w:line="257" w:lineRule="auto"/>
        <w:tabs>
          <w:tab w:leader="none" w:pos="1380" w:val="left"/>
        </w:tabs>
        <w:numPr>
          <w:ilvl w:val="1"/>
          <w:numId w:val="62"/>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Researched publicly available information to independently verify the completeness and accuracy of management’s information used to make the collectibility assessment.</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/s/ GRANT THORNTON LLP</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We have served as the Trust’s auditor since 2002.</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Jacksonville, Florida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February 12, 2026</w:t>
      </w:r>
    </w:p>
    <w:p>
      <w:pPr>
        <w:sectPr>
          <w:pgSz w:w="11880" w:h="15480" w:orient="portrait"/>
          <w:cols w:equalWidth="0" w:num="1">
            <w:col w:w="9600"/>
          </w:cols>
          <w:pgMar w:left="1060" w:top="963" w:right="12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9"/>
          <w:szCs w:val="19"/>
          <w:color w:val="231F20"/>
        </w:rPr>
        <w:t>F-4</w:t>
      </w:r>
    </w:p>
    <w:p>
      <w:pPr>
        <w:sectPr>
          <w:pgSz w:w="11880" w:h="15480" w:orient="portrait"/>
          <w:cols w:equalWidth="0" w:num="1">
            <w:col w:w="9600"/>
          </w:cols>
          <w:pgMar w:left="1060" w:top="963" w:right="1220" w:bottom="0" w:gutter="0" w:footer="0" w:header="0"/>
          <w:type w:val="continuous"/>
        </w:sectPr>
      </w:pPr>
    </w:p>
    <w:bookmarkStart w:id="68" w:name="page69"/>
    <w:bookmarkEnd w:id="68"/>
    <w:p>
      <w:pPr>
        <w:spacing w:after="0"/>
        <w:rPr>
          <w:sz w:val="20"/>
          <w:szCs w:val="20"/>
          <w:color w:val="auto"/>
        </w:rPr>
      </w:pPr>
      <w:r>
        <w:rPr>
          <w:rFonts w:ascii="Times New Roman" w:cs="Times New Roman" w:eastAsia="Times New Roman" w:hAnsi="Times New Roman"/>
          <w:sz w:val="19"/>
          <w:szCs w:val="19"/>
          <w:b w:val="1"/>
          <w:bCs w:val="1"/>
          <w:color w:val="231F20"/>
        </w:rPr>
        <w:t>Report of Independent Registered Public Accounting Firm</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Trustees and Unitholders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Federal Realty OP LP</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Opinion on internal control over financial reporting</w:t>
      </w:r>
    </w:p>
    <w:p>
      <w:pPr>
        <w:spacing w:after="0" w:line="110"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9"/>
          <w:szCs w:val="19"/>
          <w:color w:val="231F20"/>
        </w:rPr>
        <w:t xml:space="preserve">We have audited the internal control over financial reporting of Federal Realty OP LP (a Delaware limited partnership) and subsidiaries (collectively, the “Operating Partnership”) as of December 31, 2025, based on criteria established in the 2013 </w:t>
      </w:r>
      <w:r>
        <w:rPr>
          <w:rFonts w:ascii="Times New Roman" w:cs="Times New Roman" w:eastAsia="Times New Roman" w:hAnsi="Times New Roman"/>
          <w:sz w:val="19"/>
          <w:szCs w:val="19"/>
          <w:i w:val="1"/>
          <w:iCs w:val="1"/>
          <w:color w:val="231F20"/>
        </w:rPr>
        <w:t xml:space="preserve">Internal Control-Integrated Framework </w:t>
      </w:r>
      <w:r>
        <w:rPr>
          <w:rFonts w:ascii="Times New Roman" w:cs="Times New Roman" w:eastAsia="Times New Roman" w:hAnsi="Times New Roman"/>
          <w:sz w:val="19"/>
          <w:szCs w:val="19"/>
          <w:color w:val="231F20"/>
        </w:rPr>
        <w:t>issued by the Committee of Sponsoring Organizations of the Treadway Commission</w:t>
      </w:r>
      <w:r>
        <w:rPr>
          <w:rFonts w:ascii="Times New Roman" w:cs="Times New Roman" w:eastAsia="Times New Roman" w:hAnsi="Times New Roman"/>
          <w:sz w:val="19"/>
          <w:szCs w:val="19"/>
          <w:i w:val="1"/>
          <w:iCs w:val="1"/>
          <w:color w:val="231F20"/>
        </w:rPr>
        <w:t xml:space="preserve"> </w:t>
      </w:r>
      <w:r>
        <w:rPr>
          <w:rFonts w:ascii="Times New Roman" w:cs="Times New Roman" w:eastAsia="Times New Roman" w:hAnsi="Times New Roman"/>
          <w:sz w:val="19"/>
          <w:szCs w:val="19"/>
          <w:color w:val="231F20"/>
        </w:rPr>
        <w:t xml:space="preserve">(“COSO”). In our opinion, the Operating Partnership maintained, in all material respects, effective internal control over financial reporting as of December 31, 2025, based on criteria established in the 2013 </w:t>
      </w:r>
      <w:r>
        <w:rPr>
          <w:rFonts w:ascii="Times New Roman" w:cs="Times New Roman" w:eastAsia="Times New Roman" w:hAnsi="Times New Roman"/>
          <w:sz w:val="19"/>
          <w:szCs w:val="19"/>
          <w:i w:val="1"/>
          <w:iCs w:val="1"/>
          <w:color w:val="231F20"/>
        </w:rPr>
        <w:t>Internal Control-Integrated Framework</w:t>
      </w:r>
      <w:r>
        <w:rPr>
          <w:rFonts w:ascii="Times New Roman" w:cs="Times New Roman" w:eastAsia="Times New Roman" w:hAnsi="Times New Roman"/>
          <w:sz w:val="19"/>
          <w:szCs w:val="19"/>
          <w:color w:val="231F20"/>
        </w:rPr>
        <w:t xml:space="preserve"> issued by COSO.</w:t>
      </w:r>
    </w:p>
    <w:p>
      <w:pPr>
        <w:spacing w:after="0" w:line="194" w:lineRule="exact"/>
        <w:rPr>
          <w:sz w:val="20"/>
          <w:szCs w:val="20"/>
          <w:color w:val="auto"/>
        </w:rPr>
      </w:pPr>
    </w:p>
    <w:p>
      <w:pPr>
        <w:ind w:right="280"/>
        <w:spacing w:after="0" w:line="267" w:lineRule="auto"/>
        <w:rPr>
          <w:sz w:val="20"/>
          <w:szCs w:val="20"/>
          <w:color w:val="auto"/>
        </w:rPr>
      </w:pPr>
      <w:r>
        <w:rPr>
          <w:rFonts w:ascii="Times New Roman" w:cs="Times New Roman" w:eastAsia="Times New Roman" w:hAnsi="Times New Roman"/>
          <w:sz w:val="19"/>
          <w:szCs w:val="19"/>
          <w:color w:val="231F20"/>
        </w:rPr>
        <w:t>We also have audited, in accordance with the standards of the Public Company Accounting Oversight Board (United States) (“PCAOB”), the consolidated financial statements of the Operating Partnership as of and for the year ended December 31, 2025, and our report dated February 12, 2026 expressed an unqualified opinion on those financial statements.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Basis for opinion</w:t>
      </w:r>
    </w:p>
    <w:p>
      <w:pPr>
        <w:spacing w:after="0" w:line="110"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9"/>
          <w:szCs w:val="19"/>
          <w:color w:val="231F20"/>
        </w:rPr>
        <w:t>The Operating Partnership’s management is responsible for maintaining effective internal control over financial reporting and for its assessment of the effectiveness of internal control over financial reporting, included in the accompanying Management's Evaluation of Internal Control over Financial Reporting. Our responsibility is to express an opinion on the Operating Partnership’s internal control over financial reporting based on our audit. We are a public accounting firm registered with the PCAOB and are required to be independent with respect to the Operating Partnership in accordance with the U.S. federal securities laws and the applicable rules and regulations of the Securities and Exchange Commission and the PCAOB.</w:t>
      </w:r>
    </w:p>
    <w:p>
      <w:pPr>
        <w:spacing w:after="0" w:line="194"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9"/>
          <w:szCs w:val="19"/>
          <w:color w:val="231F20"/>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Definition and limitations of internal control over financial reporting</w:t>
      </w:r>
    </w:p>
    <w:p>
      <w:pPr>
        <w:spacing w:after="0" w:line="11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9"/>
          <w:szCs w:val="19"/>
          <w:color w:val="231F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1" w:lineRule="exact"/>
        <w:rPr>
          <w:sz w:val="20"/>
          <w:szCs w:val="20"/>
          <w:color w:val="auto"/>
        </w:rPr>
      </w:pPr>
    </w:p>
    <w:p>
      <w:pPr>
        <w:jc w:val="both"/>
        <w:ind w:right="400"/>
        <w:spacing w:after="0" w:line="267" w:lineRule="auto"/>
        <w:rPr>
          <w:sz w:val="20"/>
          <w:szCs w:val="20"/>
          <w:color w:val="auto"/>
        </w:rPr>
      </w:pPr>
      <w:r>
        <w:rPr>
          <w:rFonts w:ascii="Times New Roman" w:cs="Times New Roman" w:eastAsia="Times New Roman" w:hAnsi="Times New Roman"/>
          <w:sz w:val="19"/>
          <w:szCs w:val="19"/>
          <w:color w:val="231F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/s/ GRANT THORNTON LLP</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Jacksonville, Florida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February 12, 2026</w:t>
      </w:r>
    </w:p>
    <w:p>
      <w:pPr>
        <w:sectPr>
          <w:pgSz w:w="11880" w:h="15480" w:orient="portrait"/>
          <w:cols w:equalWidth="0" w:num="1">
            <w:col w:w="9720"/>
          </w:cols>
          <w:pgMar w:left="1060" w:top="958" w:right="11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231F20"/>
        </w:rPr>
        <w:t>F-5</w:t>
      </w:r>
    </w:p>
    <w:p>
      <w:pPr>
        <w:sectPr>
          <w:pgSz w:w="11880" w:h="15480" w:orient="portrait"/>
          <w:cols w:equalWidth="0" w:num="1">
            <w:col w:w="9720"/>
          </w:cols>
          <w:pgMar w:left="1060" w:top="958" w:right="1100" w:bottom="0" w:gutter="0" w:footer="0" w:header="0"/>
          <w:type w:val="continuous"/>
        </w:sectPr>
      </w:pPr>
    </w:p>
    <w:bookmarkStart w:id="69" w:name="page70"/>
    <w:bookmarkEnd w:id="69"/>
    <w:p>
      <w:pPr>
        <w:spacing w:after="0"/>
        <w:rPr>
          <w:sz w:val="20"/>
          <w:szCs w:val="20"/>
          <w:color w:val="auto"/>
        </w:rPr>
      </w:pPr>
      <w:r>
        <w:rPr>
          <w:rFonts w:ascii="Times New Roman" w:cs="Times New Roman" w:eastAsia="Times New Roman" w:hAnsi="Times New Roman"/>
          <w:sz w:val="19"/>
          <w:szCs w:val="19"/>
          <w:b w:val="1"/>
          <w:bCs w:val="1"/>
          <w:color w:val="231F20"/>
        </w:rPr>
        <w:t>Report of Independent Registered Public Accounting Firm</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Trustees and Unitholders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Federal Realty OP LP</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Opinion on the financial statements</w:t>
      </w:r>
    </w:p>
    <w:p>
      <w:pPr>
        <w:spacing w:after="0" w:line="178"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9"/>
          <w:szCs w:val="19"/>
          <w:color w:val="231F20"/>
        </w:rPr>
        <w:t>We have audited the accompanying consolidated balance sheets of Federal Realty OP LP (a Delaware limited partnership) and subsidiaries (collectively, the "Operating Partnership") as of December 31, 2025 and 2024, the related consolidated statements of comprehensive income, capital, and cash flows for each of the three years in the period ended December 31, 2025, and the related notes and financial statement schedules included under Item 15(a)(2) (collectively referred to as the “consolidated financial statements”). In our opinion, the consolidated financial statements present fairly, in all material respects, the financial position of the Operating Partnership as of December 31, 2025 and 2024, and the results of its operations and its cash flows for each of the three years in the period ended December 31, 2025, in conformity with accounting principles generally accepted in the United States of America.</w:t>
      </w:r>
    </w:p>
    <w:p>
      <w:pPr>
        <w:spacing w:after="0" w:line="197" w:lineRule="exact"/>
        <w:rPr>
          <w:sz w:val="20"/>
          <w:szCs w:val="20"/>
          <w:color w:val="auto"/>
        </w:rPr>
      </w:pPr>
    </w:p>
    <w:p>
      <w:pPr>
        <w:jc w:val="both"/>
        <w:ind w:right="280"/>
        <w:spacing w:after="0" w:line="261" w:lineRule="auto"/>
        <w:rPr>
          <w:sz w:val="20"/>
          <w:szCs w:val="20"/>
          <w:color w:val="auto"/>
        </w:rPr>
      </w:pPr>
      <w:r>
        <w:rPr>
          <w:rFonts w:ascii="Times New Roman" w:cs="Times New Roman" w:eastAsia="Times New Roman" w:hAnsi="Times New Roman"/>
          <w:sz w:val="19"/>
          <w:szCs w:val="19"/>
          <w:color w:val="231F20"/>
        </w:rPr>
        <w:t xml:space="preserve">We also have audited, in accordance with the standards of the Public Company Accounting Oversight Board (United States) (“PCAOB”), the Operating Partnership’s internal control over financial reporting as of December 31, 2025, based on criteria established in the 2013 </w:t>
      </w:r>
      <w:r>
        <w:rPr>
          <w:rFonts w:ascii="Times New Roman" w:cs="Times New Roman" w:eastAsia="Times New Roman" w:hAnsi="Times New Roman"/>
          <w:sz w:val="19"/>
          <w:szCs w:val="19"/>
          <w:i w:val="1"/>
          <w:iCs w:val="1"/>
          <w:color w:val="231F20"/>
        </w:rPr>
        <w:t>Internal Control-Integrated Framework</w:t>
      </w:r>
      <w:r>
        <w:rPr>
          <w:rFonts w:ascii="Times New Roman" w:cs="Times New Roman" w:eastAsia="Times New Roman" w:hAnsi="Times New Roman"/>
          <w:sz w:val="19"/>
          <w:szCs w:val="19"/>
          <w:color w:val="231F20"/>
        </w:rPr>
        <w:t xml:space="preserve"> issued by the Committee of Sponsoring Organizations of the Treadway Commission (“COSO”), and our report dated February 12, 2026 expressed an unqualified opinion.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Basis for opinion</w:t>
      </w:r>
    </w:p>
    <w:p>
      <w:pPr>
        <w:spacing w:after="0" w:line="110" w:lineRule="exact"/>
        <w:rPr>
          <w:sz w:val="20"/>
          <w:szCs w:val="20"/>
          <w:color w:val="auto"/>
        </w:rPr>
      </w:pPr>
    </w:p>
    <w:p>
      <w:pPr>
        <w:ind w:right="80"/>
        <w:spacing w:after="0" w:line="233" w:lineRule="auto"/>
        <w:rPr>
          <w:sz w:val="20"/>
          <w:szCs w:val="20"/>
          <w:color w:val="auto"/>
        </w:rPr>
      </w:pPr>
      <w:r>
        <w:rPr>
          <w:rFonts w:ascii="Times New Roman" w:cs="Times New Roman" w:eastAsia="Times New Roman" w:hAnsi="Times New Roman"/>
          <w:sz w:val="19"/>
          <w:szCs w:val="19"/>
          <w:color w:val="231F20"/>
        </w:rPr>
        <w:t>These consolidated financial statements are the responsibility of the Operating Partnership’s management. Our responsibility is to express an opinion on the Operating Partnership’s consolidated financial statements based on our audits. We are a public accounting firm registered with the PCAOB and are required to be independent with respect to the Operating Partnership in accordance with the U.S. federal securities laws and the applicable rules and regulations of the Securities and Exchange Commission and the PCAOB.</w:t>
      </w:r>
    </w:p>
    <w:p>
      <w:pPr>
        <w:spacing w:after="0" w:line="5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9"/>
          <w:szCs w:val="19"/>
          <w:color w:val="231F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Critical audit matter</w:t>
      </w:r>
    </w:p>
    <w:p>
      <w:pPr>
        <w:spacing w:after="0" w:line="110"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9"/>
          <w:szCs w:val="19"/>
          <w:color w:val="231F20"/>
        </w:rPr>
        <w:t>The critical audit matter communicated below is a matter arising from the current period audit of the financial statements that was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separate opinions on the critical audit matter or on the accounts or disclosures to which it relates.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Lease Collectibility Assessment</w:t>
      </w:r>
    </w:p>
    <w:p>
      <w:pPr>
        <w:spacing w:after="0" w:line="110"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9"/>
          <w:szCs w:val="19"/>
          <w:color w:val="231F20"/>
        </w:rPr>
        <w:t>In order to recognize rental income on an accrual basis, the Operating Partnership must determine whether substantially all the rents due under a lease arrangement are collectible. If the Operating Partnership reaches the conclusion that substantially all of the rents are not collectible for a specific lease, then rental income under that arrangement can only be recognized when cash payment from the tenant is received.</w:t>
      </w:r>
    </w:p>
    <w:p>
      <w:pPr>
        <w:spacing w:after="0" w:line="187" w:lineRule="exact"/>
        <w:rPr>
          <w:sz w:val="20"/>
          <w:szCs w:val="20"/>
          <w:color w:val="auto"/>
        </w:rPr>
      </w:pPr>
    </w:p>
    <w:p>
      <w:pPr>
        <w:ind w:right="220"/>
        <w:spacing w:after="0" w:line="281" w:lineRule="auto"/>
        <w:rPr>
          <w:sz w:val="20"/>
          <w:szCs w:val="20"/>
          <w:color w:val="auto"/>
        </w:rPr>
      </w:pPr>
      <w:r>
        <w:rPr>
          <w:rFonts w:ascii="Times New Roman" w:cs="Times New Roman" w:eastAsia="Times New Roman" w:hAnsi="Times New Roman"/>
          <w:sz w:val="19"/>
          <w:szCs w:val="19"/>
          <w:color w:val="231F20"/>
        </w:rPr>
        <w:t>Significant judgment is exercised by the Operating Partnership when making a collectibility assessment and includes the following considerations which require challenging and subjective auditor judgment in the execution of our audit procedures:</w:t>
      </w:r>
    </w:p>
    <w:p>
      <w:pPr>
        <w:spacing w:after="0" w:line="1" w:lineRule="exact"/>
        <w:rPr>
          <w:sz w:val="20"/>
          <w:szCs w:val="20"/>
          <w:color w:val="auto"/>
        </w:rPr>
      </w:pPr>
    </w:p>
    <w:p>
      <w:pPr>
        <w:ind w:left="680" w:hanging="335"/>
        <w:spacing w:after="0"/>
        <w:tabs>
          <w:tab w:leader="none" w:pos="680" w:val="left"/>
        </w:tabs>
        <w:numPr>
          <w:ilvl w:val="0"/>
          <w:numId w:val="63"/>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Creditworthiness of the tenant</w:t>
      </w:r>
    </w:p>
    <w:p>
      <w:pPr>
        <w:spacing w:after="0" w:line="42" w:lineRule="exact"/>
        <w:rPr>
          <w:rFonts w:ascii="Times New Roman" w:cs="Times New Roman" w:eastAsia="Times New Roman" w:hAnsi="Times New Roman"/>
          <w:sz w:val="19"/>
          <w:szCs w:val="19"/>
          <w:color w:val="231F20"/>
        </w:rPr>
      </w:pPr>
    </w:p>
    <w:p>
      <w:pPr>
        <w:ind w:left="680" w:hanging="335"/>
        <w:spacing w:after="0"/>
        <w:tabs>
          <w:tab w:leader="none" w:pos="680" w:val="left"/>
        </w:tabs>
        <w:numPr>
          <w:ilvl w:val="0"/>
          <w:numId w:val="63"/>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Current economic conditions</w:t>
      </w:r>
    </w:p>
    <w:p>
      <w:pPr>
        <w:spacing w:after="0" w:line="41" w:lineRule="exact"/>
        <w:rPr>
          <w:rFonts w:ascii="Times New Roman" w:cs="Times New Roman" w:eastAsia="Times New Roman" w:hAnsi="Times New Roman"/>
          <w:sz w:val="19"/>
          <w:szCs w:val="19"/>
          <w:color w:val="231F20"/>
        </w:rPr>
      </w:pPr>
    </w:p>
    <w:p>
      <w:pPr>
        <w:ind w:left="680" w:hanging="335"/>
        <w:spacing w:after="0"/>
        <w:tabs>
          <w:tab w:leader="none" w:pos="680" w:val="left"/>
        </w:tabs>
        <w:numPr>
          <w:ilvl w:val="0"/>
          <w:numId w:val="63"/>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Historical experience with the tenant and other tenants operating in the same industry</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Our audit procedures related to the collectibility assessment included the following:</w:t>
      </w:r>
    </w:p>
    <w:p>
      <w:pPr>
        <w:sectPr>
          <w:pgSz w:w="11880" w:h="15480" w:orient="portrait"/>
          <w:cols w:equalWidth="0" w:num="1">
            <w:col w:w="9760"/>
          </w:cols>
          <w:pgMar w:left="1060" w:top="958" w:right="1060" w:bottom="0" w:gutter="0" w:footer="0" w:header="0"/>
        </w:sect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F-6</w:t>
      </w:r>
    </w:p>
    <w:p>
      <w:pPr>
        <w:sectPr>
          <w:pgSz w:w="11880" w:h="15480" w:orient="portrait"/>
          <w:cols w:equalWidth="0" w:num="1">
            <w:col w:w="9760"/>
          </w:cols>
          <w:pgMar w:left="1060" w:top="958" w:right="1060" w:bottom="0" w:gutter="0" w:footer="0" w:header="0"/>
          <w:type w:val="continuous"/>
        </w:sectPr>
      </w:pPr>
    </w:p>
    <w:bookmarkStart w:id="70" w:name="page71"/>
    <w:bookmarkEnd w:id="70"/>
    <w:p>
      <w:pPr>
        <w:ind w:left="680" w:hanging="335"/>
        <w:spacing w:after="0" w:line="254" w:lineRule="auto"/>
        <w:tabs>
          <w:tab w:leader="none" w:pos="680" w:val="left"/>
        </w:tabs>
        <w:numPr>
          <w:ilvl w:val="0"/>
          <w:numId w:val="64"/>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We tested the design and tested the operating effectiveness of internal controls relating to the collectibility assessment process.</w:t>
      </w:r>
    </w:p>
    <w:p>
      <w:pPr>
        <w:spacing w:after="0" w:line="1" w:lineRule="exact"/>
        <w:rPr>
          <w:rFonts w:ascii="Times New Roman" w:cs="Times New Roman" w:eastAsia="Times New Roman" w:hAnsi="Times New Roman"/>
          <w:sz w:val="19"/>
          <w:szCs w:val="19"/>
          <w:color w:val="231F20"/>
        </w:rPr>
      </w:pPr>
    </w:p>
    <w:p>
      <w:pPr>
        <w:ind w:left="680" w:hanging="335"/>
        <w:spacing w:after="0"/>
        <w:tabs>
          <w:tab w:leader="none" w:pos="680" w:val="left"/>
        </w:tabs>
        <w:numPr>
          <w:ilvl w:val="0"/>
          <w:numId w:val="64"/>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We evaluated management’s accounting policies related to this assessment.</w:t>
      </w:r>
    </w:p>
    <w:p>
      <w:pPr>
        <w:spacing w:after="0" w:line="42" w:lineRule="exact"/>
        <w:rPr>
          <w:rFonts w:ascii="Times New Roman" w:cs="Times New Roman" w:eastAsia="Times New Roman" w:hAnsi="Times New Roman"/>
          <w:sz w:val="19"/>
          <w:szCs w:val="19"/>
          <w:color w:val="231F20"/>
        </w:rPr>
      </w:pPr>
    </w:p>
    <w:p>
      <w:pPr>
        <w:ind w:left="680" w:hanging="335"/>
        <w:spacing w:after="0"/>
        <w:tabs>
          <w:tab w:leader="none" w:pos="680" w:val="left"/>
        </w:tabs>
        <w:numPr>
          <w:ilvl w:val="0"/>
          <w:numId w:val="64"/>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We verified the completeness of the population of tenants that management evaluated.</w:t>
      </w:r>
    </w:p>
    <w:p>
      <w:pPr>
        <w:spacing w:after="0" w:line="42" w:lineRule="exact"/>
        <w:rPr>
          <w:rFonts w:ascii="Times New Roman" w:cs="Times New Roman" w:eastAsia="Times New Roman" w:hAnsi="Times New Roman"/>
          <w:sz w:val="19"/>
          <w:szCs w:val="19"/>
          <w:color w:val="231F20"/>
        </w:rPr>
      </w:pPr>
    </w:p>
    <w:p>
      <w:pPr>
        <w:ind w:left="680" w:right="60" w:hanging="335"/>
        <w:spacing w:after="0" w:line="236" w:lineRule="auto"/>
        <w:tabs>
          <w:tab w:leader="none" w:pos="680" w:val="left"/>
        </w:tabs>
        <w:numPr>
          <w:ilvl w:val="0"/>
          <w:numId w:val="64"/>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We researched recent publicly available information, including information for a selection of tenants with the highest rental income recognized in the year ended December 31, 2025, such as bankruptcy filings, industry journals, and periodicals, and for any of the Operating Partnership’s tenants identified in our research, we evaluated whether such information was considered in management’s collectibility assessment.</w:t>
      </w:r>
    </w:p>
    <w:p>
      <w:pPr>
        <w:spacing w:after="0" w:line="11" w:lineRule="exact"/>
        <w:rPr>
          <w:rFonts w:ascii="Times New Roman" w:cs="Times New Roman" w:eastAsia="Times New Roman" w:hAnsi="Times New Roman"/>
          <w:sz w:val="19"/>
          <w:szCs w:val="19"/>
          <w:color w:val="231F20"/>
        </w:rPr>
      </w:pPr>
    </w:p>
    <w:p>
      <w:pPr>
        <w:ind w:left="680" w:right="380" w:hanging="335"/>
        <w:spacing w:after="0" w:line="254" w:lineRule="auto"/>
        <w:tabs>
          <w:tab w:leader="none" w:pos="680" w:val="left"/>
        </w:tabs>
        <w:numPr>
          <w:ilvl w:val="0"/>
          <w:numId w:val="64"/>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For a selection of tenants where collectibility was deemed as probable, we evaluated the collectibility assessment conclusion reached by management and performed the following procedures for each selection:</w:t>
      </w:r>
    </w:p>
    <w:p>
      <w:pPr>
        <w:spacing w:after="0" w:line="1" w:lineRule="exact"/>
        <w:rPr>
          <w:rFonts w:ascii="Times New Roman" w:cs="Times New Roman" w:eastAsia="Times New Roman" w:hAnsi="Times New Roman"/>
          <w:sz w:val="19"/>
          <w:szCs w:val="19"/>
          <w:color w:val="231F20"/>
        </w:rPr>
      </w:pPr>
    </w:p>
    <w:p>
      <w:pPr>
        <w:ind w:left="1380" w:hanging="350"/>
        <w:spacing w:after="0"/>
        <w:tabs>
          <w:tab w:leader="none" w:pos="1380" w:val="left"/>
        </w:tabs>
        <w:numPr>
          <w:ilvl w:val="1"/>
          <w:numId w:val="64"/>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Verified that management’s accounting policies related to the collectibility assessment were followed.</w:t>
      </w:r>
    </w:p>
    <w:p>
      <w:pPr>
        <w:spacing w:after="0" w:line="41" w:lineRule="exact"/>
        <w:rPr>
          <w:rFonts w:ascii="Times New Roman" w:cs="Times New Roman" w:eastAsia="Times New Roman" w:hAnsi="Times New Roman"/>
          <w:sz w:val="19"/>
          <w:szCs w:val="19"/>
          <w:color w:val="231F20"/>
        </w:rPr>
      </w:pPr>
    </w:p>
    <w:p>
      <w:pPr>
        <w:ind w:left="1380" w:right="100" w:hanging="350"/>
        <w:spacing w:after="0" w:line="268" w:lineRule="auto"/>
        <w:tabs>
          <w:tab w:leader="none" w:pos="1380" w:val="left"/>
        </w:tabs>
        <w:numPr>
          <w:ilvl w:val="1"/>
          <w:numId w:val="6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Inspected documentation from management such as tenant collection history and any direct correspondence and evaluated management’s considerations supporting the collectibility assessment conclusion reached.</w:t>
      </w:r>
    </w:p>
    <w:p>
      <w:pPr>
        <w:spacing w:after="0" w:line="1" w:lineRule="exact"/>
        <w:rPr>
          <w:rFonts w:ascii="Times New Roman" w:cs="Times New Roman" w:eastAsia="Times New Roman" w:hAnsi="Times New Roman"/>
          <w:sz w:val="18"/>
          <w:szCs w:val="18"/>
          <w:color w:val="231F20"/>
        </w:rPr>
      </w:pPr>
    </w:p>
    <w:p>
      <w:pPr>
        <w:ind w:left="1380" w:hanging="350"/>
        <w:spacing w:after="0"/>
        <w:tabs>
          <w:tab w:leader="none" w:pos="1380" w:val="left"/>
        </w:tabs>
        <w:numPr>
          <w:ilvl w:val="1"/>
          <w:numId w:val="64"/>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Recalculated the aging using supporting documentation.</w:t>
      </w:r>
    </w:p>
    <w:p>
      <w:pPr>
        <w:spacing w:after="0" w:line="41" w:lineRule="exact"/>
        <w:rPr>
          <w:rFonts w:ascii="Times New Roman" w:cs="Times New Roman" w:eastAsia="Times New Roman" w:hAnsi="Times New Roman"/>
          <w:sz w:val="19"/>
          <w:szCs w:val="19"/>
          <w:color w:val="231F20"/>
        </w:rPr>
      </w:pPr>
    </w:p>
    <w:p>
      <w:pPr>
        <w:ind w:left="1380" w:right="640" w:hanging="350"/>
        <w:spacing w:after="0" w:line="257" w:lineRule="auto"/>
        <w:tabs>
          <w:tab w:leader="none" w:pos="1380" w:val="left"/>
        </w:tabs>
        <w:numPr>
          <w:ilvl w:val="1"/>
          <w:numId w:val="64"/>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Researched publicly available information to independently verify the completeness and accuracy of management’s information used to make the collectibility assessment.</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/s/ GRANT THORNTON LLP</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We have served as the Operating Partnership's auditor since 2022.</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Jacksonville, Florida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February 12, 2026</w:t>
      </w:r>
    </w:p>
    <w:p>
      <w:pPr>
        <w:sectPr>
          <w:pgSz w:w="11880" w:h="15480" w:orient="portrait"/>
          <w:cols w:equalWidth="0" w:num="1">
            <w:col w:w="9660"/>
          </w:cols>
          <w:pgMar w:left="1060" w:top="963"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9"/>
          <w:szCs w:val="19"/>
          <w:color w:val="231F20"/>
        </w:rPr>
        <w:t>F-7</w:t>
      </w:r>
    </w:p>
    <w:p>
      <w:pPr>
        <w:sectPr>
          <w:pgSz w:w="11880" w:h="15480" w:orient="portrait"/>
          <w:cols w:equalWidth="0" w:num="1">
            <w:col w:w="9660"/>
          </w:cols>
          <w:pgMar w:left="1060" w:top="963" w:right="1160" w:bottom="0" w:gutter="0" w:footer="0" w:header="0"/>
          <w:type w:val="continuous"/>
        </w:sectPr>
      </w:pPr>
    </w:p>
    <w:bookmarkStart w:id="71" w:name="page72"/>
    <w:bookmarkEnd w:id="71"/>
    <w:p>
      <w:pPr>
        <w:ind w:left="3540"/>
        <w:spacing w:after="0"/>
        <w:rPr>
          <w:sz w:val="20"/>
          <w:szCs w:val="20"/>
          <w:color w:val="auto"/>
        </w:rPr>
      </w:pPr>
      <w:r>
        <w:rPr>
          <w:rFonts w:ascii="Times New Roman" w:cs="Times New Roman" w:eastAsia="Times New Roman" w:hAnsi="Times New Roman"/>
          <w:sz w:val="19"/>
          <w:szCs w:val="19"/>
          <w:b w:val="1"/>
          <w:bCs w:val="1"/>
          <w:color w:val="231F20"/>
        </w:rPr>
        <w:t>Federal Realty Investment Trust</w:t>
      </w:r>
    </w:p>
    <w:p>
      <w:pPr>
        <w:spacing w:after="0" w:line="33"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9"/>
          <w:szCs w:val="19"/>
          <w:b w:val="1"/>
          <w:bCs w:val="1"/>
          <w:color w:val="231F20"/>
        </w:rPr>
        <w:t>Consolidated Balance Sheets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420" w:type="dxa"/>
            <w:vAlign w:val="bottom"/>
          </w:tcPr>
          <w:p>
            <w:pPr>
              <w:spacing w:after="0"/>
              <w:rPr>
                <w:sz w:val="17"/>
                <w:szCs w:val="17"/>
                <w:color w:val="auto"/>
              </w:rPr>
            </w:pPr>
          </w:p>
        </w:tc>
        <w:tc>
          <w:tcPr>
            <w:tcW w:w="160" w:type="dxa"/>
            <w:vAlign w:val="bottom"/>
            <w:tcBorders>
              <w:bottom w:val="single" w:sz="8" w:color="231F20"/>
            </w:tcBorders>
          </w:tcPr>
          <w:p>
            <w:pPr>
              <w:spacing w:after="0"/>
              <w:rPr>
                <w:sz w:val="17"/>
                <w:szCs w:val="17"/>
                <w:color w:val="auto"/>
              </w:rPr>
            </w:pPr>
          </w:p>
        </w:tc>
        <w:tc>
          <w:tcPr>
            <w:tcW w:w="2100" w:type="dxa"/>
            <w:vAlign w:val="bottom"/>
            <w:tcBorders>
              <w:bottom w:val="single" w:sz="8" w:color="231F20"/>
            </w:tcBorders>
            <w:gridSpan w:val="4"/>
          </w:tcPr>
          <w:p>
            <w:pPr>
              <w:jc w:val="right"/>
              <w:ind w:right="585"/>
              <w:spacing w:after="0"/>
              <w:rPr>
                <w:sz w:val="20"/>
                <w:szCs w:val="20"/>
                <w:color w:val="auto"/>
              </w:rPr>
            </w:pPr>
            <w:r>
              <w:rPr>
                <w:rFonts w:ascii="Times New Roman" w:cs="Times New Roman" w:eastAsia="Times New Roman" w:hAnsi="Times New Roman"/>
                <w:sz w:val="15"/>
                <w:szCs w:val="15"/>
                <w:b w:val="1"/>
                <w:bCs w:val="1"/>
                <w:color w:val="231F20"/>
              </w:rPr>
              <w:t>December 31,</w:t>
            </w:r>
          </w:p>
        </w:tc>
        <w:tc>
          <w:tcPr>
            <w:tcW w:w="0" w:type="dxa"/>
            <w:vAlign w:val="bottom"/>
          </w:tcPr>
          <w:p>
            <w:pPr>
              <w:spacing w:after="0"/>
              <w:rPr>
                <w:sz w:val="1"/>
                <w:szCs w:val="1"/>
                <w:color w:val="auto"/>
              </w:rPr>
            </w:pPr>
          </w:p>
        </w:tc>
      </w:tr>
      <w:tr>
        <w:trPr>
          <w:trHeight w:val="195"/>
        </w:trPr>
        <w:tc>
          <w:tcPr>
            <w:tcW w:w="7420" w:type="dxa"/>
            <w:vAlign w:val="bottom"/>
          </w:tcPr>
          <w:p>
            <w:pPr>
              <w:spacing w:after="0"/>
              <w:rPr>
                <w:sz w:val="16"/>
                <w:szCs w:val="16"/>
                <w:color w:val="auto"/>
              </w:rPr>
            </w:pPr>
          </w:p>
        </w:tc>
        <w:tc>
          <w:tcPr>
            <w:tcW w:w="160" w:type="dxa"/>
            <w:vAlign w:val="bottom"/>
            <w:tcBorders>
              <w:bottom w:val="single" w:sz="8" w:color="231F20"/>
            </w:tcBorders>
          </w:tcPr>
          <w:p>
            <w:pPr>
              <w:spacing w:after="0"/>
              <w:rPr>
                <w:sz w:val="16"/>
                <w:szCs w:val="16"/>
                <w:color w:val="auto"/>
              </w:rPr>
            </w:pPr>
          </w:p>
        </w:tc>
        <w:tc>
          <w:tcPr>
            <w:tcW w:w="940" w:type="dxa"/>
            <w:vAlign w:val="bottom"/>
            <w:tcBorders>
              <w:bottom w:val="single" w:sz="8" w:color="231F20"/>
            </w:tcBorders>
          </w:tcPr>
          <w:p>
            <w:pPr>
              <w:jc w:val="right"/>
              <w:ind w:right="286"/>
              <w:spacing w:after="0"/>
              <w:rPr>
                <w:sz w:val="20"/>
                <w:szCs w:val="20"/>
                <w:color w:val="auto"/>
              </w:rPr>
            </w:pPr>
            <w:r>
              <w:rPr>
                <w:rFonts w:ascii="Times New Roman" w:cs="Times New Roman" w:eastAsia="Times New Roman" w:hAnsi="Times New Roman"/>
                <w:sz w:val="15"/>
                <w:szCs w:val="15"/>
                <w:b w:val="1"/>
                <w:bCs w:val="1"/>
                <w:color w:val="231F20"/>
              </w:rPr>
              <w:t>2025</w:t>
            </w:r>
          </w:p>
        </w:tc>
        <w:tc>
          <w:tcPr>
            <w:tcW w:w="80" w:type="dxa"/>
            <w:vAlign w:val="bottom"/>
          </w:tcPr>
          <w:p>
            <w:pPr>
              <w:spacing w:after="0"/>
              <w:rPr>
                <w:sz w:val="16"/>
                <w:szCs w:val="16"/>
                <w:color w:val="auto"/>
              </w:rPr>
            </w:pPr>
          </w:p>
        </w:tc>
        <w:tc>
          <w:tcPr>
            <w:tcW w:w="140" w:type="dxa"/>
            <w:vAlign w:val="bottom"/>
            <w:tcBorders>
              <w:bottom w:val="single" w:sz="8" w:color="231F20"/>
            </w:tcBorders>
          </w:tcPr>
          <w:p>
            <w:pPr>
              <w:spacing w:after="0"/>
              <w:rPr>
                <w:sz w:val="16"/>
                <w:szCs w:val="16"/>
                <w:color w:val="auto"/>
              </w:rPr>
            </w:pPr>
          </w:p>
        </w:tc>
        <w:tc>
          <w:tcPr>
            <w:tcW w:w="940" w:type="dxa"/>
            <w:vAlign w:val="bottom"/>
            <w:tcBorders>
              <w:bottom w:val="single" w:sz="8" w:color="231F20"/>
            </w:tcBorders>
          </w:tcPr>
          <w:p>
            <w:pPr>
              <w:jc w:val="right"/>
              <w:ind w:right="285"/>
              <w:spacing w:after="0"/>
              <w:rPr>
                <w:sz w:val="20"/>
                <w:szCs w:val="20"/>
                <w:color w:val="auto"/>
              </w:rPr>
            </w:pPr>
            <w:r>
              <w:rPr>
                <w:rFonts w:ascii="Times New Roman" w:cs="Times New Roman" w:eastAsia="Times New Roman" w:hAnsi="Times New Roman"/>
                <w:sz w:val="15"/>
                <w:szCs w:val="15"/>
                <w:b w:val="1"/>
                <w:bCs w:val="1"/>
                <w:color w:val="231F20"/>
              </w:rPr>
              <w:t>2024</w:t>
            </w:r>
          </w:p>
        </w:tc>
        <w:tc>
          <w:tcPr>
            <w:tcW w:w="0" w:type="dxa"/>
            <w:vAlign w:val="bottom"/>
          </w:tcPr>
          <w:p>
            <w:pPr>
              <w:spacing w:after="0"/>
              <w:rPr>
                <w:sz w:val="1"/>
                <w:szCs w:val="1"/>
                <w:color w:val="auto"/>
              </w:rPr>
            </w:pPr>
          </w:p>
        </w:tc>
      </w:tr>
      <w:tr>
        <w:trPr>
          <w:trHeight w:val="133"/>
        </w:trPr>
        <w:tc>
          <w:tcPr>
            <w:tcW w:w="7420" w:type="dxa"/>
            <w:vAlign w:val="bottom"/>
          </w:tcPr>
          <w:p>
            <w:pPr>
              <w:spacing w:after="0"/>
              <w:rPr>
                <w:sz w:val="11"/>
                <w:szCs w:val="11"/>
                <w:color w:val="auto"/>
              </w:rPr>
            </w:pPr>
          </w:p>
        </w:tc>
        <w:tc>
          <w:tcPr>
            <w:tcW w:w="110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5"/>
                <w:szCs w:val="15"/>
                <w:b w:val="1"/>
                <w:bCs w:val="1"/>
                <w:color w:val="231F20"/>
              </w:rPr>
              <w:t>(In thousands,</w:t>
            </w:r>
          </w:p>
        </w:tc>
        <w:tc>
          <w:tcPr>
            <w:tcW w:w="1160" w:type="dxa"/>
            <w:vAlign w:val="bottom"/>
            <w:gridSpan w:val="3"/>
          </w:tcPr>
          <w:p>
            <w:pPr>
              <w:jc w:val="right"/>
              <w:ind w:right="5"/>
              <w:spacing w:after="0" w:line="133" w:lineRule="exact"/>
              <w:rPr>
                <w:sz w:val="20"/>
                <w:szCs w:val="20"/>
                <w:color w:val="auto"/>
              </w:rPr>
            </w:pPr>
            <w:r>
              <w:rPr>
                <w:rFonts w:ascii="Times New Roman" w:cs="Times New Roman" w:eastAsia="Times New Roman" w:hAnsi="Times New Roman"/>
                <w:sz w:val="15"/>
                <w:szCs w:val="15"/>
                <w:b w:val="1"/>
                <w:bCs w:val="1"/>
                <w:color w:val="231F20"/>
                <w:w w:val="96"/>
              </w:rPr>
              <w:t>except share and</w:t>
            </w:r>
          </w:p>
        </w:tc>
        <w:tc>
          <w:tcPr>
            <w:tcW w:w="0" w:type="dxa"/>
            <w:vAlign w:val="bottom"/>
          </w:tcPr>
          <w:p>
            <w:pPr>
              <w:spacing w:after="0"/>
              <w:rPr>
                <w:sz w:val="1"/>
                <w:szCs w:val="1"/>
                <w:color w:val="auto"/>
              </w:rPr>
            </w:pPr>
          </w:p>
        </w:tc>
      </w:tr>
      <w:tr>
        <w:trPr>
          <w:trHeight w:val="202"/>
        </w:trPr>
        <w:tc>
          <w:tcPr>
            <w:tcW w:w="7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00" w:type="dxa"/>
            <w:vAlign w:val="bottom"/>
            <w:gridSpan w:val="4"/>
          </w:tcPr>
          <w:p>
            <w:pPr>
              <w:jc w:val="right"/>
              <w:ind w:right="525"/>
              <w:spacing w:after="0"/>
              <w:rPr>
                <w:sz w:val="20"/>
                <w:szCs w:val="20"/>
                <w:color w:val="auto"/>
              </w:rPr>
            </w:pPr>
            <w:r>
              <w:rPr>
                <w:rFonts w:ascii="Times New Roman" w:cs="Times New Roman" w:eastAsia="Times New Roman" w:hAnsi="Times New Roman"/>
                <w:sz w:val="15"/>
                <w:szCs w:val="15"/>
                <w:b w:val="1"/>
                <w:bCs w:val="1"/>
                <w:color w:val="231F20"/>
              </w:rPr>
              <w:t>per share data)</w:t>
            </w:r>
          </w:p>
        </w:tc>
        <w:tc>
          <w:tcPr>
            <w:tcW w:w="0" w:type="dxa"/>
            <w:vAlign w:val="bottom"/>
          </w:tcPr>
          <w:p>
            <w:pPr>
              <w:spacing w:after="0"/>
              <w:rPr>
                <w:sz w:val="1"/>
                <w:szCs w:val="1"/>
                <w:color w:val="auto"/>
              </w:rPr>
            </w:pPr>
          </w:p>
        </w:tc>
      </w:tr>
      <w:tr>
        <w:trPr>
          <w:trHeight w:val="245"/>
        </w:trPr>
        <w:tc>
          <w:tcPr>
            <w:tcW w:w="7420" w:type="dxa"/>
            <w:vAlign w:val="bottom"/>
          </w:tcPr>
          <w:p>
            <w:pPr>
              <w:spacing w:after="0"/>
              <w:rPr>
                <w:sz w:val="20"/>
                <w:szCs w:val="20"/>
                <w:color w:val="auto"/>
              </w:rPr>
            </w:pPr>
            <w:r>
              <w:rPr>
                <w:rFonts w:ascii="Times New Roman" w:cs="Times New Roman" w:eastAsia="Times New Roman" w:hAnsi="Times New Roman"/>
                <w:sz w:val="19"/>
                <w:szCs w:val="19"/>
                <w:color w:val="231F20"/>
              </w:rPr>
              <w:t>ASSETS</w:t>
            </w: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420" w:type="dxa"/>
            <w:vAlign w:val="bottom"/>
          </w:tcPr>
          <w:p>
            <w:pPr>
              <w:ind w:left="340"/>
              <w:spacing w:after="0"/>
              <w:rPr>
                <w:sz w:val="20"/>
                <w:szCs w:val="20"/>
                <w:color w:val="auto"/>
              </w:rPr>
            </w:pPr>
            <w:r>
              <w:rPr>
                <w:rFonts w:ascii="Times New Roman" w:cs="Times New Roman" w:eastAsia="Times New Roman" w:hAnsi="Times New Roman"/>
                <w:sz w:val="19"/>
                <w:szCs w:val="19"/>
                <w:color w:val="231F20"/>
              </w:rPr>
              <w:t>Real estate, at cost</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7420" w:type="dxa"/>
            <w:vAlign w:val="bottom"/>
          </w:tcPr>
          <w:p>
            <w:pPr>
              <w:ind w:left="700"/>
              <w:spacing w:after="0" w:line="192" w:lineRule="exact"/>
              <w:rPr>
                <w:sz w:val="20"/>
                <w:szCs w:val="20"/>
                <w:color w:val="auto"/>
              </w:rPr>
            </w:pPr>
            <w:r>
              <w:rPr>
                <w:rFonts w:ascii="Times New Roman" w:cs="Times New Roman" w:eastAsia="Times New Roman" w:hAnsi="Times New Roman"/>
                <w:sz w:val="19"/>
                <w:szCs w:val="19"/>
                <w:color w:val="231F20"/>
              </w:rPr>
              <w:t>Operating (including $1,832,190 and $1,825,656 of consolidated variable interest</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231F20"/>
              </w:rPr>
              <w:t>11,265,167</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231F20"/>
                <w:w w:val="98"/>
              </w:rPr>
              <w:t>10,363,961</w:t>
            </w:r>
          </w:p>
        </w:tc>
        <w:tc>
          <w:tcPr>
            <w:tcW w:w="0" w:type="dxa"/>
            <w:vAlign w:val="bottom"/>
          </w:tcPr>
          <w:p>
            <w:pPr>
              <w:spacing w:after="0"/>
              <w:rPr>
                <w:sz w:val="1"/>
                <w:szCs w:val="1"/>
                <w:color w:val="auto"/>
              </w:rPr>
            </w:pPr>
          </w:p>
        </w:tc>
      </w:tr>
      <w:tr>
        <w:trPr>
          <w:trHeight w:val="249"/>
        </w:trPr>
        <w:tc>
          <w:tcPr>
            <w:tcW w:w="7420" w:type="dxa"/>
            <w:vAlign w:val="bottom"/>
          </w:tcPr>
          <w:p>
            <w:pPr>
              <w:ind w:left="700"/>
              <w:spacing w:after="0"/>
              <w:rPr>
                <w:sz w:val="20"/>
                <w:szCs w:val="20"/>
                <w:color w:val="auto"/>
              </w:rPr>
            </w:pPr>
            <w:r>
              <w:rPr>
                <w:rFonts w:ascii="Times New Roman" w:cs="Times New Roman" w:eastAsia="Times New Roman" w:hAnsi="Times New Roman"/>
                <w:sz w:val="19"/>
                <w:szCs w:val="19"/>
                <w:color w:val="231F20"/>
              </w:rPr>
              <w:t>entities, respectively)</w:t>
            </w:r>
          </w:p>
        </w:tc>
        <w:tc>
          <w:tcPr>
            <w:tcW w:w="160" w:type="dxa"/>
            <w:vAlign w:val="bottom"/>
            <w:vMerge w:val="continue"/>
          </w:tcPr>
          <w:p>
            <w:pPr>
              <w:spacing w:after="0"/>
              <w:rPr>
                <w:sz w:val="21"/>
                <w:szCs w:val="21"/>
                <w:color w:val="auto"/>
              </w:rPr>
            </w:pPr>
          </w:p>
        </w:tc>
        <w:tc>
          <w:tcPr>
            <w:tcW w:w="940" w:type="dxa"/>
            <w:vAlign w:val="bottom"/>
            <w:vMerge w:val="continue"/>
          </w:tcPr>
          <w:p>
            <w:pPr>
              <w:spacing w:after="0"/>
              <w:rPr>
                <w:sz w:val="21"/>
                <w:szCs w:val="21"/>
                <w:color w:val="auto"/>
              </w:rPr>
            </w:pPr>
          </w:p>
        </w:tc>
        <w:tc>
          <w:tcPr>
            <w:tcW w:w="220" w:type="dxa"/>
            <w:vAlign w:val="bottom"/>
            <w:gridSpan w:val="2"/>
            <w:vMerge w:val="continue"/>
          </w:tcPr>
          <w:p>
            <w:pPr>
              <w:spacing w:after="0"/>
              <w:rPr>
                <w:sz w:val="21"/>
                <w:szCs w:val="21"/>
                <w:color w:val="auto"/>
              </w:rPr>
            </w:pPr>
          </w:p>
        </w:tc>
        <w:tc>
          <w:tcPr>
            <w:tcW w:w="9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7420" w:type="dxa"/>
            <w:vAlign w:val="bottom"/>
          </w:tcPr>
          <w:p>
            <w:pPr>
              <w:ind w:left="700"/>
              <w:spacing w:after="0" w:line="192" w:lineRule="exact"/>
              <w:rPr>
                <w:sz w:val="20"/>
                <w:szCs w:val="20"/>
                <w:color w:val="auto"/>
              </w:rPr>
            </w:pPr>
            <w:r>
              <w:rPr>
                <w:rFonts w:ascii="Times New Roman" w:cs="Times New Roman" w:eastAsia="Times New Roman" w:hAnsi="Times New Roman"/>
                <w:sz w:val="19"/>
                <w:szCs w:val="19"/>
                <w:color w:val="231F20"/>
              </w:rPr>
              <w:t>Construction-in-progress (including $28,418 and $9,939 of consolidated variable</w:t>
            </w:r>
          </w:p>
        </w:tc>
        <w:tc>
          <w:tcPr>
            <w:tcW w:w="16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231F20"/>
              </w:rPr>
              <w:t>374,735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231F20"/>
              </w:rPr>
              <w:t>539,752</w:t>
            </w:r>
          </w:p>
        </w:tc>
        <w:tc>
          <w:tcPr>
            <w:tcW w:w="0" w:type="dxa"/>
            <w:vAlign w:val="bottom"/>
          </w:tcPr>
          <w:p>
            <w:pPr>
              <w:spacing w:after="0"/>
              <w:rPr>
                <w:sz w:val="1"/>
                <w:szCs w:val="1"/>
                <w:color w:val="auto"/>
              </w:rPr>
            </w:pPr>
          </w:p>
        </w:tc>
      </w:tr>
      <w:tr>
        <w:trPr>
          <w:trHeight w:val="250"/>
        </w:trPr>
        <w:tc>
          <w:tcPr>
            <w:tcW w:w="7420" w:type="dxa"/>
            <w:vAlign w:val="bottom"/>
          </w:tcPr>
          <w:p>
            <w:pPr>
              <w:ind w:left="700"/>
              <w:spacing w:after="0"/>
              <w:rPr>
                <w:sz w:val="20"/>
                <w:szCs w:val="20"/>
                <w:color w:val="auto"/>
              </w:rPr>
            </w:pPr>
            <w:r>
              <w:rPr>
                <w:rFonts w:ascii="Times New Roman" w:cs="Times New Roman" w:eastAsia="Times New Roman" w:hAnsi="Times New Roman"/>
                <w:sz w:val="19"/>
                <w:szCs w:val="19"/>
                <w:color w:val="231F20"/>
              </w:rPr>
              <w:t>interest entities, respectively)</w:t>
            </w:r>
          </w:p>
        </w:tc>
        <w:tc>
          <w:tcPr>
            <w:tcW w:w="160" w:type="dxa"/>
            <w:vAlign w:val="bottom"/>
            <w:tcBorders>
              <w:bottom w:val="single" w:sz="8" w:color="231F20"/>
            </w:tcBorders>
          </w:tcPr>
          <w:p>
            <w:pPr>
              <w:spacing w:after="0"/>
              <w:rPr>
                <w:sz w:val="21"/>
                <w:szCs w:val="21"/>
                <w:color w:val="auto"/>
              </w:rPr>
            </w:pPr>
          </w:p>
        </w:tc>
        <w:tc>
          <w:tcPr>
            <w:tcW w:w="940" w:type="dxa"/>
            <w:vAlign w:val="bottom"/>
            <w:tcBorders>
              <w:bottom w:val="single" w:sz="8" w:color="231F20"/>
            </w:tcBorders>
            <w:vMerge w:val="continue"/>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Borders>
              <w:bottom w:val="single" w:sz="8" w:color="231F20"/>
            </w:tcBorders>
          </w:tcPr>
          <w:p>
            <w:pPr>
              <w:spacing w:after="0"/>
              <w:rPr>
                <w:sz w:val="21"/>
                <w:szCs w:val="21"/>
                <w:color w:val="auto"/>
              </w:rPr>
            </w:pPr>
          </w:p>
        </w:tc>
        <w:tc>
          <w:tcPr>
            <w:tcW w:w="940" w:type="dxa"/>
            <w:vAlign w:val="bottom"/>
            <w:tcBorders>
              <w:bottom w:val="single" w:sz="8" w:color="231F20"/>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7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line="210" w:lineRule="exact"/>
              <w:rPr>
                <w:sz w:val="20"/>
                <w:szCs w:val="20"/>
                <w:color w:val="auto"/>
              </w:rPr>
            </w:pPr>
            <w:r>
              <w:rPr>
                <w:rFonts w:ascii="Times New Roman" w:cs="Times New Roman" w:eastAsia="Times New Roman" w:hAnsi="Times New Roman"/>
                <w:sz w:val="19"/>
                <w:szCs w:val="19"/>
                <w:color w:val="231F20"/>
              </w:rPr>
              <w:t>11,639,902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line="210" w:lineRule="exact"/>
              <w:rPr>
                <w:sz w:val="20"/>
                <w:szCs w:val="20"/>
                <w:color w:val="auto"/>
              </w:rPr>
            </w:pPr>
            <w:r>
              <w:rPr>
                <w:rFonts w:ascii="Times New Roman" w:cs="Times New Roman" w:eastAsia="Times New Roman" w:hAnsi="Times New Roman"/>
                <w:sz w:val="19"/>
                <w:szCs w:val="19"/>
                <w:color w:val="231F20"/>
                <w:w w:val="98"/>
              </w:rPr>
              <w:t>10,903,713</w:t>
            </w:r>
          </w:p>
        </w:tc>
        <w:tc>
          <w:tcPr>
            <w:tcW w:w="0" w:type="dxa"/>
            <w:vAlign w:val="bottom"/>
          </w:tcPr>
          <w:p>
            <w:pPr>
              <w:spacing w:after="0"/>
              <w:rPr>
                <w:sz w:val="1"/>
                <w:szCs w:val="1"/>
                <w:color w:val="auto"/>
              </w:rPr>
            </w:pPr>
          </w:p>
        </w:tc>
      </w:tr>
      <w:tr>
        <w:trPr>
          <w:trHeight w:val="191"/>
        </w:trPr>
        <w:tc>
          <w:tcPr>
            <w:tcW w:w="7420" w:type="dxa"/>
            <w:vAlign w:val="bottom"/>
          </w:tcPr>
          <w:p>
            <w:pPr>
              <w:ind w:left="700"/>
              <w:spacing w:after="0" w:line="192" w:lineRule="exact"/>
              <w:rPr>
                <w:sz w:val="20"/>
                <w:szCs w:val="20"/>
                <w:color w:val="auto"/>
              </w:rPr>
            </w:pPr>
            <w:r>
              <w:rPr>
                <w:rFonts w:ascii="Times New Roman" w:cs="Times New Roman" w:eastAsia="Times New Roman" w:hAnsi="Times New Roman"/>
                <w:sz w:val="19"/>
                <w:szCs w:val="19"/>
                <w:color w:val="231F20"/>
              </w:rPr>
              <w:t>Less accumulated depreciation and amortization (including $468,725 and $424,044 of</w:t>
            </w:r>
          </w:p>
        </w:tc>
        <w:tc>
          <w:tcPr>
            <w:tcW w:w="16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231F20"/>
              </w:rPr>
              <w:t>(3,351,881)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231F20"/>
              </w:rPr>
              <w:t>(3,152,799)</w:t>
            </w:r>
          </w:p>
        </w:tc>
        <w:tc>
          <w:tcPr>
            <w:tcW w:w="0" w:type="dxa"/>
            <w:vAlign w:val="bottom"/>
          </w:tcPr>
          <w:p>
            <w:pPr>
              <w:spacing w:after="0"/>
              <w:rPr>
                <w:sz w:val="1"/>
                <w:szCs w:val="1"/>
                <w:color w:val="auto"/>
              </w:rPr>
            </w:pPr>
          </w:p>
        </w:tc>
      </w:tr>
      <w:tr>
        <w:trPr>
          <w:trHeight w:val="249"/>
        </w:trPr>
        <w:tc>
          <w:tcPr>
            <w:tcW w:w="7420" w:type="dxa"/>
            <w:vAlign w:val="bottom"/>
          </w:tcPr>
          <w:p>
            <w:pPr>
              <w:ind w:left="700"/>
              <w:spacing w:after="0"/>
              <w:rPr>
                <w:sz w:val="20"/>
                <w:szCs w:val="20"/>
                <w:color w:val="auto"/>
              </w:rPr>
            </w:pPr>
            <w:r>
              <w:rPr>
                <w:rFonts w:ascii="Times New Roman" w:cs="Times New Roman" w:eastAsia="Times New Roman" w:hAnsi="Times New Roman"/>
                <w:sz w:val="19"/>
                <w:szCs w:val="19"/>
                <w:color w:val="231F20"/>
              </w:rPr>
              <w:t>consolidated variable interest entities, respectively)</w:t>
            </w:r>
          </w:p>
        </w:tc>
        <w:tc>
          <w:tcPr>
            <w:tcW w:w="160" w:type="dxa"/>
            <w:vAlign w:val="bottom"/>
            <w:tcBorders>
              <w:bottom w:val="single" w:sz="8" w:color="231F20"/>
            </w:tcBorders>
          </w:tcPr>
          <w:p>
            <w:pPr>
              <w:spacing w:after="0"/>
              <w:rPr>
                <w:sz w:val="21"/>
                <w:szCs w:val="21"/>
                <w:color w:val="auto"/>
              </w:rPr>
            </w:pPr>
          </w:p>
        </w:tc>
        <w:tc>
          <w:tcPr>
            <w:tcW w:w="940" w:type="dxa"/>
            <w:vAlign w:val="bottom"/>
            <w:tcBorders>
              <w:bottom w:val="single" w:sz="8" w:color="231F20"/>
            </w:tcBorders>
            <w:vMerge w:val="continue"/>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Borders>
              <w:bottom w:val="single" w:sz="8" w:color="231F20"/>
            </w:tcBorders>
          </w:tcPr>
          <w:p>
            <w:pPr>
              <w:spacing w:after="0"/>
              <w:rPr>
                <w:sz w:val="21"/>
                <w:szCs w:val="21"/>
                <w:color w:val="auto"/>
              </w:rPr>
            </w:pPr>
          </w:p>
        </w:tc>
        <w:tc>
          <w:tcPr>
            <w:tcW w:w="940" w:type="dxa"/>
            <w:vAlign w:val="bottom"/>
            <w:tcBorders>
              <w:bottom w:val="single" w:sz="8" w:color="231F20"/>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7420" w:type="dxa"/>
            <w:vAlign w:val="bottom"/>
          </w:tcPr>
          <w:p>
            <w:pPr>
              <w:ind w:left="340"/>
              <w:spacing w:after="0" w:line="200" w:lineRule="exact"/>
              <w:rPr>
                <w:sz w:val="20"/>
                <w:szCs w:val="20"/>
                <w:color w:val="auto"/>
              </w:rPr>
            </w:pPr>
            <w:r>
              <w:rPr>
                <w:rFonts w:ascii="Times New Roman" w:cs="Times New Roman" w:eastAsia="Times New Roman" w:hAnsi="Times New Roman"/>
                <w:sz w:val="19"/>
                <w:szCs w:val="19"/>
                <w:color w:val="231F20"/>
              </w:rPr>
              <w:t>Net real estate</w:t>
            </w:r>
          </w:p>
        </w:tc>
        <w:tc>
          <w:tcPr>
            <w:tcW w:w="160" w:type="dxa"/>
            <w:vAlign w:val="bottom"/>
          </w:tcPr>
          <w:p>
            <w:pPr>
              <w:spacing w:after="0"/>
              <w:rPr>
                <w:sz w:val="17"/>
                <w:szCs w:val="17"/>
                <w:color w:val="auto"/>
              </w:rPr>
            </w:pPr>
          </w:p>
        </w:tc>
        <w:tc>
          <w:tcPr>
            <w:tcW w:w="940" w:type="dxa"/>
            <w:vAlign w:val="bottom"/>
          </w:tcPr>
          <w:p>
            <w:pPr>
              <w:jc w:val="right"/>
              <w:spacing w:after="0" w:line="200" w:lineRule="exact"/>
              <w:rPr>
                <w:sz w:val="20"/>
                <w:szCs w:val="20"/>
                <w:color w:val="auto"/>
              </w:rPr>
            </w:pPr>
            <w:r>
              <w:rPr>
                <w:rFonts w:ascii="Times New Roman" w:cs="Times New Roman" w:eastAsia="Times New Roman" w:hAnsi="Times New Roman"/>
                <w:sz w:val="19"/>
                <w:szCs w:val="19"/>
                <w:color w:val="231F20"/>
              </w:rPr>
              <w:t>8,288,021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line="200" w:lineRule="exact"/>
              <w:rPr>
                <w:sz w:val="20"/>
                <w:szCs w:val="20"/>
                <w:color w:val="auto"/>
              </w:rPr>
            </w:pPr>
            <w:r>
              <w:rPr>
                <w:rFonts w:ascii="Times New Roman" w:cs="Times New Roman" w:eastAsia="Times New Roman" w:hAnsi="Times New Roman"/>
                <w:sz w:val="19"/>
                <w:szCs w:val="19"/>
                <w:color w:val="231F20"/>
              </w:rPr>
              <w:t>7,750,914</w:t>
            </w:r>
          </w:p>
        </w:tc>
        <w:tc>
          <w:tcPr>
            <w:tcW w:w="0" w:type="dxa"/>
            <w:vAlign w:val="bottom"/>
          </w:tcPr>
          <w:p>
            <w:pPr>
              <w:spacing w:after="0"/>
              <w:rPr>
                <w:sz w:val="1"/>
                <w:szCs w:val="1"/>
                <w:color w:val="auto"/>
              </w:rPr>
            </w:pPr>
          </w:p>
        </w:tc>
      </w:tr>
      <w:tr>
        <w:trPr>
          <w:trHeight w:val="228"/>
        </w:trPr>
        <w:tc>
          <w:tcPr>
            <w:tcW w:w="7420" w:type="dxa"/>
            <w:vAlign w:val="bottom"/>
          </w:tcPr>
          <w:p>
            <w:pPr>
              <w:ind w:left="340"/>
              <w:spacing w:after="0"/>
              <w:rPr>
                <w:sz w:val="20"/>
                <w:szCs w:val="20"/>
                <w:color w:val="auto"/>
              </w:rPr>
            </w:pPr>
            <w:r>
              <w:rPr>
                <w:rFonts w:ascii="Times New Roman" w:cs="Times New Roman" w:eastAsia="Times New Roman" w:hAnsi="Times New Roman"/>
                <w:sz w:val="19"/>
                <w:szCs w:val="19"/>
                <w:color w:val="231F20"/>
              </w:rPr>
              <w:t>Cash and cash equivalents</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107,415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123,409</w:t>
            </w:r>
          </w:p>
        </w:tc>
        <w:tc>
          <w:tcPr>
            <w:tcW w:w="0" w:type="dxa"/>
            <w:vAlign w:val="bottom"/>
          </w:tcPr>
          <w:p>
            <w:pPr>
              <w:spacing w:after="0"/>
              <w:rPr>
                <w:sz w:val="1"/>
                <w:szCs w:val="1"/>
                <w:color w:val="auto"/>
              </w:rPr>
            </w:pPr>
          </w:p>
        </w:tc>
      </w:tr>
      <w:tr>
        <w:trPr>
          <w:trHeight w:val="242"/>
        </w:trPr>
        <w:tc>
          <w:tcPr>
            <w:tcW w:w="7420" w:type="dxa"/>
            <w:vAlign w:val="bottom"/>
          </w:tcPr>
          <w:p>
            <w:pPr>
              <w:ind w:left="340"/>
              <w:spacing w:after="0"/>
              <w:rPr>
                <w:sz w:val="20"/>
                <w:szCs w:val="20"/>
                <w:color w:val="auto"/>
              </w:rPr>
            </w:pPr>
            <w:r>
              <w:rPr>
                <w:rFonts w:ascii="Times New Roman" w:cs="Times New Roman" w:eastAsia="Times New Roman" w:hAnsi="Times New Roman"/>
                <w:sz w:val="19"/>
                <w:szCs w:val="19"/>
                <w:color w:val="231F20"/>
              </w:rPr>
              <w:t>Accounts and notes receivable, net</w:t>
            </w: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249,755</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229,080</w:t>
            </w:r>
          </w:p>
        </w:tc>
        <w:tc>
          <w:tcPr>
            <w:tcW w:w="0" w:type="dxa"/>
            <w:vAlign w:val="bottom"/>
          </w:tcPr>
          <w:p>
            <w:pPr>
              <w:spacing w:after="0"/>
              <w:rPr>
                <w:sz w:val="1"/>
                <w:szCs w:val="1"/>
                <w:color w:val="auto"/>
              </w:rPr>
            </w:pPr>
          </w:p>
        </w:tc>
      </w:tr>
      <w:tr>
        <w:trPr>
          <w:trHeight w:val="242"/>
        </w:trPr>
        <w:tc>
          <w:tcPr>
            <w:tcW w:w="7420" w:type="dxa"/>
            <w:vAlign w:val="bottom"/>
          </w:tcPr>
          <w:p>
            <w:pPr>
              <w:ind w:left="340"/>
              <w:spacing w:after="0"/>
              <w:rPr>
                <w:sz w:val="20"/>
                <w:szCs w:val="20"/>
                <w:color w:val="auto"/>
              </w:rPr>
            </w:pPr>
            <w:r>
              <w:rPr>
                <w:rFonts w:ascii="Times New Roman" w:cs="Times New Roman" w:eastAsia="Times New Roman" w:hAnsi="Times New Roman"/>
                <w:sz w:val="19"/>
                <w:szCs w:val="19"/>
                <w:color w:val="231F20"/>
              </w:rPr>
              <w:t>Mortgage notes receivable, net</w:t>
            </w: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9,091</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9,144</w:t>
            </w:r>
          </w:p>
        </w:tc>
        <w:tc>
          <w:tcPr>
            <w:tcW w:w="0" w:type="dxa"/>
            <w:vAlign w:val="bottom"/>
          </w:tcPr>
          <w:p>
            <w:pPr>
              <w:spacing w:after="0"/>
              <w:rPr>
                <w:sz w:val="1"/>
                <w:szCs w:val="1"/>
                <w:color w:val="auto"/>
              </w:rPr>
            </w:pPr>
          </w:p>
        </w:tc>
      </w:tr>
      <w:tr>
        <w:trPr>
          <w:trHeight w:val="242"/>
        </w:trPr>
        <w:tc>
          <w:tcPr>
            <w:tcW w:w="7420" w:type="dxa"/>
            <w:vAlign w:val="bottom"/>
          </w:tcPr>
          <w:p>
            <w:pPr>
              <w:ind w:left="340"/>
              <w:spacing w:after="0"/>
              <w:rPr>
                <w:sz w:val="20"/>
                <w:szCs w:val="20"/>
                <w:color w:val="auto"/>
              </w:rPr>
            </w:pPr>
            <w:r>
              <w:rPr>
                <w:rFonts w:ascii="Times New Roman" w:cs="Times New Roman" w:eastAsia="Times New Roman" w:hAnsi="Times New Roman"/>
                <w:sz w:val="19"/>
                <w:szCs w:val="19"/>
                <w:color w:val="231F20"/>
              </w:rPr>
              <w:t>Investment in partnerships</w:t>
            </w: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31,881</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33,458</w:t>
            </w:r>
          </w:p>
        </w:tc>
        <w:tc>
          <w:tcPr>
            <w:tcW w:w="0" w:type="dxa"/>
            <w:vAlign w:val="bottom"/>
          </w:tcPr>
          <w:p>
            <w:pPr>
              <w:spacing w:after="0"/>
              <w:rPr>
                <w:sz w:val="1"/>
                <w:szCs w:val="1"/>
                <w:color w:val="auto"/>
              </w:rPr>
            </w:pPr>
          </w:p>
        </w:tc>
      </w:tr>
      <w:tr>
        <w:trPr>
          <w:trHeight w:val="242"/>
        </w:trPr>
        <w:tc>
          <w:tcPr>
            <w:tcW w:w="7420" w:type="dxa"/>
            <w:vAlign w:val="bottom"/>
          </w:tcPr>
          <w:p>
            <w:pPr>
              <w:ind w:left="340"/>
              <w:spacing w:after="0"/>
              <w:rPr>
                <w:sz w:val="20"/>
                <w:szCs w:val="20"/>
                <w:color w:val="auto"/>
              </w:rPr>
            </w:pPr>
            <w:r>
              <w:rPr>
                <w:rFonts w:ascii="Times New Roman" w:cs="Times New Roman" w:eastAsia="Times New Roman" w:hAnsi="Times New Roman"/>
                <w:sz w:val="19"/>
                <w:szCs w:val="19"/>
                <w:color w:val="231F20"/>
              </w:rPr>
              <w:t>Operating lease right of use assets, net</w:t>
            </w: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83,120</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85,806</w:t>
            </w:r>
          </w:p>
        </w:tc>
        <w:tc>
          <w:tcPr>
            <w:tcW w:w="0" w:type="dxa"/>
            <w:vAlign w:val="bottom"/>
          </w:tcPr>
          <w:p>
            <w:pPr>
              <w:spacing w:after="0"/>
              <w:rPr>
                <w:sz w:val="1"/>
                <w:szCs w:val="1"/>
                <w:color w:val="auto"/>
              </w:rPr>
            </w:pPr>
          </w:p>
        </w:tc>
      </w:tr>
      <w:tr>
        <w:trPr>
          <w:trHeight w:val="242"/>
        </w:trPr>
        <w:tc>
          <w:tcPr>
            <w:tcW w:w="7420" w:type="dxa"/>
            <w:vAlign w:val="bottom"/>
          </w:tcPr>
          <w:p>
            <w:pPr>
              <w:ind w:left="340"/>
              <w:spacing w:after="0"/>
              <w:rPr>
                <w:sz w:val="20"/>
                <w:szCs w:val="20"/>
                <w:color w:val="auto"/>
              </w:rPr>
            </w:pPr>
            <w:r>
              <w:rPr>
                <w:rFonts w:ascii="Times New Roman" w:cs="Times New Roman" w:eastAsia="Times New Roman" w:hAnsi="Times New Roman"/>
                <w:sz w:val="19"/>
                <w:szCs w:val="19"/>
                <w:color w:val="231F20"/>
              </w:rPr>
              <w:t>Finance lease right of use assets, net</w:t>
            </w: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6,410</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6,630</w:t>
            </w:r>
          </w:p>
        </w:tc>
        <w:tc>
          <w:tcPr>
            <w:tcW w:w="0" w:type="dxa"/>
            <w:vAlign w:val="bottom"/>
          </w:tcPr>
          <w:p>
            <w:pPr>
              <w:spacing w:after="0"/>
              <w:rPr>
                <w:sz w:val="1"/>
                <w:szCs w:val="1"/>
                <w:color w:val="auto"/>
              </w:rPr>
            </w:pPr>
          </w:p>
        </w:tc>
      </w:tr>
      <w:tr>
        <w:trPr>
          <w:trHeight w:val="251"/>
        </w:trPr>
        <w:tc>
          <w:tcPr>
            <w:tcW w:w="7420" w:type="dxa"/>
            <w:vAlign w:val="bottom"/>
          </w:tcPr>
          <w:p>
            <w:pPr>
              <w:ind w:left="340"/>
              <w:spacing w:after="0"/>
              <w:rPr>
                <w:sz w:val="20"/>
                <w:szCs w:val="20"/>
                <w:color w:val="auto"/>
              </w:rPr>
            </w:pPr>
            <w:r>
              <w:rPr>
                <w:rFonts w:ascii="Times New Roman" w:cs="Times New Roman" w:eastAsia="Times New Roman" w:hAnsi="Times New Roman"/>
                <w:sz w:val="19"/>
                <w:szCs w:val="19"/>
                <w:color w:val="231F20"/>
              </w:rPr>
              <w:t>Prepaid expenses and other assets</w:t>
            </w:r>
          </w:p>
        </w:tc>
        <w:tc>
          <w:tcPr>
            <w:tcW w:w="160" w:type="dxa"/>
            <w:vAlign w:val="bottom"/>
            <w:tcBorders>
              <w:bottom w:val="single" w:sz="8" w:color="231F20"/>
            </w:tcBorders>
          </w:tcPr>
          <w:p>
            <w:pPr>
              <w:spacing w:after="0"/>
              <w:rPr>
                <w:sz w:val="21"/>
                <w:szCs w:val="21"/>
                <w:color w:val="auto"/>
              </w:rPr>
            </w:pPr>
          </w:p>
        </w:tc>
        <w:tc>
          <w:tcPr>
            <w:tcW w:w="9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354,767</w:t>
            </w:r>
          </w:p>
        </w:tc>
        <w:tc>
          <w:tcPr>
            <w:tcW w:w="80" w:type="dxa"/>
            <w:vAlign w:val="bottom"/>
          </w:tcPr>
          <w:p>
            <w:pPr>
              <w:spacing w:after="0"/>
              <w:rPr>
                <w:sz w:val="21"/>
                <w:szCs w:val="21"/>
                <w:color w:val="auto"/>
              </w:rPr>
            </w:pPr>
          </w:p>
        </w:tc>
        <w:tc>
          <w:tcPr>
            <w:tcW w:w="140" w:type="dxa"/>
            <w:vAlign w:val="bottom"/>
            <w:tcBorders>
              <w:bottom w:val="single" w:sz="8" w:color="231F20"/>
            </w:tcBorders>
          </w:tcPr>
          <w:p>
            <w:pPr>
              <w:spacing w:after="0"/>
              <w:rPr>
                <w:sz w:val="21"/>
                <w:szCs w:val="21"/>
                <w:color w:val="auto"/>
              </w:rPr>
            </w:pPr>
          </w:p>
        </w:tc>
        <w:tc>
          <w:tcPr>
            <w:tcW w:w="9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286,316</w:t>
            </w:r>
          </w:p>
        </w:tc>
        <w:tc>
          <w:tcPr>
            <w:tcW w:w="0" w:type="dxa"/>
            <w:vAlign w:val="bottom"/>
          </w:tcPr>
          <w:p>
            <w:pPr>
              <w:spacing w:after="0"/>
              <w:rPr>
                <w:sz w:val="1"/>
                <w:szCs w:val="1"/>
                <w:color w:val="auto"/>
              </w:rPr>
            </w:pPr>
          </w:p>
        </w:tc>
      </w:tr>
      <w:tr>
        <w:trPr>
          <w:trHeight w:val="203"/>
        </w:trPr>
        <w:tc>
          <w:tcPr>
            <w:tcW w:w="7420" w:type="dxa"/>
            <w:vAlign w:val="bottom"/>
          </w:tcPr>
          <w:p>
            <w:pPr>
              <w:spacing w:after="0" w:line="204" w:lineRule="exact"/>
              <w:rPr>
                <w:sz w:val="20"/>
                <w:szCs w:val="20"/>
                <w:color w:val="auto"/>
              </w:rPr>
            </w:pPr>
            <w:r>
              <w:rPr>
                <w:rFonts w:ascii="Times New Roman" w:cs="Times New Roman" w:eastAsia="Times New Roman" w:hAnsi="Times New Roman"/>
                <w:sz w:val="19"/>
                <w:szCs w:val="19"/>
                <w:color w:val="231F20"/>
              </w:rPr>
              <w:t>TOTAL ASSETS</w:t>
            </w:r>
          </w:p>
        </w:tc>
        <w:tc>
          <w:tcPr>
            <w:tcW w:w="160" w:type="dxa"/>
            <w:vAlign w:val="bottom"/>
            <w:tcBorders>
              <w:bottom w:val="single" w:sz="8" w:color="231F20"/>
            </w:tcBorders>
          </w:tcPr>
          <w:p>
            <w:pPr>
              <w:jc w:val="right"/>
              <w:spacing w:after="0" w:line="204" w:lineRule="exact"/>
              <w:rPr>
                <w:sz w:val="20"/>
                <w:szCs w:val="20"/>
                <w:color w:val="auto"/>
              </w:rPr>
            </w:pPr>
            <w:r>
              <w:rPr>
                <w:rFonts w:ascii="Times New Roman" w:cs="Times New Roman" w:eastAsia="Times New Roman" w:hAnsi="Times New Roman"/>
                <w:sz w:val="19"/>
                <w:szCs w:val="19"/>
                <w:color w:val="231F20"/>
              </w:rPr>
              <w:t>$</w:t>
            </w:r>
          </w:p>
        </w:tc>
        <w:tc>
          <w:tcPr>
            <w:tcW w:w="940" w:type="dxa"/>
            <w:vAlign w:val="bottom"/>
            <w:tcBorders>
              <w:bottom w:val="single" w:sz="8" w:color="231F20"/>
            </w:tcBorders>
          </w:tcPr>
          <w:p>
            <w:pPr>
              <w:jc w:val="right"/>
              <w:spacing w:after="0" w:line="204" w:lineRule="exact"/>
              <w:rPr>
                <w:sz w:val="20"/>
                <w:szCs w:val="20"/>
                <w:color w:val="auto"/>
              </w:rPr>
            </w:pPr>
            <w:r>
              <w:rPr>
                <w:rFonts w:ascii="Times New Roman" w:cs="Times New Roman" w:eastAsia="Times New Roman" w:hAnsi="Times New Roman"/>
                <w:sz w:val="19"/>
                <w:szCs w:val="19"/>
                <w:color w:val="231F20"/>
              </w:rPr>
              <w:t>9,130,460</w:t>
            </w:r>
          </w:p>
        </w:tc>
        <w:tc>
          <w:tcPr>
            <w:tcW w:w="80" w:type="dxa"/>
            <w:vAlign w:val="bottom"/>
          </w:tcPr>
          <w:p>
            <w:pPr>
              <w:spacing w:after="0"/>
              <w:rPr>
                <w:sz w:val="17"/>
                <w:szCs w:val="17"/>
                <w:color w:val="auto"/>
              </w:rPr>
            </w:pPr>
          </w:p>
        </w:tc>
        <w:tc>
          <w:tcPr>
            <w:tcW w:w="140" w:type="dxa"/>
            <w:vAlign w:val="bottom"/>
            <w:tcBorders>
              <w:bottom w:val="single" w:sz="8" w:color="231F20"/>
            </w:tcBorders>
          </w:tcPr>
          <w:p>
            <w:pPr>
              <w:jc w:val="right"/>
              <w:spacing w:after="0" w:line="204" w:lineRule="exact"/>
              <w:rPr>
                <w:sz w:val="20"/>
                <w:szCs w:val="20"/>
                <w:color w:val="auto"/>
              </w:rPr>
            </w:pPr>
            <w:r>
              <w:rPr>
                <w:rFonts w:ascii="Times New Roman" w:cs="Times New Roman" w:eastAsia="Times New Roman" w:hAnsi="Times New Roman"/>
                <w:sz w:val="19"/>
                <w:szCs w:val="19"/>
                <w:color w:val="231F20"/>
              </w:rPr>
              <w:t>$</w:t>
            </w:r>
          </w:p>
        </w:tc>
        <w:tc>
          <w:tcPr>
            <w:tcW w:w="940" w:type="dxa"/>
            <w:vAlign w:val="bottom"/>
            <w:tcBorders>
              <w:bottom w:val="single" w:sz="8" w:color="231F20"/>
            </w:tcBorders>
          </w:tcPr>
          <w:p>
            <w:pPr>
              <w:jc w:val="right"/>
              <w:spacing w:after="0" w:line="204" w:lineRule="exact"/>
              <w:rPr>
                <w:sz w:val="20"/>
                <w:szCs w:val="20"/>
                <w:color w:val="auto"/>
              </w:rPr>
            </w:pPr>
            <w:r>
              <w:rPr>
                <w:rFonts w:ascii="Times New Roman" w:cs="Times New Roman" w:eastAsia="Times New Roman" w:hAnsi="Times New Roman"/>
                <w:sz w:val="19"/>
                <w:szCs w:val="19"/>
                <w:color w:val="231F20"/>
              </w:rPr>
              <w:t>8,524,757</w:t>
            </w:r>
          </w:p>
        </w:tc>
        <w:tc>
          <w:tcPr>
            <w:tcW w:w="0" w:type="dxa"/>
            <w:vAlign w:val="bottom"/>
          </w:tcPr>
          <w:p>
            <w:pPr>
              <w:spacing w:after="0"/>
              <w:rPr>
                <w:sz w:val="1"/>
                <w:szCs w:val="1"/>
                <w:color w:val="auto"/>
              </w:rPr>
            </w:pPr>
          </w:p>
        </w:tc>
      </w:tr>
      <w:tr>
        <w:trPr>
          <w:trHeight w:val="20"/>
        </w:trPr>
        <w:tc>
          <w:tcPr>
            <w:tcW w:w="7420" w:type="dxa"/>
            <w:vAlign w:val="bottom"/>
            <w:vMerge w:val="restart"/>
          </w:tcPr>
          <w:p>
            <w:pPr>
              <w:spacing w:after="0"/>
              <w:rPr>
                <w:sz w:val="20"/>
                <w:szCs w:val="20"/>
                <w:color w:val="auto"/>
              </w:rPr>
            </w:pPr>
            <w:r>
              <w:rPr>
                <w:rFonts w:ascii="Times New Roman" w:cs="Times New Roman" w:eastAsia="Times New Roman" w:hAnsi="Times New Roman"/>
                <w:sz w:val="19"/>
                <w:szCs w:val="19"/>
                <w:color w:val="231F20"/>
              </w:rPr>
              <w:t>LIABILITIES AND SHAREHOLDERS’ EQUITY</w:t>
            </w:r>
          </w:p>
        </w:tc>
        <w:tc>
          <w:tcPr>
            <w:tcW w:w="160" w:type="dxa"/>
            <w:vAlign w:val="bottom"/>
            <w:tcBorders>
              <w:bottom w:val="single" w:sz="8" w:color="231F20"/>
            </w:tcBorders>
          </w:tcPr>
          <w:p>
            <w:pPr>
              <w:spacing w:after="0" w:line="20" w:lineRule="exact"/>
              <w:rPr>
                <w:sz w:val="1"/>
                <w:szCs w:val="1"/>
                <w:color w:val="auto"/>
              </w:rPr>
            </w:pPr>
          </w:p>
        </w:tc>
        <w:tc>
          <w:tcPr>
            <w:tcW w:w="94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231F20"/>
            </w:tcBorders>
          </w:tcPr>
          <w:p>
            <w:pPr>
              <w:spacing w:after="0" w:line="20" w:lineRule="exact"/>
              <w:rPr>
                <w:sz w:val="1"/>
                <w:szCs w:val="1"/>
                <w:color w:val="auto"/>
              </w:rPr>
            </w:pPr>
          </w:p>
        </w:tc>
        <w:tc>
          <w:tcPr>
            <w:tcW w:w="94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74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7420" w:type="dxa"/>
            <w:vAlign w:val="bottom"/>
          </w:tcPr>
          <w:p>
            <w:pPr>
              <w:ind w:left="340"/>
              <w:spacing w:after="0"/>
              <w:rPr>
                <w:sz w:val="20"/>
                <w:szCs w:val="20"/>
                <w:color w:val="auto"/>
              </w:rPr>
            </w:pPr>
            <w:r>
              <w:rPr>
                <w:rFonts w:ascii="Times New Roman" w:cs="Times New Roman" w:eastAsia="Times New Roman" w:hAnsi="Times New Roman"/>
                <w:sz w:val="19"/>
                <w:szCs w:val="19"/>
                <w:color w:val="231F20"/>
              </w:rPr>
              <w:t>Liabilities</w:t>
            </w: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7420" w:type="dxa"/>
            <w:vAlign w:val="bottom"/>
          </w:tcPr>
          <w:p>
            <w:pPr>
              <w:ind w:left="700"/>
              <w:spacing w:after="0" w:line="192" w:lineRule="exact"/>
              <w:rPr>
                <w:sz w:val="20"/>
                <w:szCs w:val="20"/>
                <w:color w:val="auto"/>
              </w:rPr>
            </w:pPr>
            <w:r>
              <w:rPr>
                <w:rFonts w:ascii="Times New Roman" w:cs="Times New Roman" w:eastAsia="Times New Roman" w:hAnsi="Times New Roman"/>
                <w:sz w:val="19"/>
                <w:szCs w:val="19"/>
                <w:color w:val="231F20"/>
              </w:rPr>
              <w:t>Mortgages payable, net (including $194,176 and $186,643 of consolidated variable</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231F20"/>
              </w:rPr>
              <w:t>521,759</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231F20"/>
              </w:rPr>
              <w:t>514,378</w:t>
            </w:r>
          </w:p>
        </w:tc>
        <w:tc>
          <w:tcPr>
            <w:tcW w:w="0" w:type="dxa"/>
            <w:vAlign w:val="bottom"/>
          </w:tcPr>
          <w:p>
            <w:pPr>
              <w:spacing w:after="0"/>
              <w:rPr>
                <w:sz w:val="1"/>
                <w:szCs w:val="1"/>
                <w:color w:val="auto"/>
              </w:rPr>
            </w:pPr>
          </w:p>
        </w:tc>
      </w:tr>
      <w:tr>
        <w:trPr>
          <w:trHeight w:val="241"/>
        </w:trPr>
        <w:tc>
          <w:tcPr>
            <w:tcW w:w="7420" w:type="dxa"/>
            <w:vAlign w:val="bottom"/>
          </w:tcPr>
          <w:p>
            <w:pPr>
              <w:ind w:left="700"/>
              <w:spacing w:after="0"/>
              <w:rPr>
                <w:sz w:val="20"/>
                <w:szCs w:val="20"/>
                <w:color w:val="auto"/>
              </w:rPr>
            </w:pPr>
            <w:r>
              <w:rPr>
                <w:rFonts w:ascii="Times New Roman" w:cs="Times New Roman" w:eastAsia="Times New Roman" w:hAnsi="Times New Roman"/>
                <w:sz w:val="19"/>
                <w:szCs w:val="19"/>
                <w:color w:val="231F20"/>
              </w:rPr>
              <w:t>interest entities, respectively)</w:t>
            </w:r>
          </w:p>
        </w:tc>
        <w:tc>
          <w:tcPr>
            <w:tcW w:w="160" w:type="dxa"/>
            <w:vAlign w:val="bottom"/>
            <w:vMerge w:val="continue"/>
          </w:tcPr>
          <w:p>
            <w:pPr>
              <w:spacing w:after="0"/>
              <w:rPr>
                <w:sz w:val="20"/>
                <w:szCs w:val="20"/>
                <w:color w:val="auto"/>
              </w:rPr>
            </w:pPr>
          </w:p>
        </w:tc>
        <w:tc>
          <w:tcPr>
            <w:tcW w:w="940" w:type="dxa"/>
            <w:vAlign w:val="bottom"/>
            <w:vMerge w:val="continue"/>
          </w:tcPr>
          <w:p>
            <w:pPr>
              <w:spacing w:after="0"/>
              <w:rPr>
                <w:sz w:val="20"/>
                <w:szCs w:val="20"/>
                <w:color w:val="auto"/>
              </w:rPr>
            </w:pPr>
          </w:p>
        </w:tc>
        <w:tc>
          <w:tcPr>
            <w:tcW w:w="220" w:type="dxa"/>
            <w:vAlign w:val="bottom"/>
            <w:gridSpan w:val="2"/>
            <w:vMerge w:val="continue"/>
          </w:tcPr>
          <w:p>
            <w:pPr>
              <w:spacing w:after="0"/>
              <w:rPr>
                <w:sz w:val="20"/>
                <w:szCs w:val="20"/>
                <w:color w:val="auto"/>
              </w:rPr>
            </w:pPr>
          </w:p>
        </w:tc>
        <w:tc>
          <w:tcPr>
            <w:tcW w:w="9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7420" w:type="dxa"/>
            <w:vAlign w:val="bottom"/>
          </w:tcPr>
          <w:p>
            <w:pPr>
              <w:ind w:left="700"/>
              <w:spacing w:after="0"/>
              <w:rPr>
                <w:sz w:val="20"/>
                <w:szCs w:val="20"/>
                <w:color w:val="auto"/>
              </w:rPr>
            </w:pPr>
            <w:r>
              <w:rPr>
                <w:rFonts w:ascii="Times New Roman" w:cs="Times New Roman" w:eastAsia="Times New Roman" w:hAnsi="Times New Roman"/>
                <w:sz w:val="19"/>
                <w:szCs w:val="19"/>
                <w:color w:val="231F20"/>
              </w:rPr>
              <w:t>Notes payable, net</w:t>
            </w: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1,057,331</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601,414</w:t>
            </w:r>
          </w:p>
        </w:tc>
        <w:tc>
          <w:tcPr>
            <w:tcW w:w="0" w:type="dxa"/>
            <w:vAlign w:val="bottom"/>
          </w:tcPr>
          <w:p>
            <w:pPr>
              <w:spacing w:after="0"/>
              <w:rPr>
                <w:sz w:val="1"/>
                <w:szCs w:val="1"/>
                <w:color w:val="auto"/>
              </w:rPr>
            </w:pPr>
          </w:p>
        </w:tc>
      </w:tr>
      <w:tr>
        <w:trPr>
          <w:trHeight w:val="242"/>
        </w:trPr>
        <w:tc>
          <w:tcPr>
            <w:tcW w:w="7420" w:type="dxa"/>
            <w:vAlign w:val="bottom"/>
          </w:tcPr>
          <w:p>
            <w:pPr>
              <w:ind w:left="700"/>
              <w:spacing w:after="0"/>
              <w:rPr>
                <w:sz w:val="20"/>
                <w:szCs w:val="20"/>
                <w:color w:val="auto"/>
              </w:rPr>
            </w:pPr>
            <w:r>
              <w:rPr>
                <w:rFonts w:ascii="Times New Roman" w:cs="Times New Roman" w:eastAsia="Times New Roman" w:hAnsi="Times New Roman"/>
                <w:sz w:val="19"/>
                <w:szCs w:val="19"/>
                <w:color w:val="231F20"/>
              </w:rPr>
              <w:t>Senior notes and debentures, net</w:t>
            </w: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3,364,010</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3,357,840</w:t>
            </w:r>
          </w:p>
        </w:tc>
        <w:tc>
          <w:tcPr>
            <w:tcW w:w="0" w:type="dxa"/>
            <w:vAlign w:val="bottom"/>
          </w:tcPr>
          <w:p>
            <w:pPr>
              <w:spacing w:after="0"/>
              <w:rPr>
                <w:sz w:val="1"/>
                <w:szCs w:val="1"/>
                <w:color w:val="auto"/>
              </w:rPr>
            </w:pPr>
          </w:p>
        </w:tc>
      </w:tr>
      <w:tr>
        <w:trPr>
          <w:trHeight w:val="242"/>
        </w:trPr>
        <w:tc>
          <w:tcPr>
            <w:tcW w:w="7420" w:type="dxa"/>
            <w:vAlign w:val="bottom"/>
          </w:tcPr>
          <w:p>
            <w:pPr>
              <w:ind w:left="700"/>
              <w:spacing w:after="0"/>
              <w:rPr>
                <w:sz w:val="20"/>
                <w:szCs w:val="20"/>
                <w:color w:val="auto"/>
              </w:rPr>
            </w:pPr>
            <w:r>
              <w:rPr>
                <w:rFonts w:ascii="Times New Roman" w:cs="Times New Roman" w:eastAsia="Times New Roman" w:hAnsi="Times New Roman"/>
                <w:sz w:val="19"/>
                <w:szCs w:val="19"/>
                <w:color w:val="231F20"/>
              </w:rPr>
              <w:t>Accounts payable and accrued expenses</w:t>
            </w: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219,678</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183,564</w:t>
            </w:r>
          </w:p>
        </w:tc>
        <w:tc>
          <w:tcPr>
            <w:tcW w:w="0" w:type="dxa"/>
            <w:vAlign w:val="bottom"/>
          </w:tcPr>
          <w:p>
            <w:pPr>
              <w:spacing w:after="0"/>
              <w:rPr>
                <w:sz w:val="1"/>
                <w:szCs w:val="1"/>
                <w:color w:val="auto"/>
              </w:rPr>
            </w:pPr>
          </w:p>
        </w:tc>
      </w:tr>
      <w:tr>
        <w:trPr>
          <w:trHeight w:val="242"/>
        </w:trPr>
        <w:tc>
          <w:tcPr>
            <w:tcW w:w="7420" w:type="dxa"/>
            <w:vAlign w:val="bottom"/>
          </w:tcPr>
          <w:p>
            <w:pPr>
              <w:ind w:left="700"/>
              <w:spacing w:after="0"/>
              <w:rPr>
                <w:sz w:val="20"/>
                <w:szCs w:val="20"/>
                <w:color w:val="auto"/>
              </w:rPr>
            </w:pPr>
            <w:r>
              <w:rPr>
                <w:rFonts w:ascii="Times New Roman" w:cs="Times New Roman" w:eastAsia="Times New Roman" w:hAnsi="Times New Roman"/>
                <w:sz w:val="19"/>
                <w:szCs w:val="19"/>
                <w:color w:val="231F20"/>
              </w:rPr>
              <w:t>Dividends payable</w:t>
            </w: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99,792</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96,743</w:t>
            </w:r>
          </w:p>
        </w:tc>
        <w:tc>
          <w:tcPr>
            <w:tcW w:w="0" w:type="dxa"/>
            <w:vAlign w:val="bottom"/>
          </w:tcPr>
          <w:p>
            <w:pPr>
              <w:spacing w:after="0"/>
              <w:rPr>
                <w:sz w:val="1"/>
                <w:szCs w:val="1"/>
                <w:color w:val="auto"/>
              </w:rPr>
            </w:pPr>
          </w:p>
        </w:tc>
      </w:tr>
      <w:tr>
        <w:trPr>
          <w:trHeight w:val="242"/>
        </w:trPr>
        <w:tc>
          <w:tcPr>
            <w:tcW w:w="7420" w:type="dxa"/>
            <w:vAlign w:val="bottom"/>
          </w:tcPr>
          <w:p>
            <w:pPr>
              <w:ind w:left="700"/>
              <w:spacing w:after="0"/>
              <w:rPr>
                <w:sz w:val="20"/>
                <w:szCs w:val="20"/>
                <w:color w:val="auto"/>
              </w:rPr>
            </w:pPr>
            <w:r>
              <w:rPr>
                <w:rFonts w:ascii="Times New Roman" w:cs="Times New Roman" w:eastAsia="Times New Roman" w:hAnsi="Times New Roman"/>
                <w:sz w:val="19"/>
                <w:szCs w:val="19"/>
                <w:color w:val="231F20"/>
              </w:rPr>
              <w:t>Security deposits payable</w:t>
            </w: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31,548</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30,941</w:t>
            </w:r>
          </w:p>
        </w:tc>
        <w:tc>
          <w:tcPr>
            <w:tcW w:w="0" w:type="dxa"/>
            <w:vAlign w:val="bottom"/>
          </w:tcPr>
          <w:p>
            <w:pPr>
              <w:spacing w:after="0"/>
              <w:rPr>
                <w:sz w:val="1"/>
                <w:szCs w:val="1"/>
                <w:color w:val="auto"/>
              </w:rPr>
            </w:pPr>
          </w:p>
        </w:tc>
      </w:tr>
      <w:tr>
        <w:trPr>
          <w:trHeight w:val="228"/>
        </w:trPr>
        <w:tc>
          <w:tcPr>
            <w:tcW w:w="7420" w:type="dxa"/>
            <w:vAlign w:val="bottom"/>
          </w:tcPr>
          <w:p>
            <w:pPr>
              <w:ind w:left="700"/>
              <w:spacing w:after="0"/>
              <w:rPr>
                <w:sz w:val="20"/>
                <w:szCs w:val="20"/>
                <w:color w:val="auto"/>
              </w:rPr>
            </w:pPr>
            <w:r>
              <w:rPr>
                <w:rFonts w:ascii="Times New Roman" w:cs="Times New Roman" w:eastAsia="Times New Roman" w:hAnsi="Times New Roman"/>
                <w:sz w:val="19"/>
                <w:szCs w:val="19"/>
                <w:color w:val="231F20"/>
              </w:rPr>
              <w:t>Operating lease liabilities</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72,304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74,837</w:t>
            </w:r>
          </w:p>
        </w:tc>
        <w:tc>
          <w:tcPr>
            <w:tcW w:w="0" w:type="dxa"/>
            <w:vAlign w:val="bottom"/>
          </w:tcPr>
          <w:p>
            <w:pPr>
              <w:spacing w:after="0"/>
              <w:rPr>
                <w:sz w:val="1"/>
                <w:szCs w:val="1"/>
                <w:color w:val="auto"/>
              </w:rPr>
            </w:pPr>
          </w:p>
        </w:tc>
      </w:tr>
      <w:tr>
        <w:trPr>
          <w:trHeight w:val="242"/>
        </w:trPr>
        <w:tc>
          <w:tcPr>
            <w:tcW w:w="7420" w:type="dxa"/>
            <w:vAlign w:val="bottom"/>
          </w:tcPr>
          <w:p>
            <w:pPr>
              <w:ind w:left="700"/>
              <w:spacing w:after="0"/>
              <w:rPr>
                <w:sz w:val="20"/>
                <w:szCs w:val="20"/>
                <w:color w:val="auto"/>
              </w:rPr>
            </w:pPr>
            <w:r>
              <w:rPr>
                <w:rFonts w:ascii="Times New Roman" w:cs="Times New Roman" w:eastAsia="Times New Roman" w:hAnsi="Times New Roman"/>
                <w:sz w:val="19"/>
                <w:szCs w:val="19"/>
                <w:color w:val="231F20"/>
              </w:rPr>
              <w:t>Finance lease liabilities</w:t>
            </w: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12,903</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12,783</w:t>
            </w:r>
          </w:p>
        </w:tc>
        <w:tc>
          <w:tcPr>
            <w:tcW w:w="0" w:type="dxa"/>
            <w:vAlign w:val="bottom"/>
          </w:tcPr>
          <w:p>
            <w:pPr>
              <w:spacing w:after="0"/>
              <w:rPr>
                <w:sz w:val="1"/>
                <w:szCs w:val="1"/>
                <w:color w:val="auto"/>
              </w:rPr>
            </w:pPr>
          </w:p>
        </w:tc>
      </w:tr>
      <w:tr>
        <w:trPr>
          <w:trHeight w:val="252"/>
        </w:trPr>
        <w:tc>
          <w:tcPr>
            <w:tcW w:w="7420" w:type="dxa"/>
            <w:vAlign w:val="bottom"/>
          </w:tcPr>
          <w:p>
            <w:pPr>
              <w:ind w:left="700"/>
              <w:spacing w:after="0"/>
              <w:rPr>
                <w:sz w:val="20"/>
                <w:szCs w:val="20"/>
                <w:color w:val="auto"/>
              </w:rPr>
            </w:pPr>
            <w:r>
              <w:rPr>
                <w:rFonts w:ascii="Times New Roman" w:cs="Times New Roman" w:eastAsia="Times New Roman" w:hAnsi="Times New Roman"/>
                <w:sz w:val="19"/>
                <w:szCs w:val="19"/>
                <w:color w:val="231F20"/>
              </w:rPr>
              <w:t>Other liabilities and deferred credits</w:t>
            </w:r>
          </w:p>
        </w:tc>
        <w:tc>
          <w:tcPr>
            <w:tcW w:w="160" w:type="dxa"/>
            <w:vAlign w:val="bottom"/>
            <w:tcBorders>
              <w:bottom w:val="single" w:sz="8" w:color="231F20"/>
            </w:tcBorders>
          </w:tcPr>
          <w:p>
            <w:pPr>
              <w:spacing w:after="0"/>
              <w:rPr>
                <w:sz w:val="21"/>
                <w:szCs w:val="21"/>
                <w:color w:val="auto"/>
              </w:rPr>
            </w:pPr>
          </w:p>
        </w:tc>
        <w:tc>
          <w:tcPr>
            <w:tcW w:w="9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250,494</w:t>
            </w:r>
          </w:p>
        </w:tc>
        <w:tc>
          <w:tcPr>
            <w:tcW w:w="80" w:type="dxa"/>
            <w:vAlign w:val="bottom"/>
          </w:tcPr>
          <w:p>
            <w:pPr>
              <w:spacing w:after="0"/>
              <w:rPr>
                <w:sz w:val="21"/>
                <w:szCs w:val="21"/>
                <w:color w:val="auto"/>
              </w:rPr>
            </w:pPr>
          </w:p>
        </w:tc>
        <w:tc>
          <w:tcPr>
            <w:tcW w:w="140" w:type="dxa"/>
            <w:vAlign w:val="bottom"/>
            <w:tcBorders>
              <w:bottom w:val="single" w:sz="8" w:color="231F20"/>
            </w:tcBorders>
          </w:tcPr>
          <w:p>
            <w:pPr>
              <w:spacing w:after="0"/>
              <w:rPr>
                <w:sz w:val="21"/>
                <w:szCs w:val="21"/>
                <w:color w:val="auto"/>
              </w:rPr>
            </w:pPr>
          </w:p>
        </w:tc>
        <w:tc>
          <w:tcPr>
            <w:tcW w:w="9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227,827</w:t>
            </w:r>
          </w:p>
        </w:tc>
        <w:tc>
          <w:tcPr>
            <w:tcW w:w="0" w:type="dxa"/>
            <w:vAlign w:val="bottom"/>
          </w:tcPr>
          <w:p>
            <w:pPr>
              <w:spacing w:after="0"/>
              <w:rPr>
                <w:sz w:val="1"/>
                <w:szCs w:val="1"/>
                <w:color w:val="auto"/>
              </w:rPr>
            </w:pPr>
          </w:p>
        </w:tc>
      </w:tr>
      <w:tr>
        <w:trPr>
          <w:trHeight w:val="208"/>
        </w:trPr>
        <w:tc>
          <w:tcPr>
            <w:tcW w:w="7420" w:type="dxa"/>
            <w:vAlign w:val="bottom"/>
          </w:tcPr>
          <w:p>
            <w:pPr>
              <w:ind w:left="340"/>
              <w:spacing w:after="0" w:line="208" w:lineRule="exact"/>
              <w:rPr>
                <w:sz w:val="20"/>
                <w:szCs w:val="20"/>
                <w:color w:val="auto"/>
              </w:rPr>
            </w:pPr>
            <w:r>
              <w:rPr>
                <w:rFonts w:ascii="Times New Roman" w:cs="Times New Roman" w:eastAsia="Times New Roman" w:hAnsi="Times New Roman"/>
                <w:sz w:val="19"/>
                <w:szCs w:val="19"/>
                <w:color w:val="231F20"/>
              </w:rPr>
              <w:t>Total liabilities</w:t>
            </w:r>
          </w:p>
        </w:tc>
        <w:tc>
          <w:tcPr>
            <w:tcW w:w="160" w:type="dxa"/>
            <w:vAlign w:val="bottom"/>
          </w:tcPr>
          <w:p>
            <w:pPr>
              <w:spacing w:after="0"/>
              <w:rPr>
                <w:sz w:val="18"/>
                <w:szCs w:val="18"/>
                <w:color w:val="auto"/>
              </w:rPr>
            </w:pPr>
          </w:p>
        </w:tc>
        <w:tc>
          <w:tcPr>
            <w:tcW w:w="940" w:type="dxa"/>
            <w:vAlign w:val="bottom"/>
          </w:tcPr>
          <w:p>
            <w:pPr>
              <w:jc w:val="right"/>
              <w:spacing w:after="0" w:line="208" w:lineRule="exact"/>
              <w:rPr>
                <w:sz w:val="20"/>
                <w:szCs w:val="20"/>
                <w:color w:val="auto"/>
              </w:rPr>
            </w:pPr>
            <w:r>
              <w:rPr>
                <w:rFonts w:ascii="Times New Roman" w:cs="Times New Roman" w:eastAsia="Times New Roman" w:hAnsi="Times New Roman"/>
                <w:sz w:val="19"/>
                <w:szCs w:val="19"/>
                <w:color w:val="231F20"/>
              </w:rPr>
              <w:t>5,629,819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line="208" w:lineRule="exact"/>
              <w:rPr>
                <w:sz w:val="20"/>
                <w:szCs w:val="20"/>
                <w:color w:val="auto"/>
              </w:rPr>
            </w:pPr>
            <w:r>
              <w:rPr>
                <w:rFonts w:ascii="Times New Roman" w:cs="Times New Roman" w:eastAsia="Times New Roman" w:hAnsi="Times New Roman"/>
                <w:sz w:val="19"/>
                <w:szCs w:val="19"/>
                <w:color w:val="231F20"/>
              </w:rPr>
              <w:t>5,100,327</w:t>
            </w:r>
          </w:p>
        </w:tc>
        <w:tc>
          <w:tcPr>
            <w:tcW w:w="0" w:type="dxa"/>
            <w:vAlign w:val="bottom"/>
          </w:tcPr>
          <w:p>
            <w:pPr>
              <w:spacing w:after="0"/>
              <w:rPr>
                <w:sz w:val="1"/>
                <w:szCs w:val="1"/>
                <w:color w:val="auto"/>
              </w:rPr>
            </w:pPr>
          </w:p>
        </w:tc>
      </w:tr>
      <w:tr>
        <w:trPr>
          <w:trHeight w:val="242"/>
        </w:trPr>
        <w:tc>
          <w:tcPr>
            <w:tcW w:w="7420" w:type="dxa"/>
            <w:vAlign w:val="bottom"/>
          </w:tcPr>
          <w:p>
            <w:pPr>
              <w:ind w:left="340"/>
              <w:spacing w:after="0"/>
              <w:rPr>
                <w:sz w:val="20"/>
                <w:szCs w:val="20"/>
                <w:color w:val="auto"/>
              </w:rPr>
            </w:pPr>
            <w:r>
              <w:rPr>
                <w:rFonts w:ascii="Times New Roman" w:cs="Times New Roman" w:eastAsia="Times New Roman" w:hAnsi="Times New Roman"/>
                <w:sz w:val="19"/>
                <w:szCs w:val="19"/>
                <w:color w:val="231F20"/>
              </w:rPr>
              <w:t>Commitments and contingencies (Note 7)</w:t>
            </w:r>
          </w:p>
        </w:tc>
        <w:tc>
          <w:tcPr>
            <w:tcW w:w="160" w:type="dxa"/>
            <w:vAlign w:val="bottom"/>
          </w:tcPr>
          <w:p>
            <w:pPr>
              <w:spacing w:after="0"/>
              <w:rPr>
                <w:sz w:val="21"/>
                <w:szCs w:val="21"/>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231F20"/>
              </w:rPr>
              <w:t>181,655</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231F20"/>
              </w:rPr>
              <w:t>180,286</w:t>
            </w:r>
          </w:p>
        </w:tc>
        <w:tc>
          <w:tcPr>
            <w:tcW w:w="0" w:type="dxa"/>
            <w:vAlign w:val="bottom"/>
          </w:tcPr>
          <w:p>
            <w:pPr>
              <w:spacing w:after="0"/>
              <w:rPr>
                <w:sz w:val="1"/>
                <w:szCs w:val="1"/>
                <w:color w:val="auto"/>
              </w:rPr>
            </w:pPr>
          </w:p>
        </w:tc>
      </w:tr>
      <w:tr>
        <w:trPr>
          <w:trHeight w:val="242"/>
        </w:trPr>
        <w:tc>
          <w:tcPr>
            <w:tcW w:w="7420" w:type="dxa"/>
            <w:vAlign w:val="bottom"/>
          </w:tcPr>
          <w:p>
            <w:pPr>
              <w:ind w:left="340"/>
              <w:spacing w:after="0"/>
              <w:rPr>
                <w:sz w:val="20"/>
                <w:szCs w:val="20"/>
                <w:color w:val="auto"/>
              </w:rPr>
            </w:pPr>
            <w:r>
              <w:rPr>
                <w:rFonts w:ascii="Times New Roman" w:cs="Times New Roman" w:eastAsia="Times New Roman" w:hAnsi="Times New Roman"/>
                <w:sz w:val="19"/>
                <w:szCs w:val="19"/>
                <w:color w:val="231F20"/>
              </w:rPr>
              <w:t>Redeemable noncontrolling interests</w:t>
            </w:r>
          </w:p>
        </w:tc>
        <w:tc>
          <w:tcPr>
            <w:tcW w:w="160" w:type="dxa"/>
            <w:vAlign w:val="bottom"/>
          </w:tcPr>
          <w:p>
            <w:pPr>
              <w:spacing w:after="0"/>
              <w:rPr>
                <w:sz w:val="21"/>
                <w:szCs w:val="21"/>
                <w:color w:val="auto"/>
              </w:rPr>
            </w:pPr>
          </w:p>
        </w:tc>
        <w:tc>
          <w:tcPr>
            <w:tcW w:w="94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7420" w:type="dxa"/>
            <w:vAlign w:val="bottom"/>
          </w:tcPr>
          <w:p>
            <w:pPr>
              <w:ind w:left="340"/>
              <w:spacing w:after="0"/>
              <w:rPr>
                <w:sz w:val="20"/>
                <w:szCs w:val="20"/>
                <w:color w:val="auto"/>
              </w:rPr>
            </w:pPr>
            <w:r>
              <w:rPr>
                <w:rFonts w:ascii="Times New Roman" w:cs="Times New Roman" w:eastAsia="Times New Roman" w:hAnsi="Times New Roman"/>
                <w:sz w:val="19"/>
                <w:szCs w:val="19"/>
                <w:color w:val="231F20"/>
              </w:rPr>
              <w:t>Shareholders’ equity</w:t>
            </w: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420" w:type="dxa"/>
            <w:vAlign w:val="bottom"/>
          </w:tcPr>
          <w:p>
            <w:pPr>
              <w:ind w:left="700"/>
              <w:spacing w:after="0"/>
              <w:rPr>
                <w:sz w:val="20"/>
                <w:szCs w:val="20"/>
                <w:color w:val="auto"/>
              </w:rPr>
            </w:pPr>
            <w:r>
              <w:rPr>
                <w:rFonts w:ascii="Times New Roman" w:cs="Times New Roman" w:eastAsia="Times New Roman" w:hAnsi="Times New Roman"/>
                <w:sz w:val="19"/>
                <w:szCs w:val="19"/>
                <w:color w:val="231F20"/>
              </w:rPr>
              <w:t>Preferred shares, authorized 15,000,000 shares, $0.01 par:</w:t>
            </w: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7420" w:type="dxa"/>
            <w:vAlign w:val="bottom"/>
          </w:tcPr>
          <w:p>
            <w:pPr>
              <w:ind w:left="820"/>
              <w:spacing w:after="0" w:line="193" w:lineRule="exact"/>
              <w:rPr>
                <w:sz w:val="20"/>
                <w:szCs w:val="20"/>
                <w:color w:val="auto"/>
              </w:rPr>
            </w:pPr>
            <w:r>
              <w:rPr>
                <w:rFonts w:ascii="Times New Roman" w:cs="Times New Roman" w:eastAsia="Times New Roman" w:hAnsi="Times New Roman"/>
                <w:sz w:val="19"/>
                <w:szCs w:val="19"/>
                <w:color w:val="231F20"/>
              </w:rPr>
              <w:t>5.0% Series C Cumulative Redeemable Preferred Shares, (stated at liquidation</w:t>
            </w:r>
          </w:p>
        </w:tc>
        <w:tc>
          <w:tcPr>
            <w:tcW w:w="16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231F20"/>
              </w:rPr>
              <w:t>150,000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231F20"/>
              </w:rPr>
              <w:t>150,000</w:t>
            </w:r>
          </w:p>
        </w:tc>
        <w:tc>
          <w:tcPr>
            <w:tcW w:w="0" w:type="dxa"/>
            <w:vAlign w:val="bottom"/>
          </w:tcPr>
          <w:p>
            <w:pPr>
              <w:spacing w:after="0"/>
              <w:rPr>
                <w:sz w:val="1"/>
                <w:szCs w:val="1"/>
                <w:color w:val="auto"/>
              </w:rPr>
            </w:pPr>
          </w:p>
        </w:tc>
      </w:tr>
      <w:tr>
        <w:trPr>
          <w:trHeight w:val="249"/>
        </w:trPr>
        <w:tc>
          <w:tcPr>
            <w:tcW w:w="7420" w:type="dxa"/>
            <w:vAlign w:val="bottom"/>
          </w:tcPr>
          <w:p>
            <w:pPr>
              <w:ind w:left="820"/>
              <w:spacing w:after="0"/>
              <w:rPr>
                <w:sz w:val="20"/>
                <w:szCs w:val="20"/>
                <w:color w:val="auto"/>
              </w:rPr>
            </w:pPr>
            <w:r>
              <w:rPr>
                <w:rFonts w:ascii="Times New Roman" w:cs="Times New Roman" w:eastAsia="Times New Roman" w:hAnsi="Times New Roman"/>
                <w:sz w:val="19"/>
                <w:szCs w:val="19"/>
                <w:color w:val="231F20"/>
              </w:rPr>
              <w:t>preference $25,000 per share), 6,000 shares issued and outstanding</w:t>
            </w:r>
          </w:p>
        </w:tc>
        <w:tc>
          <w:tcPr>
            <w:tcW w:w="160" w:type="dxa"/>
            <w:vAlign w:val="bottom"/>
          </w:tcPr>
          <w:p>
            <w:pPr>
              <w:spacing w:after="0"/>
              <w:rPr>
                <w:sz w:val="21"/>
                <w:szCs w:val="21"/>
                <w:color w:val="auto"/>
              </w:rPr>
            </w:pPr>
          </w:p>
        </w:tc>
        <w:tc>
          <w:tcPr>
            <w:tcW w:w="94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7420" w:type="dxa"/>
            <w:vAlign w:val="bottom"/>
          </w:tcPr>
          <w:p>
            <w:pPr>
              <w:ind w:left="820"/>
              <w:spacing w:after="0" w:line="193" w:lineRule="exact"/>
              <w:rPr>
                <w:sz w:val="20"/>
                <w:szCs w:val="20"/>
                <w:color w:val="auto"/>
              </w:rPr>
            </w:pPr>
            <w:r>
              <w:rPr>
                <w:rFonts w:ascii="Times New Roman" w:cs="Times New Roman" w:eastAsia="Times New Roman" w:hAnsi="Times New Roman"/>
                <w:sz w:val="19"/>
                <w:szCs w:val="19"/>
                <w:color w:val="231F20"/>
              </w:rPr>
              <w:t>5.417% Series 1 Cumulative Convertible Preferred Shares, (stated at liquidation</w:t>
            </w:r>
          </w:p>
        </w:tc>
        <w:tc>
          <w:tcPr>
            <w:tcW w:w="16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231F20"/>
              </w:rPr>
              <w:t>9,822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231F20"/>
              </w:rPr>
              <w:t>9,822</w:t>
            </w:r>
          </w:p>
        </w:tc>
        <w:tc>
          <w:tcPr>
            <w:tcW w:w="0" w:type="dxa"/>
            <w:vAlign w:val="bottom"/>
          </w:tcPr>
          <w:p>
            <w:pPr>
              <w:spacing w:after="0"/>
              <w:rPr>
                <w:sz w:val="1"/>
                <w:szCs w:val="1"/>
                <w:color w:val="auto"/>
              </w:rPr>
            </w:pPr>
          </w:p>
        </w:tc>
      </w:tr>
      <w:tr>
        <w:trPr>
          <w:trHeight w:val="249"/>
        </w:trPr>
        <w:tc>
          <w:tcPr>
            <w:tcW w:w="7420" w:type="dxa"/>
            <w:vAlign w:val="bottom"/>
          </w:tcPr>
          <w:p>
            <w:pPr>
              <w:ind w:left="820"/>
              <w:spacing w:after="0"/>
              <w:rPr>
                <w:sz w:val="20"/>
                <w:szCs w:val="20"/>
                <w:color w:val="auto"/>
              </w:rPr>
            </w:pPr>
            <w:r>
              <w:rPr>
                <w:rFonts w:ascii="Times New Roman" w:cs="Times New Roman" w:eastAsia="Times New Roman" w:hAnsi="Times New Roman"/>
                <w:sz w:val="19"/>
                <w:szCs w:val="19"/>
                <w:color w:val="231F20"/>
              </w:rPr>
              <w:t>preference $25 per share), 392,878 shares issued and outstanding</w:t>
            </w:r>
          </w:p>
        </w:tc>
        <w:tc>
          <w:tcPr>
            <w:tcW w:w="160" w:type="dxa"/>
            <w:vAlign w:val="bottom"/>
          </w:tcPr>
          <w:p>
            <w:pPr>
              <w:spacing w:after="0"/>
              <w:rPr>
                <w:sz w:val="21"/>
                <w:szCs w:val="21"/>
                <w:color w:val="auto"/>
              </w:rPr>
            </w:pPr>
          </w:p>
        </w:tc>
        <w:tc>
          <w:tcPr>
            <w:tcW w:w="94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7420" w:type="dxa"/>
            <w:vAlign w:val="bottom"/>
          </w:tcPr>
          <w:p>
            <w:pPr>
              <w:ind w:left="700"/>
              <w:spacing w:after="0" w:line="193" w:lineRule="exact"/>
              <w:rPr>
                <w:sz w:val="20"/>
                <w:szCs w:val="20"/>
                <w:color w:val="auto"/>
              </w:rPr>
            </w:pPr>
            <w:r>
              <w:rPr>
                <w:rFonts w:ascii="Times New Roman" w:cs="Times New Roman" w:eastAsia="Times New Roman" w:hAnsi="Times New Roman"/>
                <w:sz w:val="19"/>
                <w:szCs w:val="19"/>
                <w:color w:val="231F20"/>
              </w:rPr>
              <w:t>Common shares of beneficial interest, $0.01 par, 200,000,000 shares authorized,</w:t>
            </w:r>
          </w:p>
        </w:tc>
        <w:tc>
          <w:tcPr>
            <w:tcW w:w="16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231F20"/>
              </w:rPr>
              <w:t>869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231F20"/>
              </w:rPr>
              <w:t>862</w:t>
            </w:r>
          </w:p>
        </w:tc>
        <w:tc>
          <w:tcPr>
            <w:tcW w:w="0" w:type="dxa"/>
            <w:vAlign w:val="bottom"/>
          </w:tcPr>
          <w:p>
            <w:pPr>
              <w:spacing w:after="0"/>
              <w:rPr>
                <w:sz w:val="1"/>
                <w:szCs w:val="1"/>
                <w:color w:val="auto"/>
              </w:rPr>
            </w:pPr>
          </w:p>
        </w:tc>
      </w:tr>
      <w:tr>
        <w:trPr>
          <w:trHeight w:val="241"/>
        </w:trPr>
        <w:tc>
          <w:tcPr>
            <w:tcW w:w="7420" w:type="dxa"/>
            <w:vAlign w:val="bottom"/>
          </w:tcPr>
          <w:p>
            <w:pPr>
              <w:ind w:left="700"/>
              <w:spacing w:after="0"/>
              <w:rPr>
                <w:sz w:val="20"/>
                <w:szCs w:val="20"/>
                <w:color w:val="auto"/>
              </w:rPr>
            </w:pPr>
            <w:r>
              <w:rPr>
                <w:rFonts w:ascii="Times New Roman" w:cs="Times New Roman" w:eastAsia="Times New Roman" w:hAnsi="Times New Roman"/>
                <w:sz w:val="19"/>
                <w:szCs w:val="19"/>
                <w:color w:val="231F20"/>
              </w:rPr>
              <w:t>86,266,009 and 85,666,220 shares issued and outstanding, respectively</w:t>
            </w:r>
          </w:p>
        </w:tc>
        <w:tc>
          <w:tcPr>
            <w:tcW w:w="160" w:type="dxa"/>
            <w:vAlign w:val="bottom"/>
          </w:tcPr>
          <w:p>
            <w:pPr>
              <w:spacing w:after="0"/>
              <w:rPr>
                <w:sz w:val="20"/>
                <w:szCs w:val="20"/>
                <w:color w:val="auto"/>
              </w:rPr>
            </w:pPr>
          </w:p>
        </w:tc>
        <w:tc>
          <w:tcPr>
            <w:tcW w:w="9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7420" w:type="dxa"/>
            <w:vAlign w:val="bottom"/>
          </w:tcPr>
          <w:p>
            <w:pPr>
              <w:ind w:left="700"/>
              <w:spacing w:after="0"/>
              <w:rPr>
                <w:sz w:val="20"/>
                <w:szCs w:val="20"/>
                <w:color w:val="auto"/>
              </w:rPr>
            </w:pPr>
            <w:r>
              <w:rPr>
                <w:rFonts w:ascii="Times New Roman" w:cs="Times New Roman" w:eastAsia="Times New Roman" w:hAnsi="Times New Roman"/>
                <w:sz w:val="19"/>
                <w:szCs w:val="19"/>
                <w:color w:val="231F20"/>
              </w:rPr>
              <w:t>Additional paid-in capital</w:t>
            </w: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4,310,365</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4,248,824</w:t>
            </w:r>
          </w:p>
        </w:tc>
        <w:tc>
          <w:tcPr>
            <w:tcW w:w="0" w:type="dxa"/>
            <w:vAlign w:val="bottom"/>
          </w:tcPr>
          <w:p>
            <w:pPr>
              <w:spacing w:after="0"/>
              <w:rPr>
                <w:sz w:val="1"/>
                <w:szCs w:val="1"/>
                <w:color w:val="auto"/>
              </w:rPr>
            </w:pPr>
          </w:p>
        </w:tc>
      </w:tr>
      <w:tr>
        <w:trPr>
          <w:trHeight w:val="242"/>
        </w:trPr>
        <w:tc>
          <w:tcPr>
            <w:tcW w:w="7420" w:type="dxa"/>
            <w:vAlign w:val="bottom"/>
          </w:tcPr>
          <w:p>
            <w:pPr>
              <w:ind w:left="700"/>
              <w:spacing w:after="0"/>
              <w:rPr>
                <w:sz w:val="20"/>
                <w:szCs w:val="20"/>
                <w:color w:val="auto"/>
              </w:rPr>
            </w:pPr>
            <w:r>
              <w:rPr>
                <w:rFonts w:ascii="Times New Roman" w:cs="Times New Roman" w:eastAsia="Times New Roman" w:hAnsi="Times New Roman"/>
                <w:sz w:val="19"/>
                <w:szCs w:val="19"/>
                <w:color w:val="231F20"/>
              </w:rPr>
              <w:t>Accumulated dividends in excess of net income</w:t>
            </w: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(1,224,372)</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(1,242,654)</w:t>
            </w:r>
          </w:p>
        </w:tc>
        <w:tc>
          <w:tcPr>
            <w:tcW w:w="0" w:type="dxa"/>
            <w:vAlign w:val="bottom"/>
          </w:tcPr>
          <w:p>
            <w:pPr>
              <w:spacing w:after="0"/>
              <w:rPr>
                <w:sz w:val="1"/>
                <w:szCs w:val="1"/>
                <w:color w:val="auto"/>
              </w:rPr>
            </w:pPr>
          </w:p>
        </w:tc>
      </w:tr>
      <w:tr>
        <w:trPr>
          <w:trHeight w:val="252"/>
        </w:trPr>
        <w:tc>
          <w:tcPr>
            <w:tcW w:w="7420" w:type="dxa"/>
            <w:vAlign w:val="bottom"/>
          </w:tcPr>
          <w:p>
            <w:pPr>
              <w:ind w:left="700"/>
              <w:spacing w:after="0"/>
              <w:rPr>
                <w:sz w:val="20"/>
                <w:szCs w:val="20"/>
                <w:color w:val="auto"/>
              </w:rPr>
            </w:pPr>
            <w:r>
              <w:rPr>
                <w:rFonts w:ascii="Times New Roman" w:cs="Times New Roman" w:eastAsia="Times New Roman" w:hAnsi="Times New Roman"/>
                <w:sz w:val="19"/>
                <w:szCs w:val="19"/>
                <w:color w:val="231F20"/>
              </w:rPr>
              <w:t>Accumulated other comprehensive income</w:t>
            </w:r>
          </w:p>
        </w:tc>
        <w:tc>
          <w:tcPr>
            <w:tcW w:w="160" w:type="dxa"/>
            <w:vAlign w:val="bottom"/>
            <w:tcBorders>
              <w:bottom w:val="single" w:sz="8" w:color="231F20"/>
            </w:tcBorders>
          </w:tcPr>
          <w:p>
            <w:pPr>
              <w:spacing w:after="0"/>
              <w:rPr>
                <w:sz w:val="21"/>
                <w:szCs w:val="21"/>
                <w:color w:val="auto"/>
              </w:rPr>
            </w:pPr>
          </w:p>
        </w:tc>
        <w:tc>
          <w:tcPr>
            <w:tcW w:w="9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2,047</w:t>
            </w:r>
          </w:p>
        </w:tc>
        <w:tc>
          <w:tcPr>
            <w:tcW w:w="80" w:type="dxa"/>
            <w:vAlign w:val="bottom"/>
          </w:tcPr>
          <w:p>
            <w:pPr>
              <w:spacing w:after="0"/>
              <w:rPr>
                <w:sz w:val="21"/>
                <w:szCs w:val="21"/>
                <w:color w:val="auto"/>
              </w:rPr>
            </w:pPr>
          </w:p>
        </w:tc>
        <w:tc>
          <w:tcPr>
            <w:tcW w:w="140" w:type="dxa"/>
            <w:vAlign w:val="bottom"/>
            <w:tcBorders>
              <w:bottom w:val="single" w:sz="8" w:color="231F20"/>
            </w:tcBorders>
          </w:tcPr>
          <w:p>
            <w:pPr>
              <w:spacing w:after="0"/>
              <w:rPr>
                <w:sz w:val="21"/>
                <w:szCs w:val="21"/>
                <w:color w:val="auto"/>
              </w:rPr>
            </w:pPr>
          </w:p>
        </w:tc>
        <w:tc>
          <w:tcPr>
            <w:tcW w:w="9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4,740</w:t>
            </w:r>
          </w:p>
        </w:tc>
        <w:tc>
          <w:tcPr>
            <w:tcW w:w="0" w:type="dxa"/>
            <w:vAlign w:val="bottom"/>
          </w:tcPr>
          <w:p>
            <w:pPr>
              <w:spacing w:after="0"/>
              <w:rPr>
                <w:sz w:val="1"/>
                <w:szCs w:val="1"/>
                <w:color w:val="auto"/>
              </w:rPr>
            </w:pPr>
          </w:p>
        </w:tc>
      </w:tr>
      <w:tr>
        <w:trPr>
          <w:trHeight w:val="213"/>
        </w:trPr>
        <w:tc>
          <w:tcPr>
            <w:tcW w:w="7420" w:type="dxa"/>
            <w:vAlign w:val="bottom"/>
          </w:tcPr>
          <w:p>
            <w:pPr>
              <w:ind w:left="340"/>
              <w:spacing w:after="0" w:line="214" w:lineRule="exact"/>
              <w:rPr>
                <w:sz w:val="20"/>
                <w:szCs w:val="20"/>
                <w:color w:val="auto"/>
              </w:rPr>
            </w:pPr>
            <w:r>
              <w:rPr>
                <w:rFonts w:ascii="Times New Roman" w:cs="Times New Roman" w:eastAsia="Times New Roman" w:hAnsi="Times New Roman"/>
                <w:sz w:val="19"/>
                <w:szCs w:val="19"/>
                <w:color w:val="231F20"/>
              </w:rPr>
              <w:t>Total shareholders’ equity of the Trust</w:t>
            </w:r>
          </w:p>
        </w:tc>
        <w:tc>
          <w:tcPr>
            <w:tcW w:w="160" w:type="dxa"/>
            <w:vAlign w:val="bottom"/>
          </w:tcPr>
          <w:p>
            <w:pPr>
              <w:spacing w:after="0"/>
              <w:rPr>
                <w:sz w:val="18"/>
                <w:szCs w:val="18"/>
                <w:color w:val="auto"/>
              </w:rPr>
            </w:pPr>
          </w:p>
        </w:tc>
        <w:tc>
          <w:tcPr>
            <w:tcW w:w="940" w:type="dxa"/>
            <w:vAlign w:val="bottom"/>
          </w:tcPr>
          <w:p>
            <w:pPr>
              <w:jc w:val="right"/>
              <w:spacing w:after="0" w:line="214" w:lineRule="exact"/>
              <w:rPr>
                <w:sz w:val="20"/>
                <w:szCs w:val="20"/>
                <w:color w:val="auto"/>
              </w:rPr>
            </w:pPr>
            <w:r>
              <w:rPr>
                <w:rFonts w:ascii="Times New Roman" w:cs="Times New Roman" w:eastAsia="Times New Roman" w:hAnsi="Times New Roman"/>
                <w:sz w:val="19"/>
                <w:szCs w:val="19"/>
                <w:color w:val="231F20"/>
              </w:rPr>
              <w:t>3,248,731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line="214" w:lineRule="exact"/>
              <w:rPr>
                <w:sz w:val="20"/>
                <w:szCs w:val="20"/>
                <w:color w:val="auto"/>
              </w:rPr>
            </w:pPr>
            <w:r>
              <w:rPr>
                <w:rFonts w:ascii="Times New Roman" w:cs="Times New Roman" w:eastAsia="Times New Roman" w:hAnsi="Times New Roman"/>
                <w:sz w:val="19"/>
                <w:szCs w:val="19"/>
                <w:color w:val="231F20"/>
              </w:rPr>
              <w:t>3,171,594</w:t>
            </w:r>
          </w:p>
        </w:tc>
        <w:tc>
          <w:tcPr>
            <w:tcW w:w="0" w:type="dxa"/>
            <w:vAlign w:val="bottom"/>
          </w:tcPr>
          <w:p>
            <w:pPr>
              <w:spacing w:after="0"/>
              <w:rPr>
                <w:sz w:val="1"/>
                <w:szCs w:val="1"/>
                <w:color w:val="auto"/>
              </w:rPr>
            </w:pPr>
          </w:p>
        </w:tc>
      </w:tr>
      <w:tr>
        <w:trPr>
          <w:trHeight w:val="252"/>
        </w:trPr>
        <w:tc>
          <w:tcPr>
            <w:tcW w:w="7420" w:type="dxa"/>
            <w:vAlign w:val="bottom"/>
          </w:tcPr>
          <w:p>
            <w:pPr>
              <w:ind w:left="700"/>
              <w:spacing w:after="0"/>
              <w:rPr>
                <w:sz w:val="20"/>
                <w:szCs w:val="20"/>
                <w:color w:val="auto"/>
              </w:rPr>
            </w:pPr>
            <w:r>
              <w:rPr>
                <w:rFonts w:ascii="Times New Roman" w:cs="Times New Roman" w:eastAsia="Times New Roman" w:hAnsi="Times New Roman"/>
                <w:sz w:val="19"/>
                <w:szCs w:val="19"/>
                <w:color w:val="231F20"/>
              </w:rPr>
              <w:t>Noncontrolling interests</w:t>
            </w:r>
          </w:p>
        </w:tc>
        <w:tc>
          <w:tcPr>
            <w:tcW w:w="160" w:type="dxa"/>
            <w:vAlign w:val="bottom"/>
            <w:tcBorders>
              <w:bottom w:val="single" w:sz="8" w:color="231F20"/>
            </w:tcBorders>
          </w:tcPr>
          <w:p>
            <w:pPr>
              <w:spacing w:after="0"/>
              <w:rPr>
                <w:sz w:val="21"/>
                <w:szCs w:val="21"/>
                <w:color w:val="auto"/>
              </w:rPr>
            </w:pPr>
          </w:p>
        </w:tc>
        <w:tc>
          <w:tcPr>
            <w:tcW w:w="9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70,255</w:t>
            </w:r>
          </w:p>
        </w:tc>
        <w:tc>
          <w:tcPr>
            <w:tcW w:w="80" w:type="dxa"/>
            <w:vAlign w:val="bottom"/>
          </w:tcPr>
          <w:p>
            <w:pPr>
              <w:spacing w:after="0"/>
              <w:rPr>
                <w:sz w:val="21"/>
                <w:szCs w:val="21"/>
                <w:color w:val="auto"/>
              </w:rPr>
            </w:pPr>
          </w:p>
        </w:tc>
        <w:tc>
          <w:tcPr>
            <w:tcW w:w="140" w:type="dxa"/>
            <w:vAlign w:val="bottom"/>
            <w:tcBorders>
              <w:bottom w:val="single" w:sz="8" w:color="231F20"/>
            </w:tcBorders>
          </w:tcPr>
          <w:p>
            <w:pPr>
              <w:spacing w:after="0"/>
              <w:rPr>
                <w:sz w:val="21"/>
                <w:szCs w:val="21"/>
                <w:color w:val="auto"/>
              </w:rPr>
            </w:pPr>
          </w:p>
        </w:tc>
        <w:tc>
          <w:tcPr>
            <w:tcW w:w="9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72,550</w:t>
            </w:r>
          </w:p>
        </w:tc>
        <w:tc>
          <w:tcPr>
            <w:tcW w:w="0" w:type="dxa"/>
            <w:vAlign w:val="bottom"/>
          </w:tcPr>
          <w:p>
            <w:pPr>
              <w:spacing w:after="0"/>
              <w:rPr>
                <w:sz w:val="1"/>
                <w:szCs w:val="1"/>
                <w:color w:val="auto"/>
              </w:rPr>
            </w:pPr>
          </w:p>
        </w:tc>
      </w:tr>
      <w:tr>
        <w:trPr>
          <w:trHeight w:val="222"/>
        </w:trPr>
        <w:tc>
          <w:tcPr>
            <w:tcW w:w="7420" w:type="dxa"/>
            <w:vAlign w:val="bottom"/>
          </w:tcPr>
          <w:p>
            <w:pPr>
              <w:ind w:left="340"/>
              <w:spacing w:after="0"/>
              <w:rPr>
                <w:sz w:val="20"/>
                <w:szCs w:val="20"/>
                <w:color w:val="auto"/>
              </w:rPr>
            </w:pPr>
            <w:r>
              <w:rPr>
                <w:rFonts w:ascii="Times New Roman" w:cs="Times New Roman" w:eastAsia="Times New Roman" w:hAnsi="Times New Roman"/>
                <w:sz w:val="19"/>
                <w:szCs w:val="19"/>
                <w:color w:val="231F20"/>
              </w:rPr>
              <w:t>Total shareholders’ equity</w:t>
            </w:r>
          </w:p>
        </w:tc>
        <w:tc>
          <w:tcPr>
            <w:tcW w:w="160" w:type="dxa"/>
            <w:vAlign w:val="bottom"/>
            <w:tcBorders>
              <w:bottom w:val="single" w:sz="8" w:color="231F20"/>
            </w:tcBorders>
          </w:tcPr>
          <w:p>
            <w:pPr>
              <w:spacing w:after="0"/>
              <w:rPr>
                <w:sz w:val="19"/>
                <w:szCs w:val="19"/>
                <w:color w:val="auto"/>
              </w:rPr>
            </w:pPr>
          </w:p>
        </w:tc>
        <w:tc>
          <w:tcPr>
            <w:tcW w:w="9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3,318,986</w:t>
            </w:r>
          </w:p>
        </w:tc>
        <w:tc>
          <w:tcPr>
            <w:tcW w:w="80" w:type="dxa"/>
            <w:vAlign w:val="bottom"/>
          </w:tcPr>
          <w:p>
            <w:pPr>
              <w:spacing w:after="0"/>
              <w:rPr>
                <w:sz w:val="19"/>
                <w:szCs w:val="19"/>
                <w:color w:val="auto"/>
              </w:rPr>
            </w:pPr>
          </w:p>
        </w:tc>
        <w:tc>
          <w:tcPr>
            <w:tcW w:w="140" w:type="dxa"/>
            <w:vAlign w:val="bottom"/>
            <w:tcBorders>
              <w:bottom w:val="single" w:sz="8" w:color="231F20"/>
            </w:tcBorders>
          </w:tcPr>
          <w:p>
            <w:pPr>
              <w:spacing w:after="0"/>
              <w:rPr>
                <w:sz w:val="19"/>
                <w:szCs w:val="19"/>
                <w:color w:val="auto"/>
              </w:rPr>
            </w:pPr>
          </w:p>
        </w:tc>
        <w:tc>
          <w:tcPr>
            <w:tcW w:w="9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3,244,144</w:t>
            </w:r>
          </w:p>
        </w:tc>
        <w:tc>
          <w:tcPr>
            <w:tcW w:w="0" w:type="dxa"/>
            <w:vAlign w:val="bottom"/>
          </w:tcPr>
          <w:p>
            <w:pPr>
              <w:spacing w:after="0"/>
              <w:rPr>
                <w:sz w:val="1"/>
                <w:szCs w:val="1"/>
                <w:color w:val="auto"/>
              </w:rPr>
            </w:pPr>
          </w:p>
        </w:tc>
      </w:tr>
      <w:tr>
        <w:trPr>
          <w:trHeight w:val="203"/>
        </w:trPr>
        <w:tc>
          <w:tcPr>
            <w:tcW w:w="7420" w:type="dxa"/>
            <w:vAlign w:val="bottom"/>
          </w:tcPr>
          <w:p>
            <w:pPr>
              <w:spacing w:after="0" w:line="204" w:lineRule="exact"/>
              <w:rPr>
                <w:sz w:val="20"/>
                <w:szCs w:val="20"/>
                <w:color w:val="auto"/>
              </w:rPr>
            </w:pPr>
            <w:r>
              <w:rPr>
                <w:rFonts w:ascii="Times New Roman" w:cs="Times New Roman" w:eastAsia="Times New Roman" w:hAnsi="Times New Roman"/>
                <w:sz w:val="19"/>
                <w:szCs w:val="19"/>
                <w:color w:val="231F20"/>
              </w:rPr>
              <w:t>TOTAL LIABILITIES AND SHAREHOLDERS’ EQUITY</w:t>
            </w:r>
          </w:p>
        </w:tc>
        <w:tc>
          <w:tcPr>
            <w:tcW w:w="160" w:type="dxa"/>
            <w:vAlign w:val="bottom"/>
            <w:tcBorders>
              <w:bottom w:val="single" w:sz="8" w:color="231F20"/>
            </w:tcBorders>
          </w:tcPr>
          <w:p>
            <w:pPr>
              <w:jc w:val="right"/>
              <w:spacing w:after="0" w:line="204" w:lineRule="exact"/>
              <w:rPr>
                <w:sz w:val="20"/>
                <w:szCs w:val="20"/>
                <w:color w:val="auto"/>
              </w:rPr>
            </w:pPr>
            <w:r>
              <w:rPr>
                <w:rFonts w:ascii="Times New Roman" w:cs="Times New Roman" w:eastAsia="Times New Roman" w:hAnsi="Times New Roman"/>
                <w:sz w:val="19"/>
                <w:szCs w:val="19"/>
                <w:color w:val="231F20"/>
              </w:rPr>
              <w:t>$</w:t>
            </w:r>
          </w:p>
        </w:tc>
        <w:tc>
          <w:tcPr>
            <w:tcW w:w="940" w:type="dxa"/>
            <w:vAlign w:val="bottom"/>
            <w:tcBorders>
              <w:bottom w:val="single" w:sz="8" w:color="231F20"/>
            </w:tcBorders>
          </w:tcPr>
          <w:p>
            <w:pPr>
              <w:jc w:val="right"/>
              <w:spacing w:after="0" w:line="204" w:lineRule="exact"/>
              <w:rPr>
                <w:sz w:val="20"/>
                <w:szCs w:val="20"/>
                <w:color w:val="auto"/>
              </w:rPr>
            </w:pPr>
            <w:r>
              <w:rPr>
                <w:rFonts w:ascii="Times New Roman" w:cs="Times New Roman" w:eastAsia="Times New Roman" w:hAnsi="Times New Roman"/>
                <w:sz w:val="19"/>
                <w:szCs w:val="19"/>
                <w:color w:val="231F20"/>
              </w:rPr>
              <w:t>9,130,460</w:t>
            </w:r>
          </w:p>
        </w:tc>
        <w:tc>
          <w:tcPr>
            <w:tcW w:w="80" w:type="dxa"/>
            <w:vAlign w:val="bottom"/>
          </w:tcPr>
          <w:p>
            <w:pPr>
              <w:spacing w:after="0"/>
              <w:rPr>
                <w:sz w:val="17"/>
                <w:szCs w:val="17"/>
                <w:color w:val="auto"/>
              </w:rPr>
            </w:pPr>
          </w:p>
        </w:tc>
        <w:tc>
          <w:tcPr>
            <w:tcW w:w="140" w:type="dxa"/>
            <w:vAlign w:val="bottom"/>
            <w:tcBorders>
              <w:bottom w:val="single" w:sz="8" w:color="231F20"/>
            </w:tcBorders>
          </w:tcPr>
          <w:p>
            <w:pPr>
              <w:jc w:val="right"/>
              <w:spacing w:after="0" w:line="204" w:lineRule="exact"/>
              <w:rPr>
                <w:sz w:val="20"/>
                <w:szCs w:val="20"/>
                <w:color w:val="auto"/>
              </w:rPr>
            </w:pPr>
            <w:r>
              <w:rPr>
                <w:rFonts w:ascii="Times New Roman" w:cs="Times New Roman" w:eastAsia="Times New Roman" w:hAnsi="Times New Roman"/>
                <w:sz w:val="19"/>
                <w:szCs w:val="19"/>
                <w:color w:val="231F20"/>
              </w:rPr>
              <w:t>$</w:t>
            </w:r>
          </w:p>
        </w:tc>
        <w:tc>
          <w:tcPr>
            <w:tcW w:w="940" w:type="dxa"/>
            <w:vAlign w:val="bottom"/>
            <w:tcBorders>
              <w:bottom w:val="single" w:sz="8" w:color="231F20"/>
            </w:tcBorders>
          </w:tcPr>
          <w:p>
            <w:pPr>
              <w:jc w:val="right"/>
              <w:spacing w:after="0" w:line="204" w:lineRule="exact"/>
              <w:rPr>
                <w:sz w:val="20"/>
                <w:szCs w:val="20"/>
                <w:color w:val="auto"/>
              </w:rPr>
            </w:pPr>
            <w:r>
              <w:rPr>
                <w:rFonts w:ascii="Times New Roman" w:cs="Times New Roman" w:eastAsia="Times New Roman" w:hAnsi="Times New Roman"/>
                <w:sz w:val="19"/>
                <w:szCs w:val="19"/>
                <w:color w:val="231F20"/>
              </w:rPr>
              <w:t>8,524,757</w:t>
            </w:r>
          </w:p>
        </w:tc>
        <w:tc>
          <w:tcPr>
            <w:tcW w:w="0" w:type="dxa"/>
            <w:vAlign w:val="bottom"/>
          </w:tcPr>
          <w:p>
            <w:pPr>
              <w:spacing w:after="0"/>
              <w:rPr>
                <w:sz w:val="1"/>
                <w:szCs w:val="1"/>
                <w:color w:val="auto"/>
              </w:rPr>
            </w:pPr>
          </w:p>
        </w:tc>
      </w:tr>
      <w:tr>
        <w:trPr>
          <w:trHeight w:val="20"/>
        </w:trPr>
        <w:tc>
          <w:tcPr>
            <w:tcW w:w="7420" w:type="dxa"/>
            <w:vAlign w:val="bottom"/>
          </w:tcPr>
          <w:p>
            <w:pPr>
              <w:spacing w:after="0" w:line="20" w:lineRule="exact"/>
              <w:rPr>
                <w:sz w:val="1"/>
                <w:szCs w:val="1"/>
                <w:color w:val="auto"/>
              </w:rPr>
            </w:pPr>
          </w:p>
        </w:tc>
        <w:tc>
          <w:tcPr>
            <w:tcW w:w="160" w:type="dxa"/>
            <w:vAlign w:val="bottom"/>
            <w:tcBorders>
              <w:bottom w:val="single" w:sz="8" w:color="231F20"/>
            </w:tcBorders>
          </w:tcPr>
          <w:p>
            <w:pPr>
              <w:spacing w:after="0" w:line="20" w:lineRule="exact"/>
              <w:rPr>
                <w:sz w:val="1"/>
                <w:szCs w:val="1"/>
                <w:color w:val="auto"/>
              </w:rPr>
            </w:pPr>
          </w:p>
        </w:tc>
        <w:tc>
          <w:tcPr>
            <w:tcW w:w="94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231F20"/>
            </w:tcBorders>
          </w:tcPr>
          <w:p>
            <w:pPr>
              <w:spacing w:after="0" w:line="20" w:lineRule="exact"/>
              <w:rPr>
                <w:sz w:val="1"/>
                <w:szCs w:val="1"/>
                <w:color w:val="auto"/>
              </w:rPr>
            </w:pPr>
          </w:p>
        </w:tc>
        <w:tc>
          <w:tcPr>
            <w:tcW w:w="94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231F20"/>
        </w:rPr>
        <w:t>The accompanying notes are an integral part of these consolidated statements.</w:t>
      </w:r>
    </w:p>
    <w:p>
      <w:pPr>
        <w:sectPr>
          <w:pgSz w:w="11880" w:h="15480" w:orient="portrait"/>
          <w:cols w:equalWidth="0" w:num="1">
            <w:col w:w="9680"/>
          </w:cols>
          <w:pgMar w:left="1120" w:top="1001"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231F20"/>
        </w:rPr>
        <w:t>F-8</w:t>
      </w:r>
    </w:p>
    <w:p>
      <w:pPr>
        <w:sectPr>
          <w:pgSz w:w="11880" w:h="15480" w:orient="portrait"/>
          <w:cols w:equalWidth="0" w:num="1">
            <w:col w:w="9680"/>
          </w:cols>
          <w:pgMar w:left="1120" w:top="1001" w:right="1080" w:bottom="0" w:gutter="0" w:footer="0" w:header="0"/>
          <w:type w:val="continuous"/>
        </w:sectPr>
      </w:pPr>
    </w:p>
    <w:bookmarkStart w:id="72" w:name="page73"/>
    <w:bookmarkEnd w:id="72"/>
    <w:p>
      <w:pPr>
        <w:jc w:val="center"/>
        <w:ind w:right="20"/>
        <w:spacing w:after="0"/>
        <w:rPr>
          <w:sz w:val="20"/>
          <w:szCs w:val="20"/>
          <w:color w:val="auto"/>
        </w:rPr>
      </w:pPr>
      <w:r>
        <w:rPr>
          <w:rFonts w:ascii="Times New Roman" w:cs="Times New Roman" w:eastAsia="Times New Roman" w:hAnsi="Times New Roman"/>
          <w:sz w:val="19"/>
          <w:szCs w:val="19"/>
          <w:b w:val="1"/>
          <w:bCs w:val="1"/>
          <w:color w:val="231F20"/>
        </w:rPr>
        <w:t>Federal Realty Investment Trust</w:t>
      </w:r>
    </w:p>
    <w:p>
      <w:pPr>
        <w:spacing w:after="0" w:line="6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231F20"/>
        </w:rPr>
        <w:t>Consolidated Statements of Comprehensive Income</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220" w:type="dxa"/>
            <w:vAlign w:val="bottom"/>
          </w:tcPr>
          <w:p>
            <w:pPr>
              <w:spacing w:after="0"/>
              <w:rPr>
                <w:sz w:val="17"/>
                <w:szCs w:val="17"/>
                <w:color w:val="auto"/>
              </w:rPr>
            </w:pPr>
          </w:p>
        </w:tc>
        <w:tc>
          <w:tcPr>
            <w:tcW w:w="200" w:type="dxa"/>
            <w:vAlign w:val="bottom"/>
            <w:tcBorders>
              <w:bottom w:val="single" w:sz="8" w:color="231F20"/>
            </w:tcBorders>
          </w:tcPr>
          <w:p>
            <w:pPr>
              <w:spacing w:after="0"/>
              <w:rPr>
                <w:sz w:val="17"/>
                <w:szCs w:val="17"/>
                <w:color w:val="auto"/>
              </w:rPr>
            </w:pPr>
          </w:p>
        </w:tc>
        <w:tc>
          <w:tcPr>
            <w:tcW w:w="2380" w:type="dxa"/>
            <w:vAlign w:val="bottom"/>
            <w:tcBorders>
              <w:bottom w:val="single" w:sz="8" w:color="231F20"/>
            </w:tcBorders>
            <w:gridSpan w:val="6"/>
          </w:tcPr>
          <w:p>
            <w:pPr>
              <w:jc w:val="center"/>
              <w:ind w:left="547"/>
              <w:spacing w:after="0"/>
              <w:rPr>
                <w:sz w:val="20"/>
                <w:szCs w:val="20"/>
                <w:color w:val="auto"/>
              </w:rPr>
            </w:pPr>
            <w:r>
              <w:rPr>
                <w:rFonts w:ascii="Times New Roman" w:cs="Times New Roman" w:eastAsia="Times New Roman" w:hAnsi="Times New Roman"/>
                <w:sz w:val="15"/>
                <w:szCs w:val="15"/>
                <w:b w:val="1"/>
                <w:bCs w:val="1"/>
                <w:color w:val="231F20"/>
              </w:rPr>
              <w:t>Year Ended December 31,</w:t>
            </w:r>
          </w:p>
        </w:tc>
        <w:tc>
          <w:tcPr>
            <w:tcW w:w="860" w:type="dxa"/>
            <w:vAlign w:val="bottom"/>
            <w:tcBorders>
              <w:bottom w:val="single" w:sz="8" w:color="231F20"/>
            </w:tcBorders>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220" w:type="dxa"/>
            <w:vAlign w:val="bottom"/>
          </w:tcPr>
          <w:p>
            <w:pPr>
              <w:spacing w:after="0"/>
              <w:rPr>
                <w:sz w:val="18"/>
                <w:szCs w:val="18"/>
                <w:color w:val="auto"/>
              </w:rPr>
            </w:pPr>
          </w:p>
        </w:tc>
        <w:tc>
          <w:tcPr>
            <w:tcW w:w="200" w:type="dxa"/>
            <w:vAlign w:val="bottom"/>
            <w:tcBorders>
              <w:bottom w:val="single" w:sz="8" w:color="231F20"/>
            </w:tcBorders>
          </w:tcPr>
          <w:p>
            <w:pPr>
              <w:spacing w:after="0"/>
              <w:rPr>
                <w:sz w:val="18"/>
                <w:szCs w:val="18"/>
                <w:color w:val="auto"/>
              </w:rPr>
            </w:pPr>
          </w:p>
        </w:tc>
        <w:tc>
          <w:tcPr>
            <w:tcW w:w="900" w:type="dxa"/>
            <w:vAlign w:val="bottom"/>
            <w:tcBorders>
              <w:bottom w:val="single" w:sz="8" w:color="231F20"/>
            </w:tcBorders>
          </w:tcPr>
          <w:p>
            <w:pPr>
              <w:jc w:val="right"/>
              <w:ind w:right="307"/>
              <w:spacing w:after="0"/>
              <w:rPr>
                <w:sz w:val="20"/>
                <w:szCs w:val="20"/>
                <w:color w:val="auto"/>
              </w:rPr>
            </w:pPr>
            <w:r>
              <w:rPr>
                <w:rFonts w:ascii="Times New Roman" w:cs="Times New Roman" w:eastAsia="Times New Roman" w:hAnsi="Times New Roman"/>
                <w:sz w:val="15"/>
                <w:szCs w:val="15"/>
                <w:b w:val="1"/>
                <w:bCs w:val="1"/>
                <w:color w:val="231F20"/>
              </w:rPr>
              <w:t>2025</w:t>
            </w:r>
          </w:p>
        </w:tc>
        <w:tc>
          <w:tcPr>
            <w:tcW w:w="60" w:type="dxa"/>
            <w:vAlign w:val="bottom"/>
          </w:tcPr>
          <w:p>
            <w:pPr>
              <w:spacing w:after="0"/>
              <w:rPr>
                <w:sz w:val="18"/>
                <w:szCs w:val="18"/>
                <w:color w:val="auto"/>
              </w:rPr>
            </w:pPr>
          </w:p>
        </w:tc>
        <w:tc>
          <w:tcPr>
            <w:tcW w:w="180" w:type="dxa"/>
            <w:vAlign w:val="bottom"/>
            <w:tcBorders>
              <w:bottom w:val="single" w:sz="8" w:color="231F20"/>
            </w:tcBorders>
          </w:tcPr>
          <w:p>
            <w:pPr>
              <w:spacing w:after="0"/>
              <w:rPr>
                <w:sz w:val="18"/>
                <w:szCs w:val="18"/>
                <w:color w:val="auto"/>
              </w:rPr>
            </w:pPr>
          </w:p>
        </w:tc>
        <w:tc>
          <w:tcPr>
            <w:tcW w:w="920" w:type="dxa"/>
            <w:vAlign w:val="bottom"/>
            <w:tcBorders>
              <w:bottom w:val="single" w:sz="8" w:color="231F20"/>
            </w:tcBorders>
          </w:tcPr>
          <w:p>
            <w:pPr>
              <w:jc w:val="center"/>
              <w:ind w:right="86"/>
              <w:spacing w:after="0"/>
              <w:rPr>
                <w:sz w:val="20"/>
                <w:szCs w:val="20"/>
                <w:color w:val="auto"/>
              </w:rPr>
            </w:pPr>
            <w:r>
              <w:rPr>
                <w:rFonts w:ascii="Times New Roman" w:cs="Times New Roman" w:eastAsia="Times New Roman" w:hAnsi="Times New Roman"/>
                <w:sz w:val="15"/>
                <w:szCs w:val="15"/>
                <w:b w:val="1"/>
                <w:bCs w:val="1"/>
                <w:color w:val="231F20"/>
                <w:w w:val="99"/>
              </w:rPr>
              <w:t>2024</w:t>
            </w:r>
          </w:p>
        </w:tc>
        <w:tc>
          <w:tcPr>
            <w:tcW w:w="80" w:type="dxa"/>
            <w:vAlign w:val="bottom"/>
          </w:tcPr>
          <w:p>
            <w:pPr>
              <w:spacing w:after="0"/>
              <w:rPr>
                <w:sz w:val="18"/>
                <w:szCs w:val="18"/>
                <w:color w:val="auto"/>
              </w:rPr>
            </w:pPr>
          </w:p>
        </w:tc>
        <w:tc>
          <w:tcPr>
            <w:tcW w:w="240" w:type="dxa"/>
            <w:vAlign w:val="bottom"/>
            <w:tcBorders>
              <w:bottom w:val="single" w:sz="8" w:color="231F20"/>
            </w:tcBorders>
          </w:tcPr>
          <w:p>
            <w:pPr>
              <w:spacing w:after="0"/>
              <w:rPr>
                <w:sz w:val="18"/>
                <w:szCs w:val="18"/>
                <w:color w:val="auto"/>
              </w:rPr>
            </w:pPr>
          </w:p>
        </w:tc>
        <w:tc>
          <w:tcPr>
            <w:tcW w:w="860" w:type="dxa"/>
            <w:vAlign w:val="bottom"/>
            <w:tcBorders>
              <w:bottom w:val="single" w:sz="8" w:color="231F20"/>
            </w:tcBorders>
          </w:tcPr>
          <w:p>
            <w:pPr>
              <w:jc w:val="right"/>
              <w:ind w:right="306"/>
              <w:spacing w:after="0"/>
              <w:rPr>
                <w:sz w:val="20"/>
                <w:szCs w:val="20"/>
                <w:color w:val="auto"/>
              </w:rPr>
            </w:pPr>
            <w:r>
              <w:rPr>
                <w:rFonts w:ascii="Times New Roman" w:cs="Times New Roman" w:eastAsia="Times New Roman" w:hAnsi="Times New Roman"/>
                <w:sz w:val="15"/>
                <w:szCs w:val="15"/>
                <w:b w:val="1"/>
                <w:bCs w:val="1"/>
                <w:color w:val="231F20"/>
              </w:rPr>
              <w:t>2023</w:t>
            </w:r>
          </w:p>
        </w:tc>
        <w:tc>
          <w:tcPr>
            <w:tcW w:w="0" w:type="dxa"/>
            <w:vAlign w:val="bottom"/>
          </w:tcPr>
          <w:p>
            <w:pPr>
              <w:spacing w:after="0"/>
              <w:rPr>
                <w:sz w:val="1"/>
                <w:szCs w:val="1"/>
                <w:color w:val="auto"/>
              </w:rPr>
            </w:pPr>
          </w:p>
        </w:tc>
      </w:tr>
      <w:tr>
        <w:trPr>
          <w:trHeight w:val="203"/>
        </w:trPr>
        <w:tc>
          <w:tcPr>
            <w:tcW w:w="6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40" w:type="dxa"/>
            <w:vAlign w:val="bottom"/>
            <w:gridSpan w:val="7"/>
          </w:tcPr>
          <w:p>
            <w:pPr>
              <w:jc w:val="center"/>
              <w:ind w:right="106"/>
              <w:spacing w:after="0"/>
              <w:rPr>
                <w:sz w:val="20"/>
                <w:szCs w:val="20"/>
                <w:color w:val="auto"/>
              </w:rPr>
            </w:pPr>
            <w:r>
              <w:rPr>
                <w:rFonts w:ascii="Times New Roman" w:cs="Times New Roman" w:eastAsia="Times New Roman" w:hAnsi="Times New Roman"/>
                <w:sz w:val="15"/>
                <w:szCs w:val="15"/>
                <w:b w:val="1"/>
                <w:bCs w:val="1"/>
                <w:color w:val="231F20"/>
              </w:rPr>
              <w:t>(In thousands, except per share data)</w:t>
            </w:r>
          </w:p>
        </w:tc>
        <w:tc>
          <w:tcPr>
            <w:tcW w:w="0" w:type="dxa"/>
            <w:vAlign w:val="bottom"/>
          </w:tcPr>
          <w:p>
            <w:pPr>
              <w:spacing w:after="0"/>
              <w:rPr>
                <w:sz w:val="1"/>
                <w:szCs w:val="1"/>
                <w:color w:val="auto"/>
              </w:rPr>
            </w:pPr>
          </w:p>
        </w:tc>
      </w:tr>
      <w:tr>
        <w:trPr>
          <w:trHeight w:val="248"/>
        </w:trPr>
        <w:tc>
          <w:tcPr>
            <w:tcW w:w="6220" w:type="dxa"/>
            <w:vAlign w:val="bottom"/>
          </w:tcPr>
          <w:p>
            <w:pPr>
              <w:spacing w:after="0"/>
              <w:rPr>
                <w:sz w:val="20"/>
                <w:szCs w:val="20"/>
                <w:color w:val="auto"/>
              </w:rPr>
            </w:pPr>
            <w:r>
              <w:rPr>
                <w:rFonts w:ascii="Times New Roman" w:cs="Times New Roman" w:eastAsia="Times New Roman" w:hAnsi="Times New Roman"/>
                <w:sz w:val="19"/>
                <w:szCs w:val="19"/>
                <w:color w:val="231F20"/>
              </w:rPr>
              <w:t>REVENUE</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231F20"/>
              </w:rPr>
              <w:t>1,245,491</w:t>
            </w: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920" w:type="dxa"/>
            <w:vAlign w:val="bottom"/>
            <w:vMerge w:val="restart"/>
          </w:tcPr>
          <w:p>
            <w:pPr>
              <w:jc w:val="right"/>
              <w:ind w:right="26"/>
              <w:spacing w:after="0"/>
              <w:rPr>
                <w:sz w:val="20"/>
                <w:szCs w:val="20"/>
                <w:color w:val="auto"/>
              </w:rPr>
            </w:pPr>
            <w:r>
              <w:rPr>
                <w:rFonts w:ascii="Times New Roman" w:cs="Times New Roman" w:eastAsia="Times New Roman" w:hAnsi="Times New Roman"/>
                <w:sz w:val="19"/>
                <w:szCs w:val="19"/>
                <w:color w:val="231F20"/>
              </w:rPr>
              <w:t>1,170,078</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6220" w:type="dxa"/>
            <w:vAlign w:val="bottom"/>
          </w:tcPr>
          <w:p>
            <w:pPr>
              <w:ind w:left="340"/>
              <w:spacing w:after="0"/>
              <w:rPr>
                <w:sz w:val="20"/>
                <w:szCs w:val="20"/>
                <w:color w:val="auto"/>
              </w:rPr>
            </w:pPr>
            <w:r>
              <w:rPr>
                <w:rFonts w:ascii="Times New Roman" w:cs="Times New Roman" w:eastAsia="Times New Roman" w:hAnsi="Times New Roman"/>
                <w:sz w:val="19"/>
                <w:szCs w:val="19"/>
                <w:color w:val="231F20"/>
              </w:rPr>
              <w:t>Rental income</w:t>
            </w:r>
          </w:p>
        </w:tc>
        <w:tc>
          <w:tcPr>
            <w:tcW w:w="200" w:type="dxa"/>
            <w:vAlign w:val="bottom"/>
            <w:vMerge w:val="continue"/>
          </w:tcPr>
          <w:p>
            <w:pPr>
              <w:spacing w:after="0"/>
              <w:rPr>
                <w:sz w:val="20"/>
                <w:szCs w:val="20"/>
                <w:color w:val="auto"/>
              </w:rPr>
            </w:pPr>
          </w:p>
        </w:tc>
        <w:tc>
          <w:tcPr>
            <w:tcW w:w="900" w:type="dxa"/>
            <w:vAlign w:val="bottom"/>
            <w:vMerge w:val="continue"/>
          </w:tcPr>
          <w:p>
            <w:pPr>
              <w:spacing w:after="0"/>
              <w:rPr>
                <w:sz w:val="20"/>
                <w:szCs w:val="20"/>
                <w:color w:val="auto"/>
              </w:rPr>
            </w:pPr>
          </w:p>
        </w:tc>
        <w:tc>
          <w:tcPr>
            <w:tcW w:w="240" w:type="dxa"/>
            <w:vAlign w:val="bottom"/>
            <w:gridSpan w:val="2"/>
            <w:vMerge w:val="continue"/>
          </w:tcPr>
          <w:p>
            <w:pPr>
              <w:spacing w:after="0"/>
              <w:rPr>
                <w:sz w:val="20"/>
                <w:szCs w:val="20"/>
                <w:color w:val="auto"/>
              </w:rPr>
            </w:pPr>
          </w:p>
        </w:tc>
        <w:tc>
          <w:tcPr>
            <w:tcW w:w="920" w:type="dxa"/>
            <w:vAlign w:val="bottom"/>
            <w:vMerge w:val="continue"/>
          </w:tcPr>
          <w:p>
            <w:pPr>
              <w:spacing w:after="0"/>
              <w:rPr>
                <w:sz w:val="20"/>
                <w:szCs w:val="20"/>
                <w:color w:val="auto"/>
              </w:rPr>
            </w:pPr>
          </w:p>
        </w:tc>
        <w:tc>
          <w:tcPr>
            <w:tcW w:w="320" w:type="dxa"/>
            <w:vAlign w:val="bottom"/>
            <w:gridSpan w:val="2"/>
          </w:tcPr>
          <w:p>
            <w:pPr>
              <w:jc w:val="right"/>
              <w:ind w:right="5"/>
              <w:spacing w:after="0"/>
              <w:rPr>
                <w:sz w:val="20"/>
                <w:szCs w:val="20"/>
                <w:color w:val="auto"/>
              </w:rPr>
            </w:pPr>
            <w:r>
              <w:rPr>
                <w:rFonts w:ascii="Times New Roman" w:cs="Times New Roman" w:eastAsia="Times New Roman" w:hAnsi="Times New Roman"/>
                <w:sz w:val="19"/>
                <w:szCs w:val="19"/>
                <w:color w:val="231F2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231F20"/>
                <w:w w:val="99"/>
              </w:rPr>
              <w:t>1,101,439</w:t>
            </w:r>
          </w:p>
        </w:tc>
        <w:tc>
          <w:tcPr>
            <w:tcW w:w="0" w:type="dxa"/>
            <w:vAlign w:val="bottom"/>
          </w:tcPr>
          <w:p>
            <w:pPr>
              <w:spacing w:after="0"/>
              <w:rPr>
                <w:sz w:val="1"/>
                <w:szCs w:val="1"/>
                <w:color w:val="auto"/>
              </w:rPr>
            </w:pPr>
          </w:p>
        </w:tc>
      </w:tr>
      <w:tr>
        <w:trPr>
          <w:trHeight w:val="242"/>
        </w:trPr>
        <w:tc>
          <w:tcPr>
            <w:tcW w:w="6220" w:type="dxa"/>
            <w:vAlign w:val="bottom"/>
          </w:tcPr>
          <w:p>
            <w:pPr>
              <w:ind w:left="340"/>
              <w:spacing w:after="0"/>
              <w:rPr>
                <w:sz w:val="20"/>
                <w:szCs w:val="20"/>
                <w:color w:val="auto"/>
              </w:rPr>
            </w:pPr>
            <w:r>
              <w:rPr>
                <w:rFonts w:ascii="Times New Roman" w:cs="Times New Roman" w:eastAsia="Times New Roman" w:hAnsi="Times New Roman"/>
                <w:sz w:val="19"/>
                <w:szCs w:val="19"/>
                <w:color w:val="231F20"/>
              </w:rPr>
              <w:t>Other property income</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32,371</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31,258</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29,602</w:t>
            </w:r>
          </w:p>
        </w:tc>
        <w:tc>
          <w:tcPr>
            <w:tcW w:w="0" w:type="dxa"/>
            <w:vAlign w:val="bottom"/>
          </w:tcPr>
          <w:p>
            <w:pPr>
              <w:spacing w:after="0"/>
              <w:rPr>
                <w:sz w:val="1"/>
                <w:szCs w:val="1"/>
                <w:color w:val="auto"/>
              </w:rPr>
            </w:pPr>
          </w:p>
        </w:tc>
      </w:tr>
      <w:tr>
        <w:trPr>
          <w:trHeight w:val="251"/>
        </w:trPr>
        <w:tc>
          <w:tcPr>
            <w:tcW w:w="6220" w:type="dxa"/>
            <w:vAlign w:val="bottom"/>
          </w:tcPr>
          <w:p>
            <w:pPr>
              <w:ind w:left="340"/>
              <w:spacing w:after="0"/>
              <w:rPr>
                <w:sz w:val="20"/>
                <w:szCs w:val="20"/>
                <w:color w:val="auto"/>
              </w:rPr>
            </w:pPr>
            <w:r>
              <w:rPr>
                <w:rFonts w:ascii="Times New Roman" w:cs="Times New Roman" w:eastAsia="Times New Roman" w:hAnsi="Times New Roman"/>
                <w:sz w:val="19"/>
                <w:szCs w:val="19"/>
                <w:color w:val="231F20"/>
              </w:rPr>
              <w:t>Mortgage interest income</w:t>
            </w:r>
          </w:p>
        </w:tc>
        <w:tc>
          <w:tcPr>
            <w:tcW w:w="200" w:type="dxa"/>
            <w:vAlign w:val="bottom"/>
            <w:tcBorders>
              <w:bottom w:val="single" w:sz="8" w:color="231F20"/>
            </w:tcBorders>
          </w:tcPr>
          <w:p>
            <w:pPr>
              <w:spacing w:after="0"/>
              <w:rPr>
                <w:sz w:val="21"/>
                <w:szCs w:val="21"/>
                <w:color w:val="auto"/>
              </w:rPr>
            </w:pPr>
          </w:p>
        </w:tc>
        <w:tc>
          <w:tcPr>
            <w:tcW w:w="9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1,113</w:t>
            </w:r>
          </w:p>
        </w:tc>
        <w:tc>
          <w:tcPr>
            <w:tcW w:w="60" w:type="dxa"/>
            <w:vAlign w:val="bottom"/>
          </w:tcPr>
          <w:p>
            <w:pPr>
              <w:spacing w:after="0"/>
              <w:rPr>
                <w:sz w:val="21"/>
                <w:szCs w:val="21"/>
                <w:color w:val="auto"/>
              </w:rPr>
            </w:pPr>
          </w:p>
        </w:tc>
        <w:tc>
          <w:tcPr>
            <w:tcW w:w="180" w:type="dxa"/>
            <w:vAlign w:val="bottom"/>
            <w:tcBorders>
              <w:bottom w:val="single" w:sz="8" w:color="231F20"/>
            </w:tcBorders>
          </w:tcPr>
          <w:p>
            <w:pPr>
              <w:spacing w:after="0"/>
              <w:rPr>
                <w:sz w:val="21"/>
                <w:szCs w:val="21"/>
                <w:color w:val="auto"/>
              </w:rPr>
            </w:pPr>
          </w:p>
        </w:tc>
        <w:tc>
          <w:tcPr>
            <w:tcW w:w="9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1,116</w:t>
            </w:r>
          </w:p>
        </w:tc>
        <w:tc>
          <w:tcPr>
            <w:tcW w:w="80" w:type="dxa"/>
            <w:vAlign w:val="bottom"/>
          </w:tcPr>
          <w:p>
            <w:pPr>
              <w:spacing w:after="0"/>
              <w:rPr>
                <w:sz w:val="21"/>
                <w:szCs w:val="21"/>
                <w:color w:val="auto"/>
              </w:rPr>
            </w:pPr>
          </w:p>
        </w:tc>
        <w:tc>
          <w:tcPr>
            <w:tcW w:w="240" w:type="dxa"/>
            <w:vAlign w:val="bottom"/>
            <w:tcBorders>
              <w:bottom w:val="single" w:sz="8" w:color="231F20"/>
            </w:tcBorders>
          </w:tcPr>
          <w:p>
            <w:pPr>
              <w:spacing w:after="0"/>
              <w:rPr>
                <w:sz w:val="21"/>
                <w:szCs w:val="21"/>
                <w:color w:val="auto"/>
              </w:rPr>
            </w:pPr>
          </w:p>
        </w:tc>
        <w:tc>
          <w:tcPr>
            <w:tcW w:w="8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1,113</w:t>
            </w:r>
          </w:p>
        </w:tc>
        <w:tc>
          <w:tcPr>
            <w:tcW w:w="0" w:type="dxa"/>
            <w:vAlign w:val="bottom"/>
          </w:tcPr>
          <w:p>
            <w:pPr>
              <w:spacing w:after="0"/>
              <w:rPr>
                <w:sz w:val="1"/>
                <w:szCs w:val="1"/>
                <w:color w:val="auto"/>
              </w:rPr>
            </w:pPr>
          </w:p>
        </w:tc>
      </w:tr>
      <w:tr>
        <w:trPr>
          <w:trHeight w:val="222"/>
        </w:trPr>
        <w:tc>
          <w:tcPr>
            <w:tcW w:w="6220" w:type="dxa"/>
            <w:vAlign w:val="bottom"/>
          </w:tcPr>
          <w:p>
            <w:pPr>
              <w:ind w:left="680"/>
              <w:spacing w:after="0"/>
              <w:rPr>
                <w:sz w:val="20"/>
                <w:szCs w:val="20"/>
                <w:color w:val="auto"/>
              </w:rPr>
            </w:pPr>
            <w:r>
              <w:rPr>
                <w:rFonts w:ascii="Times New Roman" w:cs="Times New Roman" w:eastAsia="Times New Roman" w:hAnsi="Times New Roman"/>
                <w:sz w:val="19"/>
                <w:szCs w:val="19"/>
                <w:color w:val="231F20"/>
              </w:rPr>
              <w:t>Total revenue</w:t>
            </w:r>
          </w:p>
        </w:tc>
        <w:tc>
          <w:tcPr>
            <w:tcW w:w="200" w:type="dxa"/>
            <w:vAlign w:val="bottom"/>
            <w:tcBorders>
              <w:bottom w:val="single" w:sz="8" w:color="231F20"/>
            </w:tcBorders>
          </w:tcPr>
          <w:p>
            <w:pPr>
              <w:spacing w:after="0"/>
              <w:rPr>
                <w:sz w:val="19"/>
                <w:szCs w:val="19"/>
                <w:color w:val="auto"/>
              </w:rPr>
            </w:pPr>
          </w:p>
        </w:tc>
        <w:tc>
          <w:tcPr>
            <w:tcW w:w="9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1,278,975</w:t>
            </w:r>
          </w:p>
        </w:tc>
        <w:tc>
          <w:tcPr>
            <w:tcW w:w="60" w:type="dxa"/>
            <w:vAlign w:val="bottom"/>
          </w:tcPr>
          <w:p>
            <w:pPr>
              <w:spacing w:after="0"/>
              <w:rPr>
                <w:sz w:val="19"/>
                <w:szCs w:val="19"/>
                <w:color w:val="auto"/>
              </w:rPr>
            </w:pPr>
          </w:p>
        </w:tc>
        <w:tc>
          <w:tcPr>
            <w:tcW w:w="180" w:type="dxa"/>
            <w:vAlign w:val="bottom"/>
            <w:tcBorders>
              <w:bottom w:val="single" w:sz="8" w:color="231F20"/>
            </w:tcBorders>
          </w:tcPr>
          <w:p>
            <w:pPr>
              <w:spacing w:after="0"/>
              <w:rPr>
                <w:sz w:val="19"/>
                <w:szCs w:val="19"/>
                <w:color w:val="auto"/>
              </w:rPr>
            </w:pPr>
          </w:p>
        </w:tc>
        <w:tc>
          <w:tcPr>
            <w:tcW w:w="9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1,202,452</w:t>
            </w:r>
          </w:p>
        </w:tc>
        <w:tc>
          <w:tcPr>
            <w:tcW w:w="80" w:type="dxa"/>
            <w:vAlign w:val="bottom"/>
          </w:tcPr>
          <w:p>
            <w:pPr>
              <w:spacing w:after="0"/>
              <w:rPr>
                <w:sz w:val="19"/>
                <w:szCs w:val="19"/>
                <w:color w:val="auto"/>
              </w:rPr>
            </w:pPr>
          </w:p>
        </w:tc>
        <w:tc>
          <w:tcPr>
            <w:tcW w:w="240" w:type="dxa"/>
            <w:vAlign w:val="bottom"/>
            <w:tcBorders>
              <w:bottom w:val="single" w:sz="8" w:color="231F20"/>
            </w:tcBorders>
          </w:tcPr>
          <w:p>
            <w:pPr>
              <w:spacing w:after="0"/>
              <w:rPr>
                <w:sz w:val="19"/>
                <w:szCs w:val="19"/>
                <w:color w:val="auto"/>
              </w:rPr>
            </w:pPr>
          </w:p>
        </w:tc>
        <w:tc>
          <w:tcPr>
            <w:tcW w:w="8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w w:val="99"/>
              </w:rPr>
              <w:t>1,132,154</w:t>
            </w:r>
          </w:p>
        </w:tc>
        <w:tc>
          <w:tcPr>
            <w:tcW w:w="0" w:type="dxa"/>
            <w:vAlign w:val="bottom"/>
          </w:tcPr>
          <w:p>
            <w:pPr>
              <w:spacing w:after="0"/>
              <w:rPr>
                <w:sz w:val="1"/>
                <w:szCs w:val="1"/>
                <w:color w:val="auto"/>
              </w:rPr>
            </w:pPr>
          </w:p>
        </w:tc>
      </w:tr>
      <w:tr>
        <w:trPr>
          <w:trHeight w:val="222"/>
        </w:trPr>
        <w:tc>
          <w:tcPr>
            <w:tcW w:w="6220" w:type="dxa"/>
            <w:vAlign w:val="bottom"/>
          </w:tcPr>
          <w:p>
            <w:pPr>
              <w:spacing w:after="0"/>
              <w:rPr>
                <w:sz w:val="20"/>
                <w:szCs w:val="20"/>
                <w:color w:val="auto"/>
              </w:rPr>
            </w:pPr>
            <w:r>
              <w:rPr>
                <w:rFonts w:ascii="Times New Roman" w:cs="Times New Roman" w:eastAsia="Times New Roman" w:hAnsi="Times New Roman"/>
                <w:sz w:val="19"/>
                <w:szCs w:val="19"/>
                <w:color w:val="231F20"/>
              </w:rPr>
              <w:t>EXPENSES</w:t>
            </w:r>
          </w:p>
        </w:tc>
        <w:tc>
          <w:tcPr>
            <w:tcW w:w="200" w:type="dxa"/>
            <w:vAlign w:val="bottom"/>
          </w:tcPr>
          <w:p>
            <w:pPr>
              <w:spacing w:after="0"/>
              <w:rPr>
                <w:sz w:val="19"/>
                <w:szCs w:val="19"/>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231F20"/>
              </w:rPr>
              <w:t>267,445</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231F20"/>
              </w:rPr>
              <w:t>249,569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231F20"/>
              </w:rPr>
              <w:t>231,666</w:t>
            </w:r>
          </w:p>
        </w:tc>
        <w:tc>
          <w:tcPr>
            <w:tcW w:w="0" w:type="dxa"/>
            <w:vAlign w:val="bottom"/>
          </w:tcPr>
          <w:p>
            <w:pPr>
              <w:spacing w:after="0"/>
              <w:rPr>
                <w:sz w:val="1"/>
                <w:szCs w:val="1"/>
                <w:color w:val="auto"/>
              </w:rPr>
            </w:pPr>
          </w:p>
        </w:tc>
      </w:tr>
      <w:tr>
        <w:trPr>
          <w:trHeight w:val="234"/>
        </w:trPr>
        <w:tc>
          <w:tcPr>
            <w:tcW w:w="6220" w:type="dxa"/>
            <w:vAlign w:val="bottom"/>
          </w:tcPr>
          <w:p>
            <w:pPr>
              <w:ind w:left="340"/>
              <w:spacing w:after="0"/>
              <w:rPr>
                <w:sz w:val="20"/>
                <w:szCs w:val="20"/>
                <w:color w:val="auto"/>
              </w:rPr>
            </w:pPr>
            <w:r>
              <w:rPr>
                <w:rFonts w:ascii="Times New Roman" w:cs="Times New Roman" w:eastAsia="Times New Roman" w:hAnsi="Times New Roman"/>
                <w:sz w:val="19"/>
                <w:szCs w:val="19"/>
                <w:color w:val="231F20"/>
              </w:rPr>
              <w:t>Rental expenses</w:t>
            </w:r>
          </w:p>
        </w:tc>
        <w:tc>
          <w:tcPr>
            <w:tcW w:w="20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6220" w:type="dxa"/>
            <w:vAlign w:val="bottom"/>
          </w:tcPr>
          <w:p>
            <w:pPr>
              <w:ind w:left="340"/>
              <w:spacing w:after="0"/>
              <w:rPr>
                <w:sz w:val="20"/>
                <w:szCs w:val="20"/>
                <w:color w:val="auto"/>
              </w:rPr>
            </w:pPr>
            <w:r>
              <w:rPr>
                <w:rFonts w:ascii="Times New Roman" w:cs="Times New Roman" w:eastAsia="Times New Roman" w:hAnsi="Times New Roman"/>
                <w:sz w:val="19"/>
                <w:szCs w:val="19"/>
                <w:color w:val="231F20"/>
              </w:rPr>
              <w:t>Real estate taxes</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151,438</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142,230</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131,429</w:t>
            </w:r>
          </w:p>
        </w:tc>
        <w:tc>
          <w:tcPr>
            <w:tcW w:w="0" w:type="dxa"/>
            <w:vAlign w:val="bottom"/>
          </w:tcPr>
          <w:p>
            <w:pPr>
              <w:spacing w:after="0"/>
              <w:rPr>
                <w:sz w:val="1"/>
                <w:szCs w:val="1"/>
                <w:color w:val="auto"/>
              </w:rPr>
            </w:pPr>
          </w:p>
        </w:tc>
      </w:tr>
      <w:tr>
        <w:trPr>
          <w:trHeight w:val="242"/>
        </w:trPr>
        <w:tc>
          <w:tcPr>
            <w:tcW w:w="6220" w:type="dxa"/>
            <w:vAlign w:val="bottom"/>
          </w:tcPr>
          <w:p>
            <w:pPr>
              <w:ind w:left="340"/>
              <w:spacing w:after="0"/>
              <w:rPr>
                <w:sz w:val="20"/>
                <w:szCs w:val="20"/>
                <w:color w:val="auto"/>
              </w:rPr>
            </w:pPr>
            <w:r>
              <w:rPr>
                <w:rFonts w:ascii="Times New Roman" w:cs="Times New Roman" w:eastAsia="Times New Roman" w:hAnsi="Times New Roman"/>
                <w:sz w:val="19"/>
                <w:szCs w:val="19"/>
                <w:color w:val="231F20"/>
              </w:rPr>
              <w:t>General and administrative</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46,913</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49,739</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50,707</w:t>
            </w:r>
          </w:p>
        </w:tc>
        <w:tc>
          <w:tcPr>
            <w:tcW w:w="0" w:type="dxa"/>
            <w:vAlign w:val="bottom"/>
          </w:tcPr>
          <w:p>
            <w:pPr>
              <w:spacing w:after="0"/>
              <w:rPr>
                <w:sz w:val="1"/>
                <w:szCs w:val="1"/>
                <w:color w:val="auto"/>
              </w:rPr>
            </w:pPr>
          </w:p>
        </w:tc>
      </w:tr>
      <w:tr>
        <w:trPr>
          <w:trHeight w:val="251"/>
        </w:trPr>
        <w:tc>
          <w:tcPr>
            <w:tcW w:w="6220" w:type="dxa"/>
            <w:vAlign w:val="bottom"/>
          </w:tcPr>
          <w:p>
            <w:pPr>
              <w:ind w:left="340"/>
              <w:spacing w:after="0"/>
              <w:rPr>
                <w:sz w:val="20"/>
                <w:szCs w:val="20"/>
                <w:color w:val="auto"/>
              </w:rPr>
            </w:pPr>
            <w:r>
              <w:rPr>
                <w:rFonts w:ascii="Times New Roman" w:cs="Times New Roman" w:eastAsia="Times New Roman" w:hAnsi="Times New Roman"/>
                <w:sz w:val="19"/>
                <w:szCs w:val="19"/>
                <w:color w:val="231F20"/>
              </w:rPr>
              <w:t>Depreciation and amortization</w:t>
            </w:r>
          </w:p>
        </w:tc>
        <w:tc>
          <w:tcPr>
            <w:tcW w:w="200" w:type="dxa"/>
            <w:vAlign w:val="bottom"/>
            <w:tcBorders>
              <w:bottom w:val="single" w:sz="8" w:color="231F20"/>
            </w:tcBorders>
          </w:tcPr>
          <w:p>
            <w:pPr>
              <w:spacing w:after="0"/>
              <w:rPr>
                <w:sz w:val="21"/>
                <w:szCs w:val="21"/>
                <w:color w:val="auto"/>
              </w:rPr>
            </w:pPr>
          </w:p>
        </w:tc>
        <w:tc>
          <w:tcPr>
            <w:tcW w:w="9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367,842</w:t>
            </w:r>
          </w:p>
        </w:tc>
        <w:tc>
          <w:tcPr>
            <w:tcW w:w="60" w:type="dxa"/>
            <w:vAlign w:val="bottom"/>
          </w:tcPr>
          <w:p>
            <w:pPr>
              <w:spacing w:after="0"/>
              <w:rPr>
                <w:sz w:val="21"/>
                <w:szCs w:val="21"/>
                <w:color w:val="auto"/>
              </w:rPr>
            </w:pPr>
          </w:p>
        </w:tc>
        <w:tc>
          <w:tcPr>
            <w:tcW w:w="180" w:type="dxa"/>
            <w:vAlign w:val="bottom"/>
            <w:tcBorders>
              <w:bottom w:val="single" w:sz="8" w:color="231F20"/>
            </w:tcBorders>
          </w:tcPr>
          <w:p>
            <w:pPr>
              <w:spacing w:after="0"/>
              <w:rPr>
                <w:sz w:val="21"/>
                <w:szCs w:val="21"/>
                <w:color w:val="auto"/>
              </w:rPr>
            </w:pPr>
          </w:p>
        </w:tc>
        <w:tc>
          <w:tcPr>
            <w:tcW w:w="9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342,598</w:t>
            </w:r>
          </w:p>
        </w:tc>
        <w:tc>
          <w:tcPr>
            <w:tcW w:w="80" w:type="dxa"/>
            <w:vAlign w:val="bottom"/>
          </w:tcPr>
          <w:p>
            <w:pPr>
              <w:spacing w:after="0"/>
              <w:rPr>
                <w:sz w:val="21"/>
                <w:szCs w:val="21"/>
                <w:color w:val="auto"/>
              </w:rPr>
            </w:pPr>
          </w:p>
        </w:tc>
        <w:tc>
          <w:tcPr>
            <w:tcW w:w="240" w:type="dxa"/>
            <w:vAlign w:val="bottom"/>
            <w:tcBorders>
              <w:bottom w:val="single" w:sz="8" w:color="231F20"/>
            </w:tcBorders>
          </w:tcPr>
          <w:p>
            <w:pPr>
              <w:spacing w:after="0"/>
              <w:rPr>
                <w:sz w:val="21"/>
                <w:szCs w:val="21"/>
                <w:color w:val="auto"/>
              </w:rPr>
            </w:pPr>
          </w:p>
        </w:tc>
        <w:tc>
          <w:tcPr>
            <w:tcW w:w="8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321,763</w:t>
            </w:r>
          </w:p>
        </w:tc>
        <w:tc>
          <w:tcPr>
            <w:tcW w:w="0" w:type="dxa"/>
            <w:vAlign w:val="bottom"/>
          </w:tcPr>
          <w:p>
            <w:pPr>
              <w:spacing w:after="0"/>
              <w:rPr>
                <w:sz w:val="1"/>
                <w:szCs w:val="1"/>
                <w:color w:val="auto"/>
              </w:rPr>
            </w:pPr>
          </w:p>
        </w:tc>
      </w:tr>
      <w:tr>
        <w:trPr>
          <w:trHeight w:val="222"/>
        </w:trPr>
        <w:tc>
          <w:tcPr>
            <w:tcW w:w="6220" w:type="dxa"/>
            <w:vAlign w:val="bottom"/>
          </w:tcPr>
          <w:p>
            <w:pPr>
              <w:ind w:left="680"/>
              <w:spacing w:after="0"/>
              <w:rPr>
                <w:sz w:val="20"/>
                <w:szCs w:val="20"/>
                <w:color w:val="auto"/>
              </w:rPr>
            </w:pPr>
            <w:r>
              <w:rPr>
                <w:rFonts w:ascii="Times New Roman" w:cs="Times New Roman" w:eastAsia="Times New Roman" w:hAnsi="Times New Roman"/>
                <w:sz w:val="19"/>
                <w:szCs w:val="19"/>
                <w:color w:val="231F20"/>
              </w:rPr>
              <w:t>Total operating expenses</w:t>
            </w:r>
          </w:p>
        </w:tc>
        <w:tc>
          <w:tcPr>
            <w:tcW w:w="200" w:type="dxa"/>
            <w:vAlign w:val="bottom"/>
            <w:tcBorders>
              <w:bottom w:val="single" w:sz="8" w:color="231F20"/>
            </w:tcBorders>
          </w:tcPr>
          <w:p>
            <w:pPr>
              <w:spacing w:after="0"/>
              <w:rPr>
                <w:sz w:val="19"/>
                <w:szCs w:val="19"/>
                <w:color w:val="auto"/>
              </w:rPr>
            </w:pPr>
          </w:p>
        </w:tc>
        <w:tc>
          <w:tcPr>
            <w:tcW w:w="9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833,638</w:t>
            </w:r>
          </w:p>
        </w:tc>
        <w:tc>
          <w:tcPr>
            <w:tcW w:w="60" w:type="dxa"/>
            <w:vAlign w:val="bottom"/>
          </w:tcPr>
          <w:p>
            <w:pPr>
              <w:spacing w:after="0"/>
              <w:rPr>
                <w:sz w:val="19"/>
                <w:szCs w:val="19"/>
                <w:color w:val="auto"/>
              </w:rPr>
            </w:pPr>
          </w:p>
        </w:tc>
        <w:tc>
          <w:tcPr>
            <w:tcW w:w="180" w:type="dxa"/>
            <w:vAlign w:val="bottom"/>
            <w:tcBorders>
              <w:bottom w:val="single" w:sz="8" w:color="231F20"/>
            </w:tcBorders>
          </w:tcPr>
          <w:p>
            <w:pPr>
              <w:spacing w:after="0"/>
              <w:rPr>
                <w:sz w:val="19"/>
                <w:szCs w:val="19"/>
                <w:color w:val="auto"/>
              </w:rPr>
            </w:pPr>
          </w:p>
        </w:tc>
        <w:tc>
          <w:tcPr>
            <w:tcW w:w="9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784,136</w:t>
            </w:r>
          </w:p>
        </w:tc>
        <w:tc>
          <w:tcPr>
            <w:tcW w:w="80" w:type="dxa"/>
            <w:vAlign w:val="bottom"/>
          </w:tcPr>
          <w:p>
            <w:pPr>
              <w:spacing w:after="0"/>
              <w:rPr>
                <w:sz w:val="19"/>
                <w:szCs w:val="19"/>
                <w:color w:val="auto"/>
              </w:rPr>
            </w:pPr>
          </w:p>
        </w:tc>
        <w:tc>
          <w:tcPr>
            <w:tcW w:w="240" w:type="dxa"/>
            <w:vAlign w:val="bottom"/>
            <w:tcBorders>
              <w:bottom w:val="single" w:sz="8" w:color="231F20"/>
            </w:tcBorders>
          </w:tcPr>
          <w:p>
            <w:pPr>
              <w:spacing w:after="0"/>
              <w:rPr>
                <w:sz w:val="19"/>
                <w:szCs w:val="19"/>
                <w:color w:val="auto"/>
              </w:rPr>
            </w:pPr>
          </w:p>
        </w:tc>
        <w:tc>
          <w:tcPr>
            <w:tcW w:w="8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735,565</w:t>
            </w:r>
          </w:p>
        </w:tc>
        <w:tc>
          <w:tcPr>
            <w:tcW w:w="0" w:type="dxa"/>
            <w:vAlign w:val="bottom"/>
          </w:tcPr>
          <w:p>
            <w:pPr>
              <w:spacing w:after="0"/>
              <w:rPr>
                <w:sz w:val="1"/>
                <w:szCs w:val="1"/>
                <w:color w:val="auto"/>
              </w:rPr>
            </w:pPr>
          </w:p>
        </w:tc>
      </w:tr>
      <w:tr>
        <w:trPr>
          <w:trHeight w:val="456"/>
        </w:trPr>
        <w:tc>
          <w:tcPr>
            <w:tcW w:w="6220" w:type="dxa"/>
            <w:vAlign w:val="bottom"/>
          </w:tcPr>
          <w:p>
            <w:pPr>
              <w:ind w:left="340"/>
              <w:spacing w:after="0"/>
              <w:rPr>
                <w:sz w:val="20"/>
                <w:szCs w:val="20"/>
                <w:color w:val="auto"/>
              </w:rPr>
            </w:pPr>
            <w:r>
              <w:rPr>
                <w:rFonts w:ascii="Times New Roman" w:cs="Times New Roman" w:eastAsia="Times New Roman" w:hAnsi="Times New Roman"/>
                <w:sz w:val="19"/>
                <w:szCs w:val="19"/>
                <w:color w:val="231F20"/>
              </w:rPr>
              <w:t>New market tax credit transaction income</w:t>
            </w:r>
          </w:p>
        </w:tc>
        <w:tc>
          <w:tcPr>
            <w:tcW w:w="2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14,176</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0" w:type="dxa"/>
            <w:vAlign w:val="bottom"/>
          </w:tcPr>
          <w:p>
            <w:pPr>
              <w:spacing w:after="0"/>
              <w:rPr>
                <w:sz w:val="1"/>
                <w:szCs w:val="1"/>
                <w:color w:val="auto"/>
              </w:rPr>
            </w:pPr>
          </w:p>
        </w:tc>
      </w:tr>
      <w:tr>
        <w:trPr>
          <w:trHeight w:val="242"/>
        </w:trPr>
        <w:tc>
          <w:tcPr>
            <w:tcW w:w="6220" w:type="dxa"/>
            <w:vAlign w:val="bottom"/>
          </w:tcPr>
          <w:p>
            <w:pPr>
              <w:ind w:left="340"/>
              <w:spacing w:after="0"/>
              <w:rPr>
                <w:sz w:val="20"/>
                <w:szCs w:val="20"/>
                <w:color w:val="auto"/>
              </w:rPr>
            </w:pPr>
            <w:r>
              <w:rPr>
                <w:rFonts w:ascii="Times New Roman" w:cs="Times New Roman" w:eastAsia="Times New Roman" w:hAnsi="Times New Roman"/>
                <w:sz w:val="19"/>
                <w:szCs w:val="19"/>
                <w:color w:val="231F20"/>
              </w:rPr>
              <w:t>Gain on sale of real estate</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150,111</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54,040</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9,881</w:t>
            </w:r>
          </w:p>
        </w:tc>
        <w:tc>
          <w:tcPr>
            <w:tcW w:w="0" w:type="dxa"/>
            <w:vAlign w:val="bottom"/>
          </w:tcPr>
          <w:p>
            <w:pPr>
              <w:spacing w:after="0"/>
              <w:rPr>
                <w:sz w:val="1"/>
                <w:szCs w:val="1"/>
                <w:color w:val="auto"/>
              </w:rPr>
            </w:pPr>
          </w:p>
        </w:tc>
      </w:tr>
      <w:tr>
        <w:trPr>
          <w:trHeight w:val="252"/>
        </w:trPr>
        <w:tc>
          <w:tcPr>
            <w:tcW w:w="6220" w:type="dxa"/>
            <w:vAlign w:val="bottom"/>
          </w:tcPr>
          <w:p>
            <w:pPr>
              <w:ind w:left="340"/>
              <w:spacing w:after="0"/>
              <w:rPr>
                <w:sz w:val="20"/>
                <w:szCs w:val="20"/>
                <w:color w:val="auto"/>
              </w:rPr>
            </w:pPr>
            <w:r>
              <w:rPr>
                <w:rFonts w:ascii="Times New Roman" w:cs="Times New Roman" w:eastAsia="Times New Roman" w:hAnsi="Times New Roman"/>
                <w:sz w:val="19"/>
                <w:szCs w:val="19"/>
                <w:color w:val="231F20"/>
              </w:rPr>
              <w:t>Impairment charge</w:t>
            </w:r>
          </w:p>
        </w:tc>
        <w:tc>
          <w:tcPr>
            <w:tcW w:w="200" w:type="dxa"/>
            <w:vAlign w:val="bottom"/>
            <w:tcBorders>
              <w:bottom w:val="single" w:sz="8" w:color="231F20"/>
            </w:tcBorders>
          </w:tcPr>
          <w:p>
            <w:pPr>
              <w:spacing w:after="0"/>
              <w:rPr>
                <w:sz w:val="21"/>
                <w:szCs w:val="21"/>
                <w:color w:val="auto"/>
              </w:rPr>
            </w:pPr>
          </w:p>
        </w:tc>
        <w:tc>
          <w:tcPr>
            <w:tcW w:w="9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(7,425)</w:t>
            </w:r>
          </w:p>
        </w:tc>
        <w:tc>
          <w:tcPr>
            <w:tcW w:w="60" w:type="dxa"/>
            <w:vAlign w:val="bottom"/>
          </w:tcPr>
          <w:p>
            <w:pPr>
              <w:spacing w:after="0"/>
              <w:rPr>
                <w:sz w:val="21"/>
                <w:szCs w:val="21"/>
                <w:color w:val="auto"/>
              </w:rPr>
            </w:pPr>
          </w:p>
        </w:tc>
        <w:tc>
          <w:tcPr>
            <w:tcW w:w="180" w:type="dxa"/>
            <w:vAlign w:val="bottom"/>
            <w:tcBorders>
              <w:bottom w:val="single" w:sz="8" w:color="231F20"/>
            </w:tcBorders>
          </w:tcPr>
          <w:p>
            <w:pPr>
              <w:spacing w:after="0"/>
              <w:rPr>
                <w:sz w:val="21"/>
                <w:szCs w:val="21"/>
                <w:color w:val="auto"/>
              </w:rPr>
            </w:pPr>
          </w:p>
        </w:tc>
        <w:tc>
          <w:tcPr>
            <w:tcW w:w="9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80" w:type="dxa"/>
            <w:vAlign w:val="bottom"/>
          </w:tcPr>
          <w:p>
            <w:pPr>
              <w:spacing w:after="0"/>
              <w:rPr>
                <w:sz w:val="21"/>
                <w:szCs w:val="21"/>
                <w:color w:val="auto"/>
              </w:rPr>
            </w:pPr>
          </w:p>
        </w:tc>
        <w:tc>
          <w:tcPr>
            <w:tcW w:w="240" w:type="dxa"/>
            <w:vAlign w:val="bottom"/>
            <w:tcBorders>
              <w:bottom w:val="single" w:sz="8" w:color="231F20"/>
            </w:tcBorders>
          </w:tcPr>
          <w:p>
            <w:pPr>
              <w:spacing w:after="0"/>
              <w:rPr>
                <w:sz w:val="21"/>
                <w:szCs w:val="21"/>
                <w:color w:val="auto"/>
              </w:rPr>
            </w:pPr>
          </w:p>
        </w:tc>
        <w:tc>
          <w:tcPr>
            <w:tcW w:w="8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0" w:type="dxa"/>
            <w:vAlign w:val="bottom"/>
          </w:tcPr>
          <w:p>
            <w:pPr>
              <w:spacing w:after="0"/>
              <w:rPr>
                <w:sz w:val="1"/>
                <w:szCs w:val="1"/>
                <w:color w:val="auto"/>
              </w:rPr>
            </w:pPr>
          </w:p>
        </w:tc>
      </w:tr>
      <w:tr>
        <w:trPr>
          <w:trHeight w:val="472"/>
        </w:trPr>
        <w:tc>
          <w:tcPr>
            <w:tcW w:w="6220" w:type="dxa"/>
            <w:vAlign w:val="bottom"/>
          </w:tcPr>
          <w:p>
            <w:pPr>
              <w:spacing w:after="0"/>
              <w:rPr>
                <w:sz w:val="20"/>
                <w:szCs w:val="20"/>
                <w:color w:val="auto"/>
              </w:rPr>
            </w:pPr>
            <w:r>
              <w:rPr>
                <w:rFonts w:ascii="Times New Roman" w:cs="Times New Roman" w:eastAsia="Times New Roman" w:hAnsi="Times New Roman"/>
                <w:sz w:val="19"/>
                <w:szCs w:val="19"/>
                <w:color w:val="231F20"/>
              </w:rPr>
              <w:t>OPERATING INCOME</w:t>
            </w:r>
          </w:p>
        </w:tc>
        <w:tc>
          <w:tcPr>
            <w:tcW w:w="2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602,199</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472,356</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406,470</w:t>
            </w:r>
          </w:p>
        </w:tc>
        <w:tc>
          <w:tcPr>
            <w:tcW w:w="0" w:type="dxa"/>
            <w:vAlign w:val="bottom"/>
          </w:tcPr>
          <w:p>
            <w:pPr>
              <w:spacing w:after="0"/>
              <w:rPr>
                <w:sz w:val="1"/>
                <w:szCs w:val="1"/>
                <w:color w:val="auto"/>
              </w:rPr>
            </w:pPr>
          </w:p>
        </w:tc>
      </w:tr>
      <w:tr>
        <w:trPr>
          <w:trHeight w:val="478"/>
        </w:trPr>
        <w:tc>
          <w:tcPr>
            <w:tcW w:w="6220" w:type="dxa"/>
            <w:vAlign w:val="bottom"/>
          </w:tcPr>
          <w:p>
            <w:pPr>
              <w:spacing w:after="0"/>
              <w:rPr>
                <w:sz w:val="20"/>
                <w:szCs w:val="20"/>
                <w:color w:val="auto"/>
              </w:rPr>
            </w:pPr>
            <w:r>
              <w:rPr>
                <w:rFonts w:ascii="Times New Roman" w:cs="Times New Roman" w:eastAsia="Times New Roman" w:hAnsi="Times New Roman"/>
                <w:sz w:val="19"/>
                <w:szCs w:val="19"/>
                <w:color w:val="231F20"/>
              </w:rPr>
              <w:t>OTHER INCOME/(EXPENSE)</w:t>
            </w:r>
          </w:p>
        </w:tc>
        <w:tc>
          <w:tcPr>
            <w:tcW w:w="200" w:type="dxa"/>
            <w:vAlign w:val="bottom"/>
          </w:tcPr>
          <w:p>
            <w:pPr>
              <w:spacing w:after="0"/>
              <w:rPr>
                <w:sz w:val="24"/>
                <w:szCs w:val="2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231F20"/>
              </w:rPr>
              <w:t>3,143</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231F20"/>
              </w:rPr>
              <w:t>4,294</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231F20"/>
              </w:rPr>
              <w:t>4,687</w:t>
            </w:r>
          </w:p>
        </w:tc>
        <w:tc>
          <w:tcPr>
            <w:tcW w:w="0" w:type="dxa"/>
            <w:vAlign w:val="bottom"/>
          </w:tcPr>
          <w:p>
            <w:pPr>
              <w:spacing w:after="0"/>
              <w:rPr>
                <w:sz w:val="1"/>
                <w:szCs w:val="1"/>
                <w:color w:val="auto"/>
              </w:rPr>
            </w:pPr>
          </w:p>
        </w:tc>
      </w:tr>
      <w:tr>
        <w:trPr>
          <w:trHeight w:val="234"/>
        </w:trPr>
        <w:tc>
          <w:tcPr>
            <w:tcW w:w="6220" w:type="dxa"/>
            <w:vAlign w:val="bottom"/>
          </w:tcPr>
          <w:p>
            <w:pPr>
              <w:ind w:left="340"/>
              <w:spacing w:after="0"/>
              <w:rPr>
                <w:sz w:val="20"/>
                <w:szCs w:val="20"/>
                <w:color w:val="auto"/>
              </w:rPr>
            </w:pPr>
            <w:r>
              <w:rPr>
                <w:rFonts w:ascii="Times New Roman" w:cs="Times New Roman" w:eastAsia="Times New Roman" w:hAnsi="Times New Roman"/>
                <w:sz w:val="19"/>
                <w:szCs w:val="19"/>
                <w:color w:val="231F20"/>
              </w:rPr>
              <w:t>Other interest income</w:t>
            </w:r>
          </w:p>
        </w:tc>
        <w:tc>
          <w:tcPr>
            <w:tcW w:w="20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6220" w:type="dxa"/>
            <w:vAlign w:val="bottom"/>
          </w:tcPr>
          <w:p>
            <w:pPr>
              <w:ind w:left="340"/>
              <w:spacing w:after="0"/>
              <w:rPr>
                <w:sz w:val="20"/>
                <w:szCs w:val="20"/>
                <w:color w:val="auto"/>
              </w:rPr>
            </w:pPr>
            <w:r>
              <w:rPr>
                <w:rFonts w:ascii="Times New Roman" w:cs="Times New Roman" w:eastAsia="Times New Roman" w:hAnsi="Times New Roman"/>
                <w:sz w:val="19"/>
                <w:szCs w:val="19"/>
                <w:color w:val="231F20"/>
              </w:rPr>
              <w:t>Interest expense</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(183,614)</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(175,476)</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(167,809)</w:t>
            </w:r>
          </w:p>
        </w:tc>
        <w:tc>
          <w:tcPr>
            <w:tcW w:w="0" w:type="dxa"/>
            <w:vAlign w:val="bottom"/>
          </w:tcPr>
          <w:p>
            <w:pPr>
              <w:spacing w:after="0"/>
              <w:rPr>
                <w:sz w:val="1"/>
                <w:szCs w:val="1"/>
                <w:color w:val="auto"/>
              </w:rPr>
            </w:pPr>
          </w:p>
        </w:tc>
      </w:tr>
      <w:tr>
        <w:trPr>
          <w:trHeight w:val="252"/>
        </w:trPr>
        <w:tc>
          <w:tcPr>
            <w:tcW w:w="6220" w:type="dxa"/>
            <w:vAlign w:val="bottom"/>
          </w:tcPr>
          <w:p>
            <w:pPr>
              <w:ind w:left="340"/>
              <w:spacing w:after="0"/>
              <w:rPr>
                <w:sz w:val="20"/>
                <w:szCs w:val="20"/>
                <w:color w:val="auto"/>
              </w:rPr>
            </w:pPr>
            <w:r>
              <w:rPr>
                <w:rFonts w:ascii="Times New Roman" w:cs="Times New Roman" w:eastAsia="Times New Roman" w:hAnsi="Times New Roman"/>
                <w:sz w:val="19"/>
                <w:szCs w:val="19"/>
                <w:color w:val="231F20"/>
              </w:rPr>
              <w:t>Income from partnerships</w:t>
            </w:r>
          </w:p>
        </w:tc>
        <w:tc>
          <w:tcPr>
            <w:tcW w:w="200" w:type="dxa"/>
            <w:vAlign w:val="bottom"/>
            <w:tcBorders>
              <w:bottom w:val="single" w:sz="8" w:color="231F20"/>
            </w:tcBorders>
          </w:tcPr>
          <w:p>
            <w:pPr>
              <w:spacing w:after="0"/>
              <w:rPr>
                <w:sz w:val="21"/>
                <w:szCs w:val="21"/>
                <w:color w:val="auto"/>
              </w:rPr>
            </w:pPr>
          </w:p>
        </w:tc>
        <w:tc>
          <w:tcPr>
            <w:tcW w:w="9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1,920</w:t>
            </w:r>
          </w:p>
        </w:tc>
        <w:tc>
          <w:tcPr>
            <w:tcW w:w="60" w:type="dxa"/>
            <w:vAlign w:val="bottom"/>
          </w:tcPr>
          <w:p>
            <w:pPr>
              <w:spacing w:after="0"/>
              <w:rPr>
                <w:sz w:val="21"/>
                <w:szCs w:val="21"/>
                <w:color w:val="auto"/>
              </w:rPr>
            </w:pPr>
          </w:p>
        </w:tc>
        <w:tc>
          <w:tcPr>
            <w:tcW w:w="180" w:type="dxa"/>
            <w:vAlign w:val="bottom"/>
            <w:tcBorders>
              <w:bottom w:val="single" w:sz="8" w:color="231F20"/>
            </w:tcBorders>
          </w:tcPr>
          <w:p>
            <w:pPr>
              <w:spacing w:after="0"/>
              <w:rPr>
                <w:sz w:val="21"/>
                <w:szCs w:val="21"/>
                <w:color w:val="auto"/>
              </w:rPr>
            </w:pPr>
          </w:p>
        </w:tc>
        <w:tc>
          <w:tcPr>
            <w:tcW w:w="9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3,160</w:t>
            </w:r>
          </w:p>
        </w:tc>
        <w:tc>
          <w:tcPr>
            <w:tcW w:w="80" w:type="dxa"/>
            <w:vAlign w:val="bottom"/>
          </w:tcPr>
          <w:p>
            <w:pPr>
              <w:spacing w:after="0"/>
              <w:rPr>
                <w:sz w:val="21"/>
                <w:szCs w:val="21"/>
                <w:color w:val="auto"/>
              </w:rPr>
            </w:pPr>
          </w:p>
        </w:tc>
        <w:tc>
          <w:tcPr>
            <w:tcW w:w="240" w:type="dxa"/>
            <w:vAlign w:val="bottom"/>
            <w:tcBorders>
              <w:bottom w:val="single" w:sz="8" w:color="231F20"/>
            </w:tcBorders>
          </w:tcPr>
          <w:p>
            <w:pPr>
              <w:spacing w:after="0"/>
              <w:rPr>
                <w:sz w:val="21"/>
                <w:szCs w:val="21"/>
                <w:color w:val="auto"/>
              </w:rPr>
            </w:pPr>
          </w:p>
        </w:tc>
        <w:tc>
          <w:tcPr>
            <w:tcW w:w="8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3,869</w:t>
            </w:r>
          </w:p>
        </w:tc>
        <w:tc>
          <w:tcPr>
            <w:tcW w:w="0" w:type="dxa"/>
            <w:vAlign w:val="bottom"/>
          </w:tcPr>
          <w:p>
            <w:pPr>
              <w:spacing w:after="0"/>
              <w:rPr>
                <w:sz w:val="1"/>
                <w:szCs w:val="1"/>
                <w:color w:val="auto"/>
              </w:rPr>
            </w:pPr>
          </w:p>
        </w:tc>
      </w:tr>
      <w:tr>
        <w:trPr>
          <w:trHeight w:val="213"/>
        </w:trPr>
        <w:tc>
          <w:tcPr>
            <w:tcW w:w="6220" w:type="dxa"/>
            <w:vAlign w:val="bottom"/>
          </w:tcPr>
          <w:p>
            <w:pPr>
              <w:spacing w:after="0" w:line="214" w:lineRule="exact"/>
              <w:rPr>
                <w:sz w:val="20"/>
                <w:szCs w:val="20"/>
                <w:color w:val="auto"/>
              </w:rPr>
            </w:pPr>
            <w:r>
              <w:rPr>
                <w:rFonts w:ascii="Times New Roman" w:cs="Times New Roman" w:eastAsia="Times New Roman" w:hAnsi="Times New Roman"/>
                <w:sz w:val="19"/>
                <w:szCs w:val="19"/>
                <w:color w:val="231F20"/>
              </w:rPr>
              <w:t>NET INCOME</w:t>
            </w:r>
          </w:p>
        </w:tc>
        <w:tc>
          <w:tcPr>
            <w:tcW w:w="200" w:type="dxa"/>
            <w:vAlign w:val="bottom"/>
          </w:tcPr>
          <w:p>
            <w:pPr>
              <w:spacing w:after="0"/>
              <w:rPr>
                <w:sz w:val="18"/>
                <w:szCs w:val="18"/>
                <w:color w:val="auto"/>
              </w:rPr>
            </w:pPr>
          </w:p>
        </w:tc>
        <w:tc>
          <w:tcPr>
            <w:tcW w:w="900" w:type="dxa"/>
            <w:vAlign w:val="bottom"/>
          </w:tcPr>
          <w:p>
            <w:pPr>
              <w:jc w:val="right"/>
              <w:spacing w:after="0" w:line="214" w:lineRule="exact"/>
              <w:rPr>
                <w:sz w:val="20"/>
                <w:szCs w:val="20"/>
                <w:color w:val="auto"/>
              </w:rPr>
            </w:pPr>
            <w:r>
              <w:rPr>
                <w:rFonts w:ascii="Times New Roman" w:cs="Times New Roman" w:eastAsia="Times New Roman" w:hAnsi="Times New Roman"/>
                <w:sz w:val="19"/>
                <w:szCs w:val="19"/>
                <w:color w:val="231F20"/>
              </w:rPr>
              <w:t>423,648</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line="214" w:lineRule="exact"/>
              <w:rPr>
                <w:sz w:val="20"/>
                <w:szCs w:val="20"/>
                <w:color w:val="auto"/>
              </w:rPr>
            </w:pPr>
            <w:r>
              <w:rPr>
                <w:rFonts w:ascii="Times New Roman" w:cs="Times New Roman" w:eastAsia="Times New Roman" w:hAnsi="Times New Roman"/>
                <w:sz w:val="19"/>
                <w:szCs w:val="19"/>
                <w:color w:val="231F20"/>
              </w:rPr>
              <w:t>304,334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line="214" w:lineRule="exact"/>
              <w:rPr>
                <w:sz w:val="20"/>
                <w:szCs w:val="20"/>
                <w:color w:val="auto"/>
              </w:rPr>
            </w:pPr>
            <w:r>
              <w:rPr>
                <w:rFonts w:ascii="Times New Roman" w:cs="Times New Roman" w:eastAsia="Times New Roman" w:hAnsi="Times New Roman"/>
                <w:sz w:val="19"/>
                <w:szCs w:val="19"/>
                <w:color w:val="231F20"/>
              </w:rPr>
              <w:t>247,217</w:t>
            </w:r>
          </w:p>
        </w:tc>
        <w:tc>
          <w:tcPr>
            <w:tcW w:w="0" w:type="dxa"/>
            <w:vAlign w:val="bottom"/>
          </w:tcPr>
          <w:p>
            <w:pPr>
              <w:spacing w:after="0"/>
              <w:rPr>
                <w:sz w:val="1"/>
                <w:szCs w:val="1"/>
                <w:color w:val="auto"/>
              </w:rPr>
            </w:pPr>
          </w:p>
        </w:tc>
      </w:tr>
      <w:tr>
        <w:trPr>
          <w:trHeight w:val="252"/>
        </w:trPr>
        <w:tc>
          <w:tcPr>
            <w:tcW w:w="6220" w:type="dxa"/>
            <w:vAlign w:val="bottom"/>
          </w:tcPr>
          <w:p>
            <w:pPr>
              <w:ind w:left="340"/>
              <w:spacing w:after="0"/>
              <w:rPr>
                <w:sz w:val="20"/>
                <w:szCs w:val="20"/>
                <w:color w:val="auto"/>
              </w:rPr>
            </w:pPr>
            <w:r>
              <w:rPr>
                <w:rFonts w:ascii="Times New Roman" w:cs="Times New Roman" w:eastAsia="Times New Roman" w:hAnsi="Times New Roman"/>
                <w:sz w:val="19"/>
                <w:szCs w:val="19"/>
                <w:color w:val="231F20"/>
              </w:rPr>
              <w:t>Net income attributable to noncontrolling interests</w:t>
            </w:r>
          </w:p>
        </w:tc>
        <w:tc>
          <w:tcPr>
            <w:tcW w:w="200" w:type="dxa"/>
            <w:vAlign w:val="bottom"/>
            <w:tcBorders>
              <w:bottom w:val="single" w:sz="8" w:color="231F20"/>
            </w:tcBorders>
          </w:tcPr>
          <w:p>
            <w:pPr>
              <w:spacing w:after="0"/>
              <w:rPr>
                <w:sz w:val="21"/>
                <w:szCs w:val="21"/>
                <w:color w:val="auto"/>
              </w:rPr>
            </w:pPr>
          </w:p>
        </w:tc>
        <w:tc>
          <w:tcPr>
            <w:tcW w:w="9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(12,571)</w:t>
            </w:r>
          </w:p>
        </w:tc>
        <w:tc>
          <w:tcPr>
            <w:tcW w:w="60" w:type="dxa"/>
            <w:vAlign w:val="bottom"/>
          </w:tcPr>
          <w:p>
            <w:pPr>
              <w:spacing w:after="0"/>
              <w:rPr>
                <w:sz w:val="21"/>
                <w:szCs w:val="21"/>
                <w:color w:val="auto"/>
              </w:rPr>
            </w:pPr>
          </w:p>
        </w:tc>
        <w:tc>
          <w:tcPr>
            <w:tcW w:w="180" w:type="dxa"/>
            <w:vAlign w:val="bottom"/>
            <w:tcBorders>
              <w:bottom w:val="single" w:sz="8" w:color="231F20"/>
            </w:tcBorders>
          </w:tcPr>
          <w:p>
            <w:pPr>
              <w:spacing w:after="0"/>
              <w:rPr>
                <w:sz w:val="21"/>
                <w:szCs w:val="21"/>
                <w:color w:val="auto"/>
              </w:rPr>
            </w:pPr>
          </w:p>
        </w:tc>
        <w:tc>
          <w:tcPr>
            <w:tcW w:w="9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(9,126)</w:t>
            </w:r>
          </w:p>
        </w:tc>
        <w:tc>
          <w:tcPr>
            <w:tcW w:w="80" w:type="dxa"/>
            <w:vAlign w:val="bottom"/>
          </w:tcPr>
          <w:p>
            <w:pPr>
              <w:spacing w:after="0"/>
              <w:rPr>
                <w:sz w:val="21"/>
                <w:szCs w:val="21"/>
                <w:color w:val="auto"/>
              </w:rPr>
            </w:pPr>
          </w:p>
        </w:tc>
        <w:tc>
          <w:tcPr>
            <w:tcW w:w="240" w:type="dxa"/>
            <w:vAlign w:val="bottom"/>
            <w:tcBorders>
              <w:bottom w:val="single" w:sz="8" w:color="231F20"/>
            </w:tcBorders>
          </w:tcPr>
          <w:p>
            <w:pPr>
              <w:spacing w:after="0"/>
              <w:rPr>
                <w:sz w:val="21"/>
                <w:szCs w:val="21"/>
                <w:color w:val="auto"/>
              </w:rPr>
            </w:pPr>
          </w:p>
        </w:tc>
        <w:tc>
          <w:tcPr>
            <w:tcW w:w="8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(10,232)</w:t>
            </w:r>
          </w:p>
        </w:tc>
        <w:tc>
          <w:tcPr>
            <w:tcW w:w="0" w:type="dxa"/>
            <w:vAlign w:val="bottom"/>
          </w:tcPr>
          <w:p>
            <w:pPr>
              <w:spacing w:after="0"/>
              <w:rPr>
                <w:sz w:val="1"/>
                <w:szCs w:val="1"/>
                <w:color w:val="auto"/>
              </w:rPr>
            </w:pPr>
          </w:p>
        </w:tc>
      </w:tr>
      <w:tr>
        <w:trPr>
          <w:trHeight w:val="213"/>
        </w:trPr>
        <w:tc>
          <w:tcPr>
            <w:tcW w:w="6220" w:type="dxa"/>
            <w:vAlign w:val="bottom"/>
          </w:tcPr>
          <w:p>
            <w:pPr>
              <w:spacing w:after="0" w:line="214" w:lineRule="exact"/>
              <w:rPr>
                <w:sz w:val="20"/>
                <w:szCs w:val="20"/>
                <w:color w:val="auto"/>
              </w:rPr>
            </w:pPr>
            <w:r>
              <w:rPr>
                <w:rFonts w:ascii="Times New Roman" w:cs="Times New Roman" w:eastAsia="Times New Roman" w:hAnsi="Times New Roman"/>
                <w:sz w:val="19"/>
                <w:szCs w:val="19"/>
                <w:color w:val="231F20"/>
              </w:rPr>
              <w:t>NET INCOME ATTRIBUTABLE TO THE TRUST</w:t>
            </w:r>
          </w:p>
        </w:tc>
        <w:tc>
          <w:tcPr>
            <w:tcW w:w="200" w:type="dxa"/>
            <w:vAlign w:val="bottom"/>
          </w:tcPr>
          <w:p>
            <w:pPr>
              <w:spacing w:after="0"/>
              <w:rPr>
                <w:sz w:val="18"/>
                <w:szCs w:val="18"/>
                <w:color w:val="auto"/>
              </w:rPr>
            </w:pPr>
          </w:p>
        </w:tc>
        <w:tc>
          <w:tcPr>
            <w:tcW w:w="900" w:type="dxa"/>
            <w:vAlign w:val="bottom"/>
          </w:tcPr>
          <w:p>
            <w:pPr>
              <w:jc w:val="right"/>
              <w:spacing w:after="0" w:line="214" w:lineRule="exact"/>
              <w:rPr>
                <w:sz w:val="20"/>
                <w:szCs w:val="20"/>
                <w:color w:val="auto"/>
              </w:rPr>
            </w:pPr>
            <w:r>
              <w:rPr>
                <w:rFonts w:ascii="Times New Roman" w:cs="Times New Roman" w:eastAsia="Times New Roman" w:hAnsi="Times New Roman"/>
                <w:sz w:val="19"/>
                <w:szCs w:val="19"/>
                <w:color w:val="231F20"/>
              </w:rPr>
              <w:t>411,077</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line="214" w:lineRule="exact"/>
              <w:rPr>
                <w:sz w:val="20"/>
                <w:szCs w:val="20"/>
                <w:color w:val="auto"/>
              </w:rPr>
            </w:pPr>
            <w:r>
              <w:rPr>
                <w:rFonts w:ascii="Times New Roman" w:cs="Times New Roman" w:eastAsia="Times New Roman" w:hAnsi="Times New Roman"/>
                <w:sz w:val="19"/>
                <w:szCs w:val="19"/>
                <w:color w:val="231F20"/>
              </w:rPr>
              <w:t>295,208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line="214" w:lineRule="exact"/>
              <w:rPr>
                <w:sz w:val="20"/>
                <w:szCs w:val="20"/>
                <w:color w:val="auto"/>
              </w:rPr>
            </w:pPr>
            <w:r>
              <w:rPr>
                <w:rFonts w:ascii="Times New Roman" w:cs="Times New Roman" w:eastAsia="Times New Roman" w:hAnsi="Times New Roman"/>
                <w:sz w:val="19"/>
                <w:szCs w:val="19"/>
                <w:color w:val="231F20"/>
              </w:rPr>
              <w:t>236,985</w:t>
            </w:r>
          </w:p>
        </w:tc>
        <w:tc>
          <w:tcPr>
            <w:tcW w:w="0" w:type="dxa"/>
            <w:vAlign w:val="bottom"/>
          </w:tcPr>
          <w:p>
            <w:pPr>
              <w:spacing w:after="0"/>
              <w:rPr>
                <w:sz w:val="1"/>
                <w:szCs w:val="1"/>
                <w:color w:val="auto"/>
              </w:rPr>
            </w:pPr>
          </w:p>
        </w:tc>
      </w:tr>
      <w:tr>
        <w:trPr>
          <w:trHeight w:val="252"/>
        </w:trPr>
        <w:tc>
          <w:tcPr>
            <w:tcW w:w="6220" w:type="dxa"/>
            <w:vAlign w:val="bottom"/>
          </w:tcPr>
          <w:p>
            <w:pPr>
              <w:ind w:left="340"/>
              <w:spacing w:after="0"/>
              <w:rPr>
                <w:sz w:val="20"/>
                <w:szCs w:val="20"/>
                <w:color w:val="auto"/>
              </w:rPr>
            </w:pPr>
            <w:r>
              <w:rPr>
                <w:rFonts w:ascii="Times New Roman" w:cs="Times New Roman" w:eastAsia="Times New Roman" w:hAnsi="Times New Roman"/>
                <w:sz w:val="19"/>
                <w:szCs w:val="19"/>
                <w:color w:val="231F20"/>
              </w:rPr>
              <w:t>Dividends on preferred shares</w:t>
            </w:r>
          </w:p>
        </w:tc>
        <w:tc>
          <w:tcPr>
            <w:tcW w:w="200" w:type="dxa"/>
            <w:vAlign w:val="bottom"/>
            <w:tcBorders>
              <w:bottom w:val="single" w:sz="8" w:color="231F20"/>
            </w:tcBorders>
          </w:tcPr>
          <w:p>
            <w:pPr>
              <w:spacing w:after="0"/>
              <w:rPr>
                <w:sz w:val="21"/>
                <w:szCs w:val="21"/>
                <w:color w:val="auto"/>
              </w:rPr>
            </w:pPr>
          </w:p>
        </w:tc>
        <w:tc>
          <w:tcPr>
            <w:tcW w:w="9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(8,032)</w:t>
            </w:r>
          </w:p>
        </w:tc>
        <w:tc>
          <w:tcPr>
            <w:tcW w:w="60" w:type="dxa"/>
            <w:vAlign w:val="bottom"/>
          </w:tcPr>
          <w:p>
            <w:pPr>
              <w:spacing w:after="0"/>
              <w:rPr>
                <w:sz w:val="21"/>
                <w:szCs w:val="21"/>
                <w:color w:val="auto"/>
              </w:rPr>
            </w:pPr>
          </w:p>
        </w:tc>
        <w:tc>
          <w:tcPr>
            <w:tcW w:w="180" w:type="dxa"/>
            <w:vAlign w:val="bottom"/>
            <w:tcBorders>
              <w:bottom w:val="single" w:sz="8" w:color="231F20"/>
            </w:tcBorders>
          </w:tcPr>
          <w:p>
            <w:pPr>
              <w:spacing w:after="0"/>
              <w:rPr>
                <w:sz w:val="21"/>
                <w:szCs w:val="21"/>
                <w:color w:val="auto"/>
              </w:rPr>
            </w:pPr>
          </w:p>
        </w:tc>
        <w:tc>
          <w:tcPr>
            <w:tcW w:w="9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(8,032)</w:t>
            </w:r>
          </w:p>
        </w:tc>
        <w:tc>
          <w:tcPr>
            <w:tcW w:w="80" w:type="dxa"/>
            <w:vAlign w:val="bottom"/>
          </w:tcPr>
          <w:p>
            <w:pPr>
              <w:spacing w:after="0"/>
              <w:rPr>
                <w:sz w:val="21"/>
                <w:szCs w:val="21"/>
                <w:color w:val="auto"/>
              </w:rPr>
            </w:pPr>
          </w:p>
        </w:tc>
        <w:tc>
          <w:tcPr>
            <w:tcW w:w="240" w:type="dxa"/>
            <w:vAlign w:val="bottom"/>
            <w:tcBorders>
              <w:bottom w:val="single" w:sz="8" w:color="231F20"/>
            </w:tcBorders>
          </w:tcPr>
          <w:p>
            <w:pPr>
              <w:spacing w:after="0"/>
              <w:rPr>
                <w:sz w:val="21"/>
                <w:szCs w:val="21"/>
                <w:color w:val="auto"/>
              </w:rPr>
            </w:pPr>
          </w:p>
        </w:tc>
        <w:tc>
          <w:tcPr>
            <w:tcW w:w="8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(8,032)</w:t>
            </w:r>
          </w:p>
        </w:tc>
        <w:tc>
          <w:tcPr>
            <w:tcW w:w="0" w:type="dxa"/>
            <w:vAlign w:val="bottom"/>
          </w:tcPr>
          <w:p>
            <w:pPr>
              <w:spacing w:after="0"/>
              <w:rPr>
                <w:sz w:val="1"/>
                <w:szCs w:val="1"/>
                <w:color w:val="auto"/>
              </w:rPr>
            </w:pPr>
          </w:p>
        </w:tc>
      </w:tr>
      <w:tr>
        <w:trPr>
          <w:trHeight w:val="203"/>
        </w:trPr>
        <w:tc>
          <w:tcPr>
            <w:tcW w:w="6220" w:type="dxa"/>
            <w:vAlign w:val="bottom"/>
          </w:tcPr>
          <w:p>
            <w:pPr>
              <w:spacing w:after="0" w:line="204" w:lineRule="exact"/>
              <w:rPr>
                <w:sz w:val="20"/>
                <w:szCs w:val="20"/>
                <w:color w:val="auto"/>
              </w:rPr>
            </w:pPr>
            <w:r>
              <w:rPr>
                <w:rFonts w:ascii="Times New Roman" w:cs="Times New Roman" w:eastAsia="Times New Roman" w:hAnsi="Times New Roman"/>
                <w:sz w:val="19"/>
                <w:szCs w:val="19"/>
                <w:color w:val="231F20"/>
              </w:rPr>
              <w:t>NET INCOME AVAILABLE FOR COMMON SHAREHOLDERS</w:t>
            </w:r>
          </w:p>
        </w:tc>
        <w:tc>
          <w:tcPr>
            <w:tcW w:w="200" w:type="dxa"/>
            <w:vAlign w:val="bottom"/>
            <w:tcBorders>
              <w:bottom w:val="single" w:sz="8" w:color="231F20"/>
            </w:tcBorders>
          </w:tcPr>
          <w:p>
            <w:pPr>
              <w:jc w:val="right"/>
              <w:spacing w:after="0" w:line="204" w:lineRule="exact"/>
              <w:rPr>
                <w:sz w:val="20"/>
                <w:szCs w:val="20"/>
                <w:color w:val="auto"/>
              </w:rPr>
            </w:pPr>
            <w:r>
              <w:rPr>
                <w:rFonts w:ascii="Times New Roman" w:cs="Times New Roman" w:eastAsia="Times New Roman" w:hAnsi="Times New Roman"/>
                <w:sz w:val="19"/>
                <w:szCs w:val="19"/>
                <w:color w:val="231F20"/>
              </w:rPr>
              <w:t>$</w:t>
            </w:r>
          </w:p>
        </w:tc>
        <w:tc>
          <w:tcPr>
            <w:tcW w:w="900" w:type="dxa"/>
            <w:vAlign w:val="bottom"/>
            <w:tcBorders>
              <w:bottom w:val="single" w:sz="8" w:color="231F20"/>
            </w:tcBorders>
          </w:tcPr>
          <w:p>
            <w:pPr>
              <w:jc w:val="right"/>
              <w:spacing w:after="0" w:line="204" w:lineRule="exact"/>
              <w:rPr>
                <w:sz w:val="20"/>
                <w:szCs w:val="20"/>
                <w:color w:val="auto"/>
              </w:rPr>
            </w:pPr>
            <w:r>
              <w:rPr>
                <w:rFonts w:ascii="Times New Roman" w:cs="Times New Roman" w:eastAsia="Times New Roman" w:hAnsi="Times New Roman"/>
                <w:sz w:val="19"/>
                <w:szCs w:val="19"/>
                <w:color w:val="231F20"/>
              </w:rPr>
              <w:t>403,045</w:t>
            </w:r>
          </w:p>
        </w:tc>
        <w:tc>
          <w:tcPr>
            <w:tcW w:w="60" w:type="dxa"/>
            <w:vAlign w:val="bottom"/>
          </w:tcPr>
          <w:p>
            <w:pPr>
              <w:spacing w:after="0"/>
              <w:rPr>
                <w:sz w:val="17"/>
                <w:szCs w:val="17"/>
                <w:color w:val="auto"/>
              </w:rPr>
            </w:pPr>
          </w:p>
        </w:tc>
        <w:tc>
          <w:tcPr>
            <w:tcW w:w="180" w:type="dxa"/>
            <w:vAlign w:val="bottom"/>
            <w:tcBorders>
              <w:bottom w:val="single" w:sz="8" w:color="231F20"/>
            </w:tcBorders>
          </w:tcPr>
          <w:p>
            <w:pPr>
              <w:jc w:val="right"/>
              <w:spacing w:after="0" w:line="204" w:lineRule="exact"/>
              <w:rPr>
                <w:sz w:val="20"/>
                <w:szCs w:val="20"/>
                <w:color w:val="auto"/>
              </w:rPr>
            </w:pPr>
            <w:r>
              <w:rPr>
                <w:rFonts w:ascii="Times New Roman" w:cs="Times New Roman" w:eastAsia="Times New Roman" w:hAnsi="Times New Roman"/>
                <w:sz w:val="19"/>
                <w:szCs w:val="19"/>
                <w:color w:val="231F20"/>
              </w:rPr>
              <w:t>$</w:t>
            </w:r>
          </w:p>
        </w:tc>
        <w:tc>
          <w:tcPr>
            <w:tcW w:w="920" w:type="dxa"/>
            <w:vAlign w:val="bottom"/>
            <w:tcBorders>
              <w:bottom w:val="single" w:sz="8" w:color="231F20"/>
            </w:tcBorders>
          </w:tcPr>
          <w:p>
            <w:pPr>
              <w:jc w:val="right"/>
              <w:spacing w:after="0" w:line="204" w:lineRule="exact"/>
              <w:rPr>
                <w:sz w:val="20"/>
                <w:szCs w:val="20"/>
                <w:color w:val="auto"/>
              </w:rPr>
            </w:pPr>
            <w:r>
              <w:rPr>
                <w:rFonts w:ascii="Times New Roman" w:cs="Times New Roman" w:eastAsia="Times New Roman" w:hAnsi="Times New Roman"/>
                <w:sz w:val="19"/>
                <w:szCs w:val="19"/>
                <w:color w:val="231F20"/>
              </w:rPr>
              <w:t>287,176</w:t>
            </w:r>
          </w:p>
        </w:tc>
        <w:tc>
          <w:tcPr>
            <w:tcW w:w="80" w:type="dxa"/>
            <w:vAlign w:val="bottom"/>
          </w:tcPr>
          <w:p>
            <w:pPr>
              <w:spacing w:after="0"/>
              <w:rPr>
                <w:sz w:val="17"/>
                <w:szCs w:val="17"/>
                <w:color w:val="auto"/>
              </w:rPr>
            </w:pPr>
          </w:p>
        </w:tc>
        <w:tc>
          <w:tcPr>
            <w:tcW w:w="240" w:type="dxa"/>
            <w:vAlign w:val="bottom"/>
            <w:tcBorders>
              <w:bottom w:val="single" w:sz="8" w:color="231F20"/>
            </w:tcBorders>
          </w:tcPr>
          <w:p>
            <w:pPr>
              <w:jc w:val="right"/>
              <w:ind w:right="5"/>
              <w:spacing w:after="0" w:line="204" w:lineRule="exact"/>
              <w:rPr>
                <w:sz w:val="20"/>
                <w:szCs w:val="20"/>
                <w:color w:val="auto"/>
              </w:rPr>
            </w:pPr>
            <w:r>
              <w:rPr>
                <w:rFonts w:ascii="Times New Roman" w:cs="Times New Roman" w:eastAsia="Times New Roman" w:hAnsi="Times New Roman"/>
                <w:sz w:val="19"/>
                <w:szCs w:val="19"/>
                <w:color w:val="231F20"/>
              </w:rPr>
              <w:t>$</w:t>
            </w:r>
          </w:p>
        </w:tc>
        <w:tc>
          <w:tcPr>
            <w:tcW w:w="860" w:type="dxa"/>
            <w:vAlign w:val="bottom"/>
            <w:tcBorders>
              <w:bottom w:val="single" w:sz="8" w:color="231F20"/>
            </w:tcBorders>
          </w:tcPr>
          <w:p>
            <w:pPr>
              <w:jc w:val="right"/>
              <w:spacing w:after="0" w:line="204" w:lineRule="exact"/>
              <w:rPr>
                <w:sz w:val="20"/>
                <w:szCs w:val="20"/>
                <w:color w:val="auto"/>
              </w:rPr>
            </w:pPr>
            <w:r>
              <w:rPr>
                <w:rFonts w:ascii="Times New Roman" w:cs="Times New Roman" w:eastAsia="Times New Roman" w:hAnsi="Times New Roman"/>
                <w:sz w:val="19"/>
                <w:szCs w:val="19"/>
                <w:color w:val="231F20"/>
              </w:rPr>
              <w:t>228,953</w:t>
            </w:r>
          </w:p>
        </w:tc>
        <w:tc>
          <w:tcPr>
            <w:tcW w:w="0" w:type="dxa"/>
            <w:vAlign w:val="bottom"/>
          </w:tcPr>
          <w:p>
            <w:pPr>
              <w:spacing w:after="0"/>
              <w:rPr>
                <w:sz w:val="1"/>
                <w:szCs w:val="1"/>
                <w:color w:val="auto"/>
              </w:rPr>
            </w:pPr>
          </w:p>
        </w:tc>
      </w:tr>
      <w:tr>
        <w:trPr>
          <w:trHeight w:val="20"/>
        </w:trPr>
        <w:tc>
          <w:tcPr>
            <w:tcW w:w="6220" w:type="dxa"/>
            <w:vAlign w:val="bottom"/>
            <w:vMerge w:val="restart"/>
          </w:tcPr>
          <w:p>
            <w:pPr>
              <w:spacing w:after="0"/>
              <w:rPr>
                <w:sz w:val="20"/>
                <w:szCs w:val="20"/>
                <w:color w:val="auto"/>
              </w:rPr>
            </w:pPr>
            <w:r>
              <w:rPr>
                <w:rFonts w:ascii="Times New Roman" w:cs="Times New Roman" w:eastAsia="Times New Roman" w:hAnsi="Times New Roman"/>
                <w:sz w:val="19"/>
                <w:szCs w:val="19"/>
                <w:color w:val="231F20"/>
              </w:rPr>
              <w:t>EARNINGS PER COMMON SHARE, BASIC</w:t>
            </w:r>
          </w:p>
        </w:tc>
        <w:tc>
          <w:tcPr>
            <w:tcW w:w="200" w:type="dxa"/>
            <w:vAlign w:val="bottom"/>
            <w:tcBorders>
              <w:bottom w:val="single" w:sz="8" w:color="231F20"/>
            </w:tcBorders>
          </w:tcPr>
          <w:p>
            <w:pPr>
              <w:spacing w:after="0" w:line="20" w:lineRule="exact"/>
              <w:rPr>
                <w:sz w:val="1"/>
                <w:szCs w:val="1"/>
                <w:color w:val="auto"/>
              </w:rPr>
            </w:pPr>
          </w:p>
        </w:tc>
        <w:tc>
          <w:tcPr>
            <w:tcW w:w="90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231F20"/>
            </w:tcBorders>
          </w:tcPr>
          <w:p>
            <w:pPr>
              <w:spacing w:after="0" w:line="20" w:lineRule="exact"/>
              <w:rPr>
                <w:sz w:val="1"/>
                <w:szCs w:val="1"/>
                <w:color w:val="auto"/>
              </w:rPr>
            </w:pPr>
          </w:p>
        </w:tc>
        <w:tc>
          <w:tcPr>
            <w:tcW w:w="92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231F20"/>
            </w:tcBorders>
          </w:tcPr>
          <w:p>
            <w:pPr>
              <w:spacing w:after="0" w:line="20" w:lineRule="exact"/>
              <w:rPr>
                <w:sz w:val="1"/>
                <w:szCs w:val="1"/>
                <w:color w:val="auto"/>
              </w:rPr>
            </w:pPr>
          </w:p>
        </w:tc>
        <w:tc>
          <w:tcPr>
            <w:tcW w:w="86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6220" w:type="dxa"/>
            <w:vAlign w:val="bottom"/>
            <w:vMerge w:val="continue"/>
          </w:tcPr>
          <w:p>
            <w:pPr>
              <w:spacing w:after="0"/>
              <w:rPr>
                <w:sz w:val="17"/>
                <w:szCs w:val="17"/>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231F20"/>
              </w:rPr>
              <w:t>4.68</w:t>
            </w: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231F20"/>
              </w:rPr>
              <w:t>3.42</w:t>
            </w:r>
          </w:p>
        </w:tc>
        <w:tc>
          <w:tcPr>
            <w:tcW w:w="320" w:type="dxa"/>
            <w:vAlign w:val="bottom"/>
            <w:gridSpan w:val="2"/>
            <w:vMerge w:val="restart"/>
          </w:tcPr>
          <w:p>
            <w:pPr>
              <w:jc w:val="right"/>
              <w:ind w:right="5"/>
              <w:spacing w:after="0"/>
              <w:rPr>
                <w:sz w:val="20"/>
                <w:szCs w:val="20"/>
                <w:color w:val="auto"/>
              </w:rPr>
            </w:pPr>
            <w:r>
              <w:rPr>
                <w:rFonts w:ascii="Times New Roman" w:cs="Times New Roman" w:eastAsia="Times New Roman" w:hAnsi="Times New Roman"/>
                <w:sz w:val="19"/>
                <w:szCs w:val="19"/>
                <w:color w:val="231F20"/>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231F20"/>
              </w:rPr>
              <w:t>2.80</w:t>
            </w:r>
          </w:p>
        </w:tc>
        <w:tc>
          <w:tcPr>
            <w:tcW w:w="0" w:type="dxa"/>
            <w:vAlign w:val="bottom"/>
          </w:tcPr>
          <w:p>
            <w:pPr>
              <w:spacing w:after="0"/>
              <w:rPr>
                <w:sz w:val="1"/>
                <w:szCs w:val="1"/>
                <w:color w:val="auto"/>
              </w:rPr>
            </w:pPr>
          </w:p>
        </w:tc>
      </w:tr>
      <w:tr>
        <w:trPr>
          <w:trHeight w:val="224"/>
        </w:trPr>
        <w:tc>
          <w:tcPr>
            <w:tcW w:w="6220" w:type="dxa"/>
            <w:vAlign w:val="bottom"/>
          </w:tcPr>
          <w:p>
            <w:pPr>
              <w:ind w:left="340"/>
              <w:spacing w:after="0"/>
              <w:rPr>
                <w:sz w:val="20"/>
                <w:szCs w:val="20"/>
                <w:color w:val="auto"/>
              </w:rPr>
            </w:pPr>
            <w:r>
              <w:rPr>
                <w:rFonts w:ascii="Times New Roman" w:cs="Times New Roman" w:eastAsia="Times New Roman" w:hAnsi="Times New Roman"/>
                <w:sz w:val="19"/>
                <w:szCs w:val="19"/>
                <w:color w:val="231F20"/>
              </w:rPr>
              <w:t>Net income available for common shareholders</w:t>
            </w:r>
          </w:p>
        </w:tc>
        <w:tc>
          <w:tcPr>
            <w:tcW w:w="200" w:type="dxa"/>
            <w:vAlign w:val="bottom"/>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240" w:type="dxa"/>
            <w:vAlign w:val="bottom"/>
            <w:gridSpan w:val="2"/>
            <w:vMerge w:val="continue"/>
          </w:tcPr>
          <w:p>
            <w:pPr>
              <w:spacing w:after="0"/>
              <w:rPr>
                <w:sz w:val="19"/>
                <w:szCs w:val="19"/>
                <w:color w:val="auto"/>
              </w:rPr>
            </w:pPr>
          </w:p>
        </w:tc>
        <w:tc>
          <w:tcPr>
            <w:tcW w:w="920" w:type="dxa"/>
            <w:vAlign w:val="bottom"/>
            <w:vMerge w:val="continue"/>
          </w:tcPr>
          <w:p>
            <w:pPr>
              <w:spacing w:after="0"/>
              <w:rPr>
                <w:sz w:val="19"/>
                <w:szCs w:val="19"/>
                <w:color w:val="auto"/>
              </w:rPr>
            </w:pPr>
          </w:p>
        </w:tc>
        <w:tc>
          <w:tcPr>
            <w:tcW w:w="320" w:type="dxa"/>
            <w:vAlign w:val="bottom"/>
            <w:gridSpan w:val="2"/>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ind w:left="340"/>
              <w:spacing w:after="0"/>
              <w:rPr>
                <w:sz w:val="20"/>
                <w:szCs w:val="20"/>
                <w:color w:val="auto"/>
              </w:rPr>
            </w:pPr>
            <w:r>
              <w:rPr>
                <w:rFonts w:ascii="Times New Roman" w:cs="Times New Roman" w:eastAsia="Times New Roman" w:hAnsi="Times New Roman"/>
                <w:sz w:val="19"/>
                <w:szCs w:val="19"/>
                <w:color w:val="231F20"/>
              </w:rPr>
              <w:t>Weighted average number of common shares</w:t>
            </w:r>
          </w:p>
        </w:tc>
        <w:tc>
          <w:tcPr>
            <w:tcW w:w="200" w:type="dxa"/>
            <w:vAlign w:val="bottom"/>
            <w:tcBorders>
              <w:top w:val="single" w:sz="8" w:color="231F20"/>
              <w:bottom w:val="single" w:sz="8" w:color="231F20"/>
            </w:tcBorders>
          </w:tcPr>
          <w:p>
            <w:pPr>
              <w:spacing w:after="0" w:line="20" w:lineRule="exact"/>
              <w:rPr>
                <w:sz w:val="1"/>
                <w:szCs w:val="1"/>
                <w:color w:val="auto"/>
              </w:rPr>
            </w:pPr>
          </w:p>
        </w:tc>
        <w:tc>
          <w:tcPr>
            <w:tcW w:w="90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231F20"/>
              <w:bottom w:val="single" w:sz="8" w:color="231F20"/>
            </w:tcBorders>
          </w:tcPr>
          <w:p>
            <w:pPr>
              <w:spacing w:after="0" w:line="20" w:lineRule="exact"/>
              <w:rPr>
                <w:sz w:val="1"/>
                <w:szCs w:val="1"/>
                <w:color w:val="auto"/>
              </w:rPr>
            </w:pPr>
          </w:p>
        </w:tc>
        <w:tc>
          <w:tcPr>
            <w:tcW w:w="92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231F20"/>
              <w:bottom w:val="single" w:sz="8" w:color="231F20"/>
            </w:tcBorders>
          </w:tcPr>
          <w:p>
            <w:pPr>
              <w:spacing w:after="0" w:line="20" w:lineRule="exact"/>
              <w:rPr>
                <w:sz w:val="1"/>
                <w:szCs w:val="1"/>
                <w:color w:val="auto"/>
              </w:rPr>
            </w:pPr>
          </w:p>
        </w:tc>
        <w:tc>
          <w:tcPr>
            <w:tcW w:w="860" w:type="dxa"/>
            <w:vAlign w:val="bottom"/>
            <w:tcBorders>
              <w:top w:val="single" w:sz="8" w:color="231F20"/>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20" w:type="dxa"/>
            <w:vAlign w:val="bottom"/>
            <w:vMerge w:val="continue"/>
          </w:tcPr>
          <w:p>
            <w:pPr>
              <w:spacing w:after="0"/>
              <w:rPr>
                <w:sz w:val="15"/>
                <w:szCs w:val="15"/>
                <w:color w:val="auto"/>
              </w:rPr>
            </w:pPr>
          </w:p>
        </w:tc>
        <w:tc>
          <w:tcPr>
            <w:tcW w:w="200" w:type="dxa"/>
            <w:vAlign w:val="bottom"/>
            <w:tcBorders>
              <w:bottom w:val="single" w:sz="8" w:color="231F20"/>
            </w:tcBorders>
          </w:tcPr>
          <w:p>
            <w:pPr>
              <w:spacing w:after="0"/>
              <w:rPr>
                <w:sz w:val="15"/>
                <w:szCs w:val="15"/>
                <w:color w:val="auto"/>
              </w:rPr>
            </w:pPr>
          </w:p>
        </w:tc>
        <w:tc>
          <w:tcPr>
            <w:tcW w:w="900" w:type="dxa"/>
            <w:vAlign w:val="bottom"/>
            <w:tcBorders>
              <w:bottom w:val="single" w:sz="8" w:color="231F20"/>
            </w:tcBorders>
          </w:tcPr>
          <w:p>
            <w:pPr>
              <w:jc w:val="right"/>
              <w:spacing w:after="0" w:line="183" w:lineRule="exact"/>
              <w:rPr>
                <w:sz w:val="20"/>
                <w:szCs w:val="20"/>
                <w:color w:val="auto"/>
              </w:rPr>
            </w:pPr>
            <w:r>
              <w:rPr>
                <w:rFonts w:ascii="Times New Roman" w:cs="Times New Roman" w:eastAsia="Times New Roman" w:hAnsi="Times New Roman"/>
                <w:sz w:val="19"/>
                <w:szCs w:val="19"/>
                <w:color w:val="231F20"/>
              </w:rPr>
              <w:t>85,852</w:t>
            </w:r>
          </w:p>
        </w:tc>
        <w:tc>
          <w:tcPr>
            <w:tcW w:w="60" w:type="dxa"/>
            <w:vAlign w:val="bottom"/>
          </w:tcPr>
          <w:p>
            <w:pPr>
              <w:spacing w:after="0"/>
              <w:rPr>
                <w:sz w:val="15"/>
                <w:szCs w:val="15"/>
                <w:color w:val="auto"/>
              </w:rPr>
            </w:pPr>
          </w:p>
        </w:tc>
        <w:tc>
          <w:tcPr>
            <w:tcW w:w="180" w:type="dxa"/>
            <w:vAlign w:val="bottom"/>
            <w:tcBorders>
              <w:bottom w:val="single" w:sz="8" w:color="231F20"/>
            </w:tcBorders>
          </w:tcPr>
          <w:p>
            <w:pPr>
              <w:spacing w:after="0"/>
              <w:rPr>
                <w:sz w:val="15"/>
                <w:szCs w:val="15"/>
                <w:color w:val="auto"/>
              </w:rPr>
            </w:pPr>
          </w:p>
        </w:tc>
        <w:tc>
          <w:tcPr>
            <w:tcW w:w="920" w:type="dxa"/>
            <w:vAlign w:val="bottom"/>
            <w:tcBorders>
              <w:bottom w:val="single" w:sz="8" w:color="231F20"/>
            </w:tcBorders>
          </w:tcPr>
          <w:p>
            <w:pPr>
              <w:jc w:val="right"/>
              <w:spacing w:after="0" w:line="183" w:lineRule="exact"/>
              <w:rPr>
                <w:sz w:val="20"/>
                <w:szCs w:val="20"/>
                <w:color w:val="auto"/>
              </w:rPr>
            </w:pPr>
            <w:r>
              <w:rPr>
                <w:rFonts w:ascii="Times New Roman" w:cs="Times New Roman" w:eastAsia="Times New Roman" w:hAnsi="Times New Roman"/>
                <w:sz w:val="19"/>
                <w:szCs w:val="19"/>
                <w:color w:val="231F20"/>
              </w:rPr>
              <w:t>83,559</w:t>
            </w:r>
          </w:p>
        </w:tc>
        <w:tc>
          <w:tcPr>
            <w:tcW w:w="80" w:type="dxa"/>
            <w:vAlign w:val="bottom"/>
          </w:tcPr>
          <w:p>
            <w:pPr>
              <w:spacing w:after="0"/>
              <w:rPr>
                <w:sz w:val="15"/>
                <w:szCs w:val="15"/>
                <w:color w:val="auto"/>
              </w:rPr>
            </w:pPr>
          </w:p>
        </w:tc>
        <w:tc>
          <w:tcPr>
            <w:tcW w:w="240" w:type="dxa"/>
            <w:vAlign w:val="bottom"/>
            <w:tcBorders>
              <w:bottom w:val="single" w:sz="8" w:color="231F20"/>
            </w:tcBorders>
          </w:tcPr>
          <w:p>
            <w:pPr>
              <w:spacing w:after="0"/>
              <w:rPr>
                <w:sz w:val="15"/>
                <w:szCs w:val="15"/>
                <w:color w:val="auto"/>
              </w:rPr>
            </w:pPr>
          </w:p>
        </w:tc>
        <w:tc>
          <w:tcPr>
            <w:tcW w:w="860" w:type="dxa"/>
            <w:vAlign w:val="bottom"/>
            <w:tcBorders>
              <w:bottom w:val="single" w:sz="8" w:color="231F20"/>
            </w:tcBorders>
          </w:tcPr>
          <w:p>
            <w:pPr>
              <w:jc w:val="right"/>
              <w:spacing w:after="0" w:line="183" w:lineRule="exact"/>
              <w:rPr>
                <w:sz w:val="20"/>
                <w:szCs w:val="20"/>
                <w:color w:val="auto"/>
              </w:rPr>
            </w:pPr>
            <w:r>
              <w:rPr>
                <w:rFonts w:ascii="Times New Roman" w:cs="Times New Roman" w:eastAsia="Times New Roman" w:hAnsi="Times New Roman"/>
                <w:sz w:val="19"/>
                <w:szCs w:val="19"/>
                <w:color w:val="231F20"/>
              </w:rPr>
              <w:t>81,313</w:t>
            </w:r>
          </w:p>
        </w:tc>
        <w:tc>
          <w:tcPr>
            <w:tcW w:w="0" w:type="dxa"/>
            <w:vAlign w:val="bottom"/>
          </w:tcPr>
          <w:p>
            <w:pPr>
              <w:spacing w:after="0"/>
              <w:rPr>
                <w:sz w:val="1"/>
                <w:szCs w:val="1"/>
                <w:color w:val="auto"/>
              </w:rPr>
            </w:pPr>
          </w:p>
        </w:tc>
      </w:tr>
      <w:tr>
        <w:trPr>
          <w:trHeight w:val="20"/>
        </w:trPr>
        <w:tc>
          <w:tcPr>
            <w:tcW w:w="6220" w:type="dxa"/>
            <w:vAlign w:val="bottom"/>
            <w:vMerge w:val="restart"/>
          </w:tcPr>
          <w:p>
            <w:pPr>
              <w:spacing w:after="0"/>
              <w:rPr>
                <w:sz w:val="20"/>
                <w:szCs w:val="20"/>
                <w:color w:val="auto"/>
              </w:rPr>
            </w:pPr>
            <w:r>
              <w:rPr>
                <w:rFonts w:ascii="Times New Roman" w:cs="Times New Roman" w:eastAsia="Times New Roman" w:hAnsi="Times New Roman"/>
                <w:sz w:val="19"/>
                <w:szCs w:val="19"/>
                <w:color w:val="231F20"/>
              </w:rPr>
              <w:t>EARNINGS PER COMMON SHARE, DILUTED</w:t>
            </w:r>
          </w:p>
        </w:tc>
        <w:tc>
          <w:tcPr>
            <w:tcW w:w="200" w:type="dxa"/>
            <w:vAlign w:val="bottom"/>
            <w:tcBorders>
              <w:bottom w:val="single" w:sz="8" w:color="231F20"/>
            </w:tcBorders>
          </w:tcPr>
          <w:p>
            <w:pPr>
              <w:spacing w:after="0" w:line="20" w:lineRule="exact"/>
              <w:rPr>
                <w:sz w:val="1"/>
                <w:szCs w:val="1"/>
                <w:color w:val="auto"/>
              </w:rPr>
            </w:pPr>
          </w:p>
        </w:tc>
        <w:tc>
          <w:tcPr>
            <w:tcW w:w="90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231F20"/>
            </w:tcBorders>
          </w:tcPr>
          <w:p>
            <w:pPr>
              <w:spacing w:after="0" w:line="20" w:lineRule="exact"/>
              <w:rPr>
                <w:sz w:val="1"/>
                <w:szCs w:val="1"/>
                <w:color w:val="auto"/>
              </w:rPr>
            </w:pPr>
          </w:p>
        </w:tc>
        <w:tc>
          <w:tcPr>
            <w:tcW w:w="92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231F20"/>
            </w:tcBorders>
          </w:tcPr>
          <w:p>
            <w:pPr>
              <w:spacing w:after="0" w:line="20" w:lineRule="exact"/>
              <w:rPr>
                <w:sz w:val="1"/>
                <w:szCs w:val="1"/>
                <w:color w:val="auto"/>
              </w:rPr>
            </w:pPr>
          </w:p>
        </w:tc>
        <w:tc>
          <w:tcPr>
            <w:tcW w:w="86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6220" w:type="dxa"/>
            <w:vAlign w:val="bottom"/>
            <w:vMerge w:val="continue"/>
          </w:tcPr>
          <w:p>
            <w:pPr>
              <w:spacing w:after="0"/>
              <w:rPr>
                <w:sz w:val="17"/>
                <w:szCs w:val="17"/>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231F20"/>
              </w:rPr>
              <w:t>4.68</w:t>
            </w: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231F20"/>
              </w:rPr>
              <w:t>3.42</w:t>
            </w:r>
          </w:p>
        </w:tc>
        <w:tc>
          <w:tcPr>
            <w:tcW w:w="320" w:type="dxa"/>
            <w:vAlign w:val="bottom"/>
            <w:gridSpan w:val="2"/>
            <w:vMerge w:val="restart"/>
          </w:tcPr>
          <w:p>
            <w:pPr>
              <w:jc w:val="right"/>
              <w:ind w:right="5"/>
              <w:spacing w:after="0"/>
              <w:rPr>
                <w:sz w:val="20"/>
                <w:szCs w:val="20"/>
                <w:color w:val="auto"/>
              </w:rPr>
            </w:pPr>
            <w:r>
              <w:rPr>
                <w:rFonts w:ascii="Times New Roman" w:cs="Times New Roman" w:eastAsia="Times New Roman" w:hAnsi="Times New Roman"/>
                <w:sz w:val="19"/>
                <w:szCs w:val="19"/>
                <w:color w:val="231F20"/>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231F20"/>
              </w:rPr>
              <w:t>2.80</w:t>
            </w:r>
          </w:p>
        </w:tc>
        <w:tc>
          <w:tcPr>
            <w:tcW w:w="0" w:type="dxa"/>
            <w:vAlign w:val="bottom"/>
          </w:tcPr>
          <w:p>
            <w:pPr>
              <w:spacing w:after="0"/>
              <w:rPr>
                <w:sz w:val="1"/>
                <w:szCs w:val="1"/>
                <w:color w:val="auto"/>
              </w:rPr>
            </w:pPr>
          </w:p>
        </w:tc>
      </w:tr>
      <w:tr>
        <w:trPr>
          <w:trHeight w:val="224"/>
        </w:trPr>
        <w:tc>
          <w:tcPr>
            <w:tcW w:w="6220" w:type="dxa"/>
            <w:vAlign w:val="bottom"/>
          </w:tcPr>
          <w:p>
            <w:pPr>
              <w:ind w:left="340"/>
              <w:spacing w:after="0"/>
              <w:rPr>
                <w:sz w:val="20"/>
                <w:szCs w:val="20"/>
                <w:color w:val="auto"/>
              </w:rPr>
            </w:pPr>
            <w:r>
              <w:rPr>
                <w:rFonts w:ascii="Times New Roman" w:cs="Times New Roman" w:eastAsia="Times New Roman" w:hAnsi="Times New Roman"/>
                <w:sz w:val="19"/>
                <w:szCs w:val="19"/>
                <w:color w:val="231F20"/>
              </w:rPr>
              <w:t>Net income available for common shareholders</w:t>
            </w:r>
          </w:p>
        </w:tc>
        <w:tc>
          <w:tcPr>
            <w:tcW w:w="200" w:type="dxa"/>
            <w:vAlign w:val="bottom"/>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240" w:type="dxa"/>
            <w:vAlign w:val="bottom"/>
            <w:gridSpan w:val="2"/>
            <w:vMerge w:val="continue"/>
          </w:tcPr>
          <w:p>
            <w:pPr>
              <w:spacing w:after="0"/>
              <w:rPr>
                <w:sz w:val="19"/>
                <w:szCs w:val="19"/>
                <w:color w:val="auto"/>
              </w:rPr>
            </w:pPr>
          </w:p>
        </w:tc>
        <w:tc>
          <w:tcPr>
            <w:tcW w:w="920" w:type="dxa"/>
            <w:vAlign w:val="bottom"/>
            <w:vMerge w:val="continue"/>
          </w:tcPr>
          <w:p>
            <w:pPr>
              <w:spacing w:after="0"/>
              <w:rPr>
                <w:sz w:val="19"/>
                <w:szCs w:val="19"/>
                <w:color w:val="auto"/>
              </w:rPr>
            </w:pPr>
          </w:p>
        </w:tc>
        <w:tc>
          <w:tcPr>
            <w:tcW w:w="320" w:type="dxa"/>
            <w:vAlign w:val="bottom"/>
            <w:gridSpan w:val="2"/>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ind w:left="340"/>
              <w:spacing w:after="0"/>
              <w:rPr>
                <w:sz w:val="20"/>
                <w:szCs w:val="20"/>
                <w:color w:val="auto"/>
              </w:rPr>
            </w:pPr>
            <w:r>
              <w:rPr>
                <w:rFonts w:ascii="Times New Roman" w:cs="Times New Roman" w:eastAsia="Times New Roman" w:hAnsi="Times New Roman"/>
                <w:sz w:val="19"/>
                <w:szCs w:val="19"/>
                <w:color w:val="231F20"/>
              </w:rPr>
              <w:t>Weighted average number of common shares</w:t>
            </w:r>
          </w:p>
        </w:tc>
        <w:tc>
          <w:tcPr>
            <w:tcW w:w="200" w:type="dxa"/>
            <w:vAlign w:val="bottom"/>
            <w:tcBorders>
              <w:top w:val="single" w:sz="8" w:color="231F20"/>
              <w:bottom w:val="single" w:sz="8" w:color="231F20"/>
            </w:tcBorders>
          </w:tcPr>
          <w:p>
            <w:pPr>
              <w:spacing w:after="0" w:line="20" w:lineRule="exact"/>
              <w:rPr>
                <w:sz w:val="1"/>
                <w:szCs w:val="1"/>
                <w:color w:val="auto"/>
              </w:rPr>
            </w:pPr>
          </w:p>
        </w:tc>
        <w:tc>
          <w:tcPr>
            <w:tcW w:w="90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231F20"/>
              <w:bottom w:val="single" w:sz="8" w:color="231F20"/>
            </w:tcBorders>
          </w:tcPr>
          <w:p>
            <w:pPr>
              <w:spacing w:after="0" w:line="20" w:lineRule="exact"/>
              <w:rPr>
                <w:sz w:val="1"/>
                <w:szCs w:val="1"/>
                <w:color w:val="auto"/>
              </w:rPr>
            </w:pPr>
          </w:p>
        </w:tc>
        <w:tc>
          <w:tcPr>
            <w:tcW w:w="92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231F20"/>
              <w:bottom w:val="single" w:sz="8" w:color="231F20"/>
            </w:tcBorders>
          </w:tcPr>
          <w:p>
            <w:pPr>
              <w:spacing w:after="0" w:line="20" w:lineRule="exact"/>
              <w:rPr>
                <w:sz w:val="1"/>
                <w:szCs w:val="1"/>
                <w:color w:val="auto"/>
              </w:rPr>
            </w:pPr>
          </w:p>
        </w:tc>
        <w:tc>
          <w:tcPr>
            <w:tcW w:w="860" w:type="dxa"/>
            <w:vAlign w:val="bottom"/>
            <w:tcBorders>
              <w:top w:val="single" w:sz="8" w:color="231F20"/>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20" w:type="dxa"/>
            <w:vAlign w:val="bottom"/>
            <w:vMerge w:val="continue"/>
          </w:tcPr>
          <w:p>
            <w:pPr>
              <w:spacing w:after="0"/>
              <w:rPr>
                <w:sz w:val="15"/>
                <w:szCs w:val="15"/>
                <w:color w:val="auto"/>
              </w:rPr>
            </w:pPr>
          </w:p>
        </w:tc>
        <w:tc>
          <w:tcPr>
            <w:tcW w:w="200" w:type="dxa"/>
            <w:vAlign w:val="bottom"/>
            <w:tcBorders>
              <w:bottom w:val="single" w:sz="8" w:color="231F20"/>
            </w:tcBorders>
          </w:tcPr>
          <w:p>
            <w:pPr>
              <w:spacing w:after="0"/>
              <w:rPr>
                <w:sz w:val="15"/>
                <w:szCs w:val="15"/>
                <w:color w:val="auto"/>
              </w:rPr>
            </w:pPr>
          </w:p>
        </w:tc>
        <w:tc>
          <w:tcPr>
            <w:tcW w:w="900" w:type="dxa"/>
            <w:vAlign w:val="bottom"/>
            <w:tcBorders>
              <w:bottom w:val="single" w:sz="8" w:color="231F20"/>
            </w:tcBorders>
          </w:tcPr>
          <w:p>
            <w:pPr>
              <w:jc w:val="right"/>
              <w:spacing w:after="0" w:line="183" w:lineRule="exact"/>
              <w:rPr>
                <w:sz w:val="20"/>
                <w:szCs w:val="20"/>
                <w:color w:val="auto"/>
              </w:rPr>
            </w:pPr>
            <w:r>
              <w:rPr>
                <w:rFonts w:ascii="Times New Roman" w:cs="Times New Roman" w:eastAsia="Times New Roman" w:hAnsi="Times New Roman"/>
                <w:sz w:val="19"/>
                <w:szCs w:val="19"/>
                <w:color w:val="231F20"/>
              </w:rPr>
              <w:t>86,405</w:t>
            </w:r>
          </w:p>
        </w:tc>
        <w:tc>
          <w:tcPr>
            <w:tcW w:w="60" w:type="dxa"/>
            <w:vAlign w:val="bottom"/>
          </w:tcPr>
          <w:p>
            <w:pPr>
              <w:spacing w:after="0"/>
              <w:rPr>
                <w:sz w:val="15"/>
                <w:szCs w:val="15"/>
                <w:color w:val="auto"/>
              </w:rPr>
            </w:pPr>
          </w:p>
        </w:tc>
        <w:tc>
          <w:tcPr>
            <w:tcW w:w="180" w:type="dxa"/>
            <w:vAlign w:val="bottom"/>
            <w:tcBorders>
              <w:bottom w:val="single" w:sz="8" w:color="231F20"/>
            </w:tcBorders>
          </w:tcPr>
          <w:p>
            <w:pPr>
              <w:spacing w:after="0"/>
              <w:rPr>
                <w:sz w:val="15"/>
                <w:szCs w:val="15"/>
                <w:color w:val="auto"/>
              </w:rPr>
            </w:pPr>
          </w:p>
        </w:tc>
        <w:tc>
          <w:tcPr>
            <w:tcW w:w="920" w:type="dxa"/>
            <w:vAlign w:val="bottom"/>
            <w:tcBorders>
              <w:bottom w:val="single" w:sz="8" w:color="231F20"/>
            </w:tcBorders>
          </w:tcPr>
          <w:p>
            <w:pPr>
              <w:jc w:val="right"/>
              <w:spacing w:after="0" w:line="183" w:lineRule="exact"/>
              <w:rPr>
                <w:sz w:val="20"/>
                <w:szCs w:val="20"/>
                <w:color w:val="auto"/>
              </w:rPr>
            </w:pPr>
            <w:r>
              <w:rPr>
                <w:rFonts w:ascii="Times New Roman" w:cs="Times New Roman" w:eastAsia="Times New Roman" w:hAnsi="Times New Roman"/>
                <w:sz w:val="19"/>
                <w:szCs w:val="19"/>
                <w:color w:val="231F20"/>
              </w:rPr>
              <w:t>83,566</w:t>
            </w:r>
          </w:p>
        </w:tc>
        <w:tc>
          <w:tcPr>
            <w:tcW w:w="80" w:type="dxa"/>
            <w:vAlign w:val="bottom"/>
          </w:tcPr>
          <w:p>
            <w:pPr>
              <w:spacing w:after="0"/>
              <w:rPr>
                <w:sz w:val="15"/>
                <w:szCs w:val="15"/>
                <w:color w:val="auto"/>
              </w:rPr>
            </w:pPr>
          </w:p>
        </w:tc>
        <w:tc>
          <w:tcPr>
            <w:tcW w:w="240" w:type="dxa"/>
            <w:vAlign w:val="bottom"/>
            <w:tcBorders>
              <w:bottom w:val="single" w:sz="8" w:color="231F20"/>
            </w:tcBorders>
          </w:tcPr>
          <w:p>
            <w:pPr>
              <w:spacing w:after="0"/>
              <w:rPr>
                <w:sz w:val="15"/>
                <w:szCs w:val="15"/>
                <w:color w:val="auto"/>
              </w:rPr>
            </w:pPr>
          </w:p>
        </w:tc>
        <w:tc>
          <w:tcPr>
            <w:tcW w:w="860" w:type="dxa"/>
            <w:vAlign w:val="bottom"/>
            <w:tcBorders>
              <w:bottom w:val="single" w:sz="8" w:color="231F20"/>
            </w:tcBorders>
          </w:tcPr>
          <w:p>
            <w:pPr>
              <w:jc w:val="right"/>
              <w:spacing w:after="0" w:line="183" w:lineRule="exact"/>
              <w:rPr>
                <w:sz w:val="20"/>
                <w:szCs w:val="20"/>
                <w:color w:val="auto"/>
              </w:rPr>
            </w:pPr>
            <w:r>
              <w:rPr>
                <w:rFonts w:ascii="Times New Roman" w:cs="Times New Roman" w:eastAsia="Times New Roman" w:hAnsi="Times New Roman"/>
                <w:sz w:val="19"/>
                <w:szCs w:val="19"/>
                <w:color w:val="231F20"/>
              </w:rPr>
              <w:t>81,313</w:t>
            </w: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200" w:type="dxa"/>
            <w:vAlign w:val="bottom"/>
            <w:tcBorders>
              <w:bottom w:val="single" w:sz="8" w:color="231F20"/>
            </w:tcBorders>
          </w:tcPr>
          <w:p>
            <w:pPr>
              <w:spacing w:after="0" w:line="20" w:lineRule="exact"/>
              <w:rPr>
                <w:sz w:val="1"/>
                <w:szCs w:val="1"/>
                <w:color w:val="auto"/>
              </w:rPr>
            </w:pPr>
          </w:p>
        </w:tc>
        <w:tc>
          <w:tcPr>
            <w:tcW w:w="90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231F20"/>
            </w:tcBorders>
          </w:tcPr>
          <w:p>
            <w:pPr>
              <w:spacing w:after="0" w:line="20" w:lineRule="exact"/>
              <w:rPr>
                <w:sz w:val="1"/>
                <w:szCs w:val="1"/>
                <w:color w:val="auto"/>
              </w:rPr>
            </w:pPr>
          </w:p>
        </w:tc>
        <w:tc>
          <w:tcPr>
            <w:tcW w:w="92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231F20"/>
            </w:tcBorders>
          </w:tcPr>
          <w:p>
            <w:pPr>
              <w:spacing w:after="0" w:line="20" w:lineRule="exact"/>
              <w:rPr>
                <w:sz w:val="1"/>
                <w:szCs w:val="1"/>
                <w:color w:val="auto"/>
              </w:rPr>
            </w:pPr>
          </w:p>
        </w:tc>
        <w:tc>
          <w:tcPr>
            <w:tcW w:w="86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5"/>
        </w:trPr>
        <w:tc>
          <w:tcPr>
            <w:tcW w:w="6220" w:type="dxa"/>
            <w:vAlign w:val="bottom"/>
          </w:tcPr>
          <w:p>
            <w:pPr>
              <w:spacing w:after="0"/>
              <w:rPr>
                <w:sz w:val="20"/>
                <w:szCs w:val="20"/>
                <w:color w:val="auto"/>
              </w:rPr>
            </w:pPr>
            <w:r>
              <w:rPr>
                <w:rFonts w:ascii="Times New Roman" w:cs="Times New Roman" w:eastAsia="Times New Roman" w:hAnsi="Times New Roman"/>
                <w:sz w:val="19"/>
                <w:szCs w:val="19"/>
                <w:color w:val="231F20"/>
              </w:rPr>
              <w:t>NET INCOME</w:t>
            </w:r>
          </w:p>
        </w:tc>
        <w:tc>
          <w:tcPr>
            <w:tcW w:w="2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423,648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304,334</w:t>
            </w:r>
          </w:p>
        </w:tc>
        <w:tc>
          <w:tcPr>
            <w:tcW w:w="320" w:type="dxa"/>
            <w:vAlign w:val="bottom"/>
            <w:gridSpan w:val="2"/>
          </w:tcPr>
          <w:p>
            <w:pPr>
              <w:jc w:val="right"/>
              <w:ind w:right="5"/>
              <w:spacing w:after="0"/>
              <w:rPr>
                <w:sz w:val="20"/>
                <w:szCs w:val="20"/>
                <w:color w:val="auto"/>
              </w:rPr>
            </w:pPr>
            <w:r>
              <w:rPr>
                <w:rFonts w:ascii="Times New Roman" w:cs="Times New Roman" w:eastAsia="Times New Roman" w:hAnsi="Times New Roman"/>
                <w:sz w:val="19"/>
                <w:szCs w:val="19"/>
                <w:color w:val="231F2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247,217</w:t>
            </w:r>
          </w:p>
        </w:tc>
        <w:tc>
          <w:tcPr>
            <w:tcW w:w="0" w:type="dxa"/>
            <w:vAlign w:val="bottom"/>
          </w:tcPr>
          <w:p>
            <w:pPr>
              <w:spacing w:after="0"/>
              <w:rPr>
                <w:sz w:val="1"/>
                <w:szCs w:val="1"/>
                <w:color w:val="auto"/>
              </w:rPr>
            </w:pPr>
          </w:p>
        </w:tc>
      </w:tr>
      <w:tr>
        <w:trPr>
          <w:trHeight w:val="252"/>
        </w:trPr>
        <w:tc>
          <w:tcPr>
            <w:tcW w:w="6220" w:type="dxa"/>
            <w:vAlign w:val="bottom"/>
          </w:tcPr>
          <w:p>
            <w:pPr>
              <w:ind w:left="340"/>
              <w:spacing w:after="0"/>
              <w:rPr>
                <w:sz w:val="20"/>
                <w:szCs w:val="20"/>
                <w:color w:val="auto"/>
              </w:rPr>
            </w:pPr>
            <w:r>
              <w:rPr>
                <w:rFonts w:ascii="Times New Roman" w:cs="Times New Roman" w:eastAsia="Times New Roman" w:hAnsi="Times New Roman"/>
                <w:sz w:val="19"/>
                <w:szCs w:val="19"/>
                <w:color w:val="231F20"/>
              </w:rPr>
              <w:t>Other comprehensive (loss) income - change in value of interest rate swaps</w:t>
            </w:r>
          </w:p>
        </w:tc>
        <w:tc>
          <w:tcPr>
            <w:tcW w:w="200" w:type="dxa"/>
            <w:vAlign w:val="bottom"/>
            <w:tcBorders>
              <w:bottom w:val="single" w:sz="8" w:color="231F20"/>
            </w:tcBorders>
          </w:tcPr>
          <w:p>
            <w:pPr>
              <w:spacing w:after="0"/>
              <w:rPr>
                <w:sz w:val="21"/>
                <w:szCs w:val="21"/>
                <w:color w:val="auto"/>
              </w:rPr>
            </w:pPr>
          </w:p>
        </w:tc>
        <w:tc>
          <w:tcPr>
            <w:tcW w:w="9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(2,903)</w:t>
            </w:r>
          </w:p>
        </w:tc>
        <w:tc>
          <w:tcPr>
            <w:tcW w:w="60" w:type="dxa"/>
            <w:vAlign w:val="bottom"/>
          </w:tcPr>
          <w:p>
            <w:pPr>
              <w:spacing w:after="0"/>
              <w:rPr>
                <w:sz w:val="21"/>
                <w:szCs w:val="21"/>
                <w:color w:val="auto"/>
              </w:rPr>
            </w:pPr>
          </w:p>
        </w:tc>
        <w:tc>
          <w:tcPr>
            <w:tcW w:w="180" w:type="dxa"/>
            <w:vAlign w:val="bottom"/>
            <w:tcBorders>
              <w:bottom w:val="single" w:sz="8" w:color="231F20"/>
            </w:tcBorders>
          </w:tcPr>
          <w:p>
            <w:pPr>
              <w:spacing w:after="0"/>
              <w:rPr>
                <w:sz w:val="21"/>
                <w:szCs w:val="21"/>
                <w:color w:val="auto"/>
              </w:rPr>
            </w:pPr>
          </w:p>
        </w:tc>
        <w:tc>
          <w:tcPr>
            <w:tcW w:w="9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711</w:t>
            </w:r>
          </w:p>
        </w:tc>
        <w:tc>
          <w:tcPr>
            <w:tcW w:w="80" w:type="dxa"/>
            <w:vAlign w:val="bottom"/>
          </w:tcPr>
          <w:p>
            <w:pPr>
              <w:spacing w:after="0"/>
              <w:rPr>
                <w:sz w:val="21"/>
                <w:szCs w:val="21"/>
                <w:color w:val="auto"/>
              </w:rPr>
            </w:pPr>
          </w:p>
        </w:tc>
        <w:tc>
          <w:tcPr>
            <w:tcW w:w="240" w:type="dxa"/>
            <w:vAlign w:val="bottom"/>
            <w:tcBorders>
              <w:bottom w:val="single" w:sz="8" w:color="231F20"/>
            </w:tcBorders>
          </w:tcPr>
          <w:p>
            <w:pPr>
              <w:spacing w:after="0"/>
              <w:rPr>
                <w:sz w:val="21"/>
                <w:szCs w:val="21"/>
                <w:color w:val="auto"/>
              </w:rPr>
            </w:pPr>
          </w:p>
        </w:tc>
        <w:tc>
          <w:tcPr>
            <w:tcW w:w="8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(1,824)</w:t>
            </w:r>
          </w:p>
        </w:tc>
        <w:tc>
          <w:tcPr>
            <w:tcW w:w="0" w:type="dxa"/>
            <w:vAlign w:val="bottom"/>
          </w:tcPr>
          <w:p>
            <w:pPr>
              <w:spacing w:after="0"/>
              <w:rPr>
                <w:sz w:val="1"/>
                <w:szCs w:val="1"/>
                <w:color w:val="auto"/>
              </w:rPr>
            </w:pPr>
          </w:p>
        </w:tc>
      </w:tr>
      <w:tr>
        <w:trPr>
          <w:trHeight w:val="213"/>
        </w:trPr>
        <w:tc>
          <w:tcPr>
            <w:tcW w:w="6220" w:type="dxa"/>
            <w:vAlign w:val="bottom"/>
          </w:tcPr>
          <w:p>
            <w:pPr>
              <w:spacing w:after="0" w:line="214" w:lineRule="exact"/>
              <w:rPr>
                <w:sz w:val="20"/>
                <w:szCs w:val="20"/>
                <w:color w:val="auto"/>
              </w:rPr>
            </w:pPr>
            <w:r>
              <w:rPr>
                <w:rFonts w:ascii="Times New Roman" w:cs="Times New Roman" w:eastAsia="Times New Roman" w:hAnsi="Times New Roman"/>
                <w:sz w:val="19"/>
                <w:szCs w:val="19"/>
                <w:color w:val="231F20"/>
              </w:rPr>
              <w:t>COMPREHENSIVE INCOME</w:t>
            </w:r>
          </w:p>
        </w:tc>
        <w:tc>
          <w:tcPr>
            <w:tcW w:w="200" w:type="dxa"/>
            <w:vAlign w:val="bottom"/>
          </w:tcPr>
          <w:p>
            <w:pPr>
              <w:spacing w:after="0"/>
              <w:rPr>
                <w:sz w:val="18"/>
                <w:szCs w:val="18"/>
                <w:color w:val="auto"/>
              </w:rPr>
            </w:pPr>
          </w:p>
        </w:tc>
        <w:tc>
          <w:tcPr>
            <w:tcW w:w="900" w:type="dxa"/>
            <w:vAlign w:val="bottom"/>
          </w:tcPr>
          <w:p>
            <w:pPr>
              <w:jc w:val="right"/>
              <w:spacing w:after="0" w:line="214" w:lineRule="exact"/>
              <w:rPr>
                <w:sz w:val="20"/>
                <w:szCs w:val="20"/>
                <w:color w:val="auto"/>
              </w:rPr>
            </w:pPr>
            <w:r>
              <w:rPr>
                <w:rFonts w:ascii="Times New Roman" w:cs="Times New Roman" w:eastAsia="Times New Roman" w:hAnsi="Times New Roman"/>
                <w:sz w:val="19"/>
                <w:szCs w:val="19"/>
                <w:color w:val="231F20"/>
              </w:rPr>
              <w:t>420,745</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line="214" w:lineRule="exact"/>
              <w:rPr>
                <w:sz w:val="20"/>
                <w:szCs w:val="20"/>
                <w:color w:val="auto"/>
              </w:rPr>
            </w:pPr>
            <w:r>
              <w:rPr>
                <w:rFonts w:ascii="Times New Roman" w:cs="Times New Roman" w:eastAsia="Times New Roman" w:hAnsi="Times New Roman"/>
                <w:sz w:val="19"/>
                <w:szCs w:val="19"/>
                <w:color w:val="231F20"/>
              </w:rPr>
              <w:t>305,045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line="214" w:lineRule="exact"/>
              <w:rPr>
                <w:sz w:val="20"/>
                <w:szCs w:val="20"/>
                <w:color w:val="auto"/>
              </w:rPr>
            </w:pPr>
            <w:r>
              <w:rPr>
                <w:rFonts w:ascii="Times New Roman" w:cs="Times New Roman" w:eastAsia="Times New Roman" w:hAnsi="Times New Roman"/>
                <w:sz w:val="19"/>
                <w:szCs w:val="19"/>
                <w:color w:val="231F20"/>
              </w:rPr>
              <w:t>245,393</w:t>
            </w:r>
          </w:p>
        </w:tc>
        <w:tc>
          <w:tcPr>
            <w:tcW w:w="0" w:type="dxa"/>
            <w:vAlign w:val="bottom"/>
          </w:tcPr>
          <w:p>
            <w:pPr>
              <w:spacing w:after="0"/>
              <w:rPr>
                <w:sz w:val="1"/>
                <w:szCs w:val="1"/>
                <w:color w:val="auto"/>
              </w:rPr>
            </w:pPr>
          </w:p>
        </w:tc>
      </w:tr>
      <w:tr>
        <w:trPr>
          <w:trHeight w:val="252"/>
        </w:trPr>
        <w:tc>
          <w:tcPr>
            <w:tcW w:w="6220" w:type="dxa"/>
            <w:vAlign w:val="bottom"/>
          </w:tcPr>
          <w:p>
            <w:pPr>
              <w:ind w:left="340"/>
              <w:spacing w:after="0"/>
              <w:rPr>
                <w:sz w:val="20"/>
                <w:szCs w:val="20"/>
                <w:color w:val="auto"/>
              </w:rPr>
            </w:pPr>
            <w:r>
              <w:rPr>
                <w:rFonts w:ascii="Times New Roman" w:cs="Times New Roman" w:eastAsia="Times New Roman" w:hAnsi="Times New Roman"/>
                <w:sz w:val="19"/>
                <w:szCs w:val="19"/>
                <w:color w:val="231F20"/>
              </w:rPr>
              <w:t>Comprehensive income attributable to noncontrolling interests</w:t>
            </w:r>
          </w:p>
        </w:tc>
        <w:tc>
          <w:tcPr>
            <w:tcW w:w="200" w:type="dxa"/>
            <w:vAlign w:val="bottom"/>
            <w:tcBorders>
              <w:bottom w:val="single" w:sz="8" w:color="231F20"/>
            </w:tcBorders>
          </w:tcPr>
          <w:p>
            <w:pPr>
              <w:spacing w:after="0"/>
              <w:rPr>
                <w:sz w:val="21"/>
                <w:szCs w:val="21"/>
                <w:color w:val="auto"/>
              </w:rPr>
            </w:pPr>
          </w:p>
        </w:tc>
        <w:tc>
          <w:tcPr>
            <w:tcW w:w="9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(12,361)</w:t>
            </w:r>
          </w:p>
        </w:tc>
        <w:tc>
          <w:tcPr>
            <w:tcW w:w="60" w:type="dxa"/>
            <w:vAlign w:val="bottom"/>
          </w:tcPr>
          <w:p>
            <w:pPr>
              <w:spacing w:after="0"/>
              <w:rPr>
                <w:sz w:val="21"/>
                <w:szCs w:val="21"/>
                <w:color w:val="auto"/>
              </w:rPr>
            </w:pPr>
          </w:p>
        </w:tc>
        <w:tc>
          <w:tcPr>
            <w:tcW w:w="180" w:type="dxa"/>
            <w:vAlign w:val="bottom"/>
            <w:tcBorders>
              <w:bottom w:val="single" w:sz="8" w:color="231F20"/>
            </w:tcBorders>
          </w:tcPr>
          <w:p>
            <w:pPr>
              <w:spacing w:after="0"/>
              <w:rPr>
                <w:sz w:val="21"/>
                <w:szCs w:val="21"/>
                <w:color w:val="auto"/>
              </w:rPr>
            </w:pPr>
          </w:p>
        </w:tc>
        <w:tc>
          <w:tcPr>
            <w:tcW w:w="9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(9,149)</w:t>
            </w:r>
          </w:p>
        </w:tc>
        <w:tc>
          <w:tcPr>
            <w:tcW w:w="80" w:type="dxa"/>
            <w:vAlign w:val="bottom"/>
          </w:tcPr>
          <w:p>
            <w:pPr>
              <w:spacing w:after="0"/>
              <w:rPr>
                <w:sz w:val="21"/>
                <w:szCs w:val="21"/>
                <w:color w:val="auto"/>
              </w:rPr>
            </w:pPr>
          </w:p>
        </w:tc>
        <w:tc>
          <w:tcPr>
            <w:tcW w:w="240" w:type="dxa"/>
            <w:vAlign w:val="bottom"/>
            <w:tcBorders>
              <w:bottom w:val="single" w:sz="8" w:color="231F20"/>
            </w:tcBorders>
          </w:tcPr>
          <w:p>
            <w:pPr>
              <w:spacing w:after="0"/>
              <w:rPr>
                <w:sz w:val="21"/>
                <w:szCs w:val="21"/>
                <w:color w:val="auto"/>
              </w:rPr>
            </w:pPr>
          </w:p>
        </w:tc>
        <w:tc>
          <w:tcPr>
            <w:tcW w:w="8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(10,113)</w:t>
            </w:r>
          </w:p>
        </w:tc>
        <w:tc>
          <w:tcPr>
            <w:tcW w:w="0" w:type="dxa"/>
            <w:vAlign w:val="bottom"/>
          </w:tcPr>
          <w:p>
            <w:pPr>
              <w:spacing w:after="0"/>
              <w:rPr>
                <w:sz w:val="1"/>
                <w:szCs w:val="1"/>
                <w:color w:val="auto"/>
              </w:rPr>
            </w:pPr>
          </w:p>
        </w:tc>
      </w:tr>
      <w:tr>
        <w:trPr>
          <w:trHeight w:val="203"/>
        </w:trPr>
        <w:tc>
          <w:tcPr>
            <w:tcW w:w="6220" w:type="dxa"/>
            <w:vAlign w:val="bottom"/>
          </w:tcPr>
          <w:p>
            <w:pPr>
              <w:spacing w:after="0" w:line="204" w:lineRule="exact"/>
              <w:rPr>
                <w:sz w:val="20"/>
                <w:szCs w:val="20"/>
                <w:color w:val="auto"/>
              </w:rPr>
            </w:pPr>
            <w:r>
              <w:rPr>
                <w:rFonts w:ascii="Times New Roman" w:cs="Times New Roman" w:eastAsia="Times New Roman" w:hAnsi="Times New Roman"/>
                <w:sz w:val="19"/>
                <w:szCs w:val="19"/>
                <w:color w:val="231F20"/>
              </w:rPr>
              <w:t>COMPREHENSIVE INCOME ATTRIBUTABLE TO THE TRUST</w:t>
            </w:r>
          </w:p>
        </w:tc>
        <w:tc>
          <w:tcPr>
            <w:tcW w:w="200" w:type="dxa"/>
            <w:vAlign w:val="bottom"/>
            <w:tcBorders>
              <w:bottom w:val="single" w:sz="8" w:color="231F20"/>
            </w:tcBorders>
          </w:tcPr>
          <w:p>
            <w:pPr>
              <w:jc w:val="right"/>
              <w:spacing w:after="0" w:line="204" w:lineRule="exact"/>
              <w:rPr>
                <w:sz w:val="20"/>
                <w:szCs w:val="20"/>
                <w:color w:val="auto"/>
              </w:rPr>
            </w:pPr>
            <w:r>
              <w:rPr>
                <w:rFonts w:ascii="Times New Roman" w:cs="Times New Roman" w:eastAsia="Times New Roman" w:hAnsi="Times New Roman"/>
                <w:sz w:val="19"/>
                <w:szCs w:val="19"/>
                <w:color w:val="231F20"/>
              </w:rPr>
              <w:t>$</w:t>
            </w:r>
          </w:p>
        </w:tc>
        <w:tc>
          <w:tcPr>
            <w:tcW w:w="900" w:type="dxa"/>
            <w:vAlign w:val="bottom"/>
            <w:tcBorders>
              <w:bottom w:val="single" w:sz="8" w:color="231F20"/>
            </w:tcBorders>
          </w:tcPr>
          <w:p>
            <w:pPr>
              <w:jc w:val="right"/>
              <w:spacing w:after="0" w:line="204" w:lineRule="exact"/>
              <w:rPr>
                <w:sz w:val="20"/>
                <w:szCs w:val="20"/>
                <w:color w:val="auto"/>
              </w:rPr>
            </w:pPr>
            <w:r>
              <w:rPr>
                <w:rFonts w:ascii="Times New Roman" w:cs="Times New Roman" w:eastAsia="Times New Roman" w:hAnsi="Times New Roman"/>
                <w:sz w:val="19"/>
                <w:szCs w:val="19"/>
                <w:color w:val="231F20"/>
              </w:rPr>
              <w:t>408,384</w:t>
            </w:r>
          </w:p>
        </w:tc>
        <w:tc>
          <w:tcPr>
            <w:tcW w:w="60" w:type="dxa"/>
            <w:vAlign w:val="bottom"/>
          </w:tcPr>
          <w:p>
            <w:pPr>
              <w:spacing w:after="0"/>
              <w:rPr>
                <w:sz w:val="17"/>
                <w:szCs w:val="17"/>
                <w:color w:val="auto"/>
              </w:rPr>
            </w:pPr>
          </w:p>
        </w:tc>
        <w:tc>
          <w:tcPr>
            <w:tcW w:w="180" w:type="dxa"/>
            <w:vAlign w:val="bottom"/>
            <w:tcBorders>
              <w:bottom w:val="single" w:sz="8" w:color="231F20"/>
            </w:tcBorders>
          </w:tcPr>
          <w:p>
            <w:pPr>
              <w:jc w:val="right"/>
              <w:spacing w:after="0" w:line="204" w:lineRule="exact"/>
              <w:rPr>
                <w:sz w:val="20"/>
                <w:szCs w:val="20"/>
                <w:color w:val="auto"/>
              </w:rPr>
            </w:pPr>
            <w:r>
              <w:rPr>
                <w:rFonts w:ascii="Times New Roman" w:cs="Times New Roman" w:eastAsia="Times New Roman" w:hAnsi="Times New Roman"/>
                <w:sz w:val="19"/>
                <w:szCs w:val="19"/>
                <w:color w:val="231F20"/>
              </w:rPr>
              <w:t>$</w:t>
            </w:r>
          </w:p>
        </w:tc>
        <w:tc>
          <w:tcPr>
            <w:tcW w:w="920" w:type="dxa"/>
            <w:vAlign w:val="bottom"/>
            <w:tcBorders>
              <w:bottom w:val="single" w:sz="8" w:color="231F20"/>
            </w:tcBorders>
          </w:tcPr>
          <w:p>
            <w:pPr>
              <w:jc w:val="right"/>
              <w:spacing w:after="0" w:line="204" w:lineRule="exact"/>
              <w:rPr>
                <w:sz w:val="20"/>
                <w:szCs w:val="20"/>
                <w:color w:val="auto"/>
              </w:rPr>
            </w:pPr>
            <w:r>
              <w:rPr>
                <w:rFonts w:ascii="Times New Roman" w:cs="Times New Roman" w:eastAsia="Times New Roman" w:hAnsi="Times New Roman"/>
                <w:sz w:val="19"/>
                <w:szCs w:val="19"/>
                <w:color w:val="231F20"/>
              </w:rPr>
              <w:t>295,896</w:t>
            </w:r>
          </w:p>
        </w:tc>
        <w:tc>
          <w:tcPr>
            <w:tcW w:w="80" w:type="dxa"/>
            <w:vAlign w:val="bottom"/>
          </w:tcPr>
          <w:p>
            <w:pPr>
              <w:spacing w:after="0"/>
              <w:rPr>
                <w:sz w:val="17"/>
                <w:szCs w:val="17"/>
                <w:color w:val="auto"/>
              </w:rPr>
            </w:pPr>
          </w:p>
        </w:tc>
        <w:tc>
          <w:tcPr>
            <w:tcW w:w="240" w:type="dxa"/>
            <w:vAlign w:val="bottom"/>
            <w:tcBorders>
              <w:bottom w:val="single" w:sz="8" w:color="231F20"/>
            </w:tcBorders>
          </w:tcPr>
          <w:p>
            <w:pPr>
              <w:jc w:val="right"/>
              <w:ind w:right="5"/>
              <w:spacing w:after="0" w:line="204" w:lineRule="exact"/>
              <w:rPr>
                <w:sz w:val="20"/>
                <w:szCs w:val="20"/>
                <w:color w:val="auto"/>
              </w:rPr>
            </w:pPr>
            <w:r>
              <w:rPr>
                <w:rFonts w:ascii="Times New Roman" w:cs="Times New Roman" w:eastAsia="Times New Roman" w:hAnsi="Times New Roman"/>
                <w:sz w:val="19"/>
                <w:szCs w:val="19"/>
                <w:color w:val="231F20"/>
              </w:rPr>
              <w:t>$</w:t>
            </w:r>
          </w:p>
        </w:tc>
        <w:tc>
          <w:tcPr>
            <w:tcW w:w="860" w:type="dxa"/>
            <w:vAlign w:val="bottom"/>
            <w:tcBorders>
              <w:bottom w:val="single" w:sz="8" w:color="231F20"/>
            </w:tcBorders>
          </w:tcPr>
          <w:p>
            <w:pPr>
              <w:jc w:val="right"/>
              <w:spacing w:after="0" w:line="204" w:lineRule="exact"/>
              <w:rPr>
                <w:sz w:val="20"/>
                <w:szCs w:val="20"/>
                <w:color w:val="auto"/>
              </w:rPr>
            </w:pPr>
            <w:r>
              <w:rPr>
                <w:rFonts w:ascii="Times New Roman" w:cs="Times New Roman" w:eastAsia="Times New Roman" w:hAnsi="Times New Roman"/>
                <w:sz w:val="19"/>
                <w:szCs w:val="19"/>
                <w:color w:val="231F20"/>
              </w:rPr>
              <w:t>235,280</w:t>
            </w: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200" w:type="dxa"/>
            <w:vAlign w:val="bottom"/>
            <w:tcBorders>
              <w:bottom w:val="single" w:sz="8" w:color="231F20"/>
            </w:tcBorders>
          </w:tcPr>
          <w:p>
            <w:pPr>
              <w:spacing w:after="0" w:line="20" w:lineRule="exact"/>
              <w:rPr>
                <w:sz w:val="1"/>
                <w:szCs w:val="1"/>
                <w:color w:val="auto"/>
              </w:rPr>
            </w:pPr>
          </w:p>
        </w:tc>
        <w:tc>
          <w:tcPr>
            <w:tcW w:w="90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231F20"/>
            </w:tcBorders>
          </w:tcPr>
          <w:p>
            <w:pPr>
              <w:spacing w:after="0" w:line="20" w:lineRule="exact"/>
              <w:rPr>
                <w:sz w:val="1"/>
                <w:szCs w:val="1"/>
                <w:color w:val="auto"/>
              </w:rPr>
            </w:pPr>
          </w:p>
        </w:tc>
        <w:tc>
          <w:tcPr>
            <w:tcW w:w="92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231F20"/>
            </w:tcBorders>
          </w:tcPr>
          <w:p>
            <w:pPr>
              <w:spacing w:after="0" w:line="20" w:lineRule="exact"/>
              <w:rPr>
                <w:sz w:val="1"/>
                <w:szCs w:val="1"/>
                <w:color w:val="auto"/>
              </w:rPr>
            </w:pPr>
          </w:p>
        </w:tc>
        <w:tc>
          <w:tcPr>
            <w:tcW w:w="86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231F20"/>
        </w:rPr>
        <w:t>The accompanying notes are an integral part of these consolidated statements.</w:t>
      </w:r>
    </w:p>
    <w:p>
      <w:pPr>
        <w:sectPr>
          <w:pgSz w:w="11880" w:h="15480" w:orient="portrait"/>
          <w:cols w:equalWidth="0" w:num="1">
            <w:col w:w="9660"/>
          </w:cols>
          <w:pgMar w:left="1120" w:top="958" w:right="11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231F20"/>
        </w:rPr>
        <w:t>F-9</w:t>
      </w:r>
    </w:p>
    <w:p>
      <w:pPr>
        <w:sectPr>
          <w:pgSz w:w="11880" w:h="15480" w:orient="portrait"/>
          <w:cols w:equalWidth="0" w:num="1">
            <w:col w:w="9660"/>
          </w:cols>
          <w:pgMar w:left="1120" w:top="958" w:right="1100" w:bottom="0" w:gutter="0" w:footer="0" w:header="0"/>
          <w:type w:val="continuous"/>
        </w:sectPr>
      </w:pPr>
    </w:p>
    <w:bookmarkStart w:id="73" w:name="page74"/>
    <w:bookmarkEnd w:id="73"/>
    <w:p>
      <w:pPr>
        <w:jc w:val="center"/>
        <w:ind w:right="60"/>
        <w:spacing w:after="0"/>
        <w:rPr>
          <w:sz w:val="20"/>
          <w:szCs w:val="20"/>
          <w:color w:val="auto"/>
        </w:rPr>
      </w:pPr>
      <w:r>
        <w:rPr>
          <w:rFonts w:ascii="Times New Roman" w:cs="Times New Roman" w:eastAsia="Times New Roman" w:hAnsi="Times New Roman"/>
          <w:sz w:val="19"/>
          <w:szCs w:val="19"/>
          <w:b w:val="1"/>
          <w:bCs w:val="1"/>
          <w:color w:val="231F20"/>
        </w:rPr>
        <w:t>Federal Realty Investment Trust</w:t>
      </w:r>
    </w:p>
    <w:p>
      <w:pPr>
        <w:spacing w:after="0" w:line="3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9"/>
          <w:szCs w:val="19"/>
          <w:b w:val="1"/>
          <w:bCs w:val="1"/>
          <w:color w:val="231F20"/>
        </w:rPr>
        <w:t>Consolidated Statement of Shareholders’ Equity</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20" w:type="dxa"/>
            <w:vAlign w:val="bottom"/>
            <w:gridSpan w:val="9"/>
          </w:tcPr>
          <w:p>
            <w:pPr>
              <w:ind w:left="620"/>
              <w:spacing w:after="0"/>
              <w:rPr>
                <w:sz w:val="20"/>
                <w:szCs w:val="20"/>
                <w:color w:val="auto"/>
              </w:rPr>
            </w:pPr>
            <w:r>
              <w:rPr>
                <w:rFonts w:ascii="Times New Roman" w:cs="Times New Roman" w:eastAsia="Times New Roman" w:hAnsi="Times New Roman"/>
                <w:sz w:val="15"/>
                <w:szCs w:val="15"/>
                <w:b w:val="1"/>
                <w:bCs w:val="1"/>
                <w:color w:val="231F20"/>
              </w:rPr>
              <w:t>Shareholders’ Equity of the Trust</w:t>
            </w:r>
          </w:p>
        </w:tc>
        <w:tc>
          <w:tcPr>
            <w:tcW w:w="1000" w:type="dxa"/>
            <w:vAlign w:val="bottom"/>
            <w:gridSpan w:val="3"/>
            <w:vMerge w:val="restart"/>
          </w:tcPr>
          <w:p>
            <w:pPr>
              <w:ind w:left="20"/>
              <w:spacing w:after="0"/>
              <w:rPr>
                <w:sz w:val="20"/>
                <w:szCs w:val="20"/>
                <w:color w:val="auto"/>
              </w:rPr>
            </w:pPr>
            <w:r>
              <w:rPr>
                <w:rFonts w:ascii="Times New Roman" w:cs="Times New Roman" w:eastAsia="Times New Roman" w:hAnsi="Times New Roman"/>
                <w:sz w:val="15"/>
                <w:szCs w:val="15"/>
                <w:b w:val="1"/>
                <w:bCs w:val="1"/>
                <w:color w:val="231F20"/>
              </w:rPr>
              <w:t>Accumulated</w:t>
            </w:r>
          </w:p>
        </w:tc>
        <w:tc>
          <w:tcPr>
            <w:tcW w:w="140" w:type="dxa"/>
            <w:vAlign w:val="bottom"/>
          </w:tcPr>
          <w:p>
            <w:pPr>
              <w:spacing w:after="0"/>
              <w:rPr>
                <w:sz w:val="17"/>
                <w:szCs w:val="17"/>
                <w:color w:val="auto"/>
              </w:rPr>
            </w:pPr>
          </w:p>
        </w:tc>
        <w:tc>
          <w:tcPr>
            <w:tcW w:w="1000" w:type="dxa"/>
            <w:vAlign w:val="bottom"/>
            <w:vMerge w:val="restart"/>
          </w:tcPr>
          <w:p>
            <w:pPr>
              <w:jc w:val="center"/>
              <w:ind w:right="68"/>
              <w:spacing w:after="0"/>
              <w:rPr>
                <w:sz w:val="20"/>
                <w:szCs w:val="20"/>
                <w:color w:val="auto"/>
              </w:rPr>
            </w:pPr>
            <w:r>
              <w:rPr>
                <w:rFonts w:ascii="Times New Roman" w:cs="Times New Roman" w:eastAsia="Times New Roman" w:hAnsi="Times New Roman"/>
                <w:sz w:val="15"/>
                <w:szCs w:val="15"/>
                <w:b w:val="1"/>
                <w:bCs w:val="1"/>
                <w:color w:val="231F20"/>
              </w:rPr>
              <w:t>Accumulated</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1"/>
        </w:trPr>
        <w:tc>
          <w:tcPr>
            <w:tcW w:w="4720" w:type="dxa"/>
            <w:vAlign w:val="bottom"/>
          </w:tcPr>
          <w:p>
            <w:pPr>
              <w:spacing w:after="0"/>
              <w:rPr>
                <w:sz w:val="13"/>
                <w:szCs w:val="13"/>
                <w:color w:val="auto"/>
              </w:rPr>
            </w:pPr>
          </w:p>
        </w:tc>
        <w:tc>
          <w:tcPr>
            <w:tcW w:w="1480" w:type="dxa"/>
            <w:vAlign w:val="bottom"/>
            <w:gridSpan w:val="3"/>
            <w:vMerge w:val="restart"/>
          </w:tcPr>
          <w:p>
            <w:pPr>
              <w:jc w:val="right"/>
              <w:ind w:right="102"/>
              <w:spacing w:after="0"/>
              <w:rPr>
                <w:sz w:val="20"/>
                <w:szCs w:val="20"/>
                <w:color w:val="auto"/>
              </w:rPr>
            </w:pPr>
            <w:r>
              <w:rPr>
                <w:rFonts w:ascii="Times New Roman" w:cs="Times New Roman" w:eastAsia="Times New Roman" w:hAnsi="Times New Roman"/>
                <w:sz w:val="15"/>
                <w:szCs w:val="15"/>
                <w:b w:val="1"/>
                <w:bCs w:val="1"/>
                <w:color w:val="231F20"/>
              </w:rPr>
              <w:t>Preferred Shares</w:t>
            </w:r>
          </w:p>
        </w:tc>
        <w:tc>
          <w:tcPr>
            <w:tcW w:w="60" w:type="dxa"/>
            <w:vAlign w:val="bottom"/>
          </w:tcPr>
          <w:p>
            <w:pPr>
              <w:spacing w:after="0"/>
              <w:rPr>
                <w:sz w:val="13"/>
                <w:szCs w:val="13"/>
                <w:color w:val="auto"/>
              </w:rPr>
            </w:pPr>
          </w:p>
        </w:tc>
        <w:tc>
          <w:tcPr>
            <w:tcW w:w="13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231F20"/>
              </w:rPr>
              <w:t>Common Shares</w:t>
            </w: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3"/>
            <w:vMerge w:val="restart"/>
          </w:tcPr>
          <w:p>
            <w:pPr>
              <w:jc w:val="center"/>
              <w:ind w:right="173"/>
              <w:spacing w:after="0"/>
              <w:rPr>
                <w:sz w:val="20"/>
                <w:szCs w:val="20"/>
                <w:color w:val="auto"/>
              </w:rPr>
            </w:pPr>
            <w:r>
              <w:rPr>
                <w:rFonts w:ascii="Times New Roman" w:cs="Times New Roman" w:eastAsia="Times New Roman" w:hAnsi="Times New Roman"/>
                <w:sz w:val="15"/>
                <w:szCs w:val="15"/>
                <w:b w:val="1"/>
                <w:bCs w:val="1"/>
                <w:color w:val="231F20"/>
                <w:w w:val="99"/>
              </w:rPr>
              <w:t>Additional</w:t>
            </w:r>
          </w:p>
        </w:tc>
        <w:tc>
          <w:tcPr>
            <w:tcW w:w="100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vMerge w:val="restart"/>
          </w:tcPr>
          <w:p>
            <w:pPr>
              <w:jc w:val="center"/>
              <w:ind w:right="148"/>
              <w:spacing w:after="0"/>
              <w:rPr>
                <w:sz w:val="20"/>
                <w:szCs w:val="20"/>
                <w:color w:val="auto"/>
              </w:rPr>
            </w:pPr>
            <w:r>
              <w:rPr>
                <w:rFonts w:ascii="Times New Roman" w:cs="Times New Roman" w:eastAsia="Times New Roman" w:hAnsi="Times New Roman"/>
                <w:sz w:val="15"/>
                <w:szCs w:val="15"/>
                <w:b w:val="1"/>
                <w:bCs w:val="1"/>
                <w:color w:val="231F20"/>
              </w:rPr>
              <w:t>Total</w:t>
            </w:r>
          </w:p>
        </w:tc>
        <w:tc>
          <w:tcPr>
            <w:tcW w:w="0" w:type="dxa"/>
            <w:vAlign w:val="bottom"/>
          </w:tcPr>
          <w:p>
            <w:pPr>
              <w:spacing w:after="0"/>
              <w:rPr>
                <w:sz w:val="1"/>
                <w:szCs w:val="1"/>
                <w:color w:val="auto"/>
              </w:rPr>
            </w:pPr>
          </w:p>
        </w:tc>
      </w:tr>
      <w:tr>
        <w:trPr>
          <w:trHeight w:val="152"/>
        </w:trPr>
        <w:tc>
          <w:tcPr>
            <w:tcW w:w="4720" w:type="dxa"/>
            <w:vAlign w:val="bottom"/>
          </w:tcPr>
          <w:p>
            <w:pPr>
              <w:spacing w:after="0"/>
              <w:rPr>
                <w:sz w:val="13"/>
                <w:szCs w:val="13"/>
                <w:color w:val="auto"/>
              </w:rPr>
            </w:pPr>
          </w:p>
        </w:tc>
        <w:tc>
          <w:tcPr>
            <w:tcW w:w="1480" w:type="dxa"/>
            <w:vAlign w:val="bottom"/>
            <w:gridSpan w:val="3"/>
            <w:vMerge w:val="continue"/>
          </w:tcPr>
          <w:p>
            <w:pPr>
              <w:spacing w:after="0"/>
              <w:rPr>
                <w:sz w:val="13"/>
                <w:szCs w:val="13"/>
                <w:color w:val="auto"/>
              </w:rPr>
            </w:pPr>
          </w:p>
        </w:tc>
        <w:tc>
          <w:tcPr>
            <w:tcW w:w="60" w:type="dxa"/>
            <w:vAlign w:val="bottom"/>
          </w:tcPr>
          <w:p>
            <w:pPr>
              <w:spacing w:after="0"/>
              <w:rPr>
                <w:sz w:val="13"/>
                <w:szCs w:val="13"/>
                <w:color w:val="auto"/>
              </w:rPr>
            </w:pPr>
          </w:p>
        </w:tc>
        <w:tc>
          <w:tcPr>
            <w:tcW w:w="1380" w:type="dxa"/>
            <w:vAlign w:val="bottom"/>
            <w:gridSpan w:val="3"/>
            <w:vMerge w:val="continue"/>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3"/>
            <w:vMerge w:val="continue"/>
          </w:tcPr>
          <w:p>
            <w:pPr>
              <w:spacing w:after="0"/>
              <w:rPr>
                <w:sz w:val="13"/>
                <w:szCs w:val="13"/>
                <w:color w:val="auto"/>
              </w:rPr>
            </w:pPr>
          </w:p>
        </w:tc>
        <w:tc>
          <w:tcPr>
            <w:tcW w:w="1000" w:type="dxa"/>
            <w:vAlign w:val="bottom"/>
            <w:gridSpan w:val="3"/>
          </w:tcPr>
          <w:p>
            <w:pPr>
              <w:jc w:val="center"/>
              <w:ind w:right="120"/>
              <w:spacing w:after="0" w:line="152" w:lineRule="exact"/>
              <w:rPr>
                <w:sz w:val="20"/>
                <w:szCs w:val="20"/>
                <w:color w:val="auto"/>
              </w:rPr>
            </w:pPr>
            <w:r>
              <w:rPr>
                <w:rFonts w:ascii="Times New Roman" w:cs="Times New Roman" w:eastAsia="Times New Roman" w:hAnsi="Times New Roman"/>
                <w:sz w:val="15"/>
                <w:szCs w:val="15"/>
                <w:b w:val="1"/>
                <w:bCs w:val="1"/>
                <w:color w:val="231F20"/>
                <w:w w:val="99"/>
              </w:rPr>
              <w:t>Dividends in</w:t>
            </w:r>
          </w:p>
        </w:tc>
        <w:tc>
          <w:tcPr>
            <w:tcW w:w="140" w:type="dxa"/>
            <w:vAlign w:val="bottom"/>
          </w:tcPr>
          <w:p>
            <w:pPr>
              <w:spacing w:after="0"/>
              <w:rPr>
                <w:sz w:val="13"/>
                <w:szCs w:val="13"/>
                <w:color w:val="auto"/>
              </w:rPr>
            </w:pPr>
          </w:p>
        </w:tc>
        <w:tc>
          <w:tcPr>
            <w:tcW w:w="1000" w:type="dxa"/>
            <w:vAlign w:val="bottom"/>
          </w:tcPr>
          <w:p>
            <w:pPr>
              <w:jc w:val="center"/>
              <w:ind w:right="68"/>
              <w:spacing w:after="0" w:line="152" w:lineRule="exact"/>
              <w:rPr>
                <w:sz w:val="20"/>
                <w:szCs w:val="20"/>
                <w:color w:val="auto"/>
              </w:rPr>
            </w:pPr>
            <w:r>
              <w:rPr>
                <w:rFonts w:ascii="Times New Roman" w:cs="Times New Roman" w:eastAsia="Times New Roman" w:hAnsi="Times New Roman"/>
                <w:sz w:val="15"/>
                <w:szCs w:val="15"/>
                <w:b w:val="1"/>
                <w:bCs w:val="1"/>
                <w:color w:val="231F20"/>
                <w:w w:val="99"/>
              </w:rPr>
              <w:t>Other</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8"/>
        </w:trPr>
        <w:tc>
          <w:tcPr>
            <w:tcW w:w="4720" w:type="dxa"/>
            <w:vAlign w:val="bottom"/>
          </w:tcPr>
          <w:p>
            <w:pPr>
              <w:spacing w:after="0"/>
              <w:rPr>
                <w:sz w:val="2"/>
                <w:szCs w:val="2"/>
                <w:color w:val="auto"/>
              </w:rPr>
            </w:pPr>
          </w:p>
        </w:tc>
        <w:tc>
          <w:tcPr>
            <w:tcW w:w="70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70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880" w:type="dxa"/>
            <w:vAlign w:val="bottom"/>
            <w:tcBorders>
              <w:bottom w:val="single" w:sz="8" w:color="231F20"/>
            </w:tcBorders>
          </w:tcPr>
          <w:p>
            <w:pPr>
              <w:spacing w:after="0"/>
              <w:rPr>
                <w:sz w:val="2"/>
                <w:szCs w:val="2"/>
                <w:color w:val="auto"/>
              </w:rPr>
            </w:pPr>
          </w:p>
        </w:tc>
        <w:tc>
          <w:tcPr>
            <w:tcW w:w="60" w:type="dxa"/>
            <w:vAlign w:val="bottom"/>
            <w:tcBorders>
              <w:bottom w:val="single" w:sz="8" w:color="231F20"/>
            </w:tcBorders>
          </w:tcPr>
          <w:p>
            <w:pPr>
              <w:spacing w:after="0"/>
              <w:rPr>
                <w:sz w:val="2"/>
                <w:szCs w:val="2"/>
                <w:color w:val="auto"/>
              </w:rPr>
            </w:pPr>
          </w:p>
        </w:tc>
        <w:tc>
          <w:tcPr>
            <w:tcW w:w="440" w:type="dxa"/>
            <w:vAlign w:val="bottom"/>
            <w:tcBorders>
              <w:bottom w:val="single" w:sz="8" w:color="231F20"/>
            </w:tcBorders>
          </w:tcPr>
          <w:p>
            <w:pPr>
              <w:spacing w:after="0"/>
              <w:rPr>
                <w:sz w:val="2"/>
                <w:szCs w:val="2"/>
                <w:color w:val="auto"/>
              </w:rPr>
            </w:pPr>
          </w:p>
        </w:tc>
        <w:tc>
          <w:tcPr>
            <w:tcW w:w="300" w:type="dxa"/>
            <w:vAlign w:val="bottom"/>
            <w:tcBorders>
              <w:bottom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gridSpan w:val="3"/>
            <w:vMerge w:val="restart"/>
          </w:tcPr>
          <w:p>
            <w:pPr>
              <w:jc w:val="center"/>
              <w:ind w:right="173"/>
              <w:spacing w:after="0" w:line="152" w:lineRule="exact"/>
              <w:rPr>
                <w:sz w:val="20"/>
                <w:szCs w:val="20"/>
                <w:color w:val="auto"/>
              </w:rPr>
            </w:pPr>
            <w:r>
              <w:rPr>
                <w:rFonts w:ascii="Times New Roman" w:cs="Times New Roman" w:eastAsia="Times New Roman" w:hAnsi="Times New Roman"/>
                <w:sz w:val="15"/>
                <w:szCs w:val="15"/>
                <w:b w:val="1"/>
                <w:bCs w:val="1"/>
                <w:color w:val="231F20"/>
              </w:rPr>
              <w:t>Paid-in</w:t>
            </w:r>
          </w:p>
        </w:tc>
        <w:tc>
          <w:tcPr>
            <w:tcW w:w="1000" w:type="dxa"/>
            <w:vAlign w:val="bottom"/>
            <w:gridSpan w:val="3"/>
            <w:vMerge w:val="restart"/>
          </w:tcPr>
          <w:p>
            <w:pPr>
              <w:ind w:left="20"/>
              <w:spacing w:after="0" w:line="152" w:lineRule="exact"/>
              <w:rPr>
                <w:sz w:val="20"/>
                <w:szCs w:val="20"/>
                <w:color w:val="auto"/>
              </w:rPr>
            </w:pPr>
            <w:r>
              <w:rPr>
                <w:rFonts w:ascii="Times New Roman" w:cs="Times New Roman" w:eastAsia="Times New Roman" w:hAnsi="Times New Roman"/>
                <w:sz w:val="15"/>
                <w:szCs w:val="15"/>
                <w:b w:val="1"/>
                <w:bCs w:val="1"/>
                <w:color w:val="231F20"/>
              </w:rPr>
              <w:t>Excess of Net</w:t>
            </w:r>
          </w:p>
        </w:tc>
        <w:tc>
          <w:tcPr>
            <w:tcW w:w="1140" w:type="dxa"/>
            <w:vAlign w:val="bottom"/>
            <w:gridSpan w:val="2"/>
            <w:vMerge w:val="restart"/>
          </w:tcPr>
          <w:p>
            <w:pPr>
              <w:ind w:left="60"/>
              <w:spacing w:after="0" w:line="152" w:lineRule="exact"/>
              <w:rPr>
                <w:sz w:val="20"/>
                <w:szCs w:val="20"/>
                <w:color w:val="auto"/>
              </w:rPr>
            </w:pPr>
            <w:r>
              <w:rPr>
                <w:rFonts w:ascii="Times New Roman" w:cs="Times New Roman" w:eastAsia="Times New Roman" w:hAnsi="Times New Roman"/>
                <w:sz w:val="15"/>
                <w:szCs w:val="15"/>
                <w:b w:val="1"/>
                <w:bCs w:val="1"/>
                <w:color w:val="231F20"/>
              </w:rPr>
              <w:t>Comprehensive</w:t>
            </w:r>
          </w:p>
        </w:tc>
        <w:tc>
          <w:tcPr>
            <w:tcW w:w="80" w:type="dxa"/>
            <w:vAlign w:val="bottom"/>
            <w:vMerge w:val="restart"/>
          </w:tcPr>
          <w:p>
            <w:pPr>
              <w:spacing w:after="0"/>
              <w:rPr>
                <w:sz w:val="2"/>
                <w:szCs w:val="2"/>
                <w:color w:val="auto"/>
              </w:rPr>
            </w:pPr>
          </w:p>
        </w:tc>
        <w:tc>
          <w:tcPr>
            <w:tcW w:w="1100" w:type="dxa"/>
            <w:vAlign w:val="bottom"/>
            <w:gridSpan w:val="2"/>
            <w:vMerge w:val="restart"/>
          </w:tcPr>
          <w:p>
            <w:pPr>
              <w:ind w:left="60"/>
              <w:spacing w:after="0" w:line="152" w:lineRule="exact"/>
              <w:rPr>
                <w:sz w:val="20"/>
                <w:szCs w:val="20"/>
                <w:color w:val="auto"/>
              </w:rPr>
            </w:pPr>
            <w:r>
              <w:rPr>
                <w:rFonts w:ascii="Times New Roman" w:cs="Times New Roman" w:eastAsia="Times New Roman" w:hAnsi="Times New Roman"/>
                <w:sz w:val="15"/>
                <w:szCs w:val="15"/>
                <w:b w:val="1"/>
                <w:bCs w:val="1"/>
                <w:color w:val="231F20"/>
              </w:rPr>
              <w:t>Noncontrolling</w:t>
            </w:r>
          </w:p>
        </w:tc>
        <w:tc>
          <w:tcPr>
            <w:tcW w:w="60" w:type="dxa"/>
            <w:vAlign w:val="bottom"/>
            <w:vMerge w:val="restart"/>
          </w:tcPr>
          <w:p>
            <w:pPr>
              <w:spacing w:after="0"/>
              <w:rPr>
                <w:sz w:val="2"/>
                <w:szCs w:val="2"/>
                <w:color w:val="auto"/>
              </w:rPr>
            </w:pPr>
          </w:p>
        </w:tc>
        <w:tc>
          <w:tcPr>
            <w:tcW w:w="1080" w:type="dxa"/>
            <w:vAlign w:val="bottom"/>
            <w:gridSpan w:val="2"/>
            <w:vMerge w:val="restart"/>
          </w:tcPr>
          <w:p>
            <w:pPr>
              <w:jc w:val="center"/>
              <w:spacing w:after="0" w:line="152" w:lineRule="exact"/>
              <w:rPr>
                <w:sz w:val="20"/>
                <w:szCs w:val="20"/>
                <w:color w:val="auto"/>
              </w:rPr>
            </w:pPr>
            <w:r>
              <w:rPr>
                <w:rFonts w:ascii="Times New Roman" w:cs="Times New Roman" w:eastAsia="Times New Roman" w:hAnsi="Times New Roman"/>
                <w:sz w:val="15"/>
                <w:szCs w:val="15"/>
                <w:b w:val="1"/>
                <w:bCs w:val="1"/>
                <w:color w:val="231F20"/>
              </w:rPr>
              <w:t>Shareholders'</w:t>
            </w:r>
          </w:p>
        </w:tc>
        <w:tc>
          <w:tcPr>
            <w:tcW w:w="0" w:type="dxa"/>
            <w:vAlign w:val="bottom"/>
          </w:tcPr>
          <w:p>
            <w:pPr>
              <w:spacing w:after="0"/>
              <w:rPr>
                <w:sz w:val="1"/>
                <w:szCs w:val="1"/>
                <w:color w:val="auto"/>
              </w:rPr>
            </w:pPr>
          </w:p>
        </w:tc>
      </w:tr>
      <w:tr>
        <w:trPr>
          <w:trHeight w:val="104"/>
        </w:trPr>
        <w:tc>
          <w:tcPr>
            <w:tcW w:w="4720" w:type="dxa"/>
            <w:vAlign w:val="bottom"/>
          </w:tcPr>
          <w:p>
            <w:pPr>
              <w:spacing w:after="0"/>
              <w:rPr>
                <w:sz w:val="9"/>
                <w:szCs w:val="9"/>
                <w:color w:val="auto"/>
              </w:rPr>
            </w:pPr>
          </w:p>
        </w:tc>
        <w:tc>
          <w:tcPr>
            <w:tcW w:w="700" w:type="dxa"/>
            <w:vAlign w:val="bottom"/>
            <w:vMerge w:val="restart"/>
          </w:tcPr>
          <w:p>
            <w:pPr>
              <w:jc w:val="right"/>
              <w:ind w:right="42"/>
              <w:spacing w:after="0"/>
              <w:rPr>
                <w:sz w:val="20"/>
                <w:szCs w:val="20"/>
                <w:color w:val="auto"/>
              </w:rPr>
            </w:pPr>
            <w:r>
              <w:rPr>
                <w:rFonts w:ascii="Times New Roman" w:cs="Times New Roman" w:eastAsia="Times New Roman" w:hAnsi="Times New Roman"/>
                <w:sz w:val="15"/>
                <w:szCs w:val="15"/>
                <w:b w:val="1"/>
                <w:bCs w:val="1"/>
                <w:color w:val="231F20"/>
              </w:rPr>
              <w:t>Shares</w:t>
            </w:r>
          </w:p>
        </w:tc>
        <w:tc>
          <w:tcPr>
            <w:tcW w:w="80" w:type="dxa"/>
            <w:vAlign w:val="bottom"/>
          </w:tcPr>
          <w:p>
            <w:pPr>
              <w:spacing w:after="0"/>
              <w:rPr>
                <w:sz w:val="9"/>
                <w:szCs w:val="9"/>
                <w:color w:val="auto"/>
              </w:rPr>
            </w:pPr>
          </w:p>
        </w:tc>
        <w:tc>
          <w:tcPr>
            <w:tcW w:w="700" w:type="dxa"/>
            <w:vAlign w:val="bottom"/>
            <w:vMerge w:val="restart"/>
          </w:tcPr>
          <w:p>
            <w:pPr>
              <w:jc w:val="right"/>
              <w:ind w:right="22"/>
              <w:spacing w:after="0"/>
              <w:rPr>
                <w:sz w:val="20"/>
                <w:szCs w:val="20"/>
                <w:color w:val="auto"/>
              </w:rPr>
            </w:pPr>
            <w:r>
              <w:rPr>
                <w:rFonts w:ascii="Times New Roman" w:cs="Times New Roman" w:eastAsia="Times New Roman" w:hAnsi="Times New Roman"/>
                <w:sz w:val="15"/>
                <w:szCs w:val="15"/>
                <w:b w:val="1"/>
                <w:bCs w:val="1"/>
                <w:color w:val="231F20"/>
              </w:rPr>
              <w:t>Amount</w:t>
            </w:r>
          </w:p>
        </w:tc>
        <w:tc>
          <w:tcPr>
            <w:tcW w:w="60" w:type="dxa"/>
            <w:vAlign w:val="bottom"/>
          </w:tcPr>
          <w:p>
            <w:pPr>
              <w:spacing w:after="0"/>
              <w:rPr>
                <w:sz w:val="9"/>
                <w:szCs w:val="9"/>
                <w:color w:val="auto"/>
              </w:rPr>
            </w:pPr>
          </w:p>
        </w:tc>
        <w:tc>
          <w:tcPr>
            <w:tcW w:w="880" w:type="dxa"/>
            <w:vAlign w:val="bottom"/>
            <w:vMerge w:val="restart"/>
          </w:tcPr>
          <w:p>
            <w:pPr>
              <w:jc w:val="right"/>
              <w:ind w:right="143"/>
              <w:spacing w:after="0"/>
              <w:rPr>
                <w:sz w:val="20"/>
                <w:szCs w:val="20"/>
                <w:color w:val="auto"/>
              </w:rPr>
            </w:pPr>
            <w:r>
              <w:rPr>
                <w:rFonts w:ascii="Times New Roman" w:cs="Times New Roman" w:eastAsia="Times New Roman" w:hAnsi="Times New Roman"/>
                <w:sz w:val="15"/>
                <w:szCs w:val="15"/>
                <w:b w:val="1"/>
                <w:bCs w:val="1"/>
                <w:color w:val="231F20"/>
              </w:rPr>
              <w:t>Shares</w:t>
            </w:r>
          </w:p>
        </w:tc>
        <w:tc>
          <w:tcPr>
            <w:tcW w:w="60" w:type="dxa"/>
            <w:vAlign w:val="bottom"/>
          </w:tcPr>
          <w:p>
            <w:pPr>
              <w:spacing w:after="0"/>
              <w:rPr>
                <w:sz w:val="9"/>
                <w:szCs w:val="9"/>
                <w:color w:val="auto"/>
              </w:rPr>
            </w:pPr>
          </w:p>
        </w:tc>
        <w:tc>
          <w:tcPr>
            <w:tcW w:w="740" w:type="dxa"/>
            <w:vAlign w:val="bottom"/>
            <w:gridSpan w:val="2"/>
            <w:vMerge w:val="restart"/>
          </w:tcPr>
          <w:p>
            <w:pPr>
              <w:jc w:val="right"/>
              <w:ind w:right="29"/>
              <w:spacing w:after="0"/>
              <w:rPr>
                <w:sz w:val="20"/>
                <w:szCs w:val="20"/>
                <w:color w:val="auto"/>
              </w:rPr>
            </w:pPr>
            <w:r>
              <w:rPr>
                <w:rFonts w:ascii="Times New Roman" w:cs="Times New Roman" w:eastAsia="Times New Roman" w:hAnsi="Times New Roman"/>
                <w:sz w:val="15"/>
                <w:szCs w:val="15"/>
                <w:b w:val="1"/>
                <w:bCs w:val="1"/>
                <w:color w:val="231F20"/>
              </w:rPr>
              <w:t>Amount</w:t>
            </w: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gridSpan w:val="3"/>
            <w:vMerge w:val="continue"/>
          </w:tcPr>
          <w:p>
            <w:pPr>
              <w:spacing w:after="0"/>
              <w:rPr>
                <w:sz w:val="9"/>
                <w:szCs w:val="9"/>
                <w:color w:val="auto"/>
              </w:rPr>
            </w:pPr>
          </w:p>
        </w:tc>
        <w:tc>
          <w:tcPr>
            <w:tcW w:w="1000" w:type="dxa"/>
            <w:vAlign w:val="bottom"/>
            <w:gridSpan w:val="3"/>
            <w:vMerge w:val="continue"/>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60" w:type="dxa"/>
            <w:vAlign w:val="bottom"/>
            <w:vMerge w:val="continue"/>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4720" w:type="dxa"/>
            <w:vAlign w:val="bottom"/>
          </w:tcPr>
          <w:p>
            <w:pPr>
              <w:spacing w:after="0"/>
              <w:rPr>
                <w:sz w:val="17"/>
                <w:szCs w:val="17"/>
                <w:color w:val="auto"/>
              </w:rPr>
            </w:pPr>
          </w:p>
        </w:tc>
        <w:tc>
          <w:tcPr>
            <w:tcW w:w="700" w:type="dxa"/>
            <w:vAlign w:val="bottom"/>
            <w:tcBorders>
              <w:bottom w:val="single" w:sz="8" w:color="231F20"/>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Borders>
              <w:bottom w:val="single" w:sz="8" w:color="231F20"/>
            </w:tcBorders>
            <w:vMerge w:val="continue"/>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Borders>
              <w:bottom w:val="single" w:sz="8" w:color="231F20"/>
            </w:tcBorders>
            <w:vMerge w:val="continue"/>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Borders>
              <w:bottom w:val="single" w:sz="8" w:color="231F20"/>
            </w:tcBorders>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3"/>
          </w:tcPr>
          <w:p>
            <w:pPr>
              <w:jc w:val="center"/>
              <w:ind w:right="173"/>
              <w:spacing w:after="0"/>
              <w:rPr>
                <w:sz w:val="20"/>
                <w:szCs w:val="20"/>
                <w:color w:val="auto"/>
              </w:rPr>
            </w:pPr>
            <w:r>
              <w:rPr>
                <w:rFonts w:ascii="Times New Roman" w:cs="Times New Roman" w:eastAsia="Times New Roman" w:hAnsi="Times New Roman"/>
                <w:sz w:val="15"/>
                <w:szCs w:val="15"/>
                <w:b w:val="1"/>
                <w:bCs w:val="1"/>
                <w:color w:val="231F20"/>
              </w:rPr>
              <w:t>Capital</w:t>
            </w:r>
          </w:p>
        </w:tc>
        <w:tc>
          <w:tcPr>
            <w:tcW w:w="140" w:type="dxa"/>
            <w:vAlign w:val="bottom"/>
          </w:tcPr>
          <w:p>
            <w:pPr>
              <w:spacing w:after="0"/>
              <w:rPr>
                <w:sz w:val="17"/>
                <w:szCs w:val="17"/>
                <w:color w:val="auto"/>
              </w:rPr>
            </w:pP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231F20"/>
              </w:rPr>
              <w:t>Income</w:t>
            </w:r>
          </w:p>
        </w:tc>
        <w:tc>
          <w:tcPr>
            <w:tcW w:w="140" w:type="dxa"/>
            <w:vAlign w:val="bottom"/>
            <w:tcBorders>
              <w:bottom w:val="single" w:sz="8" w:color="231F20"/>
            </w:tcBorders>
          </w:tcPr>
          <w:p>
            <w:pPr>
              <w:spacing w:after="0"/>
              <w:rPr>
                <w:sz w:val="17"/>
                <w:szCs w:val="17"/>
                <w:color w:val="auto"/>
              </w:rPr>
            </w:pPr>
          </w:p>
        </w:tc>
        <w:tc>
          <w:tcPr>
            <w:tcW w:w="1000" w:type="dxa"/>
            <w:vAlign w:val="bottom"/>
            <w:tcBorders>
              <w:bottom w:val="single" w:sz="8" w:color="231F20"/>
            </w:tcBorders>
          </w:tcPr>
          <w:p>
            <w:pPr>
              <w:jc w:val="center"/>
              <w:ind w:right="68"/>
              <w:spacing w:after="0"/>
              <w:rPr>
                <w:sz w:val="20"/>
                <w:szCs w:val="20"/>
                <w:color w:val="auto"/>
              </w:rPr>
            </w:pPr>
            <w:r>
              <w:rPr>
                <w:rFonts w:ascii="Times New Roman" w:cs="Times New Roman" w:eastAsia="Times New Roman" w:hAnsi="Times New Roman"/>
                <w:sz w:val="15"/>
                <w:szCs w:val="15"/>
                <w:b w:val="1"/>
                <w:bCs w:val="1"/>
                <w:color w:val="231F20"/>
              </w:rPr>
              <w:t>Income (loss)</w:t>
            </w:r>
          </w:p>
        </w:tc>
        <w:tc>
          <w:tcPr>
            <w:tcW w:w="80" w:type="dxa"/>
            <w:vAlign w:val="bottom"/>
          </w:tcPr>
          <w:p>
            <w:pPr>
              <w:spacing w:after="0"/>
              <w:rPr>
                <w:sz w:val="17"/>
                <w:szCs w:val="17"/>
                <w:color w:val="auto"/>
              </w:rPr>
            </w:pPr>
          </w:p>
        </w:tc>
        <w:tc>
          <w:tcPr>
            <w:tcW w:w="200" w:type="dxa"/>
            <w:vAlign w:val="bottom"/>
            <w:tcBorders>
              <w:bottom w:val="single" w:sz="8" w:color="231F20"/>
            </w:tcBorders>
          </w:tcPr>
          <w:p>
            <w:pPr>
              <w:spacing w:after="0"/>
              <w:rPr>
                <w:sz w:val="17"/>
                <w:szCs w:val="17"/>
                <w:color w:val="auto"/>
              </w:rPr>
            </w:pPr>
          </w:p>
        </w:tc>
        <w:tc>
          <w:tcPr>
            <w:tcW w:w="900" w:type="dxa"/>
            <w:vAlign w:val="bottom"/>
            <w:tcBorders>
              <w:bottom w:val="single" w:sz="8" w:color="231F20"/>
            </w:tcBorders>
          </w:tcPr>
          <w:p>
            <w:pPr>
              <w:jc w:val="right"/>
              <w:ind w:right="209"/>
              <w:spacing w:after="0"/>
              <w:rPr>
                <w:sz w:val="20"/>
                <w:szCs w:val="20"/>
                <w:color w:val="auto"/>
              </w:rPr>
            </w:pPr>
            <w:r>
              <w:rPr>
                <w:rFonts w:ascii="Times New Roman" w:cs="Times New Roman" w:eastAsia="Times New Roman" w:hAnsi="Times New Roman"/>
                <w:sz w:val="15"/>
                <w:szCs w:val="15"/>
                <w:b w:val="1"/>
                <w:bCs w:val="1"/>
                <w:color w:val="231F20"/>
              </w:rPr>
              <w:t>Interests</w:t>
            </w:r>
          </w:p>
        </w:tc>
        <w:tc>
          <w:tcPr>
            <w:tcW w:w="60" w:type="dxa"/>
            <w:vAlign w:val="bottom"/>
          </w:tcPr>
          <w:p>
            <w:pPr>
              <w:spacing w:after="0"/>
              <w:rPr>
                <w:sz w:val="17"/>
                <w:szCs w:val="17"/>
                <w:color w:val="auto"/>
              </w:rPr>
            </w:pPr>
          </w:p>
        </w:tc>
        <w:tc>
          <w:tcPr>
            <w:tcW w:w="220" w:type="dxa"/>
            <w:vAlign w:val="bottom"/>
            <w:tcBorders>
              <w:bottom w:val="single" w:sz="8" w:color="231F20"/>
            </w:tcBorders>
          </w:tcPr>
          <w:p>
            <w:pPr>
              <w:spacing w:after="0"/>
              <w:rPr>
                <w:sz w:val="17"/>
                <w:szCs w:val="17"/>
                <w:color w:val="auto"/>
              </w:rPr>
            </w:pPr>
          </w:p>
        </w:tc>
        <w:tc>
          <w:tcPr>
            <w:tcW w:w="860" w:type="dxa"/>
            <w:vAlign w:val="bottom"/>
            <w:tcBorders>
              <w:bottom w:val="single" w:sz="8" w:color="231F20"/>
            </w:tcBorders>
          </w:tcPr>
          <w:p>
            <w:pPr>
              <w:jc w:val="center"/>
              <w:ind w:right="148"/>
              <w:spacing w:after="0"/>
              <w:rPr>
                <w:sz w:val="20"/>
                <w:szCs w:val="20"/>
                <w:color w:val="auto"/>
              </w:rPr>
            </w:pPr>
            <w:r>
              <w:rPr>
                <w:rFonts w:ascii="Times New Roman" w:cs="Times New Roman" w:eastAsia="Times New Roman" w:hAnsi="Times New Roman"/>
                <w:sz w:val="15"/>
                <w:szCs w:val="15"/>
                <w:b w:val="1"/>
                <w:bCs w:val="1"/>
                <w:color w:val="231F20"/>
              </w:rPr>
              <w:t>Equity</w:t>
            </w:r>
          </w:p>
        </w:tc>
        <w:tc>
          <w:tcPr>
            <w:tcW w:w="0" w:type="dxa"/>
            <w:vAlign w:val="bottom"/>
          </w:tcPr>
          <w:p>
            <w:pPr>
              <w:spacing w:after="0"/>
              <w:rPr>
                <w:sz w:val="1"/>
                <w:szCs w:val="1"/>
                <w:color w:val="auto"/>
              </w:rPr>
            </w:pPr>
          </w:p>
        </w:tc>
      </w:tr>
      <w:tr>
        <w:trPr>
          <w:trHeight w:val="191"/>
        </w:trPr>
        <w:tc>
          <w:tcPr>
            <w:tcW w:w="4720" w:type="dxa"/>
            <w:vAlign w:val="bottom"/>
            <w:vMerge w:val="restart"/>
          </w:tcPr>
          <w:p>
            <w:pPr>
              <w:spacing w:after="0"/>
              <w:rPr>
                <w:sz w:val="20"/>
                <w:szCs w:val="20"/>
                <w:color w:val="auto"/>
              </w:rPr>
            </w:pPr>
            <w:r>
              <w:rPr>
                <w:rFonts w:ascii="Times New Roman" w:cs="Times New Roman" w:eastAsia="Times New Roman" w:hAnsi="Times New Roman"/>
                <w:sz w:val="14"/>
                <w:szCs w:val="14"/>
                <w:color w:val="231F20"/>
              </w:rPr>
              <w:t>BALANCE AT DECEMBER 31, 2022</w:t>
            </w:r>
          </w:p>
        </w:tc>
        <w:tc>
          <w:tcPr>
            <w:tcW w:w="700" w:type="dxa"/>
            <w:vAlign w:val="bottom"/>
            <w:tcBorders>
              <w:bottom w:val="single" w:sz="8" w:color="231F20"/>
            </w:tcBorders>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Borders>
              <w:bottom w:val="single" w:sz="8" w:color="231F20"/>
            </w:tcBorders>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Borders>
              <w:bottom w:val="single" w:sz="8" w:color="231F20"/>
            </w:tcBorders>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Borders>
              <w:bottom w:val="single" w:sz="8" w:color="231F20"/>
            </w:tcBorders>
          </w:tcPr>
          <w:p>
            <w:pPr>
              <w:spacing w:after="0"/>
              <w:rPr>
                <w:sz w:val="16"/>
                <w:szCs w:val="16"/>
                <w:color w:val="auto"/>
              </w:rPr>
            </w:pPr>
          </w:p>
        </w:tc>
        <w:tc>
          <w:tcPr>
            <w:tcW w:w="300" w:type="dxa"/>
            <w:vAlign w:val="bottom"/>
            <w:tcBorders>
              <w:bottom w:val="single" w:sz="8" w:color="231F20"/>
            </w:tcBorders>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bottom w:val="single" w:sz="8" w:color="231F20"/>
            </w:tcBorders>
          </w:tcPr>
          <w:p>
            <w:pPr>
              <w:spacing w:after="0"/>
              <w:rPr>
                <w:sz w:val="16"/>
                <w:szCs w:val="16"/>
                <w:color w:val="auto"/>
              </w:rPr>
            </w:pPr>
          </w:p>
        </w:tc>
        <w:tc>
          <w:tcPr>
            <w:tcW w:w="840" w:type="dxa"/>
            <w:vAlign w:val="bottom"/>
            <w:tcBorders>
              <w:bottom w:val="single" w:sz="8" w:color="231F20"/>
            </w:tcBorders>
          </w:tcPr>
          <w:p>
            <w:pPr>
              <w:jc w:val="right"/>
              <w:spacing w:after="0" w:line="143" w:lineRule="exact"/>
              <w:rPr>
                <w:sz w:val="20"/>
                <w:szCs w:val="20"/>
                <w:color w:val="auto"/>
              </w:rPr>
            </w:pPr>
            <w:r>
              <w:rPr>
                <w:rFonts w:ascii="Times New Roman" w:cs="Times New Roman" w:eastAsia="Times New Roman" w:hAnsi="Times New Roman"/>
                <w:sz w:val="13"/>
                <w:szCs w:val="13"/>
                <w:b w:val="1"/>
                <w:bCs w:val="1"/>
                <w:color w:val="231F20"/>
              </w:rPr>
              <w:t>(In thousands,</w:t>
            </w:r>
          </w:p>
        </w:tc>
        <w:tc>
          <w:tcPr>
            <w:tcW w:w="60" w:type="dxa"/>
            <w:vAlign w:val="bottom"/>
          </w:tcPr>
          <w:p>
            <w:pPr>
              <w:spacing w:after="0"/>
              <w:rPr>
                <w:sz w:val="16"/>
                <w:szCs w:val="16"/>
                <w:color w:val="auto"/>
              </w:rPr>
            </w:pPr>
          </w:p>
        </w:tc>
        <w:tc>
          <w:tcPr>
            <w:tcW w:w="1000" w:type="dxa"/>
            <w:vAlign w:val="bottom"/>
            <w:tcBorders>
              <w:bottom w:val="single" w:sz="8" w:color="231F20"/>
            </w:tcBorders>
            <w:gridSpan w:val="3"/>
          </w:tcPr>
          <w:p>
            <w:pPr>
              <w:jc w:val="center"/>
              <w:spacing w:after="0" w:line="143" w:lineRule="exact"/>
              <w:rPr>
                <w:sz w:val="20"/>
                <w:szCs w:val="20"/>
                <w:color w:val="auto"/>
              </w:rPr>
            </w:pPr>
            <w:r>
              <w:rPr>
                <w:rFonts w:ascii="Times New Roman" w:cs="Times New Roman" w:eastAsia="Times New Roman" w:hAnsi="Times New Roman"/>
                <w:sz w:val="13"/>
                <w:szCs w:val="13"/>
                <w:b w:val="1"/>
                <w:bCs w:val="1"/>
                <w:color w:val="231F20"/>
                <w:w w:val="96"/>
              </w:rPr>
              <w:t>except share data)</w:t>
            </w:r>
          </w:p>
        </w:tc>
        <w:tc>
          <w:tcPr>
            <w:tcW w:w="60" w:type="dxa"/>
            <w:vAlign w:val="bottom"/>
          </w:tcPr>
          <w:p>
            <w:pPr>
              <w:spacing w:after="0"/>
              <w:rPr>
                <w:sz w:val="16"/>
                <w:szCs w:val="16"/>
                <w:color w:val="auto"/>
              </w:rPr>
            </w:pPr>
          </w:p>
        </w:tc>
        <w:tc>
          <w:tcPr>
            <w:tcW w:w="140" w:type="dxa"/>
            <w:vAlign w:val="bottom"/>
            <w:tcBorders>
              <w:bottom w:val="single" w:sz="8" w:color="231F20"/>
            </w:tcBorders>
          </w:tcPr>
          <w:p>
            <w:pPr>
              <w:spacing w:after="0"/>
              <w:rPr>
                <w:sz w:val="16"/>
                <w:szCs w:val="16"/>
                <w:color w:val="auto"/>
              </w:rPr>
            </w:pPr>
          </w:p>
        </w:tc>
        <w:tc>
          <w:tcPr>
            <w:tcW w:w="1000" w:type="dxa"/>
            <w:vAlign w:val="bottom"/>
            <w:tcBorders>
              <w:bottom w:val="single" w:sz="8" w:color="231F20"/>
            </w:tcBorders>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bottom w:val="single" w:sz="8" w:color="231F20"/>
            </w:tcBorders>
          </w:tcPr>
          <w:p>
            <w:pPr>
              <w:spacing w:after="0"/>
              <w:rPr>
                <w:sz w:val="16"/>
                <w:szCs w:val="16"/>
                <w:color w:val="auto"/>
              </w:rPr>
            </w:pPr>
          </w:p>
        </w:tc>
        <w:tc>
          <w:tcPr>
            <w:tcW w:w="900" w:type="dxa"/>
            <w:vAlign w:val="bottom"/>
            <w:tcBorders>
              <w:bottom w:val="single" w:sz="8" w:color="231F20"/>
            </w:tcBorders>
          </w:tcPr>
          <w:p>
            <w:pPr>
              <w:spacing w:after="0"/>
              <w:rPr>
                <w:sz w:val="16"/>
                <w:szCs w:val="16"/>
                <w:color w:val="auto"/>
              </w:rPr>
            </w:pPr>
          </w:p>
        </w:tc>
        <w:tc>
          <w:tcPr>
            <w:tcW w:w="60" w:type="dxa"/>
            <w:vAlign w:val="bottom"/>
            <w:tcBorders>
              <w:bottom w:val="single" w:sz="8" w:color="231F20"/>
            </w:tcBorders>
          </w:tcPr>
          <w:p>
            <w:pPr>
              <w:spacing w:after="0"/>
              <w:rPr>
                <w:sz w:val="16"/>
                <w:szCs w:val="16"/>
                <w:color w:val="auto"/>
              </w:rPr>
            </w:pPr>
          </w:p>
        </w:tc>
        <w:tc>
          <w:tcPr>
            <w:tcW w:w="220" w:type="dxa"/>
            <w:vAlign w:val="bottom"/>
            <w:tcBorders>
              <w:bottom w:val="single" w:sz="8" w:color="231F20"/>
            </w:tcBorders>
          </w:tcPr>
          <w:p>
            <w:pPr>
              <w:spacing w:after="0"/>
              <w:rPr>
                <w:sz w:val="16"/>
                <w:szCs w:val="16"/>
                <w:color w:val="auto"/>
              </w:rPr>
            </w:pPr>
          </w:p>
        </w:tc>
        <w:tc>
          <w:tcPr>
            <w:tcW w:w="860" w:type="dxa"/>
            <w:vAlign w:val="bottom"/>
            <w:tcBorders>
              <w:bottom w:val="single" w:sz="8" w:color="231F20"/>
            </w:tcBorders>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4720" w:type="dxa"/>
            <w:vAlign w:val="bottom"/>
            <w:vMerge w:val="continue"/>
          </w:tcPr>
          <w:p>
            <w:pPr>
              <w:spacing w:after="0"/>
              <w:rPr>
                <w:sz w:val="12"/>
                <w:szCs w:val="12"/>
                <w:color w:val="auto"/>
              </w:rPr>
            </w:pPr>
          </w:p>
        </w:tc>
        <w:tc>
          <w:tcPr>
            <w:tcW w:w="700" w:type="dxa"/>
            <w:vAlign w:val="bottom"/>
          </w:tcPr>
          <w:p>
            <w:pPr>
              <w:jc w:val="right"/>
              <w:ind w:right="2"/>
              <w:spacing w:after="0" w:line="145" w:lineRule="exact"/>
              <w:rPr>
                <w:sz w:val="20"/>
                <w:szCs w:val="20"/>
                <w:color w:val="auto"/>
              </w:rPr>
            </w:pPr>
            <w:r>
              <w:rPr>
                <w:rFonts w:ascii="Times New Roman" w:cs="Times New Roman" w:eastAsia="Times New Roman" w:hAnsi="Times New Roman"/>
                <w:sz w:val="14"/>
                <w:szCs w:val="14"/>
                <w:color w:val="231F20"/>
              </w:rPr>
              <w:t>398,878</w:t>
            </w:r>
          </w:p>
        </w:tc>
        <w:tc>
          <w:tcPr>
            <w:tcW w:w="80" w:type="dxa"/>
            <w:vAlign w:val="bottom"/>
          </w:tcPr>
          <w:p>
            <w:pPr>
              <w:spacing w:after="0"/>
              <w:rPr>
                <w:sz w:val="12"/>
                <w:szCs w:val="12"/>
                <w:color w:val="auto"/>
              </w:rPr>
            </w:pPr>
          </w:p>
        </w:tc>
        <w:tc>
          <w:tcPr>
            <w:tcW w:w="700" w:type="dxa"/>
            <w:vAlign w:val="bottom"/>
          </w:tcPr>
          <w:p>
            <w:pPr>
              <w:jc w:val="right"/>
              <w:ind w:right="2"/>
              <w:spacing w:after="0" w:line="145" w:lineRule="exact"/>
              <w:rPr>
                <w:sz w:val="20"/>
                <w:szCs w:val="20"/>
                <w:color w:val="auto"/>
              </w:rPr>
            </w:pPr>
            <w:r>
              <w:rPr>
                <w:rFonts w:ascii="Times New Roman" w:cs="Times New Roman" w:eastAsia="Times New Roman" w:hAnsi="Times New Roman"/>
                <w:sz w:val="14"/>
                <w:szCs w:val="14"/>
                <w:color w:val="231F20"/>
              </w:rPr>
              <w:t>159,822</w:t>
            </w:r>
          </w:p>
        </w:tc>
        <w:tc>
          <w:tcPr>
            <w:tcW w:w="60" w:type="dxa"/>
            <w:vAlign w:val="bottom"/>
          </w:tcPr>
          <w:p>
            <w:pPr>
              <w:spacing w:after="0"/>
              <w:rPr>
                <w:sz w:val="12"/>
                <w:szCs w:val="12"/>
                <w:color w:val="auto"/>
              </w:rPr>
            </w:pPr>
          </w:p>
        </w:tc>
        <w:tc>
          <w:tcPr>
            <w:tcW w:w="880" w:type="dxa"/>
            <w:vAlign w:val="bottom"/>
          </w:tcPr>
          <w:p>
            <w:pPr>
              <w:jc w:val="right"/>
              <w:ind w:right="3"/>
              <w:spacing w:after="0" w:line="145" w:lineRule="exact"/>
              <w:rPr>
                <w:sz w:val="20"/>
                <w:szCs w:val="20"/>
                <w:color w:val="auto"/>
              </w:rPr>
            </w:pPr>
            <w:r>
              <w:rPr>
                <w:rFonts w:ascii="Times New Roman" w:cs="Times New Roman" w:eastAsia="Times New Roman" w:hAnsi="Times New Roman"/>
                <w:sz w:val="14"/>
                <w:szCs w:val="14"/>
                <w:color w:val="231F20"/>
              </w:rPr>
              <w:t>81,342,959</w:t>
            </w: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jc w:val="right"/>
              <w:ind w:right="9"/>
              <w:spacing w:after="0" w:line="145" w:lineRule="exact"/>
              <w:rPr>
                <w:sz w:val="20"/>
                <w:szCs w:val="20"/>
                <w:color w:val="auto"/>
              </w:rPr>
            </w:pPr>
            <w:r>
              <w:rPr>
                <w:rFonts w:ascii="Times New Roman" w:cs="Times New Roman" w:eastAsia="Times New Roman" w:hAnsi="Times New Roman"/>
                <w:sz w:val="14"/>
                <w:szCs w:val="14"/>
                <w:color w:val="231F20"/>
                <w:w w:val="95"/>
              </w:rPr>
              <w:t>818</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231F20"/>
              </w:rPr>
              <w:t>3,821,801</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231F20"/>
              </w:rPr>
              <w:t>(1,034,186)</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231F20"/>
              </w:rPr>
              <w:t>5,757</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231F20"/>
              </w:rPr>
              <w:t>80,003</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231F20"/>
              </w:rPr>
              <w:t>3,034,015</w:t>
            </w:r>
          </w:p>
        </w:tc>
        <w:tc>
          <w:tcPr>
            <w:tcW w:w="0" w:type="dxa"/>
            <w:vAlign w:val="bottom"/>
          </w:tcPr>
          <w:p>
            <w:pPr>
              <w:spacing w:after="0"/>
              <w:rPr>
                <w:sz w:val="1"/>
                <w:szCs w:val="1"/>
                <w:color w:val="auto"/>
              </w:rPr>
            </w:pPr>
          </w:p>
        </w:tc>
      </w:tr>
      <w:tr>
        <w:trPr>
          <w:trHeight w:val="169"/>
        </w:trPr>
        <w:tc>
          <w:tcPr>
            <w:tcW w:w="4720" w:type="dxa"/>
            <w:vAlign w:val="bottom"/>
          </w:tcPr>
          <w:p>
            <w:pPr>
              <w:spacing w:after="0"/>
              <w:rPr>
                <w:sz w:val="20"/>
                <w:szCs w:val="20"/>
                <w:color w:val="auto"/>
              </w:rPr>
            </w:pPr>
            <w:r>
              <w:rPr>
                <w:rFonts w:ascii="Times New Roman" w:cs="Times New Roman" w:eastAsia="Times New Roman" w:hAnsi="Times New Roman"/>
                <w:sz w:val="14"/>
                <w:szCs w:val="14"/>
                <w:color w:val="231F20"/>
              </w:rPr>
              <w:t>Net income, excluding $7,253 attributable to redeemable noncontrolling interests</w:t>
            </w:r>
          </w:p>
        </w:tc>
        <w:tc>
          <w:tcPr>
            <w:tcW w:w="700" w:type="dxa"/>
            <w:vAlign w:val="bottom"/>
          </w:tcPr>
          <w:p>
            <w:pPr>
              <w:jc w:val="right"/>
              <w:ind w:right="2"/>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4"/>
                <w:szCs w:val="14"/>
                <w:color w:val="auto"/>
              </w:rPr>
            </w:pPr>
          </w:p>
        </w:tc>
        <w:tc>
          <w:tcPr>
            <w:tcW w:w="700" w:type="dxa"/>
            <w:vAlign w:val="bottom"/>
          </w:tcPr>
          <w:p>
            <w:pPr>
              <w:jc w:val="right"/>
              <w:ind w:right="2"/>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4"/>
                <w:szCs w:val="14"/>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3"/>
          </w:tcPr>
          <w:p>
            <w:pPr>
              <w:jc w:val="right"/>
              <w:ind w:right="113"/>
              <w:spacing w:after="0"/>
              <w:rPr>
                <w:sz w:val="20"/>
                <w:szCs w:val="20"/>
                <w:color w:val="auto"/>
              </w:rPr>
            </w:pPr>
            <w:r>
              <w:rPr>
                <w:rFonts w:ascii="Times New Roman" w:cs="Times New Roman" w:eastAsia="Times New Roman" w:hAnsi="Times New Roman"/>
                <w:sz w:val="14"/>
                <w:szCs w:val="14"/>
                <w:color w:val="231F20"/>
              </w:rPr>
              <w:t>—</w:t>
            </w: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236,985</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2,979</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239,964</w:t>
            </w:r>
          </w:p>
        </w:tc>
        <w:tc>
          <w:tcPr>
            <w:tcW w:w="0" w:type="dxa"/>
            <w:vAlign w:val="bottom"/>
          </w:tcPr>
          <w:p>
            <w:pPr>
              <w:spacing w:after="0"/>
              <w:rPr>
                <w:sz w:val="1"/>
                <w:szCs w:val="1"/>
                <w:color w:val="auto"/>
              </w:rPr>
            </w:pPr>
          </w:p>
        </w:tc>
      </w:tr>
      <w:tr>
        <w:trPr>
          <w:trHeight w:val="163"/>
        </w:trPr>
        <w:tc>
          <w:tcPr>
            <w:tcW w:w="4720" w:type="dxa"/>
            <w:vAlign w:val="bottom"/>
          </w:tcPr>
          <w:p>
            <w:pPr>
              <w:spacing w:after="0"/>
              <w:rPr>
                <w:sz w:val="20"/>
                <w:szCs w:val="20"/>
                <w:color w:val="auto"/>
              </w:rPr>
            </w:pPr>
            <w:r>
              <w:rPr>
                <w:rFonts w:ascii="Times New Roman" w:cs="Times New Roman" w:eastAsia="Times New Roman" w:hAnsi="Times New Roman"/>
                <w:sz w:val="14"/>
                <w:szCs w:val="14"/>
                <w:color w:val="231F20"/>
              </w:rPr>
              <w:t>Other comprehensive loss - change in value of interest rate swaps, excluding</w:t>
            </w:r>
          </w:p>
        </w:tc>
        <w:tc>
          <w:tcPr>
            <w:tcW w:w="700" w:type="dxa"/>
            <w:vAlign w:val="bottom"/>
            <w:vMerge w:val="restart"/>
          </w:tcPr>
          <w:p>
            <w:pPr>
              <w:jc w:val="right"/>
              <w:ind w:right="2"/>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4"/>
                <w:szCs w:val="14"/>
                <w:color w:val="auto"/>
              </w:rPr>
            </w:pPr>
          </w:p>
        </w:tc>
        <w:tc>
          <w:tcPr>
            <w:tcW w:w="700" w:type="dxa"/>
            <w:vAlign w:val="bottom"/>
            <w:vMerge w:val="restart"/>
          </w:tcPr>
          <w:p>
            <w:pPr>
              <w:jc w:val="right"/>
              <w:ind w:right="2"/>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4"/>
                <w:szCs w:val="14"/>
                <w:color w:val="auto"/>
              </w:rPr>
            </w:pPr>
          </w:p>
        </w:tc>
        <w:tc>
          <w:tcPr>
            <w:tcW w:w="880" w:type="dxa"/>
            <w:vAlign w:val="bottom"/>
            <w:vMerge w:val="restart"/>
          </w:tcPr>
          <w:p>
            <w:pPr>
              <w:jc w:val="right"/>
              <w:ind w:right="3"/>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3"/>
            <w:vMerge w:val="restart"/>
          </w:tcPr>
          <w:p>
            <w:pPr>
              <w:jc w:val="right"/>
              <w:ind w:right="113"/>
              <w:spacing w:after="0"/>
              <w:rPr>
                <w:sz w:val="20"/>
                <w:szCs w:val="20"/>
                <w:color w:val="auto"/>
              </w:rPr>
            </w:pPr>
            <w:r>
              <w:rPr>
                <w:rFonts w:ascii="Times New Roman" w:cs="Times New Roman" w:eastAsia="Times New Roman" w:hAnsi="Times New Roman"/>
                <w:sz w:val="14"/>
                <w:szCs w:val="14"/>
                <w:color w:val="231F20"/>
              </w:rPr>
              <w:t>—</w:t>
            </w:r>
          </w:p>
        </w:tc>
        <w:tc>
          <w:tcPr>
            <w:tcW w:w="140" w:type="dxa"/>
            <w:vAlign w:val="bottom"/>
          </w:tcPr>
          <w:p>
            <w:pPr>
              <w:spacing w:after="0"/>
              <w:rPr>
                <w:sz w:val="14"/>
                <w:szCs w:val="14"/>
                <w:color w:val="auto"/>
              </w:rPr>
            </w:pPr>
          </w:p>
        </w:tc>
        <w:tc>
          <w:tcPr>
            <w:tcW w:w="8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231F20"/>
              </w:rPr>
              <w:t>—</w:t>
            </w:r>
          </w:p>
        </w:tc>
        <w:tc>
          <w:tcPr>
            <w:tcW w:w="14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231F20"/>
              </w:rPr>
              <w:t>(1,705)</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231F20"/>
              </w:rPr>
              <w:t>(1,705)</w:t>
            </w:r>
          </w:p>
        </w:tc>
        <w:tc>
          <w:tcPr>
            <w:tcW w:w="0" w:type="dxa"/>
            <w:vAlign w:val="bottom"/>
          </w:tcPr>
          <w:p>
            <w:pPr>
              <w:spacing w:after="0"/>
              <w:rPr>
                <w:sz w:val="1"/>
                <w:szCs w:val="1"/>
                <w:color w:val="auto"/>
              </w:rPr>
            </w:pPr>
          </w:p>
        </w:tc>
      </w:tr>
      <w:tr>
        <w:trPr>
          <w:trHeight w:val="182"/>
        </w:trPr>
        <w:tc>
          <w:tcPr>
            <w:tcW w:w="4720" w:type="dxa"/>
            <w:vAlign w:val="bottom"/>
          </w:tcPr>
          <w:p>
            <w:pPr>
              <w:spacing w:after="0"/>
              <w:rPr>
                <w:sz w:val="20"/>
                <w:szCs w:val="20"/>
                <w:color w:val="auto"/>
              </w:rPr>
            </w:pPr>
            <w:r>
              <w:rPr>
                <w:rFonts w:ascii="Times New Roman" w:cs="Times New Roman" w:eastAsia="Times New Roman" w:hAnsi="Times New Roman"/>
                <w:sz w:val="14"/>
                <w:szCs w:val="14"/>
                <w:color w:val="231F20"/>
              </w:rPr>
              <w:t>$119 attributable to redeemable noncontrolling interest</w:t>
            </w:r>
          </w:p>
        </w:tc>
        <w:tc>
          <w:tcPr>
            <w:tcW w:w="7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720" w:type="dxa"/>
            <w:vAlign w:val="bottom"/>
          </w:tcPr>
          <w:p>
            <w:pPr>
              <w:spacing w:after="0"/>
              <w:rPr>
                <w:sz w:val="20"/>
                <w:szCs w:val="20"/>
                <w:color w:val="auto"/>
              </w:rPr>
            </w:pPr>
            <w:r>
              <w:rPr>
                <w:rFonts w:ascii="Times New Roman" w:cs="Times New Roman" w:eastAsia="Times New Roman" w:hAnsi="Times New Roman"/>
                <w:sz w:val="14"/>
                <w:szCs w:val="14"/>
                <w:color w:val="231F20"/>
              </w:rPr>
              <w:t>Dividends declared to common shareholders ($4.34 per share)</w:t>
            </w:r>
          </w:p>
        </w:tc>
        <w:tc>
          <w:tcPr>
            <w:tcW w:w="700" w:type="dxa"/>
            <w:vAlign w:val="bottom"/>
          </w:tcPr>
          <w:p>
            <w:pPr>
              <w:jc w:val="right"/>
              <w:ind w:right="2"/>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6"/>
                <w:szCs w:val="16"/>
                <w:color w:val="auto"/>
              </w:rPr>
            </w:pPr>
          </w:p>
        </w:tc>
        <w:tc>
          <w:tcPr>
            <w:tcW w:w="700" w:type="dxa"/>
            <w:vAlign w:val="bottom"/>
          </w:tcPr>
          <w:p>
            <w:pPr>
              <w:jc w:val="right"/>
              <w:ind w:right="2"/>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6"/>
                <w:szCs w:val="16"/>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3"/>
          </w:tcPr>
          <w:p>
            <w:pPr>
              <w:jc w:val="right"/>
              <w:ind w:right="113"/>
              <w:spacing w:after="0"/>
              <w:rPr>
                <w:sz w:val="20"/>
                <w:szCs w:val="20"/>
                <w:color w:val="auto"/>
              </w:rPr>
            </w:pPr>
            <w:r>
              <w:rPr>
                <w:rFonts w:ascii="Times New Roman" w:cs="Times New Roman" w:eastAsia="Times New Roman" w:hAnsi="Times New Roman"/>
                <w:sz w:val="14"/>
                <w:szCs w:val="14"/>
                <w:color w:val="231F20"/>
              </w:rPr>
              <w:t>—</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(355,241)</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(355,241)</w:t>
            </w:r>
          </w:p>
        </w:tc>
        <w:tc>
          <w:tcPr>
            <w:tcW w:w="0" w:type="dxa"/>
            <w:vAlign w:val="bottom"/>
          </w:tcPr>
          <w:p>
            <w:pPr>
              <w:spacing w:after="0"/>
              <w:rPr>
                <w:sz w:val="1"/>
                <w:szCs w:val="1"/>
                <w:color w:val="auto"/>
              </w:rPr>
            </w:pPr>
          </w:p>
        </w:tc>
      </w:tr>
      <w:tr>
        <w:trPr>
          <w:trHeight w:val="185"/>
        </w:trPr>
        <w:tc>
          <w:tcPr>
            <w:tcW w:w="4720" w:type="dxa"/>
            <w:vAlign w:val="bottom"/>
          </w:tcPr>
          <w:p>
            <w:pPr>
              <w:spacing w:after="0"/>
              <w:rPr>
                <w:sz w:val="20"/>
                <w:szCs w:val="20"/>
                <w:color w:val="auto"/>
              </w:rPr>
            </w:pPr>
            <w:r>
              <w:rPr>
                <w:rFonts w:ascii="Times New Roman" w:cs="Times New Roman" w:eastAsia="Times New Roman" w:hAnsi="Times New Roman"/>
                <w:sz w:val="14"/>
                <w:szCs w:val="14"/>
                <w:color w:val="231F20"/>
              </w:rPr>
              <w:t>Dividends declared to preferred shareholders</w:t>
            </w:r>
          </w:p>
        </w:tc>
        <w:tc>
          <w:tcPr>
            <w:tcW w:w="700" w:type="dxa"/>
            <w:vAlign w:val="bottom"/>
          </w:tcPr>
          <w:p>
            <w:pPr>
              <w:jc w:val="right"/>
              <w:ind w:right="2"/>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6"/>
                <w:szCs w:val="16"/>
                <w:color w:val="auto"/>
              </w:rPr>
            </w:pPr>
          </w:p>
        </w:tc>
        <w:tc>
          <w:tcPr>
            <w:tcW w:w="700" w:type="dxa"/>
            <w:vAlign w:val="bottom"/>
          </w:tcPr>
          <w:p>
            <w:pPr>
              <w:jc w:val="right"/>
              <w:ind w:right="2"/>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6"/>
                <w:szCs w:val="16"/>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3"/>
          </w:tcPr>
          <w:p>
            <w:pPr>
              <w:jc w:val="right"/>
              <w:ind w:right="113"/>
              <w:spacing w:after="0"/>
              <w:rPr>
                <w:sz w:val="20"/>
                <w:szCs w:val="20"/>
                <w:color w:val="auto"/>
              </w:rPr>
            </w:pPr>
            <w:r>
              <w:rPr>
                <w:rFonts w:ascii="Times New Roman" w:cs="Times New Roman" w:eastAsia="Times New Roman" w:hAnsi="Times New Roman"/>
                <w:sz w:val="14"/>
                <w:szCs w:val="14"/>
                <w:color w:val="231F20"/>
              </w:rPr>
              <w:t>—</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(8,032)</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(8,032)</w:t>
            </w:r>
          </w:p>
        </w:tc>
        <w:tc>
          <w:tcPr>
            <w:tcW w:w="0" w:type="dxa"/>
            <w:vAlign w:val="bottom"/>
          </w:tcPr>
          <w:p>
            <w:pPr>
              <w:spacing w:after="0"/>
              <w:rPr>
                <w:sz w:val="1"/>
                <w:szCs w:val="1"/>
                <w:color w:val="auto"/>
              </w:rPr>
            </w:pPr>
          </w:p>
        </w:tc>
      </w:tr>
      <w:tr>
        <w:trPr>
          <w:trHeight w:val="175"/>
        </w:trPr>
        <w:tc>
          <w:tcPr>
            <w:tcW w:w="4720" w:type="dxa"/>
            <w:vAlign w:val="bottom"/>
          </w:tcPr>
          <w:p>
            <w:pPr>
              <w:spacing w:after="0"/>
              <w:rPr>
                <w:sz w:val="20"/>
                <w:szCs w:val="20"/>
                <w:color w:val="auto"/>
              </w:rPr>
            </w:pPr>
            <w:r>
              <w:rPr>
                <w:rFonts w:ascii="Times New Roman" w:cs="Times New Roman" w:eastAsia="Times New Roman" w:hAnsi="Times New Roman"/>
                <w:sz w:val="14"/>
                <w:szCs w:val="14"/>
                <w:color w:val="231F20"/>
              </w:rPr>
              <w:t>Distributions declared to noncontrolling interests, excluding $9,539 attributable</w:t>
            </w:r>
          </w:p>
        </w:tc>
        <w:tc>
          <w:tcPr>
            <w:tcW w:w="700" w:type="dxa"/>
            <w:vAlign w:val="bottom"/>
            <w:vMerge w:val="restart"/>
          </w:tcPr>
          <w:p>
            <w:pPr>
              <w:jc w:val="right"/>
              <w:ind w:right="2"/>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5"/>
                <w:szCs w:val="15"/>
                <w:color w:val="auto"/>
              </w:rPr>
            </w:pPr>
          </w:p>
        </w:tc>
        <w:tc>
          <w:tcPr>
            <w:tcW w:w="700" w:type="dxa"/>
            <w:vAlign w:val="bottom"/>
            <w:vMerge w:val="restart"/>
          </w:tcPr>
          <w:p>
            <w:pPr>
              <w:jc w:val="right"/>
              <w:ind w:right="2"/>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5"/>
                <w:szCs w:val="15"/>
                <w:color w:val="auto"/>
              </w:rPr>
            </w:pPr>
          </w:p>
        </w:tc>
        <w:tc>
          <w:tcPr>
            <w:tcW w:w="880" w:type="dxa"/>
            <w:vAlign w:val="bottom"/>
            <w:vMerge w:val="restart"/>
          </w:tcPr>
          <w:p>
            <w:pPr>
              <w:jc w:val="right"/>
              <w:ind w:right="3"/>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3"/>
            <w:vMerge w:val="restart"/>
          </w:tcPr>
          <w:p>
            <w:pPr>
              <w:jc w:val="right"/>
              <w:ind w:right="113"/>
              <w:spacing w:after="0"/>
              <w:rPr>
                <w:sz w:val="20"/>
                <w:szCs w:val="20"/>
                <w:color w:val="auto"/>
              </w:rPr>
            </w:pPr>
            <w:r>
              <w:rPr>
                <w:rFonts w:ascii="Times New Roman" w:cs="Times New Roman" w:eastAsia="Times New Roman" w:hAnsi="Times New Roman"/>
                <w:sz w:val="14"/>
                <w:szCs w:val="14"/>
                <w:color w:val="231F20"/>
              </w:rPr>
              <w:t>—</w:t>
            </w:r>
          </w:p>
        </w:tc>
        <w:tc>
          <w:tcPr>
            <w:tcW w:w="140" w:type="dxa"/>
            <w:vAlign w:val="bottom"/>
          </w:tcPr>
          <w:p>
            <w:pPr>
              <w:spacing w:after="0"/>
              <w:rPr>
                <w:sz w:val="15"/>
                <w:szCs w:val="15"/>
                <w:color w:val="auto"/>
              </w:rPr>
            </w:pPr>
          </w:p>
        </w:tc>
        <w:tc>
          <w:tcPr>
            <w:tcW w:w="8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231F20"/>
              </w:rPr>
              <w:t>—</w:t>
            </w:r>
          </w:p>
        </w:tc>
        <w:tc>
          <w:tcPr>
            <w:tcW w:w="14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231F20"/>
              </w:rPr>
              <w:t>(4,541)</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231F20"/>
              </w:rPr>
              <w:t>(4,541)</w:t>
            </w:r>
          </w:p>
        </w:tc>
        <w:tc>
          <w:tcPr>
            <w:tcW w:w="0" w:type="dxa"/>
            <w:vAlign w:val="bottom"/>
          </w:tcPr>
          <w:p>
            <w:pPr>
              <w:spacing w:after="0"/>
              <w:rPr>
                <w:sz w:val="1"/>
                <w:szCs w:val="1"/>
                <w:color w:val="auto"/>
              </w:rPr>
            </w:pPr>
          </w:p>
        </w:tc>
      </w:tr>
      <w:tr>
        <w:trPr>
          <w:trHeight w:val="182"/>
        </w:trPr>
        <w:tc>
          <w:tcPr>
            <w:tcW w:w="4720" w:type="dxa"/>
            <w:vAlign w:val="bottom"/>
          </w:tcPr>
          <w:p>
            <w:pPr>
              <w:spacing w:after="0"/>
              <w:rPr>
                <w:sz w:val="20"/>
                <w:szCs w:val="20"/>
                <w:color w:val="auto"/>
              </w:rPr>
            </w:pPr>
            <w:r>
              <w:rPr>
                <w:rFonts w:ascii="Times New Roman" w:cs="Times New Roman" w:eastAsia="Times New Roman" w:hAnsi="Times New Roman"/>
                <w:sz w:val="14"/>
                <w:szCs w:val="14"/>
                <w:color w:val="231F20"/>
              </w:rPr>
              <w:t>to redeemable noncontrolling interests</w:t>
            </w:r>
          </w:p>
        </w:tc>
        <w:tc>
          <w:tcPr>
            <w:tcW w:w="7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720" w:type="dxa"/>
            <w:vAlign w:val="bottom"/>
          </w:tcPr>
          <w:p>
            <w:pPr>
              <w:spacing w:after="0"/>
              <w:rPr>
                <w:sz w:val="20"/>
                <w:szCs w:val="20"/>
                <w:color w:val="auto"/>
              </w:rPr>
            </w:pPr>
            <w:r>
              <w:rPr>
                <w:rFonts w:ascii="Times New Roman" w:cs="Times New Roman" w:eastAsia="Times New Roman" w:hAnsi="Times New Roman"/>
                <w:sz w:val="14"/>
                <w:szCs w:val="14"/>
                <w:color w:val="231F20"/>
              </w:rPr>
              <w:t>Common shares issued, net</w:t>
            </w:r>
          </w:p>
        </w:tc>
        <w:tc>
          <w:tcPr>
            <w:tcW w:w="700" w:type="dxa"/>
            <w:vAlign w:val="bottom"/>
          </w:tcPr>
          <w:p>
            <w:pPr>
              <w:jc w:val="right"/>
              <w:ind w:right="2"/>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6"/>
                <w:szCs w:val="16"/>
                <w:color w:val="auto"/>
              </w:rPr>
            </w:pPr>
          </w:p>
        </w:tc>
        <w:tc>
          <w:tcPr>
            <w:tcW w:w="700" w:type="dxa"/>
            <w:vAlign w:val="bottom"/>
          </w:tcPr>
          <w:p>
            <w:pPr>
              <w:jc w:val="right"/>
              <w:ind w:right="2"/>
              <w:spacing w:after="0"/>
              <w:rPr>
                <w:sz w:val="20"/>
                <w:szCs w:val="20"/>
                <w:color w:val="auto"/>
              </w:rPr>
            </w:pPr>
            <w:r>
              <w:rPr>
                <w:rFonts w:ascii="Times New Roman" w:cs="Times New Roman" w:eastAsia="Times New Roman" w:hAnsi="Times New Roman"/>
                <w:sz w:val="14"/>
                <w:szCs w:val="14"/>
                <w:color w:val="231F20"/>
              </w:rPr>
              <w:t>—</w:t>
            </w:r>
          </w:p>
        </w:tc>
        <w:tc>
          <w:tcPr>
            <w:tcW w:w="940" w:type="dxa"/>
            <w:vAlign w:val="bottom"/>
            <w:gridSpan w:val="2"/>
          </w:tcPr>
          <w:p>
            <w:pPr>
              <w:jc w:val="right"/>
              <w:ind w:right="3"/>
              <w:spacing w:after="0"/>
              <w:rPr>
                <w:sz w:val="20"/>
                <w:szCs w:val="20"/>
                <w:color w:val="auto"/>
              </w:rPr>
            </w:pPr>
            <w:r>
              <w:rPr>
                <w:rFonts w:ascii="Times New Roman" w:cs="Times New Roman" w:eastAsia="Times New Roman" w:hAnsi="Times New Roman"/>
                <w:sz w:val="14"/>
                <w:szCs w:val="14"/>
                <w:color w:val="231F20"/>
              </w:rPr>
              <w:t>1,310,118</w:t>
            </w: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231F20"/>
              </w:rPr>
              <w:t>13</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131,716</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231F20"/>
              </w:rPr>
              <w:t>—</w:t>
            </w: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131,729</w:t>
            </w:r>
          </w:p>
        </w:tc>
        <w:tc>
          <w:tcPr>
            <w:tcW w:w="0" w:type="dxa"/>
            <w:vAlign w:val="bottom"/>
          </w:tcPr>
          <w:p>
            <w:pPr>
              <w:spacing w:after="0"/>
              <w:rPr>
                <w:sz w:val="1"/>
                <w:szCs w:val="1"/>
                <w:color w:val="auto"/>
              </w:rPr>
            </w:pPr>
          </w:p>
        </w:tc>
      </w:tr>
      <w:tr>
        <w:trPr>
          <w:trHeight w:val="214"/>
        </w:trPr>
        <w:tc>
          <w:tcPr>
            <w:tcW w:w="4720" w:type="dxa"/>
            <w:vAlign w:val="bottom"/>
          </w:tcPr>
          <w:p>
            <w:pPr>
              <w:spacing w:after="0"/>
              <w:rPr>
                <w:sz w:val="20"/>
                <w:szCs w:val="20"/>
                <w:color w:val="auto"/>
              </w:rPr>
            </w:pPr>
            <w:r>
              <w:rPr>
                <w:rFonts w:ascii="Times New Roman" w:cs="Times New Roman" w:eastAsia="Times New Roman" w:hAnsi="Times New Roman"/>
                <w:sz w:val="14"/>
                <w:szCs w:val="14"/>
                <w:color w:val="231F20"/>
              </w:rPr>
              <w:t>Shares issued under dividend reinvestment plan</w:t>
            </w:r>
          </w:p>
        </w:tc>
        <w:tc>
          <w:tcPr>
            <w:tcW w:w="700" w:type="dxa"/>
            <w:vAlign w:val="bottom"/>
          </w:tcPr>
          <w:p>
            <w:pPr>
              <w:jc w:val="right"/>
              <w:ind w:right="2"/>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8"/>
                <w:szCs w:val="18"/>
                <w:color w:val="auto"/>
              </w:rPr>
            </w:pPr>
          </w:p>
        </w:tc>
        <w:tc>
          <w:tcPr>
            <w:tcW w:w="700" w:type="dxa"/>
            <w:vAlign w:val="bottom"/>
          </w:tcPr>
          <w:p>
            <w:pPr>
              <w:jc w:val="right"/>
              <w:ind w:right="2"/>
              <w:spacing w:after="0"/>
              <w:rPr>
                <w:sz w:val="20"/>
                <w:szCs w:val="20"/>
                <w:color w:val="auto"/>
              </w:rPr>
            </w:pPr>
            <w:r>
              <w:rPr>
                <w:rFonts w:ascii="Times New Roman" w:cs="Times New Roman" w:eastAsia="Times New Roman" w:hAnsi="Times New Roman"/>
                <w:sz w:val="14"/>
                <w:szCs w:val="14"/>
                <w:color w:val="231F20"/>
              </w:rPr>
              <w:t>—</w:t>
            </w:r>
          </w:p>
        </w:tc>
        <w:tc>
          <w:tcPr>
            <w:tcW w:w="940" w:type="dxa"/>
            <w:vAlign w:val="bottom"/>
            <w:gridSpan w:val="2"/>
          </w:tcPr>
          <w:p>
            <w:pPr>
              <w:jc w:val="right"/>
              <w:ind w:right="3"/>
              <w:spacing w:after="0"/>
              <w:rPr>
                <w:sz w:val="20"/>
                <w:szCs w:val="20"/>
                <w:color w:val="auto"/>
              </w:rPr>
            </w:pPr>
            <w:r>
              <w:rPr>
                <w:rFonts w:ascii="Times New Roman" w:cs="Times New Roman" w:eastAsia="Times New Roman" w:hAnsi="Times New Roman"/>
                <w:sz w:val="14"/>
                <w:szCs w:val="14"/>
                <w:color w:val="231F20"/>
              </w:rPr>
              <w:t>19,847</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1,870</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231F20"/>
              </w:rPr>
              <w:t>—</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1,870</w:t>
            </w:r>
          </w:p>
        </w:tc>
        <w:tc>
          <w:tcPr>
            <w:tcW w:w="0" w:type="dxa"/>
            <w:vAlign w:val="bottom"/>
          </w:tcPr>
          <w:p>
            <w:pPr>
              <w:spacing w:after="0"/>
              <w:rPr>
                <w:sz w:val="1"/>
                <w:szCs w:val="1"/>
                <w:color w:val="auto"/>
              </w:rPr>
            </w:pPr>
          </w:p>
        </w:tc>
      </w:tr>
      <w:tr>
        <w:trPr>
          <w:trHeight w:val="185"/>
        </w:trPr>
        <w:tc>
          <w:tcPr>
            <w:tcW w:w="4720" w:type="dxa"/>
            <w:vAlign w:val="bottom"/>
          </w:tcPr>
          <w:p>
            <w:pPr>
              <w:spacing w:after="0"/>
              <w:rPr>
                <w:sz w:val="20"/>
                <w:szCs w:val="20"/>
                <w:color w:val="auto"/>
              </w:rPr>
            </w:pPr>
            <w:r>
              <w:rPr>
                <w:rFonts w:ascii="Times New Roman" w:cs="Times New Roman" w:eastAsia="Times New Roman" w:hAnsi="Times New Roman"/>
                <w:sz w:val="14"/>
                <w:szCs w:val="14"/>
                <w:color w:val="231F20"/>
              </w:rPr>
              <w:t>Share-based compensation expense, net of forfeitures</w:t>
            </w:r>
          </w:p>
        </w:tc>
        <w:tc>
          <w:tcPr>
            <w:tcW w:w="700" w:type="dxa"/>
            <w:vAlign w:val="bottom"/>
          </w:tcPr>
          <w:p>
            <w:pPr>
              <w:jc w:val="right"/>
              <w:ind w:right="2"/>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6"/>
                <w:szCs w:val="16"/>
                <w:color w:val="auto"/>
              </w:rPr>
            </w:pPr>
          </w:p>
        </w:tc>
        <w:tc>
          <w:tcPr>
            <w:tcW w:w="700" w:type="dxa"/>
            <w:vAlign w:val="bottom"/>
          </w:tcPr>
          <w:p>
            <w:pPr>
              <w:jc w:val="right"/>
              <w:ind w:right="2"/>
              <w:spacing w:after="0"/>
              <w:rPr>
                <w:sz w:val="20"/>
                <w:szCs w:val="20"/>
                <w:color w:val="auto"/>
              </w:rPr>
            </w:pPr>
            <w:r>
              <w:rPr>
                <w:rFonts w:ascii="Times New Roman" w:cs="Times New Roman" w:eastAsia="Times New Roman" w:hAnsi="Times New Roman"/>
                <w:sz w:val="14"/>
                <w:szCs w:val="14"/>
                <w:color w:val="231F20"/>
              </w:rPr>
              <w:t>—</w:t>
            </w:r>
          </w:p>
        </w:tc>
        <w:tc>
          <w:tcPr>
            <w:tcW w:w="940" w:type="dxa"/>
            <w:vAlign w:val="bottom"/>
            <w:gridSpan w:val="2"/>
          </w:tcPr>
          <w:p>
            <w:pPr>
              <w:jc w:val="right"/>
              <w:ind w:right="3"/>
              <w:spacing w:after="0"/>
              <w:rPr>
                <w:sz w:val="20"/>
                <w:szCs w:val="20"/>
                <w:color w:val="auto"/>
              </w:rPr>
            </w:pPr>
            <w:r>
              <w:rPr>
                <w:rFonts w:ascii="Times New Roman" w:cs="Times New Roman" w:eastAsia="Times New Roman" w:hAnsi="Times New Roman"/>
                <w:sz w:val="14"/>
                <w:szCs w:val="14"/>
                <w:color w:val="231F20"/>
              </w:rPr>
              <w:t>139,248</w:t>
            </w: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2</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15,425</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231F20"/>
              </w:rPr>
              <w:t>—</w:t>
            </w: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15,427</w:t>
            </w:r>
          </w:p>
        </w:tc>
        <w:tc>
          <w:tcPr>
            <w:tcW w:w="0" w:type="dxa"/>
            <w:vAlign w:val="bottom"/>
          </w:tcPr>
          <w:p>
            <w:pPr>
              <w:spacing w:after="0"/>
              <w:rPr>
                <w:sz w:val="1"/>
                <w:szCs w:val="1"/>
                <w:color w:val="auto"/>
              </w:rPr>
            </w:pPr>
          </w:p>
        </w:tc>
      </w:tr>
      <w:tr>
        <w:trPr>
          <w:trHeight w:val="185"/>
        </w:trPr>
        <w:tc>
          <w:tcPr>
            <w:tcW w:w="4720" w:type="dxa"/>
            <w:vAlign w:val="bottom"/>
          </w:tcPr>
          <w:p>
            <w:pPr>
              <w:spacing w:after="0"/>
              <w:rPr>
                <w:sz w:val="20"/>
                <w:szCs w:val="20"/>
                <w:color w:val="auto"/>
              </w:rPr>
            </w:pPr>
            <w:r>
              <w:rPr>
                <w:rFonts w:ascii="Times New Roman" w:cs="Times New Roman" w:eastAsia="Times New Roman" w:hAnsi="Times New Roman"/>
                <w:sz w:val="14"/>
                <w:szCs w:val="14"/>
                <w:color w:val="231F20"/>
              </w:rPr>
              <w:t>Shares withheld for employee taxes</w:t>
            </w:r>
          </w:p>
        </w:tc>
        <w:tc>
          <w:tcPr>
            <w:tcW w:w="700" w:type="dxa"/>
            <w:vAlign w:val="bottom"/>
          </w:tcPr>
          <w:p>
            <w:pPr>
              <w:jc w:val="right"/>
              <w:ind w:right="2"/>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6"/>
                <w:szCs w:val="16"/>
                <w:color w:val="auto"/>
              </w:rPr>
            </w:pPr>
          </w:p>
        </w:tc>
        <w:tc>
          <w:tcPr>
            <w:tcW w:w="700" w:type="dxa"/>
            <w:vAlign w:val="bottom"/>
          </w:tcPr>
          <w:p>
            <w:pPr>
              <w:jc w:val="right"/>
              <w:ind w:right="2"/>
              <w:spacing w:after="0"/>
              <w:rPr>
                <w:sz w:val="20"/>
                <w:szCs w:val="20"/>
                <w:color w:val="auto"/>
              </w:rPr>
            </w:pPr>
            <w:r>
              <w:rPr>
                <w:rFonts w:ascii="Times New Roman" w:cs="Times New Roman" w:eastAsia="Times New Roman" w:hAnsi="Times New Roman"/>
                <w:sz w:val="14"/>
                <w:szCs w:val="14"/>
                <w:color w:val="231F20"/>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231F20"/>
              </w:rPr>
              <w:t>(46,009)</w:t>
            </w: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(5,019)</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231F20"/>
              </w:rPr>
              <w:t>—</w:t>
            </w: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(5,019)</w:t>
            </w:r>
          </w:p>
        </w:tc>
        <w:tc>
          <w:tcPr>
            <w:tcW w:w="0" w:type="dxa"/>
            <w:vAlign w:val="bottom"/>
          </w:tcPr>
          <w:p>
            <w:pPr>
              <w:spacing w:after="0"/>
              <w:rPr>
                <w:sz w:val="1"/>
                <w:szCs w:val="1"/>
                <w:color w:val="auto"/>
              </w:rPr>
            </w:pPr>
          </w:p>
        </w:tc>
      </w:tr>
      <w:tr>
        <w:trPr>
          <w:trHeight w:val="185"/>
        </w:trPr>
        <w:tc>
          <w:tcPr>
            <w:tcW w:w="4720" w:type="dxa"/>
            <w:vAlign w:val="bottom"/>
          </w:tcPr>
          <w:p>
            <w:pPr>
              <w:spacing w:after="0"/>
              <w:rPr>
                <w:sz w:val="20"/>
                <w:szCs w:val="20"/>
                <w:color w:val="auto"/>
              </w:rPr>
            </w:pPr>
            <w:r>
              <w:rPr>
                <w:rFonts w:ascii="Times New Roman" w:cs="Times New Roman" w:eastAsia="Times New Roman" w:hAnsi="Times New Roman"/>
                <w:sz w:val="14"/>
                <w:szCs w:val="14"/>
                <w:color w:val="231F20"/>
              </w:rPr>
              <w:t>Conversion and redemption of downREIT OP units</w:t>
            </w:r>
          </w:p>
        </w:tc>
        <w:tc>
          <w:tcPr>
            <w:tcW w:w="700" w:type="dxa"/>
            <w:vAlign w:val="bottom"/>
          </w:tcPr>
          <w:p>
            <w:pPr>
              <w:jc w:val="right"/>
              <w:ind w:right="2"/>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6"/>
                <w:szCs w:val="16"/>
                <w:color w:val="auto"/>
              </w:rPr>
            </w:pPr>
          </w:p>
        </w:tc>
        <w:tc>
          <w:tcPr>
            <w:tcW w:w="700" w:type="dxa"/>
            <w:vAlign w:val="bottom"/>
          </w:tcPr>
          <w:p>
            <w:pPr>
              <w:jc w:val="right"/>
              <w:ind w:right="2"/>
              <w:spacing w:after="0"/>
              <w:rPr>
                <w:sz w:val="20"/>
                <w:szCs w:val="20"/>
                <w:color w:val="auto"/>
              </w:rPr>
            </w:pPr>
            <w:r>
              <w:rPr>
                <w:rFonts w:ascii="Times New Roman" w:cs="Times New Roman" w:eastAsia="Times New Roman" w:hAnsi="Times New Roman"/>
                <w:sz w:val="14"/>
                <w:szCs w:val="14"/>
                <w:color w:val="231F20"/>
              </w:rPr>
              <w:t>—</w:t>
            </w:r>
          </w:p>
        </w:tc>
        <w:tc>
          <w:tcPr>
            <w:tcW w:w="940" w:type="dxa"/>
            <w:vAlign w:val="bottom"/>
            <w:gridSpan w:val="2"/>
          </w:tcPr>
          <w:p>
            <w:pPr>
              <w:jc w:val="right"/>
              <w:ind w:right="3"/>
              <w:spacing w:after="0"/>
              <w:rPr>
                <w:sz w:val="20"/>
                <w:szCs w:val="20"/>
                <w:color w:val="auto"/>
              </w:rPr>
            </w:pPr>
            <w:r>
              <w:rPr>
                <w:rFonts w:ascii="Times New Roman" w:cs="Times New Roman" w:eastAsia="Times New Roman" w:hAnsi="Times New Roman"/>
                <w:sz w:val="14"/>
                <w:szCs w:val="14"/>
                <w:color w:val="231F20"/>
              </w:rPr>
              <w:t>9,123</w:t>
            </w: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883</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231F20"/>
              </w:rPr>
              <w:t>—</w:t>
            </w: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(883)</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0" w:type="dxa"/>
            <w:vAlign w:val="bottom"/>
          </w:tcPr>
          <w:p>
            <w:pPr>
              <w:spacing w:after="0"/>
              <w:rPr>
                <w:sz w:val="1"/>
                <w:szCs w:val="1"/>
                <w:color w:val="auto"/>
              </w:rPr>
            </w:pPr>
          </w:p>
        </w:tc>
      </w:tr>
      <w:tr>
        <w:trPr>
          <w:trHeight w:val="214"/>
        </w:trPr>
        <w:tc>
          <w:tcPr>
            <w:tcW w:w="4720" w:type="dxa"/>
            <w:vAlign w:val="bottom"/>
          </w:tcPr>
          <w:p>
            <w:pPr>
              <w:spacing w:after="0"/>
              <w:rPr>
                <w:sz w:val="20"/>
                <w:szCs w:val="20"/>
                <w:color w:val="auto"/>
              </w:rPr>
            </w:pPr>
            <w:r>
              <w:rPr>
                <w:rFonts w:ascii="Times New Roman" w:cs="Times New Roman" w:eastAsia="Times New Roman" w:hAnsi="Times New Roman"/>
                <w:sz w:val="14"/>
                <w:szCs w:val="14"/>
                <w:color w:val="231F20"/>
              </w:rPr>
              <w:t>Contributions from noncontrolling interests</w:t>
            </w:r>
          </w:p>
        </w:tc>
        <w:tc>
          <w:tcPr>
            <w:tcW w:w="700" w:type="dxa"/>
            <w:vAlign w:val="bottom"/>
          </w:tcPr>
          <w:p>
            <w:pPr>
              <w:jc w:val="right"/>
              <w:ind w:right="2"/>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8"/>
                <w:szCs w:val="18"/>
                <w:color w:val="auto"/>
              </w:rPr>
            </w:pPr>
          </w:p>
        </w:tc>
        <w:tc>
          <w:tcPr>
            <w:tcW w:w="700" w:type="dxa"/>
            <w:vAlign w:val="bottom"/>
          </w:tcPr>
          <w:p>
            <w:pPr>
              <w:jc w:val="right"/>
              <w:ind w:right="2"/>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8"/>
                <w:szCs w:val="18"/>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3"/>
          </w:tcPr>
          <w:p>
            <w:pPr>
              <w:jc w:val="right"/>
              <w:ind w:right="113"/>
              <w:spacing w:after="0"/>
              <w:rPr>
                <w:sz w:val="20"/>
                <w:szCs w:val="20"/>
                <w:color w:val="auto"/>
              </w:rPr>
            </w:pPr>
            <w:r>
              <w:rPr>
                <w:rFonts w:ascii="Times New Roman" w:cs="Times New Roman" w:eastAsia="Times New Roman" w:hAnsi="Times New Roman"/>
                <w:sz w:val="14"/>
                <w:szCs w:val="14"/>
                <w:color w:val="231F20"/>
              </w:rPr>
              <w:t>—</w:t>
            </w:r>
          </w:p>
        </w:tc>
        <w:tc>
          <w:tcPr>
            <w:tcW w:w="14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231F20"/>
              </w:rPr>
              <w:t>—</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1,092</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1,092</w:t>
            </w:r>
          </w:p>
        </w:tc>
        <w:tc>
          <w:tcPr>
            <w:tcW w:w="0" w:type="dxa"/>
            <w:vAlign w:val="bottom"/>
          </w:tcPr>
          <w:p>
            <w:pPr>
              <w:spacing w:after="0"/>
              <w:rPr>
                <w:sz w:val="1"/>
                <w:szCs w:val="1"/>
                <w:color w:val="auto"/>
              </w:rPr>
            </w:pPr>
          </w:p>
        </w:tc>
      </w:tr>
      <w:tr>
        <w:trPr>
          <w:trHeight w:val="224"/>
        </w:trPr>
        <w:tc>
          <w:tcPr>
            <w:tcW w:w="4720" w:type="dxa"/>
            <w:vAlign w:val="bottom"/>
          </w:tcPr>
          <w:p>
            <w:pPr>
              <w:spacing w:after="0"/>
              <w:rPr>
                <w:sz w:val="20"/>
                <w:szCs w:val="20"/>
                <w:color w:val="auto"/>
              </w:rPr>
            </w:pPr>
            <w:r>
              <w:rPr>
                <w:rFonts w:ascii="Times New Roman" w:cs="Times New Roman" w:eastAsia="Times New Roman" w:hAnsi="Times New Roman"/>
                <w:sz w:val="14"/>
                <w:szCs w:val="14"/>
                <w:color w:val="231F20"/>
              </w:rPr>
              <w:t>Adjustment to redeemable noncontrolling interests</w:t>
            </w:r>
          </w:p>
        </w:tc>
        <w:tc>
          <w:tcPr>
            <w:tcW w:w="700" w:type="dxa"/>
            <w:vAlign w:val="bottom"/>
          </w:tcPr>
          <w:p>
            <w:pPr>
              <w:jc w:val="right"/>
              <w:ind w:right="2"/>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9"/>
                <w:szCs w:val="19"/>
                <w:color w:val="auto"/>
              </w:rPr>
            </w:pPr>
          </w:p>
        </w:tc>
        <w:tc>
          <w:tcPr>
            <w:tcW w:w="700" w:type="dxa"/>
            <w:vAlign w:val="bottom"/>
          </w:tcPr>
          <w:p>
            <w:pPr>
              <w:jc w:val="right"/>
              <w:ind w:right="2"/>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9"/>
                <w:szCs w:val="19"/>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(7,400)</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231F20"/>
              </w:rPr>
              <w:t>—</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(7,400)</w:t>
            </w:r>
          </w:p>
        </w:tc>
        <w:tc>
          <w:tcPr>
            <w:tcW w:w="0" w:type="dxa"/>
            <w:vAlign w:val="bottom"/>
          </w:tcPr>
          <w:p>
            <w:pPr>
              <w:spacing w:after="0"/>
              <w:rPr>
                <w:sz w:val="1"/>
                <w:szCs w:val="1"/>
                <w:color w:val="auto"/>
              </w:rPr>
            </w:pPr>
          </w:p>
        </w:tc>
      </w:tr>
      <w:tr>
        <w:trPr>
          <w:trHeight w:val="156"/>
        </w:trPr>
        <w:tc>
          <w:tcPr>
            <w:tcW w:w="4720" w:type="dxa"/>
            <w:vAlign w:val="bottom"/>
          </w:tcPr>
          <w:p>
            <w:pPr>
              <w:spacing w:after="0" w:line="155" w:lineRule="exact"/>
              <w:rPr>
                <w:sz w:val="20"/>
                <w:szCs w:val="20"/>
                <w:color w:val="auto"/>
              </w:rPr>
            </w:pPr>
            <w:r>
              <w:rPr>
                <w:rFonts w:ascii="Times New Roman" w:cs="Times New Roman" w:eastAsia="Times New Roman" w:hAnsi="Times New Roman"/>
                <w:sz w:val="14"/>
                <w:szCs w:val="14"/>
                <w:color w:val="231F20"/>
              </w:rPr>
              <w:t>BALANCE AT DECEMBER 31, 2023</w:t>
            </w:r>
          </w:p>
        </w:tc>
        <w:tc>
          <w:tcPr>
            <w:tcW w:w="700" w:type="dxa"/>
            <w:vAlign w:val="bottom"/>
            <w:tcBorders>
              <w:top w:val="single" w:sz="8" w:color="231F20"/>
            </w:tcBorders>
          </w:tcPr>
          <w:p>
            <w:pPr>
              <w:jc w:val="right"/>
              <w:ind w:right="2"/>
              <w:spacing w:after="0" w:line="156" w:lineRule="exact"/>
              <w:rPr>
                <w:sz w:val="20"/>
                <w:szCs w:val="20"/>
                <w:color w:val="auto"/>
              </w:rPr>
            </w:pPr>
            <w:r>
              <w:rPr>
                <w:rFonts w:ascii="Times New Roman" w:cs="Times New Roman" w:eastAsia="Times New Roman" w:hAnsi="Times New Roman"/>
                <w:sz w:val="14"/>
                <w:szCs w:val="14"/>
                <w:color w:val="231F20"/>
              </w:rPr>
              <w:t>398,878</w:t>
            </w:r>
          </w:p>
        </w:tc>
        <w:tc>
          <w:tcPr>
            <w:tcW w:w="80" w:type="dxa"/>
            <w:vAlign w:val="bottom"/>
          </w:tcPr>
          <w:p>
            <w:pPr>
              <w:spacing w:after="0"/>
              <w:rPr>
                <w:sz w:val="13"/>
                <w:szCs w:val="13"/>
                <w:color w:val="auto"/>
              </w:rPr>
            </w:pPr>
          </w:p>
        </w:tc>
        <w:tc>
          <w:tcPr>
            <w:tcW w:w="700" w:type="dxa"/>
            <w:vAlign w:val="bottom"/>
            <w:tcBorders>
              <w:top w:val="single" w:sz="8" w:color="231F20"/>
            </w:tcBorders>
          </w:tcPr>
          <w:p>
            <w:pPr>
              <w:jc w:val="right"/>
              <w:ind w:right="2"/>
              <w:spacing w:after="0" w:line="156" w:lineRule="exact"/>
              <w:rPr>
                <w:sz w:val="20"/>
                <w:szCs w:val="20"/>
                <w:color w:val="auto"/>
              </w:rPr>
            </w:pPr>
            <w:r>
              <w:rPr>
                <w:rFonts w:ascii="Times New Roman" w:cs="Times New Roman" w:eastAsia="Times New Roman" w:hAnsi="Times New Roman"/>
                <w:sz w:val="14"/>
                <w:szCs w:val="14"/>
                <w:color w:val="231F20"/>
              </w:rPr>
              <w:t>$ 159,822</w:t>
            </w:r>
          </w:p>
        </w:tc>
        <w:tc>
          <w:tcPr>
            <w:tcW w:w="60" w:type="dxa"/>
            <w:vAlign w:val="bottom"/>
          </w:tcPr>
          <w:p>
            <w:pPr>
              <w:spacing w:after="0"/>
              <w:rPr>
                <w:sz w:val="13"/>
                <w:szCs w:val="13"/>
                <w:color w:val="auto"/>
              </w:rPr>
            </w:pPr>
          </w:p>
        </w:tc>
        <w:tc>
          <w:tcPr>
            <w:tcW w:w="880" w:type="dxa"/>
            <w:vAlign w:val="bottom"/>
            <w:tcBorders>
              <w:top w:val="single" w:sz="8" w:color="231F20"/>
            </w:tcBorders>
          </w:tcPr>
          <w:p>
            <w:pPr>
              <w:jc w:val="right"/>
              <w:ind w:right="3"/>
              <w:spacing w:after="0" w:line="156" w:lineRule="exact"/>
              <w:rPr>
                <w:sz w:val="20"/>
                <w:szCs w:val="20"/>
                <w:color w:val="auto"/>
              </w:rPr>
            </w:pPr>
            <w:r>
              <w:rPr>
                <w:rFonts w:ascii="Times New Roman" w:cs="Times New Roman" w:eastAsia="Times New Roman" w:hAnsi="Times New Roman"/>
                <w:sz w:val="14"/>
                <w:szCs w:val="14"/>
                <w:color w:val="231F20"/>
              </w:rPr>
              <w:t>82,775,286</w:t>
            </w:r>
          </w:p>
        </w:tc>
        <w:tc>
          <w:tcPr>
            <w:tcW w:w="60" w:type="dxa"/>
            <w:vAlign w:val="bottom"/>
          </w:tcPr>
          <w:p>
            <w:pPr>
              <w:spacing w:after="0"/>
              <w:rPr>
                <w:sz w:val="13"/>
                <w:szCs w:val="13"/>
                <w:color w:val="auto"/>
              </w:rPr>
            </w:pPr>
          </w:p>
        </w:tc>
        <w:tc>
          <w:tcPr>
            <w:tcW w:w="440" w:type="dxa"/>
            <w:vAlign w:val="bottom"/>
            <w:tcBorders>
              <w:top w:val="single" w:sz="8" w:color="231F20"/>
            </w:tcBorders>
          </w:tcPr>
          <w:p>
            <w:pPr>
              <w:jc w:val="right"/>
              <w:ind w:right="248"/>
              <w:spacing w:after="0" w:line="156" w:lineRule="exact"/>
              <w:rPr>
                <w:sz w:val="20"/>
                <w:szCs w:val="20"/>
                <w:color w:val="auto"/>
              </w:rPr>
            </w:pPr>
            <w:r>
              <w:rPr>
                <w:rFonts w:ascii="Times New Roman" w:cs="Times New Roman" w:eastAsia="Times New Roman" w:hAnsi="Times New Roman"/>
                <w:sz w:val="14"/>
                <w:szCs w:val="14"/>
                <w:color w:val="231F20"/>
              </w:rPr>
              <w:t>$</w:t>
            </w:r>
          </w:p>
        </w:tc>
        <w:tc>
          <w:tcPr>
            <w:tcW w:w="300" w:type="dxa"/>
            <w:vAlign w:val="bottom"/>
            <w:tcBorders>
              <w:top w:val="single" w:sz="8" w:color="231F20"/>
            </w:tcBorders>
          </w:tcPr>
          <w:p>
            <w:pPr>
              <w:jc w:val="right"/>
              <w:ind w:right="9"/>
              <w:spacing w:after="0" w:line="156" w:lineRule="exact"/>
              <w:rPr>
                <w:sz w:val="20"/>
                <w:szCs w:val="20"/>
                <w:color w:val="auto"/>
              </w:rPr>
            </w:pPr>
            <w:r>
              <w:rPr>
                <w:rFonts w:ascii="Times New Roman" w:cs="Times New Roman" w:eastAsia="Times New Roman" w:hAnsi="Times New Roman"/>
                <w:sz w:val="14"/>
                <w:szCs w:val="14"/>
                <w:color w:val="231F20"/>
                <w:w w:val="95"/>
              </w:rPr>
              <w:t>833</w:t>
            </w:r>
          </w:p>
        </w:tc>
        <w:tc>
          <w:tcPr>
            <w:tcW w:w="60" w:type="dxa"/>
            <w:vAlign w:val="bottom"/>
          </w:tcPr>
          <w:p>
            <w:pPr>
              <w:spacing w:after="0"/>
              <w:rPr>
                <w:sz w:val="13"/>
                <w:szCs w:val="13"/>
                <w:color w:val="auto"/>
              </w:rPr>
            </w:pPr>
          </w:p>
        </w:tc>
        <w:tc>
          <w:tcPr>
            <w:tcW w:w="120" w:type="dxa"/>
            <w:vAlign w:val="bottom"/>
            <w:tcBorders>
              <w:top w:val="single" w:sz="8" w:color="231F20"/>
            </w:tcBorders>
          </w:tcPr>
          <w:p>
            <w:pPr>
              <w:jc w:val="right"/>
              <w:spacing w:after="0" w:line="156" w:lineRule="exact"/>
              <w:rPr>
                <w:sz w:val="20"/>
                <w:szCs w:val="20"/>
                <w:color w:val="auto"/>
              </w:rPr>
            </w:pPr>
            <w:r>
              <w:rPr>
                <w:rFonts w:ascii="Times New Roman" w:cs="Times New Roman" w:eastAsia="Times New Roman" w:hAnsi="Times New Roman"/>
                <w:sz w:val="14"/>
                <w:szCs w:val="14"/>
                <w:color w:val="231F20"/>
              </w:rPr>
              <w:t>$</w:t>
            </w:r>
          </w:p>
        </w:tc>
        <w:tc>
          <w:tcPr>
            <w:tcW w:w="840" w:type="dxa"/>
            <w:vAlign w:val="bottom"/>
            <w:tcBorders>
              <w:top w:val="single" w:sz="8" w:color="231F20"/>
            </w:tcBorders>
          </w:tcPr>
          <w:p>
            <w:pPr>
              <w:jc w:val="right"/>
              <w:spacing w:after="0" w:line="156" w:lineRule="exact"/>
              <w:rPr>
                <w:sz w:val="20"/>
                <w:szCs w:val="20"/>
                <w:color w:val="auto"/>
              </w:rPr>
            </w:pPr>
            <w:r>
              <w:rPr>
                <w:rFonts w:ascii="Times New Roman" w:cs="Times New Roman" w:eastAsia="Times New Roman" w:hAnsi="Times New Roman"/>
                <w:sz w:val="14"/>
                <w:szCs w:val="14"/>
                <w:color w:val="231F20"/>
              </w:rPr>
              <w:t>3,959,276</w:t>
            </w:r>
          </w:p>
        </w:tc>
        <w:tc>
          <w:tcPr>
            <w:tcW w:w="60" w:type="dxa"/>
            <w:vAlign w:val="bottom"/>
          </w:tcPr>
          <w:p>
            <w:pPr>
              <w:spacing w:after="0"/>
              <w:rPr>
                <w:sz w:val="13"/>
                <w:szCs w:val="13"/>
                <w:color w:val="auto"/>
              </w:rPr>
            </w:pPr>
          </w:p>
        </w:tc>
        <w:tc>
          <w:tcPr>
            <w:tcW w:w="60" w:type="dxa"/>
            <w:vAlign w:val="bottom"/>
            <w:tcBorders>
              <w:top w:val="single" w:sz="8" w:color="231F20"/>
            </w:tcBorders>
          </w:tcPr>
          <w:p>
            <w:pPr>
              <w:spacing w:after="0"/>
              <w:rPr>
                <w:sz w:val="13"/>
                <w:szCs w:val="13"/>
                <w:color w:val="auto"/>
              </w:rPr>
            </w:pPr>
          </w:p>
        </w:tc>
        <w:tc>
          <w:tcPr>
            <w:tcW w:w="140" w:type="dxa"/>
            <w:vAlign w:val="bottom"/>
            <w:tcBorders>
              <w:top w:val="single" w:sz="8" w:color="231F20"/>
            </w:tcBorders>
          </w:tcPr>
          <w:p>
            <w:pPr>
              <w:spacing w:after="0" w:line="156" w:lineRule="exact"/>
              <w:rPr>
                <w:sz w:val="20"/>
                <w:szCs w:val="20"/>
                <w:color w:val="auto"/>
              </w:rPr>
            </w:pPr>
            <w:r>
              <w:rPr>
                <w:rFonts w:ascii="Times New Roman" w:cs="Times New Roman" w:eastAsia="Times New Roman" w:hAnsi="Times New Roman"/>
                <w:sz w:val="14"/>
                <w:szCs w:val="14"/>
                <w:color w:val="231F20"/>
              </w:rPr>
              <w:t>$</w:t>
            </w:r>
          </w:p>
        </w:tc>
        <w:tc>
          <w:tcPr>
            <w:tcW w:w="800" w:type="dxa"/>
            <w:vAlign w:val="bottom"/>
            <w:tcBorders>
              <w:top w:val="single" w:sz="8" w:color="231F20"/>
            </w:tcBorders>
          </w:tcPr>
          <w:p>
            <w:pPr>
              <w:jc w:val="right"/>
              <w:spacing w:after="0" w:line="156" w:lineRule="exact"/>
              <w:rPr>
                <w:sz w:val="20"/>
                <w:szCs w:val="20"/>
                <w:color w:val="auto"/>
              </w:rPr>
            </w:pPr>
            <w:r>
              <w:rPr>
                <w:rFonts w:ascii="Times New Roman" w:cs="Times New Roman" w:eastAsia="Times New Roman" w:hAnsi="Times New Roman"/>
                <w:sz w:val="14"/>
                <w:szCs w:val="14"/>
                <w:color w:val="231F20"/>
              </w:rPr>
              <w:t>(1,160,474)</w:t>
            </w:r>
          </w:p>
        </w:tc>
        <w:tc>
          <w:tcPr>
            <w:tcW w:w="60" w:type="dxa"/>
            <w:vAlign w:val="bottom"/>
          </w:tcPr>
          <w:p>
            <w:pPr>
              <w:spacing w:after="0"/>
              <w:rPr>
                <w:sz w:val="13"/>
                <w:szCs w:val="13"/>
                <w:color w:val="auto"/>
              </w:rPr>
            </w:pPr>
          </w:p>
        </w:tc>
        <w:tc>
          <w:tcPr>
            <w:tcW w:w="140" w:type="dxa"/>
            <w:vAlign w:val="bottom"/>
            <w:tcBorders>
              <w:top w:val="single" w:sz="8" w:color="231F20"/>
            </w:tcBorders>
          </w:tcPr>
          <w:p>
            <w:pPr>
              <w:ind w:left="60"/>
              <w:spacing w:after="0" w:line="156" w:lineRule="exact"/>
              <w:rPr>
                <w:sz w:val="20"/>
                <w:szCs w:val="20"/>
                <w:color w:val="auto"/>
              </w:rPr>
            </w:pPr>
            <w:r>
              <w:rPr>
                <w:rFonts w:ascii="Times New Roman" w:cs="Times New Roman" w:eastAsia="Times New Roman" w:hAnsi="Times New Roman"/>
                <w:sz w:val="14"/>
                <w:szCs w:val="14"/>
                <w:color w:val="231F20"/>
                <w:w w:val="85"/>
              </w:rPr>
              <w:t>$</w:t>
            </w:r>
          </w:p>
        </w:tc>
        <w:tc>
          <w:tcPr>
            <w:tcW w:w="1000" w:type="dxa"/>
            <w:vAlign w:val="bottom"/>
            <w:tcBorders>
              <w:top w:val="single" w:sz="8" w:color="231F20"/>
            </w:tcBorders>
          </w:tcPr>
          <w:p>
            <w:pPr>
              <w:jc w:val="right"/>
              <w:spacing w:after="0" w:line="156" w:lineRule="exact"/>
              <w:rPr>
                <w:sz w:val="20"/>
                <w:szCs w:val="20"/>
                <w:color w:val="auto"/>
              </w:rPr>
            </w:pPr>
            <w:r>
              <w:rPr>
                <w:rFonts w:ascii="Times New Roman" w:cs="Times New Roman" w:eastAsia="Times New Roman" w:hAnsi="Times New Roman"/>
                <w:sz w:val="14"/>
                <w:szCs w:val="14"/>
                <w:color w:val="231F20"/>
              </w:rPr>
              <w:t>4,052</w:t>
            </w:r>
          </w:p>
        </w:tc>
        <w:tc>
          <w:tcPr>
            <w:tcW w:w="80" w:type="dxa"/>
            <w:vAlign w:val="bottom"/>
          </w:tcPr>
          <w:p>
            <w:pPr>
              <w:spacing w:after="0"/>
              <w:rPr>
                <w:sz w:val="13"/>
                <w:szCs w:val="13"/>
                <w:color w:val="auto"/>
              </w:rPr>
            </w:pPr>
          </w:p>
        </w:tc>
        <w:tc>
          <w:tcPr>
            <w:tcW w:w="200" w:type="dxa"/>
            <w:vAlign w:val="bottom"/>
            <w:tcBorders>
              <w:top w:val="single" w:sz="8" w:color="231F20"/>
            </w:tcBorders>
          </w:tcPr>
          <w:p>
            <w:pPr>
              <w:ind w:left="40"/>
              <w:spacing w:after="0" w:line="156" w:lineRule="exact"/>
              <w:rPr>
                <w:sz w:val="20"/>
                <w:szCs w:val="20"/>
                <w:color w:val="auto"/>
              </w:rPr>
            </w:pPr>
            <w:r>
              <w:rPr>
                <w:rFonts w:ascii="Times New Roman" w:cs="Times New Roman" w:eastAsia="Times New Roman" w:hAnsi="Times New Roman"/>
                <w:sz w:val="14"/>
                <w:szCs w:val="14"/>
                <w:color w:val="231F20"/>
              </w:rPr>
              <w:t>$</w:t>
            </w:r>
          </w:p>
        </w:tc>
        <w:tc>
          <w:tcPr>
            <w:tcW w:w="900" w:type="dxa"/>
            <w:vAlign w:val="bottom"/>
            <w:tcBorders>
              <w:top w:val="single" w:sz="8" w:color="231F20"/>
            </w:tcBorders>
          </w:tcPr>
          <w:p>
            <w:pPr>
              <w:jc w:val="right"/>
              <w:spacing w:after="0" w:line="156" w:lineRule="exact"/>
              <w:rPr>
                <w:sz w:val="20"/>
                <w:szCs w:val="20"/>
                <w:color w:val="auto"/>
              </w:rPr>
            </w:pPr>
            <w:r>
              <w:rPr>
                <w:rFonts w:ascii="Times New Roman" w:cs="Times New Roman" w:eastAsia="Times New Roman" w:hAnsi="Times New Roman"/>
                <w:sz w:val="14"/>
                <w:szCs w:val="14"/>
                <w:color w:val="231F20"/>
              </w:rPr>
              <w:t>78,650</w:t>
            </w:r>
          </w:p>
        </w:tc>
        <w:tc>
          <w:tcPr>
            <w:tcW w:w="60" w:type="dxa"/>
            <w:vAlign w:val="bottom"/>
          </w:tcPr>
          <w:p>
            <w:pPr>
              <w:spacing w:after="0"/>
              <w:rPr>
                <w:sz w:val="13"/>
                <w:szCs w:val="13"/>
                <w:color w:val="auto"/>
              </w:rPr>
            </w:pPr>
          </w:p>
        </w:tc>
        <w:tc>
          <w:tcPr>
            <w:tcW w:w="220" w:type="dxa"/>
            <w:vAlign w:val="bottom"/>
            <w:tcBorders>
              <w:top w:val="single" w:sz="8" w:color="231F20"/>
            </w:tcBorders>
          </w:tcPr>
          <w:p>
            <w:pPr>
              <w:jc w:val="right"/>
              <w:ind w:right="28"/>
              <w:spacing w:after="0" w:line="156" w:lineRule="exact"/>
              <w:rPr>
                <w:sz w:val="20"/>
                <w:szCs w:val="20"/>
                <w:color w:val="auto"/>
              </w:rPr>
            </w:pPr>
            <w:r>
              <w:rPr>
                <w:rFonts w:ascii="Times New Roman" w:cs="Times New Roman" w:eastAsia="Times New Roman" w:hAnsi="Times New Roman"/>
                <w:sz w:val="14"/>
                <w:szCs w:val="14"/>
                <w:color w:val="231F20"/>
              </w:rPr>
              <w:t>$</w:t>
            </w:r>
          </w:p>
        </w:tc>
        <w:tc>
          <w:tcPr>
            <w:tcW w:w="860" w:type="dxa"/>
            <w:vAlign w:val="bottom"/>
            <w:tcBorders>
              <w:top w:val="single" w:sz="8" w:color="231F20"/>
            </w:tcBorders>
          </w:tcPr>
          <w:p>
            <w:pPr>
              <w:jc w:val="right"/>
              <w:spacing w:after="0" w:line="156" w:lineRule="exact"/>
              <w:rPr>
                <w:sz w:val="20"/>
                <w:szCs w:val="20"/>
                <w:color w:val="auto"/>
              </w:rPr>
            </w:pPr>
            <w:r>
              <w:rPr>
                <w:rFonts w:ascii="Times New Roman" w:cs="Times New Roman" w:eastAsia="Times New Roman" w:hAnsi="Times New Roman"/>
                <w:sz w:val="14"/>
                <w:szCs w:val="14"/>
                <w:color w:val="231F20"/>
              </w:rPr>
              <w:t>3,042,159</w:t>
            </w:r>
          </w:p>
        </w:tc>
        <w:tc>
          <w:tcPr>
            <w:tcW w:w="0" w:type="dxa"/>
            <w:vAlign w:val="bottom"/>
          </w:tcPr>
          <w:p>
            <w:pPr>
              <w:spacing w:after="0"/>
              <w:rPr>
                <w:sz w:val="1"/>
                <w:szCs w:val="1"/>
                <w:color w:val="auto"/>
              </w:rPr>
            </w:pPr>
          </w:p>
        </w:tc>
      </w:tr>
      <w:tr>
        <w:trPr>
          <w:trHeight w:val="169"/>
        </w:trPr>
        <w:tc>
          <w:tcPr>
            <w:tcW w:w="4720" w:type="dxa"/>
            <w:vAlign w:val="bottom"/>
          </w:tcPr>
          <w:p>
            <w:pPr>
              <w:spacing w:after="0"/>
              <w:rPr>
                <w:sz w:val="20"/>
                <w:szCs w:val="20"/>
                <w:color w:val="auto"/>
              </w:rPr>
            </w:pPr>
            <w:r>
              <w:rPr>
                <w:rFonts w:ascii="Times New Roman" w:cs="Times New Roman" w:eastAsia="Times New Roman" w:hAnsi="Times New Roman"/>
                <w:sz w:val="14"/>
                <w:szCs w:val="14"/>
                <w:color w:val="231F20"/>
              </w:rPr>
              <w:t>Net income, excluding $7,022 attributable to redeemable noncontrolling interests</w:t>
            </w:r>
          </w:p>
        </w:tc>
        <w:tc>
          <w:tcPr>
            <w:tcW w:w="700" w:type="dxa"/>
            <w:vAlign w:val="bottom"/>
          </w:tcPr>
          <w:p>
            <w:pPr>
              <w:jc w:val="right"/>
              <w:ind w:right="2"/>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4"/>
                <w:szCs w:val="14"/>
                <w:color w:val="auto"/>
              </w:rPr>
            </w:pPr>
          </w:p>
        </w:tc>
        <w:tc>
          <w:tcPr>
            <w:tcW w:w="700" w:type="dxa"/>
            <w:vAlign w:val="bottom"/>
          </w:tcPr>
          <w:p>
            <w:pPr>
              <w:jc w:val="right"/>
              <w:ind w:right="2"/>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4"/>
                <w:szCs w:val="14"/>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3"/>
          </w:tcPr>
          <w:p>
            <w:pPr>
              <w:jc w:val="right"/>
              <w:ind w:right="113"/>
              <w:spacing w:after="0"/>
              <w:rPr>
                <w:sz w:val="20"/>
                <w:szCs w:val="20"/>
                <w:color w:val="auto"/>
              </w:rPr>
            </w:pPr>
            <w:r>
              <w:rPr>
                <w:rFonts w:ascii="Times New Roman" w:cs="Times New Roman" w:eastAsia="Times New Roman" w:hAnsi="Times New Roman"/>
                <w:sz w:val="14"/>
                <w:szCs w:val="14"/>
                <w:color w:val="231F20"/>
              </w:rPr>
              <w:t>—</w:t>
            </w: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295,208</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2,104</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297,312</w:t>
            </w:r>
          </w:p>
        </w:tc>
        <w:tc>
          <w:tcPr>
            <w:tcW w:w="0" w:type="dxa"/>
            <w:vAlign w:val="bottom"/>
          </w:tcPr>
          <w:p>
            <w:pPr>
              <w:spacing w:after="0"/>
              <w:rPr>
                <w:sz w:val="1"/>
                <w:szCs w:val="1"/>
                <w:color w:val="auto"/>
              </w:rPr>
            </w:pPr>
          </w:p>
        </w:tc>
      </w:tr>
      <w:tr>
        <w:trPr>
          <w:trHeight w:val="163"/>
        </w:trPr>
        <w:tc>
          <w:tcPr>
            <w:tcW w:w="4720" w:type="dxa"/>
            <w:vAlign w:val="bottom"/>
          </w:tcPr>
          <w:p>
            <w:pPr>
              <w:spacing w:after="0"/>
              <w:rPr>
                <w:sz w:val="20"/>
                <w:szCs w:val="20"/>
                <w:color w:val="auto"/>
              </w:rPr>
            </w:pPr>
            <w:r>
              <w:rPr>
                <w:rFonts w:ascii="Times New Roman" w:cs="Times New Roman" w:eastAsia="Times New Roman" w:hAnsi="Times New Roman"/>
                <w:sz w:val="14"/>
                <w:szCs w:val="14"/>
                <w:color w:val="231F20"/>
              </w:rPr>
              <w:t>Other comprehensive income - change in value of interest rate swaps, excluding</w:t>
            </w:r>
          </w:p>
        </w:tc>
        <w:tc>
          <w:tcPr>
            <w:tcW w:w="700" w:type="dxa"/>
            <w:vAlign w:val="bottom"/>
            <w:vMerge w:val="restart"/>
          </w:tcPr>
          <w:p>
            <w:pPr>
              <w:jc w:val="right"/>
              <w:ind w:right="2"/>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4"/>
                <w:szCs w:val="14"/>
                <w:color w:val="auto"/>
              </w:rPr>
            </w:pPr>
          </w:p>
        </w:tc>
        <w:tc>
          <w:tcPr>
            <w:tcW w:w="700" w:type="dxa"/>
            <w:vAlign w:val="bottom"/>
            <w:vMerge w:val="restart"/>
          </w:tcPr>
          <w:p>
            <w:pPr>
              <w:jc w:val="right"/>
              <w:ind w:right="2"/>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4"/>
                <w:szCs w:val="14"/>
                <w:color w:val="auto"/>
              </w:rPr>
            </w:pPr>
          </w:p>
        </w:tc>
        <w:tc>
          <w:tcPr>
            <w:tcW w:w="880" w:type="dxa"/>
            <w:vAlign w:val="bottom"/>
            <w:vMerge w:val="restart"/>
          </w:tcPr>
          <w:p>
            <w:pPr>
              <w:jc w:val="right"/>
              <w:ind w:right="3"/>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3"/>
            <w:vMerge w:val="restart"/>
          </w:tcPr>
          <w:p>
            <w:pPr>
              <w:jc w:val="right"/>
              <w:ind w:right="113"/>
              <w:spacing w:after="0"/>
              <w:rPr>
                <w:sz w:val="20"/>
                <w:szCs w:val="20"/>
                <w:color w:val="auto"/>
              </w:rPr>
            </w:pPr>
            <w:r>
              <w:rPr>
                <w:rFonts w:ascii="Times New Roman" w:cs="Times New Roman" w:eastAsia="Times New Roman" w:hAnsi="Times New Roman"/>
                <w:sz w:val="14"/>
                <w:szCs w:val="14"/>
                <w:color w:val="231F20"/>
              </w:rPr>
              <w:t>—</w:t>
            </w:r>
          </w:p>
        </w:tc>
        <w:tc>
          <w:tcPr>
            <w:tcW w:w="140" w:type="dxa"/>
            <w:vAlign w:val="bottom"/>
          </w:tcPr>
          <w:p>
            <w:pPr>
              <w:spacing w:after="0"/>
              <w:rPr>
                <w:sz w:val="14"/>
                <w:szCs w:val="14"/>
                <w:color w:val="auto"/>
              </w:rPr>
            </w:pPr>
          </w:p>
        </w:tc>
        <w:tc>
          <w:tcPr>
            <w:tcW w:w="8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231F20"/>
              </w:rPr>
              <w:t>—</w:t>
            </w:r>
          </w:p>
        </w:tc>
        <w:tc>
          <w:tcPr>
            <w:tcW w:w="14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231F20"/>
              </w:rPr>
              <w:t>688</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231F20"/>
              </w:rPr>
              <w:t>688</w:t>
            </w:r>
          </w:p>
        </w:tc>
        <w:tc>
          <w:tcPr>
            <w:tcW w:w="0" w:type="dxa"/>
            <w:vAlign w:val="bottom"/>
          </w:tcPr>
          <w:p>
            <w:pPr>
              <w:spacing w:after="0"/>
              <w:rPr>
                <w:sz w:val="1"/>
                <w:szCs w:val="1"/>
                <w:color w:val="auto"/>
              </w:rPr>
            </w:pPr>
          </w:p>
        </w:tc>
      </w:tr>
      <w:tr>
        <w:trPr>
          <w:trHeight w:val="182"/>
        </w:trPr>
        <w:tc>
          <w:tcPr>
            <w:tcW w:w="4720" w:type="dxa"/>
            <w:vAlign w:val="bottom"/>
          </w:tcPr>
          <w:p>
            <w:pPr>
              <w:spacing w:after="0"/>
              <w:rPr>
                <w:sz w:val="20"/>
                <w:szCs w:val="20"/>
                <w:color w:val="auto"/>
              </w:rPr>
            </w:pPr>
            <w:r>
              <w:rPr>
                <w:rFonts w:ascii="Times New Roman" w:cs="Times New Roman" w:eastAsia="Times New Roman" w:hAnsi="Times New Roman"/>
                <w:sz w:val="14"/>
                <w:szCs w:val="14"/>
                <w:color w:val="231F20"/>
              </w:rPr>
              <w:t>$23 attributable to redeemable noncontrolling interest</w:t>
            </w:r>
          </w:p>
        </w:tc>
        <w:tc>
          <w:tcPr>
            <w:tcW w:w="7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720" w:type="dxa"/>
            <w:vAlign w:val="bottom"/>
          </w:tcPr>
          <w:p>
            <w:pPr>
              <w:spacing w:after="0"/>
              <w:rPr>
                <w:sz w:val="20"/>
                <w:szCs w:val="20"/>
                <w:color w:val="auto"/>
              </w:rPr>
            </w:pPr>
            <w:r>
              <w:rPr>
                <w:rFonts w:ascii="Times New Roman" w:cs="Times New Roman" w:eastAsia="Times New Roman" w:hAnsi="Times New Roman"/>
                <w:sz w:val="14"/>
                <w:szCs w:val="14"/>
                <w:color w:val="231F20"/>
              </w:rPr>
              <w:t>Dividends declared to common shareholders ($4.38 per share)</w:t>
            </w:r>
          </w:p>
        </w:tc>
        <w:tc>
          <w:tcPr>
            <w:tcW w:w="700" w:type="dxa"/>
            <w:vAlign w:val="bottom"/>
          </w:tcPr>
          <w:p>
            <w:pPr>
              <w:jc w:val="right"/>
              <w:ind w:right="2"/>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6"/>
                <w:szCs w:val="16"/>
                <w:color w:val="auto"/>
              </w:rPr>
            </w:pPr>
          </w:p>
        </w:tc>
        <w:tc>
          <w:tcPr>
            <w:tcW w:w="700" w:type="dxa"/>
            <w:vAlign w:val="bottom"/>
          </w:tcPr>
          <w:p>
            <w:pPr>
              <w:jc w:val="right"/>
              <w:ind w:right="2"/>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6"/>
                <w:szCs w:val="16"/>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3"/>
          </w:tcPr>
          <w:p>
            <w:pPr>
              <w:jc w:val="right"/>
              <w:ind w:right="113"/>
              <w:spacing w:after="0"/>
              <w:rPr>
                <w:sz w:val="20"/>
                <w:szCs w:val="20"/>
                <w:color w:val="auto"/>
              </w:rPr>
            </w:pPr>
            <w:r>
              <w:rPr>
                <w:rFonts w:ascii="Times New Roman" w:cs="Times New Roman" w:eastAsia="Times New Roman" w:hAnsi="Times New Roman"/>
                <w:sz w:val="14"/>
                <w:szCs w:val="14"/>
                <w:color w:val="231F20"/>
              </w:rPr>
              <w:t>—</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(369,232)</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(369,232)</w:t>
            </w:r>
          </w:p>
        </w:tc>
        <w:tc>
          <w:tcPr>
            <w:tcW w:w="0" w:type="dxa"/>
            <w:vAlign w:val="bottom"/>
          </w:tcPr>
          <w:p>
            <w:pPr>
              <w:spacing w:after="0"/>
              <w:rPr>
                <w:sz w:val="1"/>
                <w:szCs w:val="1"/>
                <w:color w:val="auto"/>
              </w:rPr>
            </w:pPr>
          </w:p>
        </w:tc>
      </w:tr>
      <w:tr>
        <w:trPr>
          <w:trHeight w:val="185"/>
        </w:trPr>
        <w:tc>
          <w:tcPr>
            <w:tcW w:w="4720" w:type="dxa"/>
            <w:vAlign w:val="bottom"/>
          </w:tcPr>
          <w:p>
            <w:pPr>
              <w:spacing w:after="0"/>
              <w:rPr>
                <w:sz w:val="20"/>
                <w:szCs w:val="20"/>
                <w:color w:val="auto"/>
              </w:rPr>
            </w:pPr>
            <w:r>
              <w:rPr>
                <w:rFonts w:ascii="Times New Roman" w:cs="Times New Roman" w:eastAsia="Times New Roman" w:hAnsi="Times New Roman"/>
                <w:sz w:val="14"/>
                <w:szCs w:val="14"/>
                <w:color w:val="231F20"/>
              </w:rPr>
              <w:t>Dividends declared to preferred shareholders</w:t>
            </w:r>
          </w:p>
        </w:tc>
        <w:tc>
          <w:tcPr>
            <w:tcW w:w="700" w:type="dxa"/>
            <w:vAlign w:val="bottom"/>
          </w:tcPr>
          <w:p>
            <w:pPr>
              <w:jc w:val="right"/>
              <w:ind w:right="2"/>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6"/>
                <w:szCs w:val="16"/>
                <w:color w:val="auto"/>
              </w:rPr>
            </w:pPr>
          </w:p>
        </w:tc>
        <w:tc>
          <w:tcPr>
            <w:tcW w:w="700" w:type="dxa"/>
            <w:vAlign w:val="bottom"/>
          </w:tcPr>
          <w:p>
            <w:pPr>
              <w:jc w:val="right"/>
              <w:ind w:right="2"/>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6"/>
                <w:szCs w:val="16"/>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3"/>
          </w:tcPr>
          <w:p>
            <w:pPr>
              <w:jc w:val="right"/>
              <w:ind w:right="113"/>
              <w:spacing w:after="0"/>
              <w:rPr>
                <w:sz w:val="20"/>
                <w:szCs w:val="20"/>
                <w:color w:val="auto"/>
              </w:rPr>
            </w:pPr>
            <w:r>
              <w:rPr>
                <w:rFonts w:ascii="Times New Roman" w:cs="Times New Roman" w:eastAsia="Times New Roman" w:hAnsi="Times New Roman"/>
                <w:sz w:val="14"/>
                <w:szCs w:val="14"/>
                <w:color w:val="231F20"/>
              </w:rPr>
              <w:t>—</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(8,032)</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(8,032)</w:t>
            </w:r>
          </w:p>
        </w:tc>
        <w:tc>
          <w:tcPr>
            <w:tcW w:w="0" w:type="dxa"/>
            <w:vAlign w:val="bottom"/>
          </w:tcPr>
          <w:p>
            <w:pPr>
              <w:spacing w:after="0"/>
              <w:rPr>
                <w:sz w:val="1"/>
                <w:szCs w:val="1"/>
                <w:color w:val="auto"/>
              </w:rPr>
            </w:pPr>
          </w:p>
        </w:tc>
      </w:tr>
      <w:tr>
        <w:trPr>
          <w:trHeight w:val="185"/>
        </w:trPr>
        <w:tc>
          <w:tcPr>
            <w:tcW w:w="4720" w:type="dxa"/>
            <w:vAlign w:val="bottom"/>
          </w:tcPr>
          <w:p>
            <w:pPr>
              <w:spacing w:after="0"/>
              <w:rPr>
                <w:sz w:val="20"/>
                <w:szCs w:val="20"/>
                <w:color w:val="auto"/>
              </w:rPr>
            </w:pPr>
            <w:r>
              <w:rPr>
                <w:rFonts w:ascii="Times New Roman" w:cs="Times New Roman" w:eastAsia="Times New Roman" w:hAnsi="Times New Roman"/>
                <w:sz w:val="14"/>
                <w:szCs w:val="14"/>
                <w:color w:val="231F20"/>
              </w:rPr>
              <w:t>Dividend equivalent rights</w:t>
            </w:r>
          </w:p>
        </w:tc>
        <w:tc>
          <w:tcPr>
            <w:tcW w:w="700" w:type="dxa"/>
            <w:vAlign w:val="bottom"/>
          </w:tcPr>
          <w:p>
            <w:pPr>
              <w:jc w:val="right"/>
              <w:ind w:right="2"/>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6"/>
                <w:szCs w:val="16"/>
                <w:color w:val="auto"/>
              </w:rPr>
            </w:pPr>
          </w:p>
        </w:tc>
        <w:tc>
          <w:tcPr>
            <w:tcW w:w="700" w:type="dxa"/>
            <w:vAlign w:val="bottom"/>
          </w:tcPr>
          <w:p>
            <w:pPr>
              <w:jc w:val="right"/>
              <w:ind w:right="2"/>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6"/>
                <w:szCs w:val="16"/>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3"/>
          </w:tcPr>
          <w:p>
            <w:pPr>
              <w:jc w:val="right"/>
              <w:ind w:right="113"/>
              <w:spacing w:after="0"/>
              <w:rPr>
                <w:sz w:val="20"/>
                <w:szCs w:val="20"/>
                <w:color w:val="auto"/>
              </w:rPr>
            </w:pPr>
            <w:r>
              <w:rPr>
                <w:rFonts w:ascii="Times New Roman" w:cs="Times New Roman" w:eastAsia="Times New Roman" w:hAnsi="Times New Roman"/>
                <w:sz w:val="14"/>
                <w:szCs w:val="14"/>
                <w:color w:val="231F20"/>
              </w:rPr>
              <w:t>—</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(124)</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(124)</w:t>
            </w:r>
          </w:p>
        </w:tc>
        <w:tc>
          <w:tcPr>
            <w:tcW w:w="0" w:type="dxa"/>
            <w:vAlign w:val="bottom"/>
          </w:tcPr>
          <w:p>
            <w:pPr>
              <w:spacing w:after="0"/>
              <w:rPr>
                <w:sz w:val="1"/>
                <w:szCs w:val="1"/>
                <w:color w:val="auto"/>
              </w:rPr>
            </w:pPr>
          </w:p>
        </w:tc>
      </w:tr>
      <w:tr>
        <w:trPr>
          <w:trHeight w:val="175"/>
        </w:trPr>
        <w:tc>
          <w:tcPr>
            <w:tcW w:w="4720" w:type="dxa"/>
            <w:vAlign w:val="bottom"/>
          </w:tcPr>
          <w:p>
            <w:pPr>
              <w:spacing w:after="0"/>
              <w:rPr>
                <w:sz w:val="20"/>
                <w:szCs w:val="20"/>
                <w:color w:val="auto"/>
              </w:rPr>
            </w:pPr>
            <w:r>
              <w:rPr>
                <w:rFonts w:ascii="Times New Roman" w:cs="Times New Roman" w:eastAsia="Times New Roman" w:hAnsi="Times New Roman"/>
                <w:sz w:val="14"/>
                <w:szCs w:val="14"/>
                <w:color w:val="231F20"/>
              </w:rPr>
              <w:t>Distributions declared to noncontrolling interests, excluding $8,854 attributable</w:t>
            </w:r>
          </w:p>
        </w:tc>
        <w:tc>
          <w:tcPr>
            <w:tcW w:w="700" w:type="dxa"/>
            <w:vAlign w:val="bottom"/>
            <w:vMerge w:val="restart"/>
          </w:tcPr>
          <w:p>
            <w:pPr>
              <w:jc w:val="right"/>
              <w:ind w:right="2"/>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5"/>
                <w:szCs w:val="15"/>
                <w:color w:val="auto"/>
              </w:rPr>
            </w:pPr>
          </w:p>
        </w:tc>
        <w:tc>
          <w:tcPr>
            <w:tcW w:w="700" w:type="dxa"/>
            <w:vAlign w:val="bottom"/>
            <w:vMerge w:val="restart"/>
          </w:tcPr>
          <w:p>
            <w:pPr>
              <w:jc w:val="right"/>
              <w:ind w:right="2"/>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5"/>
                <w:szCs w:val="15"/>
                <w:color w:val="auto"/>
              </w:rPr>
            </w:pPr>
          </w:p>
        </w:tc>
        <w:tc>
          <w:tcPr>
            <w:tcW w:w="880" w:type="dxa"/>
            <w:vAlign w:val="bottom"/>
            <w:vMerge w:val="restart"/>
          </w:tcPr>
          <w:p>
            <w:pPr>
              <w:jc w:val="right"/>
              <w:ind w:right="3"/>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3"/>
            <w:vMerge w:val="restart"/>
          </w:tcPr>
          <w:p>
            <w:pPr>
              <w:jc w:val="right"/>
              <w:ind w:right="113"/>
              <w:spacing w:after="0"/>
              <w:rPr>
                <w:sz w:val="20"/>
                <w:szCs w:val="20"/>
                <w:color w:val="auto"/>
              </w:rPr>
            </w:pPr>
            <w:r>
              <w:rPr>
                <w:rFonts w:ascii="Times New Roman" w:cs="Times New Roman" w:eastAsia="Times New Roman" w:hAnsi="Times New Roman"/>
                <w:sz w:val="14"/>
                <w:szCs w:val="14"/>
                <w:color w:val="231F20"/>
              </w:rPr>
              <w:t>—</w:t>
            </w:r>
          </w:p>
        </w:tc>
        <w:tc>
          <w:tcPr>
            <w:tcW w:w="140" w:type="dxa"/>
            <w:vAlign w:val="bottom"/>
          </w:tcPr>
          <w:p>
            <w:pPr>
              <w:spacing w:after="0"/>
              <w:rPr>
                <w:sz w:val="15"/>
                <w:szCs w:val="15"/>
                <w:color w:val="auto"/>
              </w:rPr>
            </w:pPr>
          </w:p>
        </w:tc>
        <w:tc>
          <w:tcPr>
            <w:tcW w:w="8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231F20"/>
              </w:rPr>
              <w:t>—</w:t>
            </w:r>
          </w:p>
        </w:tc>
        <w:tc>
          <w:tcPr>
            <w:tcW w:w="14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231F20"/>
              </w:rPr>
              <w:t>(4,239)</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231F20"/>
              </w:rPr>
              <w:t>(4,239)</w:t>
            </w:r>
          </w:p>
        </w:tc>
        <w:tc>
          <w:tcPr>
            <w:tcW w:w="0" w:type="dxa"/>
            <w:vAlign w:val="bottom"/>
          </w:tcPr>
          <w:p>
            <w:pPr>
              <w:spacing w:after="0"/>
              <w:rPr>
                <w:sz w:val="1"/>
                <w:szCs w:val="1"/>
                <w:color w:val="auto"/>
              </w:rPr>
            </w:pPr>
          </w:p>
        </w:tc>
      </w:tr>
      <w:tr>
        <w:trPr>
          <w:trHeight w:val="182"/>
        </w:trPr>
        <w:tc>
          <w:tcPr>
            <w:tcW w:w="4720" w:type="dxa"/>
            <w:vAlign w:val="bottom"/>
          </w:tcPr>
          <w:p>
            <w:pPr>
              <w:spacing w:after="0"/>
              <w:rPr>
                <w:sz w:val="20"/>
                <w:szCs w:val="20"/>
                <w:color w:val="auto"/>
              </w:rPr>
            </w:pPr>
            <w:r>
              <w:rPr>
                <w:rFonts w:ascii="Times New Roman" w:cs="Times New Roman" w:eastAsia="Times New Roman" w:hAnsi="Times New Roman"/>
                <w:sz w:val="14"/>
                <w:szCs w:val="14"/>
                <w:color w:val="231F20"/>
              </w:rPr>
              <w:t>to redeemable noncontrolling interests</w:t>
            </w:r>
          </w:p>
        </w:tc>
        <w:tc>
          <w:tcPr>
            <w:tcW w:w="7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720" w:type="dxa"/>
            <w:vAlign w:val="bottom"/>
          </w:tcPr>
          <w:p>
            <w:pPr>
              <w:spacing w:after="0"/>
              <w:rPr>
                <w:sz w:val="20"/>
                <w:szCs w:val="20"/>
                <w:color w:val="auto"/>
              </w:rPr>
            </w:pPr>
            <w:r>
              <w:rPr>
                <w:rFonts w:ascii="Times New Roman" w:cs="Times New Roman" w:eastAsia="Times New Roman" w:hAnsi="Times New Roman"/>
                <w:sz w:val="14"/>
                <w:szCs w:val="14"/>
                <w:color w:val="231F20"/>
              </w:rPr>
              <w:t>Common shares issued, net</w:t>
            </w:r>
          </w:p>
        </w:tc>
        <w:tc>
          <w:tcPr>
            <w:tcW w:w="700" w:type="dxa"/>
            <w:vAlign w:val="bottom"/>
          </w:tcPr>
          <w:p>
            <w:pPr>
              <w:jc w:val="right"/>
              <w:ind w:right="2"/>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6"/>
                <w:szCs w:val="16"/>
                <w:color w:val="auto"/>
              </w:rPr>
            </w:pPr>
          </w:p>
        </w:tc>
        <w:tc>
          <w:tcPr>
            <w:tcW w:w="700" w:type="dxa"/>
            <w:vAlign w:val="bottom"/>
          </w:tcPr>
          <w:p>
            <w:pPr>
              <w:jc w:val="right"/>
              <w:ind w:right="2"/>
              <w:spacing w:after="0"/>
              <w:rPr>
                <w:sz w:val="20"/>
                <w:szCs w:val="20"/>
                <w:color w:val="auto"/>
              </w:rPr>
            </w:pPr>
            <w:r>
              <w:rPr>
                <w:rFonts w:ascii="Times New Roman" w:cs="Times New Roman" w:eastAsia="Times New Roman" w:hAnsi="Times New Roman"/>
                <w:sz w:val="14"/>
                <w:szCs w:val="14"/>
                <w:color w:val="231F20"/>
              </w:rPr>
              <w:t>—</w:t>
            </w:r>
          </w:p>
        </w:tc>
        <w:tc>
          <w:tcPr>
            <w:tcW w:w="940" w:type="dxa"/>
            <w:vAlign w:val="bottom"/>
            <w:gridSpan w:val="2"/>
          </w:tcPr>
          <w:p>
            <w:pPr>
              <w:jc w:val="right"/>
              <w:ind w:right="3"/>
              <w:spacing w:after="0"/>
              <w:rPr>
                <w:sz w:val="20"/>
                <w:szCs w:val="20"/>
                <w:color w:val="auto"/>
              </w:rPr>
            </w:pPr>
            <w:r>
              <w:rPr>
                <w:rFonts w:ascii="Times New Roman" w:cs="Times New Roman" w:eastAsia="Times New Roman" w:hAnsi="Times New Roman"/>
                <w:sz w:val="14"/>
                <w:szCs w:val="14"/>
                <w:color w:val="231F20"/>
              </w:rPr>
              <w:t>2,769,747</w:t>
            </w: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231F20"/>
              </w:rPr>
              <w:t>28</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303,903</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231F20"/>
              </w:rPr>
              <w:t>—</w:t>
            </w: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303,931</w:t>
            </w:r>
          </w:p>
        </w:tc>
        <w:tc>
          <w:tcPr>
            <w:tcW w:w="0" w:type="dxa"/>
            <w:vAlign w:val="bottom"/>
          </w:tcPr>
          <w:p>
            <w:pPr>
              <w:spacing w:after="0"/>
              <w:rPr>
                <w:sz w:val="1"/>
                <w:szCs w:val="1"/>
                <w:color w:val="auto"/>
              </w:rPr>
            </w:pPr>
          </w:p>
        </w:tc>
      </w:tr>
      <w:tr>
        <w:trPr>
          <w:trHeight w:val="185"/>
        </w:trPr>
        <w:tc>
          <w:tcPr>
            <w:tcW w:w="4720" w:type="dxa"/>
            <w:vAlign w:val="bottom"/>
          </w:tcPr>
          <w:p>
            <w:pPr>
              <w:spacing w:after="0"/>
              <w:rPr>
                <w:sz w:val="20"/>
                <w:szCs w:val="20"/>
                <w:color w:val="auto"/>
              </w:rPr>
            </w:pPr>
            <w:r>
              <w:rPr>
                <w:rFonts w:ascii="Times New Roman" w:cs="Times New Roman" w:eastAsia="Times New Roman" w:hAnsi="Times New Roman"/>
                <w:sz w:val="14"/>
                <w:szCs w:val="14"/>
                <w:color w:val="231F20"/>
              </w:rPr>
              <w:t>Shares issued under dividend reinvestment plan</w:t>
            </w:r>
          </w:p>
        </w:tc>
        <w:tc>
          <w:tcPr>
            <w:tcW w:w="700" w:type="dxa"/>
            <w:vAlign w:val="bottom"/>
          </w:tcPr>
          <w:p>
            <w:pPr>
              <w:jc w:val="right"/>
              <w:ind w:right="2"/>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6"/>
                <w:szCs w:val="16"/>
                <w:color w:val="auto"/>
              </w:rPr>
            </w:pPr>
          </w:p>
        </w:tc>
        <w:tc>
          <w:tcPr>
            <w:tcW w:w="700" w:type="dxa"/>
            <w:vAlign w:val="bottom"/>
          </w:tcPr>
          <w:p>
            <w:pPr>
              <w:jc w:val="right"/>
              <w:ind w:right="2"/>
              <w:spacing w:after="0"/>
              <w:rPr>
                <w:sz w:val="20"/>
                <w:szCs w:val="20"/>
                <w:color w:val="auto"/>
              </w:rPr>
            </w:pPr>
            <w:r>
              <w:rPr>
                <w:rFonts w:ascii="Times New Roman" w:cs="Times New Roman" w:eastAsia="Times New Roman" w:hAnsi="Times New Roman"/>
                <w:sz w:val="14"/>
                <w:szCs w:val="14"/>
                <w:color w:val="231F20"/>
              </w:rPr>
              <w:t>—</w:t>
            </w:r>
          </w:p>
        </w:tc>
        <w:tc>
          <w:tcPr>
            <w:tcW w:w="940" w:type="dxa"/>
            <w:vAlign w:val="bottom"/>
            <w:gridSpan w:val="2"/>
          </w:tcPr>
          <w:p>
            <w:pPr>
              <w:jc w:val="right"/>
              <w:ind w:right="3"/>
              <w:spacing w:after="0"/>
              <w:rPr>
                <w:sz w:val="20"/>
                <w:szCs w:val="20"/>
                <w:color w:val="auto"/>
              </w:rPr>
            </w:pPr>
            <w:r>
              <w:rPr>
                <w:rFonts w:ascii="Times New Roman" w:cs="Times New Roman" w:eastAsia="Times New Roman" w:hAnsi="Times New Roman"/>
                <w:sz w:val="14"/>
                <w:szCs w:val="14"/>
                <w:color w:val="231F20"/>
              </w:rPr>
              <w:t>18,101</w:t>
            </w: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1,784</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231F20"/>
              </w:rPr>
              <w:t>—</w:t>
            </w: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1,784</w:t>
            </w:r>
          </w:p>
        </w:tc>
        <w:tc>
          <w:tcPr>
            <w:tcW w:w="0" w:type="dxa"/>
            <w:vAlign w:val="bottom"/>
          </w:tcPr>
          <w:p>
            <w:pPr>
              <w:spacing w:after="0"/>
              <w:rPr>
                <w:sz w:val="1"/>
                <w:szCs w:val="1"/>
                <w:color w:val="auto"/>
              </w:rPr>
            </w:pPr>
          </w:p>
        </w:tc>
      </w:tr>
      <w:tr>
        <w:trPr>
          <w:trHeight w:val="185"/>
        </w:trPr>
        <w:tc>
          <w:tcPr>
            <w:tcW w:w="4720" w:type="dxa"/>
            <w:vAlign w:val="bottom"/>
          </w:tcPr>
          <w:p>
            <w:pPr>
              <w:spacing w:after="0"/>
              <w:rPr>
                <w:sz w:val="20"/>
                <w:szCs w:val="20"/>
                <w:color w:val="auto"/>
              </w:rPr>
            </w:pPr>
            <w:r>
              <w:rPr>
                <w:rFonts w:ascii="Times New Roman" w:cs="Times New Roman" w:eastAsia="Times New Roman" w:hAnsi="Times New Roman"/>
                <w:sz w:val="14"/>
                <w:szCs w:val="14"/>
                <w:color w:val="231F20"/>
              </w:rPr>
              <w:t>Share-based compensation expense, net of forfeitures</w:t>
            </w:r>
          </w:p>
        </w:tc>
        <w:tc>
          <w:tcPr>
            <w:tcW w:w="700" w:type="dxa"/>
            <w:vAlign w:val="bottom"/>
          </w:tcPr>
          <w:p>
            <w:pPr>
              <w:jc w:val="right"/>
              <w:ind w:right="2"/>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6"/>
                <w:szCs w:val="16"/>
                <w:color w:val="auto"/>
              </w:rPr>
            </w:pPr>
          </w:p>
        </w:tc>
        <w:tc>
          <w:tcPr>
            <w:tcW w:w="700" w:type="dxa"/>
            <w:vAlign w:val="bottom"/>
          </w:tcPr>
          <w:p>
            <w:pPr>
              <w:jc w:val="right"/>
              <w:ind w:right="2"/>
              <w:spacing w:after="0"/>
              <w:rPr>
                <w:sz w:val="20"/>
                <w:szCs w:val="20"/>
                <w:color w:val="auto"/>
              </w:rPr>
            </w:pPr>
            <w:r>
              <w:rPr>
                <w:rFonts w:ascii="Times New Roman" w:cs="Times New Roman" w:eastAsia="Times New Roman" w:hAnsi="Times New Roman"/>
                <w:sz w:val="14"/>
                <w:szCs w:val="14"/>
                <w:color w:val="231F20"/>
              </w:rPr>
              <w:t>—</w:t>
            </w:r>
          </w:p>
        </w:tc>
        <w:tc>
          <w:tcPr>
            <w:tcW w:w="940" w:type="dxa"/>
            <w:vAlign w:val="bottom"/>
            <w:gridSpan w:val="2"/>
          </w:tcPr>
          <w:p>
            <w:pPr>
              <w:jc w:val="right"/>
              <w:ind w:right="3"/>
              <w:spacing w:after="0"/>
              <w:rPr>
                <w:sz w:val="20"/>
                <w:szCs w:val="20"/>
                <w:color w:val="auto"/>
              </w:rPr>
            </w:pPr>
            <w:r>
              <w:rPr>
                <w:rFonts w:ascii="Times New Roman" w:cs="Times New Roman" w:eastAsia="Times New Roman" w:hAnsi="Times New Roman"/>
                <w:sz w:val="14"/>
                <w:szCs w:val="14"/>
                <w:color w:val="231F20"/>
              </w:rPr>
              <w:t>149,510</w:t>
            </w: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1</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17,378</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231F20"/>
              </w:rPr>
              <w:t>—</w:t>
            </w: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17,379</w:t>
            </w:r>
          </w:p>
        </w:tc>
        <w:tc>
          <w:tcPr>
            <w:tcW w:w="0" w:type="dxa"/>
            <w:vAlign w:val="bottom"/>
          </w:tcPr>
          <w:p>
            <w:pPr>
              <w:spacing w:after="0"/>
              <w:rPr>
                <w:sz w:val="1"/>
                <w:szCs w:val="1"/>
                <w:color w:val="auto"/>
              </w:rPr>
            </w:pPr>
          </w:p>
        </w:tc>
      </w:tr>
      <w:tr>
        <w:trPr>
          <w:trHeight w:val="185"/>
        </w:trPr>
        <w:tc>
          <w:tcPr>
            <w:tcW w:w="4720" w:type="dxa"/>
            <w:vAlign w:val="bottom"/>
          </w:tcPr>
          <w:p>
            <w:pPr>
              <w:spacing w:after="0"/>
              <w:rPr>
                <w:sz w:val="20"/>
                <w:szCs w:val="20"/>
                <w:color w:val="auto"/>
              </w:rPr>
            </w:pPr>
            <w:r>
              <w:rPr>
                <w:rFonts w:ascii="Times New Roman" w:cs="Times New Roman" w:eastAsia="Times New Roman" w:hAnsi="Times New Roman"/>
                <w:sz w:val="14"/>
                <w:szCs w:val="14"/>
                <w:color w:val="231F20"/>
              </w:rPr>
              <w:t>Shares withheld for employee taxes</w:t>
            </w:r>
          </w:p>
        </w:tc>
        <w:tc>
          <w:tcPr>
            <w:tcW w:w="700" w:type="dxa"/>
            <w:vAlign w:val="bottom"/>
          </w:tcPr>
          <w:p>
            <w:pPr>
              <w:jc w:val="right"/>
              <w:ind w:right="2"/>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6"/>
                <w:szCs w:val="16"/>
                <w:color w:val="auto"/>
              </w:rPr>
            </w:pPr>
          </w:p>
        </w:tc>
        <w:tc>
          <w:tcPr>
            <w:tcW w:w="700" w:type="dxa"/>
            <w:vAlign w:val="bottom"/>
          </w:tcPr>
          <w:p>
            <w:pPr>
              <w:jc w:val="right"/>
              <w:ind w:right="2"/>
              <w:spacing w:after="0"/>
              <w:rPr>
                <w:sz w:val="20"/>
                <w:szCs w:val="20"/>
                <w:color w:val="auto"/>
              </w:rPr>
            </w:pPr>
            <w:r>
              <w:rPr>
                <w:rFonts w:ascii="Times New Roman" w:cs="Times New Roman" w:eastAsia="Times New Roman" w:hAnsi="Times New Roman"/>
                <w:sz w:val="14"/>
                <w:szCs w:val="14"/>
                <w:color w:val="231F20"/>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231F20"/>
              </w:rPr>
              <w:t>(64,635)</w:t>
            </w: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(6,709)</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231F20"/>
              </w:rPr>
              <w:t>—</w:t>
            </w: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(6,709)</w:t>
            </w:r>
          </w:p>
        </w:tc>
        <w:tc>
          <w:tcPr>
            <w:tcW w:w="0" w:type="dxa"/>
            <w:vAlign w:val="bottom"/>
          </w:tcPr>
          <w:p>
            <w:pPr>
              <w:spacing w:after="0"/>
              <w:rPr>
                <w:sz w:val="1"/>
                <w:szCs w:val="1"/>
                <w:color w:val="auto"/>
              </w:rPr>
            </w:pPr>
          </w:p>
        </w:tc>
      </w:tr>
      <w:tr>
        <w:trPr>
          <w:trHeight w:val="185"/>
        </w:trPr>
        <w:tc>
          <w:tcPr>
            <w:tcW w:w="4720" w:type="dxa"/>
            <w:vAlign w:val="bottom"/>
          </w:tcPr>
          <w:p>
            <w:pPr>
              <w:spacing w:after="0"/>
              <w:rPr>
                <w:sz w:val="20"/>
                <w:szCs w:val="20"/>
                <w:color w:val="auto"/>
              </w:rPr>
            </w:pPr>
            <w:r>
              <w:rPr>
                <w:rFonts w:ascii="Times New Roman" w:cs="Times New Roman" w:eastAsia="Times New Roman" w:hAnsi="Times New Roman"/>
                <w:sz w:val="14"/>
                <w:szCs w:val="14"/>
                <w:color w:val="231F20"/>
              </w:rPr>
              <w:t>Conversion and redemption of downREIT OP units</w:t>
            </w:r>
          </w:p>
        </w:tc>
        <w:tc>
          <w:tcPr>
            <w:tcW w:w="700" w:type="dxa"/>
            <w:vAlign w:val="bottom"/>
          </w:tcPr>
          <w:p>
            <w:pPr>
              <w:jc w:val="right"/>
              <w:ind w:right="2"/>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6"/>
                <w:szCs w:val="16"/>
                <w:color w:val="auto"/>
              </w:rPr>
            </w:pPr>
          </w:p>
        </w:tc>
        <w:tc>
          <w:tcPr>
            <w:tcW w:w="700" w:type="dxa"/>
            <w:vAlign w:val="bottom"/>
          </w:tcPr>
          <w:p>
            <w:pPr>
              <w:jc w:val="right"/>
              <w:ind w:right="2"/>
              <w:spacing w:after="0"/>
              <w:rPr>
                <w:sz w:val="20"/>
                <w:szCs w:val="20"/>
                <w:color w:val="auto"/>
              </w:rPr>
            </w:pPr>
            <w:r>
              <w:rPr>
                <w:rFonts w:ascii="Times New Roman" w:cs="Times New Roman" w:eastAsia="Times New Roman" w:hAnsi="Times New Roman"/>
                <w:sz w:val="14"/>
                <w:szCs w:val="14"/>
                <w:color w:val="231F20"/>
              </w:rPr>
              <w:t>—</w:t>
            </w:r>
          </w:p>
        </w:tc>
        <w:tc>
          <w:tcPr>
            <w:tcW w:w="940" w:type="dxa"/>
            <w:vAlign w:val="bottom"/>
            <w:gridSpan w:val="2"/>
          </w:tcPr>
          <w:p>
            <w:pPr>
              <w:jc w:val="right"/>
              <w:ind w:right="3"/>
              <w:spacing w:after="0"/>
              <w:rPr>
                <w:sz w:val="20"/>
                <w:szCs w:val="20"/>
                <w:color w:val="auto"/>
              </w:rPr>
            </w:pPr>
            <w:r>
              <w:rPr>
                <w:rFonts w:ascii="Times New Roman" w:cs="Times New Roman" w:eastAsia="Times New Roman" w:hAnsi="Times New Roman"/>
                <w:sz w:val="14"/>
                <w:szCs w:val="14"/>
                <w:color w:val="231F20"/>
              </w:rPr>
              <w:t>18,211</w:t>
            </w: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1,636</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231F20"/>
              </w:rPr>
              <w:t>—</w:t>
            </w: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(2,596)</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(960)</w:t>
            </w:r>
          </w:p>
        </w:tc>
        <w:tc>
          <w:tcPr>
            <w:tcW w:w="0" w:type="dxa"/>
            <w:vAlign w:val="bottom"/>
          </w:tcPr>
          <w:p>
            <w:pPr>
              <w:spacing w:after="0"/>
              <w:rPr>
                <w:sz w:val="1"/>
                <w:szCs w:val="1"/>
                <w:color w:val="auto"/>
              </w:rPr>
            </w:pPr>
          </w:p>
        </w:tc>
      </w:tr>
      <w:tr>
        <w:trPr>
          <w:trHeight w:val="185"/>
        </w:trPr>
        <w:tc>
          <w:tcPr>
            <w:tcW w:w="4720" w:type="dxa"/>
            <w:vAlign w:val="bottom"/>
          </w:tcPr>
          <w:p>
            <w:pPr>
              <w:spacing w:after="0"/>
              <w:rPr>
                <w:sz w:val="20"/>
                <w:szCs w:val="20"/>
                <w:color w:val="auto"/>
              </w:rPr>
            </w:pPr>
            <w:r>
              <w:rPr>
                <w:rFonts w:ascii="Times New Roman" w:cs="Times New Roman" w:eastAsia="Times New Roman" w:hAnsi="Times New Roman"/>
                <w:sz w:val="14"/>
                <w:szCs w:val="14"/>
                <w:color w:val="231F20"/>
              </w:rPr>
              <w:t>Purchase of capped calls</w:t>
            </w:r>
          </w:p>
        </w:tc>
        <w:tc>
          <w:tcPr>
            <w:tcW w:w="700" w:type="dxa"/>
            <w:vAlign w:val="bottom"/>
          </w:tcPr>
          <w:p>
            <w:pPr>
              <w:jc w:val="right"/>
              <w:ind w:right="2"/>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6"/>
                <w:szCs w:val="16"/>
                <w:color w:val="auto"/>
              </w:rPr>
            </w:pPr>
          </w:p>
        </w:tc>
        <w:tc>
          <w:tcPr>
            <w:tcW w:w="700" w:type="dxa"/>
            <w:vAlign w:val="bottom"/>
          </w:tcPr>
          <w:p>
            <w:pPr>
              <w:jc w:val="right"/>
              <w:ind w:right="2"/>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6"/>
                <w:szCs w:val="16"/>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(19,448)</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231F20"/>
              </w:rPr>
              <w:t>—</w:t>
            </w: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(19,448)</w:t>
            </w:r>
          </w:p>
        </w:tc>
        <w:tc>
          <w:tcPr>
            <w:tcW w:w="0" w:type="dxa"/>
            <w:vAlign w:val="bottom"/>
          </w:tcPr>
          <w:p>
            <w:pPr>
              <w:spacing w:after="0"/>
              <w:rPr>
                <w:sz w:val="1"/>
                <w:szCs w:val="1"/>
                <w:color w:val="auto"/>
              </w:rPr>
            </w:pPr>
          </w:p>
        </w:tc>
      </w:tr>
      <w:tr>
        <w:trPr>
          <w:trHeight w:val="214"/>
        </w:trPr>
        <w:tc>
          <w:tcPr>
            <w:tcW w:w="4720" w:type="dxa"/>
            <w:vAlign w:val="bottom"/>
          </w:tcPr>
          <w:p>
            <w:pPr>
              <w:spacing w:after="0"/>
              <w:rPr>
                <w:sz w:val="20"/>
                <w:szCs w:val="20"/>
                <w:color w:val="auto"/>
              </w:rPr>
            </w:pPr>
            <w:r>
              <w:rPr>
                <w:rFonts w:ascii="Times New Roman" w:cs="Times New Roman" w:eastAsia="Times New Roman" w:hAnsi="Times New Roman"/>
                <w:sz w:val="14"/>
                <w:szCs w:val="14"/>
                <w:color w:val="231F20"/>
              </w:rPr>
              <w:t>Purchase of noncontrolling interest</w:t>
            </w:r>
          </w:p>
        </w:tc>
        <w:tc>
          <w:tcPr>
            <w:tcW w:w="700" w:type="dxa"/>
            <w:vAlign w:val="bottom"/>
          </w:tcPr>
          <w:p>
            <w:pPr>
              <w:jc w:val="right"/>
              <w:ind w:right="2"/>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8"/>
                <w:szCs w:val="18"/>
                <w:color w:val="auto"/>
              </w:rPr>
            </w:pPr>
          </w:p>
        </w:tc>
        <w:tc>
          <w:tcPr>
            <w:tcW w:w="700" w:type="dxa"/>
            <w:vAlign w:val="bottom"/>
          </w:tcPr>
          <w:p>
            <w:pPr>
              <w:jc w:val="right"/>
              <w:ind w:right="2"/>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8"/>
                <w:szCs w:val="18"/>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(10,264)</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231F20"/>
              </w:rPr>
              <w:t>—</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(2,094)</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(12,358)</w:t>
            </w:r>
          </w:p>
        </w:tc>
        <w:tc>
          <w:tcPr>
            <w:tcW w:w="0" w:type="dxa"/>
            <w:vAlign w:val="bottom"/>
          </w:tcPr>
          <w:p>
            <w:pPr>
              <w:spacing w:after="0"/>
              <w:rPr>
                <w:sz w:val="1"/>
                <w:szCs w:val="1"/>
                <w:color w:val="auto"/>
              </w:rPr>
            </w:pPr>
          </w:p>
        </w:tc>
      </w:tr>
      <w:tr>
        <w:trPr>
          <w:trHeight w:val="214"/>
        </w:trPr>
        <w:tc>
          <w:tcPr>
            <w:tcW w:w="4720" w:type="dxa"/>
            <w:vAlign w:val="bottom"/>
          </w:tcPr>
          <w:p>
            <w:pPr>
              <w:spacing w:after="0"/>
              <w:rPr>
                <w:sz w:val="20"/>
                <w:szCs w:val="20"/>
                <w:color w:val="auto"/>
              </w:rPr>
            </w:pPr>
            <w:r>
              <w:rPr>
                <w:rFonts w:ascii="Times New Roman" w:cs="Times New Roman" w:eastAsia="Times New Roman" w:hAnsi="Times New Roman"/>
                <w:sz w:val="14"/>
                <w:szCs w:val="14"/>
                <w:color w:val="231F20"/>
              </w:rPr>
              <w:t>Contributions from noncontrolling interests</w:t>
            </w:r>
          </w:p>
        </w:tc>
        <w:tc>
          <w:tcPr>
            <w:tcW w:w="700" w:type="dxa"/>
            <w:vAlign w:val="bottom"/>
          </w:tcPr>
          <w:p>
            <w:pPr>
              <w:jc w:val="right"/>
              <w:ind w:right="2"/>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8"/>
                <w:szCs w:val="18"/>
                <w:color w:val="auto"/>
              </w:rPr>
            </w:pPr>
          </w:p>
        </w:tc>
        <w:tc>
          <w:tcPr>
            <w:tcW w:w="700" w:type="dxa"/>
            <w:vAlign w:val="bottom"/>
          </w:tcPr>
          <w:p>
            <w:pPr>
              <w:jc w:val="right"/>
              <w:ind w:right="2"/>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8"/>
                <w:szCs w:val="18"/>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3"/>
          </w:tcPr>
          <w:p>
            <w:pPr>
              <w:jc w:val="right"/>
              <w:ind w:right="113"/>
              <w:spacing w:after="0"/>
              <w:rPr>
                <w:sz w:val="20"/>
                <w:szCs w:val="20"/>
                <w:color w:val="auto"/>
              </w:rPr>
            </w:pPr>
            <w:r>
              <w:rPr>
                <w:rFonts w:ascii="Times New Roman" w:cs="Times New Roman" w:eastAsia="Times New Roman" w:hAnsi="Times New Roman"/>
                <w:sz w:val="14"/>
                <w:szCs w:val="14"/>
                <w:color w:val="231F20"/>
              </w:rPr>
              <w:t>—</w:t>
            </w:r>
          </w:p>
        </w:tc>
        <w:tc>
          <w:tcPr>
            <w:tcW w:w="14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231F20"/>
              </w:rPr>
              <w:t>—</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725</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725</w:t>
            </w:r>
          </w:p>
        </w:tc>
        <w:tc>
          <w:tcPr>
            <w:tcW w:w="0" w:type="dxa"/>
            <w:vAlign w:val="bottom"/>
          </w:tcPr>
          <w:p>
            <w:pPr>
              <w:spacing w:after="0"/>
              <w:rPr>
                <w:sz w:val="1"/>
                <w:szCs w:val="1"/>
                <w:color w:val="auto"/>
              </w:rPr>
            </w:pPr>
          </w:p>
        </w:tc>
      </w:tr>
      <w:tr>
        <w:trPr>
          <w:trHeight w:val="224"/>
        </w:trPr>
        <w:tc>
          <w:tcPr>
            <w:tcW w:w="4720" w:type="dxa"/>
            <w:vAlign w:val="bottom"/>
          </w:tcPr>
          <w:p>
            <w:pPr>
              <w:spacing w:after="0"/>
              <w:rPr>
                <w:sz w:val="20"/>
                <w:szCs w:val="20"/>
                <w:color w:val="auto"/>
              </w:rPr>
            </w:pPr>
            <w:r>
              <w:rPr>
                <w:rFonts w:ascii="Times New Roman" w:cs="Times New Roman" w:eastAsia="Times New Roman" w:hAnsi="Times New Roman"/>
                <w:sz w:val="14"/>
                <w:szCs w:val="14"/>
                <w:color w:val="231F20"/>
              </w:rPr>
              <w:t>Adjustment to redeemable noncontrolling interests</w:t>
            </w:r>
          </w:p>
        </w:tc>
        <w:tc>
          <w:tcPr>
            <w:tcW w:w="700" w:type="dxa"/>
            <w:vAlign w:val="bottom"/>
          </w:tcPr>
          <w:p>
            <w:pPr>
              <w:jc w:val="right"/>
              <w:ind w:right="2"/>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9"/>
                <w:szCs w:val="19"/>
                <w:color w:val="auto"/>
              </w:rPr>
            </w:pPr>
          </w:p>
        </w:tc>
        <w:tc>
          <w:tcPr>
            <w:tcW w:w="700" w:type="dxa"/>
            <w:vAlign w:val="bottom"/>
          </w:tcPr>
          <w:p>
            <w:pPr>
              <w:jc w:val="right"/>
              <w:ind w:right="2"/>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9"/>
                <w:szCs w:val="19"/>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1,268</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231F20"/>
              </w:rPr>
              <w:t>—</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1,268</w:t>
            </w:r>
          </w:p>
        </w:tc>
        <w:tc>
          <w:tcPr>
            <w:tcW w:w="0" w:type="dxa"/>
            <w:vAlign w:val="bottom"/>
          </w:tcPr>
          <w:p>
            <w:pPr>
              <w:spacing w:after="0"/>
              <w:rPr>
                <w:sz w:val="1"/>
                <w:szCs w:val="1"/>
                <w:color w:val="auto"/>
              </w:rPr>
            </w:pPr>
          </w:p>
        </w:tc>
      </w:tr>
      <w:tr>
        <w:trPr>
          <w:trHeight w:val="139"/>
        </w:trPr>
        <w:tc>
          <w:tcPr>
            <w:tcW w:w="4720" w:type="dxa"/>
            <w:vAlign w:val="bottom"/>
          </w:tcPr>
          <w:p>
            <w:pPr>
              <w:spacing w:after="0" w:line="139" w:lineRule="exact"/>
              <w:rPr>
                <w:sz w:val="20"/>
                <w:szCs w:val="20"/>
                <w:color w:val="auto"/>
              </w:rPr>
            </w:pPr>
            <w:r>
              <w:rPr>
                <w:rFonts w:ascii="Times New Roman" w:cs="Times New Roman" w:eastAsia="Times New Roman" w:hAnsi="Times New Roman"/>
                <w:sz w:val="14"/>
                <w:szCs w:val="14"/>
                <w:color w:val="231F20"/>
              </w:rPr>
              <w:t>BALANCE AT DECEMBER 31, 2024</w:t>
            </w:r>
          </w:p>
        </w:tc>
        <w:tc>
          <w:tcPr>
            <w:tcW w:w="700" w:type="dxa"/>
            <w:vAlign w:val="bottom"/>
            <w:tcBorders>
              <w:top w:val="single" w:sz="8" w:color="231F20"/>
            </w:tcBorders>
          </w:tcPr>
          <w:p>
            <w:pPr>
              <w:jc w:val="right"/>
              <w:ind w:right="2"/>
              <w:spacing w:after="0" w:line="139" w:lineRule="exact"/>
              <w:rPr>
                <w:sz w:val="20"/>
                <w:szCs w:val="20"/>
                <w:color w:val="auto"/>
              </w:rPr>
            </w:pPr>
            <w:r>
              <w:rPr>
                <w:rFonts w:ascii="Times New Roman" w:cs="Times New Roman" w:eastAsia="Times New Roman" w:hAnsi="Times New Roman"/>
                <w:sz w:val="14"/>
                <w:szCs w:val="14"/>
                <w:color w:val="231F20"/>
              </w:rPr>
              <w:t>398,878</w:t>
            </w:r>
          </w:p>
        </w:tc>
        <w:tc>
          <w:tcPr>
            <w:tcW w:w="80" w:type="dxa"/>
            <w:vAlign w:val="bottom"/>
          </w:tcPr>
          <w:p>
            <w:pPr>
              <w:spacing w:after="0"/>
              <w:rPr>
                <w:sz w:val="12"/>
                <w:szCs w:val="12"/>
                <w:color w:val="auto"/>
              </w:rPr>
            </w:pPr>
          </w:p>
        </w:tc>
        <w:tc>
          <w:tcPr>
            <w:tcW w:w="700" w:type="dxa"/>
            <w:vAlign w:val="bottom"/>
            <w:tcBorders>
              <w:top w:val="single" w:sz="8" w:color="231F20"/>
            </w:tcBorders>
          </w:tcPr>
          <w:p>
            <w:pPr>
              <w:jc w:val="right"/>
              <w:ind w:right="2"/>
              <w:spacing w:after="0" w:line="139" w:lineRule="exact"/>
              <w:rPr>
                <w:sz w:val="20"/>
                <w:szCs w:val="20"/>
                <w:color w:val="auto"/>
              </w:rPr>
            </w:pPr>
            <w:r>
              <w:rPr>
                <w:rFonts w:ascii="Times New Roman" w:cs="Times New Roman" w:eastAsia="Times New Roman" w:hAnsi="Times New Roman"/>
                <w:sz w:val="14"/>
                <w:szCs w:val="14"/>
                <w:color w:val="231F20"/>
              </w:rPr>
              <w:t>$ 159,822</w:t>
            </w:r>
          </w:p>
        </w:tc>
        <w:tc>
          <w:tcPr>
            <w:tcW w:w="60" w:type="dxa"/>
            <w:vAlign w:val="bottom"/>
          </w:tcPr>
          <w:p>
            <w:pPr>
              <w:spacing w:after="0"/>
              <w:rPr>
                <w:sz w:val="12"/>
                <w:szCs w:val="12"/>
                <w:color w:val="auto"/>
              </w:rPr>
            </w:pPr>
          </w:p>
        </w:tc>
        <w:tc>
          <w:tcPr>
            <w:tcW w:w="880" w:type="dxa"/>
            <w:vAlign w:val="bottom"/>
            <w:tcBorders>
              <w:top w:val="single" w:sz="8" w:color="231F20"/>
            </w:tcBorders>
          </w:tcPr>
          <w:p>
            <w:pPr>
              <w:jc w:val="right"/>
              <w:ind w:right="3"/>
              <w:spacing w:after="0" w:line="139" w:lineRule="exact"/>
              <w:rPr>
                <w:sz w:val="20"/>
                <w:szCs w:val="20"/>
                <w:color w:val="auto"/>
              </w:rPr>
            </w:pPr>
            <w:r>
              <w:rPr>
                <w:rFonts w:ascii="Times New Roman" w:cs="Times New Roman" w:eastAsia="Times New Roman" w:hAnsi="Times New Roman"/>
                <w:sz w:val="14"/>
                <w:szCs w:val="14"/>
                <w:color w:val="231F20"/>
              </w:rPr>
              <w:t>85,666,220</w:t>
            </w:r>
          </w:p>
        </w:tc>
        <w:tc>
          <w:tcPr>
            <w:tcW w:w="60" w:type="dxa"/>
            <w:vAlign w:val="bottom"/>
          </w:tcPr>
          <w:p>
            <w:pPr>
              <w:spacing w:after="0"/>
              <w:rPr>
                <w:sz w:val="12"/>
                <w:szCs w:val="12"/>
                <w:color w:val="auto"/>
              </w:rPr>
            </w:pPr>
          </w:p>
        </w:tc>
        <w:tc>
          <w:tcPr>
            <w:tcW w:w="440" w:type="dxa"/>
            <w:vAlign w:val="bottom"/>
            <w:tcBorders>
              <w:top w:val="single" w:sz="8" w:color="231F20"/>
            </w:tcBorders>
          </w:tcPr>
          <w:p>
            <w:pPr>
              <w:jc w:val="right"/>
              <w:ind w:right="248"/>
              <w:spacing w:after="0" w:line="139" w:lineRule="exact"/>
              <w:rPr>
                <w:sz w:val="20"/>
                <w:szCs w:val="20"/>
                <w:color w:val="auto"/>
              </w:rPr>
            </w:pPr>
            <w:r>
              <w:rPr>
                <w:rFonts w:ascii="Times New Roman" w:cs="Times New Roman" w:eastAsia="Times New Roman" w:hAnsi="Times New Roman"/>
                <w:sz w:val="14"/>
                <w:szCs w:val="14"/>
                <w:color w:val="231F20"/>
              </w:rPr>
              <w:t>$</w:t>
            </w:r>
          </w:p>
        </w:tc>
        <w:tc>
          <w:tcPr>
            <w:tcW w:w="300" w:type="dxa"/>
            <w:vAlign w:val="bottom"/>
            <w:tcBorders>
              <w:top w:val="single" w:sz="8" w:color="231F20"/>
            </w:tcBorders>
          </w:tcPr>
          <w:p>
            <w:pPr>
              <w:jc w:val="right"/>
              <w:ind w:right="9"/>
              <w:spacing w:after="0" w:line="139" w:lineRule="exact"/>
              <w:rPr>
                <w:sz w:val="20"/>
                <w:szCs w:val="20"/>
                <w:color w:val="auto"/>
              </w:rPr>
            </w:pPr>
            <w:r>
              <w:rPr>
                <w:rFonts w:ascii="Times New Roman" w:cs="Times New Roman" w:eastAsia="Times New Roman" w:hAnsi="Times New Roman"/>
                <w:sz w:val="14"/>
                <w:szCs w:val="14"/>
                <w:color w:val="231F20"/>
                <w:w w:val="95"/>
              </w:rPr>
              <w:t>862</w:t>
            </w:r>
          </w:p>
        </w:tc>
        <w:tc>
          <w:tcPr>
            <w:tcW w:w="60" w:type="dxa"/>
            <w:vAlign w:val="bottom"/>
          </w:tcPr>
          <w:p>
            <w:pPr>
              <w:spacing w:after="0"/>
              <w:rPr>
                <w:sz w:val="12"/>
                <w:szCs w:val="12"/>
                <w:color w:val="auto"/>
              </w:rPr>
            </w:pPr>
          </w:p>
        </w:tc>
        <w:tc>
          <w:tcPr>
            <w:tcW w:w="120" w:type="dxa"/>
            <w:vAlign w:val="bottom"/>
            <w:tcBorders>
              <w:top w:val="single" w:sz="8" w:color="231F20"/>
            </w:tcBorders>
          </w:tcPr>
          <w:p>
            <w:pPr>
              <w:jc w:val="right"/>
              <w:spacing w:after="0" w:line="139" w:lineRule="exact"/>
              <w:rPr>
                <w:sz w:val="20"/>
                <w:szCs w:val="20"/>
                <w:color w:val="auto"/>
              </w:rPr>
            </w:pPr>
            <w:r>
              <w:rPr>
                <w:rFonts w:ascii="Times New Roman" w:cs="Times New Roman" w:eastAsia="Times New Roman" w:hAnsi="Times New Roman"/>
                <w:sz w:val="14"/>
                <w:szCs w:val="14"/>
                <w:color w:val="231F20"/>
              </w:rPr>
              <w:t>$</w:t>
            </w:r>
          </w:p>
        </w:tc>
        <w:tc>
          <w:tcPr>
            <w:tcW w:w="840" w:type="dxa"/>
            <w:vAlign w:val="bottom"/>
            <w:tcBorders>
              <w:top w:val="single" w:sz="8" w:color="231F20"/>
            </w:tcBorders>
          </w:tcPr>
          <w:p>
            <w:pPr>
              <w:jc w:val="right"/>
              <w:spacing w:after="0" w:line="139" w:lineRule="exact"/>
              <w:rPr>
                <w:sz w:val="20"/>
                <w:szCs w:val="20"/>
                <w:color w:val="auto"/>
              </w:rPr>
            </w:pPr>
            <w:r>
              <w:rPr>
                <w:rFonts w:ascii="Times New Roman" w:cs="Times New Roman" w:eastAsia="Times New Roman" w:hAnsi="Times New Roman"/>
                <w:sz w:val="14"/>
                <w:szCs w:val="14"/>
                <w:color w:val="231F20"/>
              </w:rPr>
              <w:t>4,248,824</w:t>
            </w:r>
          </w:p>
        </w:tc>
        <w:tc>
          <w:tcPr>
            <w:tcW w:w="60" w:type="dxa"/>
            <w:vAlign w:val="bottom"/>
          </w:tcPr>
          <w:p>
            <w:pPr>
              <w:spacing w:after="0"/>
              <w:rPr>
                <w:sz w:val="12"/>
                <w:szCs w:val="12"/>
                <w:color w:val="auto"/>
              </w:rPr>
            </w:pPr>
          </w:p>
        </w:tc>
        <w:tc>
          <w:tcPr>
            <w:tcW w:w="60" w:type="dxa"/>
            <w:vAlign w:val="bottom"/>
            <w:tcBorders>
              <w:top w:val="single" w:sz="8" w:color="231F20"/>
            </w:tcBorders>
          </w:tcPr>
          <w:p>
            <w:pPr>
              <w:spacing w:after="0"/>
              <w:rPr>
                <w:sz w:val="12"/>
                <w:szCs w:val="12"/>
                <w:color w:val="auto"/>
              </w:rPr>
            </w:pPr>
          </w:p>
        </w:tc>
        <w:tc>
          <w:tcPr>
            <w:tcW w:w="140" w:type="dxa"/>
            <w:vAlign w:val="bottom"/>
            <w:tcBorders>
              <w:top w:val="single" w:sz="8" w:color="231F20"/>
            </w:tcBorders>
          </w:tcPr>
          <w:p>
            <w:pPr>
              <w:spacing w:after="0" w:line="139" w:lineRule="exact"/>
              <w:rPr>
                <w:sz w:val="20"/>
                <w:szCs w:val="20"/>
                <w:color w:val="auto"/>
              </w:rPr>
            </w:pPr>
            <w:r>
              <w:rPr>
                <w:rFonts w:ascii="Times New Roman" w:cs="Times New Roman" w:eastAsia="Times New Roman" w:hAnsi="Times New Roman"/>
                <w:sz w:val="14"/>
                <w:szCs w:val="14"/>
                <w:color w:val="231F20"/>
              </w:rPr>
              <w:t>$</w:t>
            </w:r>
          </w:p>
        </w:tc>
        <w:tc>
          <w:tcPr>
            <w:tcW w:w="800" w:type="dxa"/>
            <w:vAlign w:val="bottom"/>
            <w:tcBorders>
              <w:top w:val="single" w:sz="8" w:color="231F20"/>
            </w:tcBorders>
          </w:tcPr>
          <w:p>
            <w:pPr>
              <w:jc w:val="right"/>
              <w:spacing w:after="0" w:line="139" w:lineRule="exact"/>
              <w:rPr>
                <w:sz w:val="20"/>
                <w:szCs w:val="20"/>
                <w:color w:val="auto"/>
              </w:rPr>
            </w:pPr>
            <w:r>
              <w:rPr>
                <w:rFonts w:ascii="Times New Roman" w:cs="Times New Roman" w:eastAsia="Times New Roman" w:hAnsi="Times New Roman"/>
                <w:sz w:val="14"/>
                <w:szCs w:val="14"/>
                <w:color w:val="231F20"/>
              </w:rPr>
              <w:t>(1,242,654)</w:t>
            </w:r>
          </w:p>
        </w:tc>
        <w:tc>
          <w:tcPr>
            <w:tcW w:w="60" w:type="dxa"/>
            <w:vAlign w:val="bottom"/>
          </w:tcPr>
          <w:p>
            <w:pPr>
              <w:spacing w:after="0"/>
              <w:rPr>
                <w:sz w:val="12"/>
                <w:szCs w:val="12"/>
                <w:color w:val="auto"/>
              </w:rPr>
            </w:pPr>
          </w:p>
        </w:tc>
        <w:tc>
          <w:tcPr>
            <w:tcW w:w="140" w:type="dxa"/>
            <w:vAlign w:val="bottom"/>
            <w:tcBorders>
              <w:top w:val="single" w:sz="8" w:color="231F20"/>
            </w:tcBorders>
          </w:tcPr>
          <w:p>
            <w:pPr>
              <w:ind w:left="60"/>
              <w:spacing w:after="0" w:line="139" w:lineRule="exact"/>
              <w:rPr>
                <w:sz w:val="20"/>
                <w:szCs w:val="20"/>
                <w:color w:val="auto"/>
              </w:rPr>
            </w:pPr>
            <w:r>
              <w:rPr>
                <w:rFonts w:ascii="Times New Roman" w:cs="Times New Roman" w:eastAsia="Times New Roman" w:hAnsi="Times New Roman"/>
                <w:sz w:val="14"/>
                <w:szCs w:val="14"/>
                <w:color w:val="231F20"/>
                <w:w w:val="85"/>
              </w:rPr>
              <w:t>$</w:t>
            </w:r>
          </w:p>
        </w:tc>
        <w:tc>
          <w:tcPr>
            <w:tcW w:w="1000" w:type="dxa"/>
            <w:vAlign w:val="bottom"/>
            <w:tcBorders>
              <w:top w:val="single" w:sz="8" w:color="231F20"/>
            </w:tcBorders>
          </w:tcPr>
          <w:p>
            <w:pPr>
              <w:jc w:val="right"/>
              <w:spacing w:after="0" w:line="139" w:lineRule="exact"/>
              <w:rPr>
                <w:sz w:val="20"/>
                <w:szCs w:val="20"/>
                <w:color w:val="auto"/>
              </w:rPr>
            </w:pPr>
            <w:r>
              <w:rPr>
                <w:rFonts w:ascii="Times New Roman" w:cs="Times New Roman" w:eastAsia="Times New Roman" w:hAnsi="Times New Roman"/>
                <w:sz w:val="14"/>
                <w:szCs w:val="14"/>
                <w:color w:val="231F20"/>
              </w:rPr>
              <w:t>4,740</w:t>
            </w:r>
          </w:p>
        </w:tc>
        <w:tc>
          <w:tcPr>
            <w:tcW w:w="80" w:type="dxa"/>
            <w:vAlign w:val="bottom"/>
          </w:tcPr>
          <w:p>
            <w:pPr>
              <w:spacing w:after="0"/>
              <w:rPr>
                <w:sz w:val="12"/>
                <w:szCs w:val="12"/>
                <w:color w:val="auto"/>
              </w:rPr>
            </w:pPr>
          </w:p>
        </w:tc>
        <w:tc>
          <w:tcPr>
            <w:tcW w:w="200" w:type="dxa"/>
            <w:vAlign w:val="bottom"/>
            <w:tcBorders>
              <w:top w:val="single" w:sz="8" w:color="231F20"/>
            </w:tcBorders>
          </w:tcPr>
          <w:p>
            <w:pPr>
              <w:ind w:left="40"/>
              <w:spacing w:after="0" w:line="139" w:lineRule="exact"/>
              <w:rPr>
                <w:sz w:val="20"/>
                <w:szCs w:val="20"/>
                <w:color w:val="auto"/>
              </w:rPr>
            </w:pPr>
            <w:r>
              <w:rPr>
                <w:rFonts w:ascii="Times New Roman" w:cs="Times New Roman" w:eastAsia="Times New Roman" w:hAnsi="Times New Roman"/>
                <w:sz w:val="14"/>
                <w:szCs w:val="14"/>
                <w:color w:val="231F20"/>
              </w:rPr>
              <w:t>$</w:t>
            </w:r>
          </w:p>
        </w:tc>
        <w:tc>
          <w:tcPr>
            <w:tcW w:w="900" w:type="dxa"/>
            <w:vAlign w:val="bottom"/>
            <w:tcBorders>
              <w:top w:val="single" w:sz="8" w:color="231F20"/>
            </w:tcBorders>
          </w:tcPr>
          <w:p>
            <w:pPr>
              <w:jc w:val="right"/>
              <w:spacing w:after="0" w:line="139" w:lineRule="exact"/>
              <w:rPr>
                <w:sz w:val="20"/>
                <w:szCs w:val="20"/>
                <w:color w:val="auto"/>
              </w:rPr>
            </w:pPr>
            <w:r>
              <w:rPr>
                <w:rFonts w:ascii="Times New Roman" w:cs="Times New Roman" w:eastAsia="Times New Roman" w:hAnsi="Times New Roman"/>
                <w:sz w:val="14"/>
                <w:szCs w:val="14"/>
                <w:color w:val="231F20"/>
              </w:rPr>
              <w:t>72,550</w:t>
            </w:r>
          </w:p>
        </w:tc>
        <w:tc>
          <w:tcPr>
            <w:tcW w:w="60" w:type="dxa"/>
            <w:vAlign w:val="bottom"/>
          </w:tcPr>
          <w:p>
            <w:pPr>
              <w:spacing w:after="0"/>
              <w:rPr>
                <w:sz w:val="12"/>
                <w:szCs w:val="12"/>
                <w:color w:val="auto"/>
              </w:rPr>
            </w:pPr>
          </w:p>
        </w:tc>
        <w:tc>
          <w:tcPr>
            <w:tcW w:w="220" w:type="dxa"/>
            <w:vAlign w:val="bottom"/>
            <w:tcBorders>
              <w:top w:val="single" w:sz="8" w:color="231F20"/>
            </w:tcBorders>
          </w:tcPr>
          <w:p>
            <w:pPr>
              <w:jc w:val="right"/>
              <w:ind w:right="28"/>
              <w:spacing w:after="0" w:line="139" w:lineRule="exact"/>
              <w:rPr>
                <w:sz w:val="20"/>
                <w:szCs w:val="20"/>
                <w:color w:val="auto"/>
              </w:rPr>
            </w:pPr>
            <w:r>
              <w:rPr>
                <w:rFonts w:ascii="Times New Roman" w:cs="Times New Roman" w:eastAsia="Times New Roman" w:hAnsi="Times New Roman"/>
                <w:sz w:val="14"/>
                <w:szCs w:val="14"/>
                <w:color w:val="231F20"/>
              </w:rPr>
              <w:t>$</w:t>
            </w:r>
          </w:p>
        </w:tc>
        <w:tc>
          <w:tcPr>
            <w:tcW w:w="860" w:type="dxa"/>
            <w:vAlign w:val="bottom"/>
            <w:tcBorders>
              <w:top w:val="single" w:sz="8" w:color="231F20"/>
            </w:tcBorders>
          </w:tcPr>
          <w:p>
            <w:pPr>
              <w:jc w:val="right"/>
              <w:spacing w:after="0" w:line="139" w:lineRule="exact"/>
              <w:rPr>
                <w:sz w:val="20"/>
                <w:szCs w:val="20"/>
                <w:color w:val="auto"/>
              </w:rPr>
            </w:pPr>
            <w:r>
              <w:rPr>
                <w:rFonts w:ascii="Times New Roman" w:cs="Times New Roman" w:eastAsia="Times New Roman" w:hAnsi="Times New Roman"/>
                <w:sz w:val="14"/>
                <w:szCs w:val="14"/>
                <w:color w:val="231F20"/>
              </w:rPr>
              <w:t>3,244,144</w:t>
            </w:r>
          </w:p>
        </w:tc>
        <w:tc>
          <w:tcPr>
            <w:tcW w:w="0" w:type="dxa"/>
            <w:vAlign w:val="bottom"/>
          </w:tcPr>
          <w:p>
            <w:pPr>
              <w:spacing w:after="0"/>
              <w:rPr>
                <w:sz w:val="1"/>
                <w:szCs w:val="1"/>
                <w:color w:val="auto"/>
              </w:rPr>
            </w:pPr>
          </w:p>
        </w:tc>
      </w:tr>
      <w:tr>
        <w:trPr>
          <w:trHeight w:val="218"/>
        </w:trPr>
        <w:tc>
          <w:tcPr>
            <w:tcW w:w="4720" w:type="dxa"/>
            <w:vAlign w:val="bottom"/>
          </w:tcPr>
          <w:p>
            <w:pPr>
              <w:spacing w:after="0"/>
              <w:rPr>
                <w:sz w:val="20"/>
                <w:szCs w:val="20"/>
                <w:color w:val="auto"/>
              </w:rPr>
            </w:pPr>
            <w:r>
              <w:rPr>
                <w:rFonts w:ascii="Times New Roman" w:cs="Times New Roman" w:eastAsia="Times New Roman" w:hAnsi="Times New Roman"/>
                <w:sz w:val="14"/>
                <w:szCs w:val="14"/>
                <w:color w:val="231F20"/>
              </w:rPr>
              <w:t>Net income, excluding $8,138 attributable to redeemable noncontrolling interests</w:t>
            </w:r>
          </w:p>
        </w:tc>
        <w:tc>
          <w:tcPr>
            <w:tcW w:w="700" w:type="dxa"/>
            <w:vAlign w:val="bottom"/>
          </w:tcPr>
          <w:p>
            <w:pPr>
              <w:jc w:val="right"/>
              <w:ind w:right="2"/>
              <w:spacing w:after="0"/>
              <w:rPr>
                <w:sz w:val="20"/>
                <w:szCs w:val="20"/>
                <w:color w:val="auto"/>
              </w:rPr>
            </w:pPr>
            <w:r>
              <w:rPr>
                <w:rFonts w:ascii="Times New Roman" w:cs="Times New Roman" w:eastAsia="Times New Roman" w:hAnsi="Times New Roman"/>
                <w:sz w:val="19"/>
                <w:szCs w:val="19"/>
                <w:color w:val="231F20"/>
              </w:rPr>
              <w:t>—</w:t>
            </w:r>
          </w:p>
        </w:tc>
        <w:tc>
          <w:tcPr>
            <w:tcW w:w="80" w:type="dxa"/>
            <w:vAlign w:val="bottom"/>
          </w:tcPr>
          <w:p>
            <w:pPr>
              <w:spacing w:after="0"/>
              <w:rPr>
                <w:sz w:val="18"/>
                <w:szCs w:val="18"/>
                <w:color w:val="auto"/>
              </w:rPr>
            </w:pPr>
          </w:p>
        </w:tc>
        <w:tc>
          <w:tcPr>
            <w:tcW w:w="700" w:type="dxa"/>
            <w:vAlign w:val="bottom"/>
          </w:tcPr>
          <w:p>
            <w:pPr>
              <w:jc w:val="right"/>
              <w:ind w:right="2"/>
              <w:spacing w:after="0"/>
              <w:rPr>
                <w:sz w:val="20"/>
                <w:szCs w:val="20"/>
                <w:color w:val="auto"/>
              </w:rPr>
            </w:pPr>
            <w:r>
              <w:rPr>
                <w:rFonts w:ascii="Times New Roman" w:cs="Times New Roman" w:eastAsia="Times New Roman" w:hAnsi="Times New Roman"/>
                <w:sz w:val="19"/>
                <w:szCs w:val="19"/>
                <w:color w:val="231F20"/>
              </w:rPr>
              <w:t>—</w:t>
            </w:r>
          </w:p>
        </w:tc>
        <w:tc>
          <w:tcPr>
            <w:tcW w:w="60" w:type="dxa"/>
            <w:vAlign w:val="bottom"/>
          </w:tcPr>
          <w:p>
            <w:pPr>
              <w:spacing w:after="0"/>
              <w:rPr>
                <w:sz w:val="18"/>
                <w:szCs w:val="18"/>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231F20"/>
              </w:rPr>
              <w:t>—</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3"/>
          </w:tcPr>
          <w:p>
            <w:pPr>
              <w:jc w:val="right"/>
              <w:ind w:right="113"/>
              <w:spacing w:after="0"/>
              <w:rPr>
                <w:sz w:val="20"/>
                <w:szCs w:val="20"/>
                <w:color w:val="auto"/>
              </w:rPr>
            </w:pPr>
            <w:r>
              <w:rPr>
                <w:rFonts w:ascii="Times New Roman" w:cs="Times New Roman" w:eastAsia="Times New Roman" w:hAnsi="Times New Roman"/>
                <w:sz w:val="14"/>
                <w:szCs w:val="14"/>
                <w:color w:val="231F20"/>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411,077</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4,433</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415,510</w:t>
            </w:r>
          </w:p>
        </w:tc>
        <w:tc>
          <w:tcPr>
            <w:tcW w:w="0" w:type="dxa"/>
            <w:vAlign w:val="bottom"/>
          </w:tcPr>
          <w:p>
            <w:pPr>
              <w:spacing w:after="0"/>
              <w:rPr>
                <w:sz w:val="1"/>
                <w:szCs w:val="1"/>
                <w:color w:val="auto"/>
              </w:rPr>
            </w:pPr>
          </w:p>
        </w:tc>
      </w:tr>
      <w:tr>
        <w:trPr>
          <w:trHeight w:val="197"/>
        </w:trPr>
        <w:tc>
          <w:tcPr>
            <w:tcW w:w="4720" w:type="dxa"/>
            <w:vAlign w:val="bottom"/>
          </w:tcPr>
          <w:p>
            <w:pPr>
              <w:spacing w:after="0"/>
              <w:rPr>
                <w:sz w:val="20"/>
                <w:szCs w:val="20"/>
                <w:color w:val="auto"/>
              </w:rPr>
            </w:pPr>
            <w:r>
              <w:rPr>
                <w:rFonts w:ascii="Times New Roman" w:cs="Times New Roman" w:eastAsia="Times New Roman" w:hAnsi="Times New Roman"/>
                <w:sz w:val="14"/>
                <w:szCs w:val="14"/>
                <w:color w:val="231F20"/>
              </w:rPr>
              <w:t>Other comprehensive loss - change in value of interest rate swaps, excluding</w:t>
            </w:r>
          </w:p>
        </w:tc>
        <w:tc>
          <w:tcPr>
            <w:tcW w:w="700" w:type="dxa"/>
            <w:vAlign w:val="bottom"/>
          </w:tcPr>
          <w:p>
            <w:pPr>
              <w:jc w:val="right"/>
              <w:ind w:right="2"/>
              <w:spacing w:after="0" w:line="196" w:lineRule="exact"/>
              <w:rPr>
                <w:sz w:val="20"/>
                <w:szCs w:val="20"/>
                <w:color w:val="auto"/>
              </w:rPr>
            </w:pPr>
            <w:r>
              <w:rPr>
                <w:rFonts w:ascii="Times New Roman" w:cs="Times New Roman" w:eastAsia="Times New Roman" w:hAnsi="Times New Roman"/>
                <w:sz w:val="19"/>
                <w:szCs w:val="19"/>
                <w:color w:val="231F20"/>
              </w:rPr>
              <w:t>—</w:t>
            </w:r>
          </w:p>
        </w:tc>
        <w:tc>
          <w:tcPr>
            <w:tcW w:w="80" w:type="dxa"/>
            <w:vAlign w:val="bottom"/>
          </w:tcPr>
          <w:p>
            <w:pPr>
              <w:spacing w:after="0"/>
              <w:rPr>
                <w:sz w:val="17"/>
                <w:szCs w:val="17"/>
                <w:color w:val="auto"/>
              </w:rPr>
            </w:pPr>
          </w:p>
        </w:tc>
        <w:tc>
          <w:tcPr>
            <w:tcW w:w="700" w:type="dxa"/>
            <w:vAlign w:val="bottom"/>
          </w:tcPr>
          <w:p>
            <w:pPr>
              <w:jc w:val="right"/>
              <w:ind w:right="2"/>
              <w:spacing w:after="0" w:line="196" w:lineRule="exact"/>
              <w:rPr>
                <w:sz w:val="20"/>
                <w:szCs w:val="20"/>
                <w:color w:val="auto"/>
              </w:rPr>
            </w:pPr>
            <w:r>
              <w:rPr>
                <w:rFonts w:ascii="Times New Roman" w:cs="Times New Roman" w:eastAsia="Times New Roman" w:hAnsi="Times New Roman"/>
                <w:sz w:val="19"/>
                <w:szCs w:val="19"/>
                <w:color w:val="231F20"/>
              </w:rPr>
              <w:t>—</w:t>
            </w:r>
          </w:p>
        </w:tc>
        <w:tc>
          <w:tcPr>
            <w:tcW w:w="60" w:type="dxa"/>
            <w:vAlign w:val="bottom"/>
          </w:tcPr>
          <w:p>
            <w:pPr>
              <w:spacing w:after="0"/>
              <w:rPr>
                <w:sz w:val="17"/>
                <w:szCs w:val="17"/>
                <w:color w:val="auto"/>
              </w:rPr>
            </w:pPr>
          </w:p>
        </w:tc>
        <w:tc>
          <w:tcPr>
            <w:tcW w:w="880" w:type="dxa"/>
            <w:vAlign w:val="bottom"/>
          </w:tcPr>
          <w:p>
            <w:pPr>
              <w:jc w:val="right"/>
              <w:ind w:right="3"/>
              <w:spacing w:after="0" w:line="196" w:lineRule="exact"/>
              <w:rPr>
                <w:sz w:val="20"/>
                <w:szCs w:val="20"/>
                <w:color w:val="auto"/>
              </w:rPr>
            </w:pPr>
            <w:r>
              <w:rPr>
                <w:rFonts w:ascii="Times New Roman" w:cs="Times New Roman" w:eastAsia="Times New Roman" w:hAnsi="Times New Roman"/>
                <w:sz w:val="19"/>
                <w:szCs w:val="19"/>
                <w:color w:val="231F20"/>
              </w:rPr>
              <w:t>—</w:t>
            </w: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3"/>
          </w:tcPr>
          <w:p>
            <w:pPr>
              <w:jc w:val="right"/>
              <w:ind w:right="113"/>
              <w:spacing w:after="0"/>
              <w:rPr>
                <w:sz w:val="20"/>
                <w:szCs w:val="20"/>
                <w:color w:val="auto"/>
              </w:rPr>
            </w:pPr>
            <w:r>
              <w:rPr>
                <w:rFonts w:ascii="Times New Roman" w:cs="Times New Roman" w:eastAsia="Times New Roman" w:hAnsi="Times New Roman"/>
                <w:sz w:val="14"/>
                <w:szCs w:val="14"/>
                <w:color w:val="231F20"/>
              </w:rPr>
              <w:t>—</w:t>
            </w:r>
          </w:p>
        </w:tc>
        <w:tc>
          <w:tcPr>
            <w:tcW w:w="14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231F20"/>
              </w:rPr>
              <w:t>—</w:t>
            </w: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(2,693)</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(2,693)</w:t>
            </w:r>
          </w:p>
        </w:tc>
        <w:tc>
          <w:tcPr>
            <w:tcW w:w="0" w:type="dxa"/>
            <w:vAlign w:val="bottom"/>
          </w:tcPr>
          <w:p>
            <w:pPr>
              <w:spacing w:after="0"/>
              <w:rPr>
                <w:sz w:val="1"/>
                <w:szCs w:val="1"/>
                <w:color w:val="auto"/>
              </w:rPr>
            </w:pPr>
          </w:p>
        </w:tc>
      </w:tr>
      <w:tr>
        <w:trPr>
          <w:trHeight w:val="146"/>
        </w:trPr>
        <w:tc>
          <w:tcPr>
            <w:tcW w:w="4720" w:type="dxa"/>
            <w:vAlign w:val="bottom"/>
          </w:tcPr>
          <w:p>
            <w:pPr>
              <w:spacing w:after="0" w:line="147" w:lineRule="exact"/>
              <w:rPr>
                <w:sz w:val="20"/>
                <w:szCs w:val="20"/>
                <w:color w:val="auto"/>
              </w:rPr>
            </w:pPr>
            <w:r>
              <w:rPr>
                <w:rFonts w:ascii="Times New Roman" w:cs="Times New Roman" w:eastAsia="Times New Roman" w:hAnsi="Times New Roman"/>
                <w:sz w:val="14"/>
                <w:szCs w:val="14"/>
                <w:color w:val="231F20"/>
              </w:rPr>
              <w:t>$210 attributable to redeemable noncontrolling interest</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7"/>
        </w:trPr>
        <w:tc>
          <w:tcPr>
            <w:tcW w:w="4720" w:type="dxa"/>
            <w:vAlign w:val="bottom"/>
          </w:tcPr>
          <w:p>
            <w:pPr>
              <w:spacing w:after="0"/>
              <w:rPr>
                <w:sz w:val="20"/>
                <w:szCs w:val="20"/>
                <w:color w:val="auto"/>
              </w:rPr>
            </w:pPr>
            <w:r>
              <w:rPr>
                <w:rFonts w:ascii="Times New Roman" w:cs="Times New Roman" w:eastAsia="Times New Roman" w:hAnsi="Times New Roman"/>
                <w:sz w:val="14"/>
                <w:szCs w:val="14"/>
                <w:color w:val="231F20"/>
              </w:rPr>
              <w:t>Dividends declared to common shareholders ($4.46 per share)</w:t>
            </w:r>
          </w:p>
        </w:tc>
        <w:tc>
          <w:tcPr>
            <w:tcW w:w="700" w:type="dxa"/>
            <w:vAlign w:val="bottom"/>
          </w:tcPr>
          <w:p>
            <w:pPr>
              <w:jc w:val="right"/>
              <w:ind w:right="2"/>
              <w:spacing w:after="0"/>
              <w:rPr>
                <w:sz w:val="20"/>
                <w:szCs w:val="20"/>
                <w:color w:val="auto"/>
              </w:rPr>
            </w:pPr>
            <w:r>
              <w:rPr>
                <w:rFonts w:ascii="Times New Roman" w:cs="Times New Roman" w:eastAsia="Times New Roman" w:hAnsi="Times New Roman"/>
                <w:sz w:val="19"/>
                <w:szCs w:val="19"/>
                <w:color w:val="231F20"/>
              </w:rPr>
              <w:t>—</w:t>
            </w:r>
          </w:p>
        </w:tc>
        <w:tc>
          <w:tcPr>
            <w:tcW w:w="80" w:type="dxa"/>
            <w:vAlign w:val="bottom"/>
          </w:tcPr>
          <w:p>
            <w:pPr>
              <w:spacing w:after="0"/>
              <w:rPr>
                <w:sz w:val="19"/>
                <w:szCs w:val="19"/>
                <w:color w:val="auto"/>
              </w:rPr>
            </w:pPr>
          </w:p>
        </w:tc>
        <w:tc>
          <w:tcPr>
            <w:tcW w:w="700" w:type="dxa"/>
            <w:vAlign w:val="bottom"/>
          </w:tcPr>
          <w:p>
            <w:pPr>
              <w:jc w:val="right"/>
              <w:ind w:right="2"/>
              <w:spacing w:after="0"/>
              <w:rPr>
                <w:sz w:val="20"/>
                <w:szCs w:val="20"/>
                <w:color w:val="auto"/>
              </w:rPr>
            </w:pPr>
            <w:r>
              <w:rPr>
                <w:rFonts w:ascii="Times New Roman" w:cs="Times New Roman" w:eastAsia="Times New Roman" w:hAnsi="Times New Roman"/>
                <w:sz w:val="19"/>
                <w:szCs w:val="19"/>
                <w:color w:val="231F20"/>
              </w:rPr>
              <w:t>—</w:t>
            </w:r>
          </w:p>
        </w:tc>
        <w:tc>
          <w:tcPr>
            <w:tcW w:w="60" w:type="dxa"/>
            <w:vAlign w:val="bottom"/>
          </w:tcPr>
          <w:p>
            <w:pPr>
              <w:spacing w:after="0"/>
              <w:rPr>
                <w:sz w:val="19"/>
                <w:szCs w:val="19"/>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231F20"/>
              </w:rPr>
              <w:t>—</w:t>
            </w: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3"/>
          </w:tcPr>
          <w:p>
            <w:pPr>
              <w:jc w:val="right"/>
              <w:ind w:right="113"/>
              <w:spacing w:after="0"/>
              <w:rPr>
                <w:sz w:val="20"/>
                <w:szCs w:val="20"/>
                <w:color w:val="auto"/>
              </w:rPr>
            </w:pPr>
            <w:r>
              <w:rPr>
                <w:rFonts w:ascii="Times New Roman" w:cs="Times New Roman" w:eastAsia="Times New Roman" w:hAnsi="Times New Roman"/>
                <w:sz w:val="14"/>
                <w:szCs w:val="14"/>
                <w:color w:val="231F20"/>
              </w:rPr>
              <w:t>—</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(384,763)</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(384,763)</w:t>
            </w:r>
          </w:p>
        </w:tc>
        <w:tc>
          <w:tcPr>
            <w:tcW w:w="0" w:type="dxa"/>
            <w:vAlign w:val="bottom"/>
          </w:tcPr>
          <w:p>
            <w:pPr>
              <w:spacing w:after="0"/>
              <w:rPr>
                <w:sz w:val="1"/>
                <w:szCs w:val="1"/>
                <w:color w:val="auto"/>
              </w:rPr>
            </w:pPr>
          </w:p>
        </w:tc>
      </w:tr>
      <w:tr>
        <w:trPr>
          <w:trHeight w:val="185"/>
        </w:trPr>
        <w:tc>
          <w:tcPr>
            <w:tcW w:w="4720" w:type="dxa"/>
            <w:vAlign w:val="bottom"/>
          </w:tcPr>
          <w:p>
            <w:pPr>
              <w:spacing w:after="0"/>
              <w:rPr>
                <w:sz w:val="20"/>
                <w:szCs w:val="20"/>
                <w:color w:val="auto"/>
              </w:rPr>
            </w:pPr>
            <w:r>
              <w:rPr>
                <w:rFonts w:ascii="Times New Roman" w:cs="Times New Roman" w:eastAsia="Times New Roman" w:hAnsi="Times New Roman"/>
                <w:sz w:val="14"/>
                <w:szCs w:val="14"/>
                <w:color w:val="231F20"/>
              </w:rPr>
              <w:t>Dividends declared to preferred shareholders</w:t>
            </w:r>
          </w:p>
        </w:tc>
        <w:tc>
          <w:tcPr>
            <w:tcW w:w="700" w:type="dxa"/>
            <w:vAlign w:val="bottom"/>
          </w:tcPr>
          <w:p>
            <w:pPr>
              <w:jc w:val="right"/>
              <w:ind w:right="2"/>
              <w:spacing w:after="0" w:line="185" w:lineRule="exact"/>
              <w:rPr>
                <w:sz w:val="20"/>
                <w:szCs w:val="20"/>
                <w:color w:val="auto"/>
              </w:rPr>
            </w:pPr>
            <w:r>
              <w:rPr>
                <w:rFonts w:ascii="Times New Roman" w:cs="Times New Roman" w:eastAsia="Times New Roman" w:hAnsi="Times New Roman"/>
                <w:sz w:val="19"/>
                <w:szCs w:val="19"/>
                <w:color w:val="231F20"/>
              </w:rPr>
              <w:t>—</w:t>
            </w:r>
          </w:p>
        </w:tc>
        <w:tc>
          <w:tcPr>
            <w:tcW w:w="80" w:type="dxa"/>
            <w:vAlign w:val="bottom"/>
          </w:tcPr>
          <w:p>
            <w:pPr>
              <w:spacing w:after="0"/>
              <w:rPr>
                <w:sz w:val="16"/>
                <w:szCs w:val="16"/>
                <w:color w:val="auto"/>
              </w:rPr>
            </w:pPr>
          </w:p>
        </w:tc>
        <w:tc>
          <w:tcPr>
            <w:tcW w:w="700" w:type="dxa"/>
            <w:vAlign w:val="bottom"/>
          </w:tcPr>
          <w:p>
            <w:pPr>
              <w:jc w:val="right"/>
              <w:ind w:right="2"/>
              <w:spacing w:after="0" w:line="185" w:lineRule="exact"/>
              <w:rPr>
                <w:sz w:val="20"/>
                <w:szCs w:val="20"/>
                <w:color w:val="auto"/>
              </w:rPr>
            </w:pPr>
            <w:r>
              <w:rPr>
                <w:rFonts w:ascii="Times New Roman" w:cs="Times New Roman" w:eastAsia="Times New Roman" w:hAnsi="Times New Roman"/>
                <w:sz w:val="19"/>
                <w:szCs w:val="19"/>
                <w:color w:val="231F20"/>
              </w:rPr>
              <w:t>—</w:t>
            </w:r>
          </w:p>
        </w:tc>
        <w:tc>
          <w:tcPr>
            <w:tcW w:w="60" w:type="dxa"/>
            <w:vAlign w:val="bottom"/>
          </w:tcPr>
          <w:p>
            <w:pPr>
              <w:spacing w:after="0"/>
              <w:rPr>
                <w:sz w:val="16"/>
                <w:szCs w:val="16"/>
                <w:color w:val="auto"/>
              </w:rPr>
            </w:pPr>
          </w:p>
        </w:tc>
        <w:tc>
          <w:tcPr>
            <w:tcW w:w="880" w:type="dxa"/>
            <w:vAlign w:val="bottom"/>
          </w:tcPr>
          <w:p>
            <w:pPr>
              <w:jc w:val="right"/>
              <w:ind w:right="3"/>
              <w:spacing w:after="0" w:line="185" w:lineRule="exact"/>
              <w:rPr>
                <w:sz w:val="20"/>
                <w:szCs w:val="20"/>
                <w:color w:val="auto"/>
              </w:rPr>
            </w:pPr>
            <w:r>
              <w:rPr>
                <w:rFonts w:ascii="Times New Roman" w:cs="Times New Roman" w:eastAsia="Times New Roman" w:hAnsi="Times New Roman"/>
                <w:sz w:val="19"/>
                <w:szCs w:val="19"/>
                <w:color w:val="231F20"/>
              </w:rPr>
              <w:t>—</w:t>
            </w: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3"/>
          </w:tcPr>
          <w:p>
            <w:pPr>
              <w:jc w:val="right"/>
              <w:ind w:right="113"/>
              <w:spacing w:after="0"/>
              <w:rPr>
                <w:sz w:val="20"/>
                <w:szCs w:val="20"/>
                <w:color w:val="auto"/>
              </w:rPr>
            </w:pPr>
            <w:r>
              <w:rPr>
                <w:rFonts w:ascii="Times New Roman" w:cs="Times New Roman" w:eastAsia="Times New Roman" w:hAnsi="Times New Roman"/>
                <w:sz w:val="14"/>
                <w:szCs w:val="14"/>
                <w:color w:val="231F20"/>
              </w:rPr>
              <w:t>—</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(8,032)</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(8,032)</w:t>
            </w:r>
          </w:p>
        </w:tc>
        <w:tc>
          <w:tcPr>
            <w:tcW w:w="0" w:type="dxa"/>
            <w:vAlign w:val="bottom"/>
          </w:tcPr>
          <w:p>
            <w:pPr>
              <w:spacing w:after="0"/>
              <w:rPr>
                <w:sz w:val="1"/>
                <w:szCs w:val="1"/>
                <w:color w:val="auto"/>
              </w:rPr>
            </w:pPr>
          </w:p>
        </w:tc>
      </w:tr>
      <w:tr>
        <w:trPr>
          <w:trHeight w:val="197"/>
        </w:trPr>
        <w:tc>
          <w:tcPr>
            <w:tcW w:w="4720" w:type="dxa"/>
            <w:vAlign w:val="bottom"/>
          </w:tcPr>
          <w:p>
            <w:pPr>
              <w:spacing w:after="0"/>
              <w:rPr>
                <w:sz w:val="20"/>
                <w:szCs w:val="20"/>
                <w:color w:val="auto"/>
              </w:rPr>
            </w:pPr>
            <w:r>
              <w:rPr>
                <w:rFonts w:ascii="Times New Roman" w:cs="Times New Roman" w:eastAsia="Times New Roman" w:hAnsi="Times New Roman"/>
                <w:sz w:val="14"/>
                <w:szCs w:val="14"/>
                <w:color w:val="231F20"/>
              </w:rPr>
              <w:t>Distributions declared to noncontrolling interests, excluding $8,459 attributable</w:t>
            </w:r>
          </w:p>
        </w:tc>
        <w:tc>
          <w:tcPr>
            <w:tcW w:w="700" w:type="dxa"/>
            <w:vAlign w:val="bottom"/>
          </w:tcPr>
          <w:p>
            <w:pPr>
              <w:jc w:val="right"/>
              <w:ind w:right="2"/>
              <w:spacing w:after="0" w:line="196" w:lineRule="exact"/>
              <w:rPr>
                <w:sz w:val="20"/>
                <w:szCs w:val="20"/>
                <w:color w:val="auto"/>
              </w:rPr>
            </w:pPr>
            <w:r>
              <w:rPr>
                <w:rFonts w:ascii="Times New Roman" w:cs="Times New Roman" w:eastAsia="Times New Roman" w:hAnsi="Times New Roman"/>
                <w:sz w:val="19"/>
                <w:szCs w:val="19"/>
                <w:color w:val="231F20"/>
              </w:rPr>
              <w:t>—</w:t>
            </w:r>
          </w:p>
        </w:tc>
        <w:tc>
          <w:tcPr>
            <w:tcW w:w="80" w:type="dxa"/>
            <w:vAlign w:val="bottom"/>
          </w:tcPr>
          <w:p>
            <w:pPr>
              <w:spacing w:after="0"/>
              <w:rPr>
                <w:sz w:val="17"/>
                <w:szCs w:val="17"/>
                <w:color w:val="auto"/>
              </w:rPr>
            </w:pPr>
          </w:p>
        </w:tc>
        <w:tc>
          <w:tcPr>
            <w:tcW w:w="700" w:type="dxa"/>
            <w:vAlign w:val="bottom"/>
          </w:tcPr>
          <w:p>
            <w:pPr>
              <w:jc w:val="right"/>
              <w:ind w:right="2"/>
              <w:spacing w:after="0" w:line="196" w:lineRule="exact"/>
              <w:rPr>
                <w:sz w:val="20"/>
                <w:szCs w:val="20"/>
                <w:color w:val="auto"/>
              </w:rPr>
            </w:pPr>
            <w:r>
              <w:rPr>
                <w:rFonts w:ascii="Times New Roman" w:cs="Times New Roman" w:eastAsia="Times New Roman" w:hAnsi="Times New Roman"/>
                <w:sz w:val="19"/>
                <w:szCs w:val="19"/>
                <w:color w:val="231F20"/>
              </w:rPr>
              <w:t>—</w:t>
            </w:r>
          </w:p>
        </w:tc>
        <w:tc>
          <w:tcPr>
            <w:tcW w:w="60" w:type="dxa"/>
            <w:vAlign w:val="bottom"/>
          </w:tcPr>
          <w:p>
            <w:pPr>
              <w:spacing w:after="0"/>
              <w:rPr>
                <w:sz w:val="17"/>
                <w:szCs w:val="17"/>
                <w:color w:val="auto"/>
              </w:rPr>
            </w:pPr>
          </w:p>
        </w:tc>
        <w:tc>
          <w:tcPr>
            <w:tcW w:w="880" w:type="dxa"/>
            <w:vAlign w:val="bottom"/>
          </w:tcPr>
          <w:p>
            <w:pPr>
              <w:jc w:val="right"/>
              <w:ind w:right="3"/>
              <w:spacing w:after="0" w:line="196" w:lineRule="exact"/>
              <w:rPr>
                <w:sz w:val="20"/>
                <w:szCs w:val="20"/>
                <w:color w:val="auto"/>
              </w:rPr>
            </w:pPr>
            <w:r>
              <w:rPr>
                <w:rFonts w:ascii="Times New Roman" w:cs="Times New Roman" w:eastAsia="Times New Roman" w:hAnsi="Times New Roman"/>
                <w:sz w:val="19"/>
                <w:szCs w:val="19"/>
                <w:color w:val="231F20"/>
              </w:rPr>
              <w:t>—</w:t>
            </w: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3"/>
          </w:tcPr>
          <w:p>
            <w:pPr>
              <w:jc w:val="right"/>
              <w:ind w:right="113"/>
              <w:spacing w:after="0"/>
              <w:rPr>
                <w:sz w:val="20"/>
                <w:szCs w:val="20"/>
                <w:color w:val="auto"/>
              </w:rPr>
            </w:pPr>
            <w:r>
              <w:rPr>
                <w:rFonts w:ascii="Times New Roman" w:cs="Times New Roman" w:eastAsia="Times New Roman" w:hAnsi="Times New Roman"/>
                <w:sz w:val="14"/>
                <w:szCs w:val="14"/>
                <w:color w:val="231F20"/>
              </w:rPr>
              <w:t>—</w:t>
            </w:r>
          </w:p>
        </w:tc>
        <w:tc>
          <w:tcPr>
            <w:tcW w:w="14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231F20"/>
              </w:rPr>
              <w:t>—</w:t>
            </w: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(5,345)</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(5,345)</w:t>
            </w:r>
          </w:p>
        </w:tc>
        <w:tc>
          <w:tcPr>
            <w:tcW w:w="0" w:type="dxa"/>
            <w:vAlign w:val="bottom"/>
          </w:tcPr>
          <w:p>
            <w:pPr>
              <w:spacing w:after="0"/>
              <w:rPr>
                <w:sz w:val="1"/>
                <w:szCs w:val="1"/>
                <w:color w:val="auto"/>
              </w:rPr>
            </w:pPr>
          </w:p>
        </w:tc>
      </w:tr>
      <w:tr>
        <w:trPr>
          <w:trHeight w:val="146"/>
        </w:trPr>
        <w:tc>
          <w:tcPr>
            <w:tcW w:w="4720" w:type="dxa"/>
            <w:vAlign w:val="bottom"/>
          </w:tcPr>
          <w:p>
            <w:pPr>
              <w:spacing w:after="0" w:line="147" w:lineRule="exact"/>
              <w:rPr>
                <w:sz w:val="20"/>
                <w:szCs w:val="20"/>
                <w:color w:val="auto"/>
              </w:rPr>
            </w:pPr>
            <w:r>
              <w:rPr>
                <w:rFonts w:ascii="Times New Roman" w:cs="Times New Roman" w:eastAsia="Times New Roman" w:hAnsi="Times New Roman"/>
                <w:sz w:val="14"/>
                <w:szCs w:val="14"/>
                <w:color w:val="231F20"/>
              </w:rPr>
              <w:t>to redeemable noncontrolling interests</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7"/>
        </w:trPr>
        <w:tc>
          <w:tcPr>
            <w:tcW w:w="4720" w:type="dxa"/>
            <w:vAlign w:val="bottom"/>
          </w:tcPr>
          <w:p>
            <w:pPr>
              <w:spacing w:after="0"/>
              <w:rPr>
                <w:sz w:val="20"/>
                <w:szCs w:val="20"/>
                <w:color w:val="auto"/>
              </w:rPr>
            </w:pPr>
            <w:r>
              <w:rPr>
                <w:rFonts w:ascii="Times New Roman" w:cs="Times New Roman" w:eastAsia="Times New Roman" w:hAnsi="Times New Roman"/>
                <w:sz w:val="14"/>
                <w:szCs w:val="14"/>
                <w:color w:val="231F20"/>
              </w:rPr>
              <w:t>Common shares issued, net</w:t>
            </w:r>
          </w:p>
        </w:tc>
        <w:tc>
          <w:tcPr>
            <w:tcW w:w="700" w:type="dxa"/>
            <w:vAlign w:val="bottom"/>
          </w:tcPr>
          <w:p>
            <w:pPr>
              <w:jc w:val="right"/>
              <w:ind w:right="2"/>
              <w:spacing w:after="0"/>
              <w:rPr>
                <w:sz w:val="20"/>
                <w:szCs w:val="20"/>
                <w:color w:val="auto"/>
              </w:rPr>
            </w:pPr>
            <w:r>
              <w:rPr>
                <w:rFonts w:ascii="Times New Roman" w:cs="Times New Roman" w:eastAsia="Times New Roman" w:hAnsi="Times New Roman"/>
                <w:sz w:val="19"/>
                <w:szCs w:val="19"/>
                <w:color w:val="231F20"/>
              </w:rPr>
              <w:t>—</w:t>
            </w:r>
          </w:p>
        </w:tc>
        <w:tc>
          <w:tcPr>
            <w:tcW w:w="80" w:type="dxa"/>
            <w:vAlign w:val="bottom"/>
          </w:tcPr>
          <w:p>
            <w:pPr>
              <w:spacing w:after="0"/>
              <w:rPr>
                <w:sz w:val="19"/>
                <w:szCs w:val="19"/>
                <w:color w:val="auto"/>
              </w:rPr>
            </w:pPr>
          </w:p>
        </w:tc>
        <w:tc>
          <w:tcPr>
            <w:tcW w:w="700" w:type="dxa"/>
            <w:vAlign w:val="bottom"/>
          </w:tcPr>
          <w:p>
            <w:pPr>
              <w:jc w:val="right"/>
              <w:ind w:right="2"/>
              <w:spacing w:after="0"/>
              <w:rPr>
                <w:sz w:val="20"/>
                <w:szCs w:val="20"/>
                <w:color w:val="auto"/>
              </w:rPr>
            </w:pPr>
            <w:r>
              <w:rPr>
                <w:rFonts w:ascii="Times New Roman" w:cs="Times New Roman" w:eastAsia="Times New Roman" w:hAnsi="Times New Roman"/>
                <w:sz w:val="19"/>
                <w:szCs w:val="19"/>
                <w:color w:val="231F20"/>
              </w:rPr>
              <w:t>—</w:t>
            </w:r>
          </w:p>
        </w:tc>
        <w:tc>
          <w:tcPr>
            <w:tcW w:w="940" w:type="dxa"/>
            <w:vAlign w:val="bottom"/>
            <w:gridSpan w:val="2"/>
          </w:tcPr>
          <w:p>
            <w:pPr>
              <w:jc w:val="right"/>
              <w:ind w:right="3"/>
              <w:spacing w:after="0"/>
              <w:rPr>
                <w:sz w:val="20"/>
                <w:szCs w:val="20"/>
                <w:color w:val="auto"/>
              </w:rPr>
            </w:pPr>
            <w:r>
              <w:rPr>
                <w:rFonts w:ascii="Times New Roman" w:cs="Times New Roman" w:eastAsia="Times New Roman" w:hAnsi="Times New Roman"/>
                <w:sz w:val="14"/>
                <w:szCs w:val="14"/>
                <w:color w:val="231F20"/>
              </w:rPr>
              <w:t>476,731</w:t>
            </w: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231F20"/>
              </w:rPr>
              <w:t>5</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54,235</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231F20"/>
              </w:rPr>
              <w:t>—</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54,240</w:t>
            </w:r>
          </w:p>
        </w:tc>
        <w:tc>
          <w:tcPr>
            <w:tcW w:w="0" w:type="dxa"/>
            <w:vAlign w:val="bottom"/>
          </w:tcPr>
          <w:p>
            <w:pPr>
              <w:spacing w:after="0"/>
              <w:rPr>
                <w:sz w:val="1"/>
                <w:szCs w:val="1"/>
                <w:color w:val="auto"/>
              </w:rPr>
            </w:pPr>
          </w:p>
        </w:tc>
      </w:tr>
      <w:tr>
        <w:trPr>
          <w:trHeight w:val="214"/>
        </w:trPr>
        <w:tc>
          <w:tcPr>
            <w:tcW w:w="4720" w:type="dxa"/>
            <w:vAlign w:val="bottom"/>
          </w:tcPr>
          <w:p>
            <w:pPr>
              <w:spacing w:after="0"/>
              <w:rPr>
                <w:sz w:val="20"/>
                <w:szCs w:val="20"/>
                <w:color w:val="auto"/>
              </w:rPr>
            </w:pPr>
            <w:r>
              <w:rPr>
                <w:rFonts w:ascii="Times New Roman" w:cs="Times New Roman" w:eastAsia="Times New Roman" w:hAnsi="Times New Roman"/>
                <w:sz w:val="14"/>
                <w:szCs w:val="14"/>
                <w:color w:val="231F20"/>
              </w:rPr>
              <w:t>Shares issued under dividend reinvestment plan</w:t>
            </w:r>
          </w:p>
        </w:tc>
        <w:tc>
          <w:tcPr>
            <w:tcW w:w="700" w:type="dxa"/>
            <w:vAlign w:val="bottom"/>
          </w:tcPr>
          <w:p>
            <w:pPr>
              <w:jc w:val="right"/>
              <w:ind w:right="2"/>
              <w:spacing w:after="0" w:line="214" w:lineRule="exact"/>
              <w:rPr>
                <w:sz w:val="20"/>
                <w:szCs w:val="20"/>
                <w:color w:val="auto"/>
              </w:rPr>
            </w:pPr>
            <w:r>
              <w:rPr>
                <w:rFonts w:ascii="Times New Roman" w:cs="Times New Roman" w:eastAsia="Times New Roman" w:hAnsi="Times New Roman"/>
                <w:sz w:val="19"/>
                <w:szCs w:val="19"/>
                <w:color w:val="231F20"/>
              </w:rPr>
              <w:t>—</w:t>
            </w:r>
          </w:p>
        </w:tc>
        <w:tc>
          <w:tcPr>
            <w:tcW w:w="80" w:type="dxa"/>
            <w:vAlign w:val="bottom"/>
          </w:tcPr>
          <w:p>
            <w:pPr>
              <w:spacing w:after="0"/>
              <w:rPr>
                <w:sz w:val="18"/>
                <w:szCs w:val="18"/>
                <w:color w:val="auto"/>
              </w:rPr>
            </w:pPr>
          </w:p>
        </w:tc>
        <w:tc>
          <w:tcPr>
            <w:tcW w:w="700" w:type="dxa"/>
            <w:vAlign w:val="bottom"/>
          </w:tcPr>
          <w:p>
            <w:pPr>
              <w:jc w:val="right"/>
              <w:ind w:right="2"/>
              <w:spacing w:after="0" w:line="214" w:lineRule="exact"/>
              <w:rPr>
                <w:sz w:val="20"/>
                <w:szCs w:val="20"/>
                <w:color w:val="auto"/>
              </w:rPr>
            </w:pPr>
            <w:r>
              <w:rPr>
                <w:rFonts w:ascii="Times New Roman" w:cs="Times New Roman" w:eastAsia="Times New Roman" w:hAnsi="Times New Roman"/>
                <w:sz w:val="19"/>
                <w:szCs w:val="19"/>
                <w:color w:val="231F20"/>
              </w:rPr>
              <w:t>—</w:t>
            </w:r>
          </w:p>
        </w:tc>
        <w:tc>
          <w:tcPr>
            <w:tcW w:w="940" w:type="dxa"/>
            <w:vAlign w:val="bottom"/>
            <w:gridSpan w:val="2"/>
          </w:tcPr>
          <w:p>
            <w:pPr>
              <w:jc w:val="right"/>
              <w:ind w:right="3"/>
              <w:spacing w:after="0"/>
              <w:rPr>
                <w:sz w:val="20"/>
                <w:szCs w:val="20"/>
                <w:color w:val="auto"/>
              </w:rPr>
            </w:pPr>
            <w:r>
              <w:rPr>
                <w:rFonts w:ascii="Times New Roman" w:cs="Times New Roman" w:eastAsia="Times New Roman" w:hAnsi="Times New Roman"/>
                <w:sz w:val="14"/>
                <w:szCs w:val="14"/>
                <w:color w:val="231F20"/>
              </w:rPr>
              <w:t>19,139</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1,840</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231F20"/>
              </w:rPr>
              <w:t>—</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1,840</w:t>
            </w:r>
          </w:p>
        </w:tc>
        <w:tc>
          <w:tcPr>
            <w:tcW w:w="0" w:type="dxa"/>
            <w:vAlign w:val="bottom"/>
          </w:tcPr>
          <w:p>
            <w:pPr>
              <w:spacing w:after="0"/>
              <w:rPr>
                <w:sz w:val="1"/>
                <w:szCs w:val="1"/>
                <w:color w:val="auto"/>
              </w:rPr>
            </w:pPr>
          </w:p>
        </w:tc>
      </w:tr>
      <w:tr>
        <w:trPr>
          <w:trHeight w:val="185"/>
        </w:trPr>
        <w:tc>
          <w:tcPr>
            <w:tcW w:w="4720" w:type="dxa"/>
            <w:vAlign w:val="bottom"/>
          </w:tcPr>
          <w:p>
            <w:pPr>
              <w:spacing w:after="0"/>
              <w:rPr>
                <w:sz w:val="20"/>
                <w:szCs w:val="20"/>
                <w:color w:val="auto"/>
              </w:rPr>
            </w:pPr>
            <w:r>
              <w:rPr>
                <w:rFonts w:ascii="Times New Roman" w:cs="Times New Roman" w:eastAsia="Times New Roman" w:hAnsi="Times New Roman"/>
                <w:sz w:val="14"/>
                <w:szCs w:val="14"/>
                <w:color w:val="231F20"/>
              </w:rPr>
              <w:t>Share-based compensation expense, net of forfeitures</w:t>
            </w:r>
          </w:p>
        </w:tc>
        <w:tc>
          <w:tcPr>
            <w:tcW w:w="700" w:type="dxa"/>
            <w:vAlign w:val="bottom"/>
          </w:tcPr>
          <w:p>
            <w:pPr>
              <w:jc w:val="right"/>
              <w:ind w:right="2"/>
              <w:spacing w:after="0" w:line="185" w:lineRule="exact"/>
              <w:rPr>
                <w:sz w:val="20"/>
                <w:szCs w:val="20"/>
                <w:color w:val="auto"/>
              </w:rPr>
            </w:pPr>
            <w:r>
              <w:rPr>
                <w:rFonts w:ascii="Times New Roman" w:cs="Times New Roman" w:eastAsia="Times New Roman" w:hAnsi="Times New Roman"/>
                <w:sz w:val="19"/>
                <w:szCs w:val="19"/>
                <w:color w:val="231F20"/>
              </w:rPr>
              <w:t>—</w:t>
            </w:r>
          </w:p>
        </w:tc>
        <w:tc>
          <w:tcPr>
            <w:tcW w:w="80" w:type="dxa"/>
            <w:vAlign w:val="bottom"/>
          </w:tcPr>
          <w:p>
            <w:pPr>
              <w:spacing w:after="0"/>
              <w:rPr>
                <w:sz w:val="16"/>
                <w:szCs w:val="16"/>
                <w:color w:val="auto"/>
              </w:rPr>
            </w:pPr>
          </w:p>
        </w:tc>
        <w:tc>
          <w:tcPr>
            <w:tcW w:w="700" w:type="dxa"/>
            <w:vAlign w:val="bottom"/>
          </w:tcPr>
          <w:p>
            <w:pPr>
              <w:jc w:val="right"/>
              <w:ind w:right="2"/>
              <w:spacing w:after="0" w:line="185" w:lineRule="exact"/>
              <w:rPr>
                <w:sz w:val="20"/>
                <w:szCs w:val="20"/>
                <w:color w:val="auto"/>
              </w:rPr>
            </w:pPr>
            <w:r>
              <w:rPr>
                <w:rFonts w:ascii="Times New Roman" w:cs="Times New Roman" w:eastAsia="Times New Roman" w:hAnsi="Times New Roman"/>
                <w:sz w:val="19"/>
                <w:szCs w:val="19"/>
                <w:color w:val="231F20"/>
              </w:rPr>
              <w:t>—</w:t>
            </w:r>
          </w:p>
        </w:tc>
        <w:tc>
          <w:tcPr>
            <w:tcW w:w="940" w:type="dxa"/>
            <w:vAlign w:val="bottom"/>
            <w:gridSpan w:val="2"/>
          </w:tcPr>
          <w:p>
            <w:pPr>
              <w:jc w:val="right"/>
              <w:ind w:right="3"/>
              <w:spacing w:after="0"/>
              <w:rPr>
                <w:sz w:val="20"/>
                <w:szCs w:val="20"/>
                <w:color w:val="auto"/>
              </w:rPr>
            </w:pPr>
            <w:r>
              <w:rPr>
                <w:rFonts w:ascii="Times New Roman" w:cs="Times New Roman" w:eastAsia="Times New Roman" w:hAnsi="Times New Roman"/>
                <w:sz w:val="14"/>
                <w:szCs w:val="14"/>
                <w:color w:val="231F20"/>
              </w:rPr>
              <w:t>147,801</w:t>
            </w: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231F20"/>
              </w:rPr>
              <w:t>2</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15,559</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231F20"/>
              </w:rPr>
              <w:t>—</w:t>
            </w: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15,561</w:t>
            </w:r>
          </w:p>
        </w:tc>
        <w:tc>
          <w:tcPr>
            <w:tcW w:w="0" w:type="dxa"/>
            <w:vAlign w:val="bottom"/>
          </w:tcPr>
          <w:p>
            <w:pPr>
              <w:spacing w:after="0"/>
              <w:rPr>
                <w:sz w:val="1"/>
                <w:szCs w:val="1"/>
                <w:color w:val="auto"/>
              </w:rPr>
            </w:pPr>
          </w:p>
        </w:tc>
      </w:tr>
      <w:tr>
        <w:trPr>
          <w:trHeight w:val="185"/>
        </w:trPr>
        <w:tc>
          <w:tcPr>
            <w:tcW w:w="4720" w:type="dxa"/>
            <w:vAlign w:val="bottom"/>
          </w:tcPr>
          <w:p>
            <w:pPr>
              <w:spacing w:after="0"/>
              <w:rPr>
                <w:sz w:val="20"/>
                <w:szCs w:val="20"/>
                <w:color w:val="auto"/>
              </w:rPr>
            </w:pPr>
            <w:r>
              <w:rPr>
                <w:rFonts w:ascii="Times New Roman" w:cs="Times New Roman" w:eastAsia="Times New Roman" w:hAnsi="Times New Roman"/>
                <w:sz w:val="14"/>
                <w:szCs w:val="14"/>
                <w:color w:val="231F20"/>
              </w:rPr>
              <w:t>Shares withheld for employee taxes</w:t>
            </w:r>
          </w:p>
        </w:tc>
        <w:tc>
          <w:tcPr>
            <w:tcW w:w="700" w:type="dxa"/>
            <w:vAlign w:val="bottom"/>
          </w:tcPr>
          <w:p>
            <w:pPr>
              <w:jc w:val="right"/>
              <w:ind w:right="2"/>
              <w:spacing w:after="0" w:line="185" w:lineRule="exact"/>
              <w:rPr>
                <w:sz w:val="20"/>
                <w:szCs w:val="20"/>
                <w:color w:val="auto"/>
              </w:rPr>
            </w:pPr>
            <w:r>
              <w:rPr>
                <w:rFonts w:ascii="Times New Roman" w:cs="Times New Roman" w:eastAsia="Times New Roman" w:hAnsi="Times New Roman"/>
                <w:sz w:val="19"/>
                <w:szCs w:val="19"/>
                <w:color w:val="231F20"/>
              </w:rPr>
              <w:t>—</w:t>
            </w:r>
          </w:p>
        </w:tc>
        <w:tc>
          <w:tcPr>
            <w:tcW w:w="80" w:type="dxa"/>
            <w:vAlign w:val="bottom"/>
          </w:tcPr>
          <w:p>
            <w:pPr>
              <w:spacing w:after="0"/>
              <w:rPr>
                <w:sz w:val="16"/>
                <w:szCs w:val="16"/>
                <w:color w:val="auto"/>
              </w:rPr>
            </w:pPr>
          </w:p>
        </w:tc>
        <w:tc>
          <w:tcPr>
            <w:tcW w:w="700" w:type="dxa"/>
            <w:vAlign w:val="bottom"/>
          </w:tcPr>
          <w:p>
            <w:pPr>
              <w:jc w:val="right"/>
              <w:ind w:right="2"/>
              <w:spacing w:after="0" w:line="185" w:lineRule="exact"/>
              <w:rPr>
                <w:sz w:val="20"/>
                <w:szCs w:val="20"/>
                <w:color w:val="auto"/>
              </w:rPr>
            </w:pPr>
            <w:r>
              <w:rPr>
                <w:rFonts w:ascii="Times New Roman" w:cs="Times New Roman" w:eastAsia="Times New Roman" w:hAnsi="Times New Roman"/>
                <w:sz w:val="19"/>
                <w:szCs w:val="19"/>
                <w:color w:val="231F20"/>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231F20"/>
              </w:rPr>
              <w:t>(45,040)</w:t>
            </w: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(4,911)</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231F20"/>
              </w:rPr>
              <w:t>—</w:t>
            </w: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(4,911)</w:t>
            </w:r>
          </w:p>
        </w:tc>
        <w:tc>
          <w:tcPr>
            <w:tcW w:w="0" w:type="dxa"/>
            <w:vAlign w:val="bottom"/>
          </w:tcPr>
          <w:p>
            <w:pPr>
              <w:spacing w:after="0"/>
              <w:rPr>
                <w:sz w:val="1"/>
                <w:szCs w:val="1"/>
                <w:color w:val="auto"/>
              </w:rPr>
            </w:pPr>
          </w:p>
        </w:tc>
      </w:tr>
      <w:tr>
        <w:trPr>
          <w:trHeight w:val="185"/>
        </w:trPr>
        <w:tc>
          <w:tcPr>
            <w:tcW w:w="4720" w:type="dxa"/>
            <w:vAlign w:val="bottom"/>
          </w:tcPr>
          <w:p>
            <w:pPr>
              <w:spacing w:after="0"/>
              <w:rPr>
                <w:sz w:val="20"/>
                <w:szCs w:val="20"/>
                <w:color w:val="auto"/>
              </w:rPr>
            </w:pPr>
            <w:r>
              <w:rPr>
                <w:rFonts w:ascii="Times New Roman" w:cs="Times New Roman" w:eastAsia="Times New Roman" w:hAnsi="Times New Roman"/>
                <w:sz w:val="14"/>
                <w:szCs w:val="14"/>
                <w:color w:val="231F20"/>
              </w:rPr>
              <w:t>Conversion and redemption of downREIT OP units</w:t>
            </w:r>
          </w:p>
        </w:tc>
        <w:tc>
          <w:tcPr>
            <w:tcW w:w="700" w:type="dxa"/>
            <w:vAlign w:val="bottom"/>
          </w:tcPr>
          <w:p>
            <w:pPr>
              <w:jc w:val="right"/>
              <w:ind w:right="2"/>
              <w:spacing w:after="0" w:line="185" w:lineRule="exact"/>
              <w:rPr>
                <w:sz w:val="20"/>
                <w:szCs w:val="20"/>
                <w:color w:val="auto"/>
              </w:rPr>
            </w:pPr>
            <w:r>
              <w:rPr>
                <w:rFonts w:ascii="Times New Roman" w:cs="Times New Roman" w:eastAsia="Times New Roman" w:hAnsi="Times New Roman"/>
                <w:sz w:val="19"/>
                <w:szCs w:val="19"/>
                <w:color w:val="231F20"/>
              </w:rPr>
              <w:t>—</w:t>
            </w:r>
          </w:p>
        </w:tc>
        <w:tc>
          <w:tcPr>
            <w:tcW w:w="80" w:type="dxa"/>
            <w:vAlign w:val="bottom"/>
          </w:tcPr>
          <w:p>
            <w:pPr>
              <w:spacing w:after="0"/>
              <w:rPr>
                <w:sz w:val="16"/>
                <w:szCs w:val="16"/>
                <w:color w:val="auto"/>
              </w:rPr>
            </w:pPr>
          </w:p>
        </w:tc>
        <w:tc>
          <w:tcPr>
            <w:tcW w:w="700" w:type="dxa"/>
            <w:vAlign w:val="bottom"/>
          </w:tcPr>
          <w:p>
            <w:pPr>
              <w:jc w:val="right"/>
              <w:ind w:right="2"/>
              <w:spacing w:after="0" w:line="185" w:lineRule="exact"/>
              <w:rPr>
                <w:sz w:val="20"/>
                <w:szCs w:val="20"/>
                <w:color w:val="auto"/>
              </w:rPr>
            </w:pPr>
            <w:r>
              <w:rPr>
                <w:rFonts w:ascii="Times New Roman" w:cs="Times New Roman" w:eastAsia="Times New Roman" w:hAnsi="Times New Roman"/>
                <w:sz w:val="19"/>
                <w:szCs w:val="19"/>
                <w:color w:val="231F20"/>
              </w:rPr>
              <w:t>—</w:t>
            </w:r>
          </w:p>
        </w:tc>
        <w:tc>
          <w:tcPr>
            <w:tcW w:w="940" w:type="dxa"/>
            <w:vAlign w:val="bottom"/>
            <w:gridSpan w:val="2"/>
          </w:tcPr>
          <w:p>
            <w:pPr>
              <w:jc w:val="right"/>
              <w:ind w:right="3"/>
              <w:spacing w:after="0"/>
              <w:rPr>
                <w:sz w:val="20"/>
                <w:szCs w:val="20"/>
                <w:color w:val="auto"/>
              </w:rPr>
            </w:pPr>
            <w:r>
              <w:rPr>
                <w:rFonts w:ascii="Times New Roman" w:cs="Times New Roman" w:eastAsia="Times New Roman" w:hAnsi="Times New Roman"/>
                <w:sz w:val="14"/>
                <w:szCs w:val="14"/>
                <w:color w:val="231F20"/>
              </w:rPr>
              <w:t>1,158</w:t>
            </w: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(5,007)</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231F20"/>
              </w:rPr>
              <w:t>—</w:t>
            </w: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(2,327)</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(7,334)</w:t>
            </w:r>
          </w:p>
        </w:tc>
        <w:tc>
          <w:tcPr>
            <w:tcW w:w="0" w:type="dxa"/>
            <w:vAlign w:val="bottom"/>
          </w:tcPr>
          <w:p>
            <w:pPr>
              <w:spacing w:after="0"/>
              <w:rPr>
                <w:sz w:val="1"/>
                <w:szCs w:val="1"/>
                <w:color w:val="auto"/>
              </w:rPr>
            </w:pPr>
          </w:p>
        </w:tc>
      </w:tr>
      <w:tr>
        <w:trPr>
          <w:trHeight w:val="185"/>
        </w:trPr>
        <w:tc>
          <w:tcPr>
            <w:tcW w:w="4720" w:type="dxa"/>
            <w:vAlign w:val="bottom"/>
          </w:tcPr>
          <w:p>
            <w:pPr>
              <w:spacing w:after="0"/>
              <w:rPr>
                <w:sz w:val="20"/>
                <w:szCs w:val="20"/>
                <w:color w:val="auto"/>
              </w:rPr>
            </w:pPr>
            <w:r>
              <w:rPr>
                <w:rFonts w:ascii="Times New Roman" w:cs="Times New Roman" w:eastAsia="Times New Roman" w:hAnsi="Times New Roman"/>
                <w:sz w:val="14"/>
                <w:szCs w:val="14"/>
                <w:color w:val="231F20"/>
              </w:rPr>
              <w:t>Contributions from noncontrolling interests</w:t>
            </w:r>
          </w:p>
        </w:tc>
        <w:tc>
          <w:tcPr>
            <w:tcW w:w="700" w:type="dxa"/>
            <w:vAlign w:val="bottom"/>
          </w:tcPr>
          <w:p>
            <w:pPr>
              <w:jc w:val="right"/>
              <w:ind w:right="2"/>
              <w:spacing w:after="0" w:line="185" w:lineRule="exact"/>
              <w:rPr>
                <w:sz w:val="20"/>
                <w:szCs w:val="20"/>
                <w:color w:val="auto"/>
              </w:rPr>
            </w:pPr>
            <w:r>
              <w:rPr>
                <w:rFonts w:ascii="Times New Roman" w:cs="Times New Roman" w:eastAsia="Times New Roman" w:hAnsi="Times New Roman"/>
                <w:sz w:val="19"/>
                <w:szCs w:val="19"/>
                <w:color w:val="231F20"/>
              </w:rPr>
              <w:t>—</w:t>
            </w:r>
          </w:p>
        </w:tc>
        <w:tc>
          <w:tcPr>
            <w:tcW w:w="80" w:type="dxa"/>
            <w:vAlign w:val="bottom"/>
          </w:tcPr>
          <w:p>
            <w:pPr>
              <w:spacing w:after="0"/>
              <w:rPr>
                <w:sz w:val="16"/>
                <w:szCs w:val="16"/>
                <w:color w:val="auto"/>
              </w:rPr>
            </w:pPr>
          </w:p>
        </w:tc>
        <w:tc>
          <w:tcPr>
            <w:tcW w:w="700" w:type="dxa"/>
            <w:vAlign w:val="bottom"/>
          </w:tcPr>
          <w:p>
            <w:pPr>
              <w:jc w:val="right"/>
              <w:ind w:right="2"/>
              <w:spacing w:after="0" w:line="185" w:lineRule="exact"/>
              <w:rPr>
                <w:sz w:val="20"/>
                <w:szCs w:val="20"/>
                <w:color w:val="auto"/>
              </w:rPr>
            </w:pPr>
            <w:r>
              <w:rPr>
                <w:rFonts w:ascii="Times New Roman" w:cs="Times New Roman" w:eastAsia="Times New Roman" w:hAnsi="Times New Roman"/>
                <w:sz w:val="19"/>
                <w:szCs w:val="19"/>
                <w:color w:val="231F20"/>
              </w:rPr>
              <w:t>—</w:t>
            </w:r>
          </w:p>
        </w:tc>
        <w:tc>
          <w:tcPr>
            <w:tcW w:w="60" w:type="dxa"/>
            <w:vAlign w:val="bottom"/>
          </w:tcPr>
          <w:p>
            <w:pPr>
              <w:spacing w:after="0"/>
              <w:rPr>
                <w:sz w:val="16"/>
                <w:szCs w:val="16"/>
                <w:color w:val="auto"/>
              </w:rPr>
            </w:pPr>
          </w:p>
        </w:tc>
        <w:tc>
          <w:tcPr>
            <w:tcW w:w="880" w:type="dxa"/>
            <w:vAlign w:val="bottom"/>
          </w:tcPr>
          <w:p>
            <w:pPr>
              <w:jc w:val="right"/>
              <w:ind w:right="3"/>
              <w:spacing w:after="0" w:line="185" w:lineRule="exact"/>
              <w:rPr>
                <w:sz w:val="20"/>
                <w:szCs w:val="20"/>
                <w:color w:val="auto"/>
              </w:rPr>
            </w:pPr>
            <w:r>
              <w:rPr>
                <w:rFonts w:ascii="Times New Roman" w:cs="Times New Roman" w:eastAsia="Times New Roman" w:hAnsi="Times New Roman"/>
                <w:sz w:val="19"/>
                <w:szCs w:val="19"/>
                <w:color w:val="231F20"/>
              </w:rPr>
              <w:t>—</w:t>
            </w: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3"/>
          </w:tcPr>
          <w:p>
            <w:pPr>
              <w:jc w:val="right"/>
              <w:ind w:right="113"/>
              <w:spacing w:after="0"/>
              <w:rPr>
                <w:sz w:val="20"/>
                <w:szCs w:val="20"/>
                <w:color w:val="auto"/>
              </w:rPr>
            </w:pPr>
            <w:r>
              <w:rPr>
                <w:rFonts w:ascii="Times New Roman" w:cs="Times New Roman" w:eastAsia="Times New Roman" w:hAnsi="Times New Roman"/>
                <w:sz w:val="14"/>
                <w:szCs w:val="14"/>
                <w:color w:val="231F20"/>
              </w:rPr>
              <w:t>—</w:t>
            </w:r>
          </w:p>
        </w:tc>
        <w:tc>
          <w:tcPr>
            <w:tcW w:w="14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231F20"/>
              </w:rPr>
              <w:t>—</w:t>
            </w: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944</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944</w:t>
            </w:r>
          </w:p>
        </w:tc>
        <w:tc>
          <w:tcPr>
            <w:tcW w:w="0" w:type="dxa"/>
            <w:vAlign w:val="bottom"/>
          </w:tcPr>
          <w:p>
            <w:pPr>
              <w:spacing w:after="0"/>
              <w:rPr>
                <w:sz w:val="1"/>
                <w:szCs w:val="1"/>
                <w:color w:val="auto"/>
              </w:rPr>
            </w:pPr>
          </w:p>
        </w:tc>
      </w:tr>
      <w:tr>
        <w:trPr>
          <w:trHeight w:val="208"/>
        </w:trPr>
        <w:tc>
          <w:tcPr>
            <w:tcW w:w="4720" w:type="dxa"/>
            <w:vAlign w:val="bottom"/>
          </w:tcPr>
          <w:p>
            <w:pPr>
              <w:spacing w:after="0"/>
              <w:rPr>
                <w:sz w:val="20"/>
                <w:szCs w:val="20"/>
                <w:color w:val="auto"/>
              </w:rPr>
            </w:pPr>
            <w:r>
              <w:rPr>
                <w:rFonts w:ascii="Times New Roman" w:cs="Times New Roman" w:eastAsia="Times New Roman" w:hAnsi="Times New Roman"/>
                <w:sz w:val="14"/>
                <w:szCs w:val="14"/>
                <w:color w:val="231F20"/>
              </w:rPr>
              <w:t>Adjustment to redeemable noncontrolling interests</w:t>
            </w:r>
          </w:p>
        </w:tc>
        <w:tc>
          <w:tcPr>
            <w:tcW w:w="700" w:type="dxa"/>
            <w:vAlign w:val="bottom"/>
          </w:tcPr>
          <w:p>
            <w:pPr>
              <w:jc w:val="right"/>
              <w:ind w:right="2"/>
              <w:spacing w:after="0" w:line="208" w:lineRule="exact"/>
              <w:rPr>
                <w:sz w:val="20"/>
                <w:szCs w:val="20"/>
                <w:color w:val="auto"/>
              </w:rPr>
            </w:pPr>
            <w:r>
              <w:rPr>
                <w:rFonts w:ascii="Times New Roman" w:cs="Times New Roman" w:eastAsia="Times New Roman" w:hAnsi="Times New Roman"/>
                <w:sz w:val="19"/>
                <w:szCs w:val="19"/>
                <w:color w:val="231F20"/>
              </w:rPr>
              <w:t>—</w:t>
            </w:r>
          </w:p>
        </w:tc>
        <w:tc>
          <w:tcPr>
            <w:tcW w:w="80" w:type="dxa"/>
            <w:vAlign w:val="bottom"/>
          </w:tcPr>
          <w:p>
            <w:pPr>
              <w:spacing w:after="0"/>
              <w:rPr>
                <w:sz w:val="18"/>
                <w:szCs w:val="18"/>
                <w:color w:val="auto"/>
              </w:rPr>
            </w:pPr>
          </w:p>
        </w:tc>
        <w:tc>
          <w:tcPr>
            <w:tcW w:w="700" w:type="dxa"/>
            <w:vAlign w:val="bottom"/>
          </w:tcPr>
          <w:p>
            <w:pPr>
              <w:jc w:val="right"/>
              <w:ind w:right="2"/>
              <w:spacing w:after="0" w:line="208" w:lineRule="exact"/>
              <w:rPr>
                <w:sz w:val="20"/>
                <w:szCs w:val="20"/>
                <w:color w:val="auto"/>
              </w:rPr>
            </w:pPr>
            <w:r>
              <w:rPr>
                <w:rFonts w:ascii="Times New Roman" w:cs="Times New Roman" w:eastAsia="Times New Roman" w:hAnsi="Times New Roman"/>
                <w:sz w:val="19"/>
                <w:szCs w:val="19"/>
                <w:color w:val="231F20"/>
              </w:rPr>
              <w:t>—</w:t>
            </w:r>
          </w:p>
        </w:tc>
        <w:tc>
          <w:tcPr>
            <w:tcW w:w="60" w:type="dxa"/>
            <w:vAlign w:val="bottom"/>
          </w:tcPr>
          <w:p>
            <w:pPr>
              <w:spacing w:after="0"/>
              <w:rPr>
                <w:sz w:val="18"/>
                <w:szCs w:val="18"/>
                <w:color w:val="auto"/>
              </w:rPr>
            </w:pPr>
          </w:p>
        </w:tc>
        <w:tc>
          <w:tcPr>
            <w:tcW w:w="880" w:type="dxa"/>
            <w:vAlign w:val="bottom"/>
          </w:tcPr>
          <w:p>
            <w:pPr>
              <w:jc w:val="right"/>
              <w:ind w:right="3"/>
              <w:spacing w:after="0" w:line="208" w:lineRule="exact"/>
              <w:rPr>
                <w:sz w:val="20"/>
                <w:szCs w:val="20"/>
                <w:color w:val="auto"/>
              </w:rPr>
            </w:pPr>
            <w:r>
              <w:rPr>
                <w:rFonts w:ascii="Times New Roman" w:cs="Times New Roman" w:eastAsia="Times New Roman" w:hAnsi="Times New Roman"/>
                <w:sz w:val="19"/>
                <w:szCs w:val="19"/>
                <w:color w:val="231F20"/>
              </w:rPr>
              <w:t>—</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(175)</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231F20"/>
              </w:rPr>
              <w:t>—</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(175)</w:t>
            </w:r>
          </w:p>
        </w:tc>
        <w:tc>
          <w:tcPr>
            <w:tcW w:w="0" w:type="dxa"/>
            <w:vAlign w:val="bottom"/>
          </w:tcPr>
          <w:p>
            <w:pPr>
              <w:spacing w:after="0"/>
              <w:rPr>
                <w:sz w:val="1"/>
                <w:szCs w:val="1"/>
                <w:color w:val="auto"/>
              </w:rPr>
            </w:pPr>
          </w:p>
        </w:tc>
      </w:tr>
      <w:tr>
        <w:trPr>
          <w:trHeight w:val="146"/>
        </w:trPr>
        <w:tc>
          <w:tcPr>
            <w:tcW w:w="4720" w:type="dxa"/>
            <w:vAlign w:val="bottom"/>
          </w:tcPr>
          <w:p>
            <w:pPr>
              <w:spacing w:after="0" w:line="147" w:lineRule="exact"/>
              <w:rPr>
                <w:sz w:val="20"/>
                <w:szCs w:val="20"/>
                <w:color w:val="auto"/>
              </w:rPr>
            </w:pPr>
            <w:r>
              <w:rPr>
                <w:rFonts w:ascii="Times New Roman" w:cs="Times New Roman" w:eastAsia="Times New Roman" w:hAnsi="Times New Roman"/>
                <w:sz w:val="14"/>
                <w:szCs w:val="14"/>
                <w:color w:val="231F20"/>
              </w:rPr>
              <w:t>BALANCE AT DECEMBER 31, 2025</w:t>
            </w:r>
          </w:p>
        </w:tc>
        <w:tc>
          <w:tcPr>
            <w:tcW w:w="700" w:type="dxa"/>
            <w:vAlign w:val="bottom"/>
            <w:tcBorders>
              <w:top w:val="single" w:sz="8" w:color="231F20"/>
              <w:bottom w:val="single" w:sz="8" w:color="231F20"/>
            </w:tcBorders>
          </w:tcPr>
          <w:p>
            <w:pPr>
              <w:jc w:val="right"/>
              <w:ind w:right="2"/>
              <w:spacing w:after="0" w:line="147" w:lineRule="exact"/>
              <w:rPr>
                <w:sz w:val="20"/>
                <w:szCs w:val="20"/>
                <w:color w:val="auto"/>
              </w:rPr>
            </w:pPr>
            <w:r>
              <w:rPr>
                <w:rFonts w:ascii="Times New Roman" w:cs="Times New Roman" w:eastAsia="Times New Roman" w:hAnsi="Times New Roman"/>
                <w:sz w:val="14"/>
                <w:szCs w:val="14"/>
                <w:color w:val="231F20"/>
              </w:rPr>
              <w:t>398,878</w:t>
            </w:r>
          </w:p>
        </w:tc>
        <w:tc>
          <w:tcPr>
            <w:tcW w:w="80" w:type="dxa"/>
            <w:vAlign w:val="bottom"/>
          </w:tcPr>
          <w:p>
            <w:pPr>
              <w:spacing w:after="0"/>
              <w:rPr>
                <w:sz w:val="12"/>
                <w:szCs w:val="12"/>
                <w:color w:val="auto"/>
              </w:rPr>
            </w:pPr>
          </w:p>
        </w:tc>
        <w:tc>
          <w:tcPr>
            <w:tcW w:w="700" w:type="dxa"/>
            <w:vAlign w:val="bottom"/>
            <w:tcBorders>
              <w:top w:val="single" w:sz="8" w:color="231F20"/>
              <w:bottom w:val="single" w:sz="8" w:color="231F20"/>
            </w:tcBorders>
          </w:tcPr>
          <w:p>
            <w:pPr>
              <w:jc w:val="right"/>
              <w:ind w:right="2"/>
              <w:spacing w:after="0" w:line="147" w:lineRule="exact"/>
              <w:rPr>
                <w:sz w:val="20"/>
                <w:szCs w:val="20"/>
                <w:color w:val="auto"/>
              </w:rPr>
            </w:pPr>
            <w:r>
              <w:rPr>
                <w:rFonts w:ascii="Times New Roman" w:cs="Times New Roman" w:eastAsia="Times New Roman" w:hAnsi="Times New Roman"/>
                <w:sz w:val="14"/>
                <w:szCs w:val="14"/>
                <w:color w:val="231F20"/>
              </w:rPr>
              <w:t>$ 159,822</w:t>
            </w:r>
          </w:p>
        </w:tc>
        <w:tc>
          <w:tcPr>
            <w:tcW w:w="60" w:type="dxa"/>
            <w:vAlign w:val="bottom"/>
          </w:tcPr>
          <w:p>
            <w:pPr>
              <w:spacing w:after="0"/>
              <w:rPr>
                <w:sz w:val="12"/>
                <w:szCs w:val="12"/>
                <w:color w:val="auto"/>
              </w:rPr>
            </w:pPr>
          </w:p>
        </w:tc>
        <w:tc>
          <w:tcPr>
            <w:tcW w:w="880" w:type="dxa"/>
            <w:vAlign w:val="bottom"/>
            <w:tcBorders>
              <w:top w:val="single" w:sz="8" w:color="231F20"/>
              <w:bottom w:val="single" w:sz="8" w:color="231F20"/>
            </w:tcBorders>
          </w:tcPr>
          <w:p>
            <w:pPr>
              <w:jc w:val="right"/>
              <w:ind w:right="3"/>
              <w:spacing w:after="0" w:line="147" w:lineRule="exact"/>
              <w:rPr>
                <w:sz w:val="20"/>
                <w:szCs w:val="20"/>
                <w:color w:val="auto"/>
              </w:rPr>
            </w:pPr>
            <w:r>
              <w:rPr>
                <w:rFonts w:ascii="Times New Roman" w:cs="Times New Roman" w:eastAsia="Times New Roman" w:hAnsi="Times New Roman"/>
                <w:sz w:val="14"/>
                <w:szCs w:val="14"/>
                <w:color w:val="231F20"/>
              </w:rPr>
              <w:t>86,266,009</w:t>
            </w:r>
          </w:p>
        </w:tc>
        <w:tc>
          <w:tcPr>
            <w:tcW w:w="60" w:type="dxa"/>
            <w:vAlign w:val="bottom"/>
          </w:tcPr>
          <w:p>
            <w:pPr>
              <w:spacing w:after="0"/>
              <w:rPr>
                <w:sz w:val="12"/>
                <w:szCs w:val="12"/>
                <w:color w:val="auto"/>
              </w:rPr>
            </w:pPr>
          </w:p>
        </w:tc>
        <w:tc>
          <w:tcPr>
            <w:tcW w:w="440" w:type="dxa"/>
            <w:vAlign w:val="bottom"/>
            <w:tcBorders>
              <w:top w:val="single" w:sz="8" w:color="231F20"/>
              <w:bottom w:val="single" w:sz="8" w:color="231F20"/>
            </w:tcBorders>
          </w:tcPr>
          <w:p>
            <w:pPr>
              <w:jc w:val="right"/>
              <w:ind w:right="248"/>
              <w:spacing w:after="0" w:line="147" w:lineRule="exact"/>
              <w:rPr>
                <w:sz w:val="20"/>
                <w:szCs w:val="20"/>
                <w:color w:val="auto"/>
              </w:rPr>
            </w:pPr>
            <w:r>
              <w:rPr>
                <w:rFonts w:ascii="Times New Roman" w:cs="Times New Roman" w:eastAsia="Times New Roman" w:hAnsi="Times New Roman"/>
                <w:sz w:val="14"/>
                <w:szCs w:val="14"/>
                <w:color w:val="231F20"/>
              </w:rPr>
              <w:t>$</w:t>
            </w:r>
          </w:p>
        </w:tc>
        <w:tc>
          <w:tcPr>
            <w:tcW w:w="300" w:type="dxa"/>
            <w:vAlign w:val="bottom"/>
            <w:tcBorders>
              <w:top w:val="single" w:sz="8" w:color="231F20"/>
              <w:bottom w:val="single" w:sz="8" w:color="231F20"/>
            </w:tcBorders>
          </w:tcPr>
          <w:p>
            <w:pPr>
              <w:jc w:val="right"/>
              <w:ind w:right="9"/>
              <w:spacing w:after="0" w:line="147" w:lineRule="exact"/>
              <w:rPr>
                <w:sz w:val="20"/>
                <w:szCs w:val="20"/>
                <w:color w:val="auto"/>
              </w:rPr>
            </w:pPr>
            <w:r>
              <w:rPr>
                <w:rFonts w:ascii="Times New Roman" w:cs="Times New Roman" w:eastAsia="Times New Roman" w:hAnsi="Times New Roman"/>
                <w:sz w:val="14"/>
                <w:szCs w:val="14"/>
                <w:color w:val="231F20"/>
                <w:w w:val="95"/>
              </w:rPr>
              <w:t>869</w:t>
            </w:r>
          </w:p>
        </w:tc>
        <w:tc>
          <w:tcPr>
            <w:tcW w:w="60" w:type="dxa"/>
            <w:vAlign w:val="bottom"/>
          </w:tcPr>
          <w:p>
            <w:pPr>
              <w:spacing w:after="0"/>
              <w:rPr>
                <w:sz w:val="12"/>
                <w:szCs w:val="12"/>
                <w:color w:val="auto"/>
              </w:rPr>
            </w:pPr>
          </w:p>
        </w:tc>
        <w:tc>
          <w:tcPr>
            <w:tcW w:w="120" w:type="dxa"/>
            <w:vAlign w:val="bottom"/>
            <w:tcBorders>
              <w:top w:val="single" w:sz="8" w:color="231F20"/>
              <w:bottom w:val="single" w:sz="8" w:color="231F20"/>
            </w:tcBorders>
          </w:tcPr>
          <w:p>
            <w:pPr>
              <w:jc w:val="right"/>
              <w:spacing w:after="0" w:line="147" w:lineRule="exact"/>
              <w:rPr>
                <w:sz w:val="20"/>
                <w:szCs w:val="20"/>
                <w:color w:val="auto"/>
              </w:rPr>
            </w:pPr>
            <w:r>
              <w:rPr>
                <w:rFonts w:ascii="Times New Roman" w:cs="Times New Roman" w:eastAsia="Times New Roman" w:hAnsi="Times New Roman"/>
                <w:sz w:val="14"/>
                <w:szCs w:val="14"/>
                <w:color w:val="231F20"/>
              </w:rPr>
              <w:t>$</w:t>
            </w:r>
          </w:p>
        </w:tc>
        <w:tc>
          <w:tcPr>
            <w:tcW w:w="840" w:type="dxa"/>
            <w:vAlign w:val="bottom"/>
            <w:tcBorders>
              <w:top w:val="single" w:sz="8" w:color="231F20"/>
              <w:bottom w:val="single" w:sz="8" w:color="231F20"/>
            </w:tcBorders>
          </w:tcPr>
          <w:p>
            <w:pPr>
              <w:jc w:val="right"/>
              <w:spacing w:after="0" w:line="147" w:lineRule="exact"/>
              <w:rPr>
                <w:sz w:val="20"/>
                <w:szCs w:val="20"/>
                <w:color w:val="auto"/>
              </w:rPr>
            </w:pPr>
            <w:r>
              <w:rPr>
                <w:rFonts w:ascii="Times New Roman" w:cs="Times New Roman" w:eastAsia="Times New Roman" w:hAnsi="Times New Roman"/>
                <w:sz w:val="14"/>
                <w:szCs w:val="14"/>
                <w:color w:val="231F20"/>
              </w:rPr>
              <w:t>4,310,365</w:t>
            </w:r>
          </w:p>
        </w:tc>
        <w:tc>
          <w:tcPr>
            <w:tcW w:w="60" w:type="dxa"/>
            <w:vAlign w:val="bottom"/>
          </w:tcPr>
          <w:p>
            <w:pPr>
              <w:spacing w:after="0"/>
              <w:rPr>
                <w:sz w:val="12"/>
                <w:szCs w:val="12"/>
                <w:color w:val="auto"/>
              </w:rPr>
            </w:pPr>
          </w:p>
        </w:tc>
        <w:tc>
          <w:tcPr>
            <w:tcW w:w="60" w:type="dxa"/>
            <w:vAlign w:val="bottom"/>
            <w:tcBorders>
              <w:top w:val="single" w:sz="8" w:color="231F20"/>
              <w:bottom w:val="single" w:sz="8" w:color="231F20"/>
            </w:tcBorders>
          </w:tcPr>
          <w:p>
            <w:pPr>
              <w:spacing w:after="0"/>
              <w:rPr>
                <w:sz w:val="12"/>
                <w:szCs w:val="12"/>
                <w:color w:val="auto"/>
              </w:rPr>
            </w:pPr>
          </w:p>
        </w:tc>
        <w:tc>
          <w:tcPr>
            <w:tcW w:w="140" w:type="dxa"/>
            <w:vAlign w:val="bottom"/>
            <w:tcBorders>
              <w:top w:val="single" w:sz="8" w:color="231F20"/>
              <w:bottom w:val="single" w:sz="8" w:color="231F20"/>
            </w:tcBorders>
          </w:tcPr>
          <w:p>
            <w:pPr>
              <w:spacing w:after="0" w:line="147" w:lineRule="exact"/>
              <w:rPr>
                <w:sz w:val="20"/>
                <w:szCs w:val="20"/>
                <w:color w:val="auto"/>
              </w:rPr>
            </w:pPr>
            <w:r>
              <w:rPr>
                <w:rFonts w:ascii="Times New Roman" w:cs="Times New Roman" w:eastAsia="Times New Roman" w:hAnsi="Times New Roman"/>
                <w:sz w:val="14"/>
                <w:szCs w:val="14"/>
                <w:color w:val="231F20"/>
              </w:rPr>
              <w:t>$</w:t>
            </w:r>
          </w:p>
        </w:tc>
        <w:tc>
          <w:tcPr>
            <w:tcW w:w="800" w:type="dxa"/>
            <w:vAlign w:val="bottom"/>
            <w:tcBorders>
              <w:top w:val="single" w:sz="8" w:color="231F20"/>
              <w:bottom w:val="single" w:sz="8" w:color="231F20"/>
            </w:tcBorders>
          </w:tcPr>
          <w:p>
            <w:pPr>
              <w:jc w:val="right"/>
              <w:spacing w:after="0" w:line="147" w:lineRule="exact"/>
              <w:rPr>
                <w:sz w:val="20"/>
                <w:szCs w:val="20"/>
                <w:color w:val="auto"/>
              </w:rPr>
            </w:pPr>
            <w:r>
              <w:rPr>
                <w:rFonts w:ascii="Times New Roman" w:cs="Times New Roman" w:eastAsia="Times New Roman" w:hAnsi="Times New Roman"/>
                <w:sz w:val="14"/>
                <w:szCs w:val="14"/>
                <w:color w:val="231F20"/>
              </w:rPr>
              <w:t>(1,224,372)</w:t>
            </w:r>
          </w:p>
        </w:tc>
        <w:tc>
          <w:tcPr>
            <w:tcW w:w="60" w:type="dxa"/>
            <w:vAlign w:val="bottom"/>
          </w:tcPr>
          <w:p>
            <w:pPr>
              <w:spacing w:after="0"/>
              <w:rPr>
                <w:sz w:val="12"/>
                <w:szCs w:val="12"/>
                <w:color w:val="auto"/>
              </w:rPr>
            </w:pPr>
          </w:p>
        </w:tc>
        <w:tc>
          <w:tcPr>
            <w:tcW w:w="140" w:type="dxa"/>
            <w:vAlign w:val="bottom"/>
            <w:tcBorders>
              <w:top w:val="single" w:sz="8" w:color="231F20"/>
              <w:bottom w:val="single" w:sz="8" w:color="231F20"/>
            </w:tcBorders>
          </w:tcPr>
          <w:p>
            <w:pPr>
              <w:ind w:left="60"/>
              <w:spacing w:after="0" w:line="147" w:lineRule="exact"/>
              <w:rPr>
                <w:sz w:val="20"/>
                <w:szCs w:val="20"/>
                <w:color w:val="auto"/>
              </w:rPr>
            </w:pPr>
            <w:r>
              <w:rPr>
                <w:rFonts w:ascii="Times New Roman" w:cs="Times New Roman" w:eastAsia="Times New Roman" w:hAnsi="Times New Roman"/>
                <w:sz w:val="14"/>
                <w:szCs w:val="14"/>
                <w:color w:val="231F20"/>
                <w:w w:val="85"/>
              </w:rPr>
              <w:t>$</w:t>
            </w:r>
          </w:p>
        </w:tc>
        <w:tc>
          <w:tcPr>
            <w:tcW w:w="1000" w:type="dxa"/>
            <w:vAlign w:val="bottom"/>
            <w:tcBorders>
              <w:top w:val="single" w:sz="8" w:color="231F20"/>
              <w:bottom w:val="single" w:sz="8" w:color="231F20"/>
            </w:tcBorders>
          </w:tcPr>
          <w:p>
            <w:pPr>
              <w:jc w:val="right"/>
              <w:spacing w:after="0" w:line="147" w:lineRule="exact"/>
              <w:rPr>
                <w:sz w:val="20"/>
                <w:szCs w:val="20"/>
                <w:color w:val="auto"/>
              </w:rPr>
            </w:pPr>
            <w:r>
              <w:rPr>
                <w:rFonts w:ascii="Times New Roman" w:cs="Times New Roman" w:eastAsia="Times New Roman" w:hAnsi="Times New Roman"/>
                <w:sz w:val="14"/>
                <w:szCs w:val="14"/>
                <w:color w:val="231F20"/>
              </w:rPr>
              <w:t>2,047</w:t>
            </w:r>
          </w:p>
        </w:tc>
        <w:tc>
          <w:tcPr>
            <w:tcW w:w="80" w:type="dxa"/>
            <w:vAlign w:val="bottom"/>
          </w:tcPr>
          <w:p>
            <w:pPr>
              <w:spacing w:after="0"/>
              <w:rPr>
                <w:sz w:val="12"/>
                <w:szCs w:val="12"/>
                <w:color w:val="auto"/>
              </w:rPr>
            </w:pPr>
          </w:p>
        </w:tc>
        <w:tc>
          <w:tcPr>
            <w:tcW w:w="200" w:type="dxa"/>
            <w:vAlign w:val="bottom"/>
            <w:tcBorders>
              <w:top w:val="single" w:sz="8" w:color="231F20"/>
              <w:bottom w:val="single" w:sz="8" w:color="231F20"/>
            </w:tcBorders>
          </w:tcPr>
          <w:p>
            <w:pPr>
              <w:ind w:left="40"/>
              <w:spacing w:after="0" w:line="147" w:lineRule="exact"/>
              <w:rPr>
                <w:sz w:val="20"/>
                <w:szCs w:val="20"/>
                <w:color w:val="auto"/>
              </w:rPr>
            </w:pPr>
            <w:r>
              <w:rPr>
                <w:rFonts w:ascii="Times New Roman" w:cs="Times New Roman" w:eastAsia="Times New Roman" w:hAnsi="Times New Roman"/>
                <w:sz w:val="14"/>
                <w:szCs w:val="14"/>
                <w:color w:val="231F20"/>
              </w:rPr>
              <w:t>$</w:t>
            </w:r>
          </w:p>
        </w:tc>
        <w:tc>
          <w:tcPr>
            <w:tcW w:w="900" w:type="dxa"/>
            <w:vAlign w:val="bottom"/>
            <w:tcBorders>
              <w:top w:val="single" w:sz="8" w:color="231F20"/>
              <w:bottom w:val="single" w:sz="8" w:color="231F20"/>
            </w:tcBorders>
          </w:tcPr>
          <w:p>
            <w:pPr>
              <w:jc w:val="right"/>
              <w:spacing w:after="0" w:line="147" w:lineRule="exact"/>
              <w:rPr>
                <w:sz w:val="20"/>
                <w:szCs w:val="20"/>
                <w:color w:val="auto"/>
              </w:rPr>
            </w:pPr>
            <w:r>
              <w:rPr>
                <w:rFonts w:ascii="Times New Roman" w:cs="Times New Roman" w:eastAsia="Times New Roman" w:hAnsi="Times New Roman"/>
                <w:sz w:val="14"/>
                <w:szCs w:val="14"/>
                <w:color w:val="231F20"/>
              </w:rPr>
              <w:t>70,255</w:t>
            </w:r>
          </w:p>
        </w:tc>
        <w:tc>
          <w:tcPr>
            <w:tcW w:w="60" w:type="dxa"/>
            <w:vAlign w:val="bottom"/>
          </w:tcPr>
          <w:p>
            <w:pPr>
              <w:spacing w:after="0"/>
              <w:rPr>
                <w:sz w:val="12"/>
                <w:szCs w:val="12"/>
                <w:color w:val="auto"/>
              </w:rPr>
            </w:pPr>
          </w:p>
        </w:tc>
        <w:tc>
          <w:tcPr>
            <w:tcW w:w="220" w:type="dxa"/>
            <w:vAlign w:val="bottom"/>
            <w:tcBorders>
              <w:top w:val="single" w:sz="8" w:color="231F20"/>
              <w:bottom w:val="single" w:sz="8" w:color="231F20"/>
            </w:tcBorders>
          </w:tcPr>
          <w:p>
            <w:pPr>
              <w:jc w:val="right"/>
              <w:ind w:right="28"/>
              <w:spacing w:after="0" w:line="147" w:lineRule="exact"/>
              <w:rPr>
                <w:sz w:val="20"/>
                <w:szCs w:val="20"/>
                <w:color w:val="auto"/>
              </w:rPr>
            </w:pPr>
            <w:r>
              <w:rPr>
                <w:rFonts w:ascii="Times New Roman" w:cs="Times New Roman" w:eastAsia="Times New Roman" w:hAnsi="Times New Roman"/>
                <w:sz w:val="14"/>
                <w:szCs w:val="14"/>
                <w:color w:val="231F20"/>
              </w:rPr>
              <w:t>$</w:t>
            </w:r>
          </w:p>
        </w:tc>
        <w:tc>
          <w:tcPr>
            <w:tcW w:w="860" w:type="dxa"/>
            <w:vAlign w:val="bottom"/>
            <w:tcBorders>
              <w:top w:val="single" w:sz="8" w:color="231F20"/>
              <w:bottom w:val="single" w:sz="8" w:color="231F20"/>
            </w:tcBorders>
          </w:tcPr>
          <w:p>
            <w:pPr>
              <w:jc w:val="right"/>
              <w:spacing w:after="0" w:line="147" w:lineRule="exact"/>
              <w:rPr>
                <w:sz w:val="20"/>
                <w:szCs w:val="20"/>
                <w:color w:val="auto"/>
              </w:rPr>
            </w:pPr>
            <w:r>
              <w:rPr>
                <w:rFonts w:ascii="Times New Roman" w:cs="Times New Roman" w:eastAsia="Times New Roman" w:hAnsi="Times New Roman"/>
                <w:sz w:val="14"/>
                <w:szCs w:val="14"/>
                <w:color w:val="231F20"/>
              </w:rPr>
              <w:t>3,318,986</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70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bottom w:val="single" w:sz="8" w:color="231F20"/>
            </w:tcBorders>
          </w:tcPr>
          <w:p>
            <w:pPr>
              <w:spacing w:after="0" w:line="20" w:lineRule="exact"/>
              <w:rPr>
                <w:sz w:val="1"/>
                <w:szCs w:val="1"/>
                <w:color w:val="auto"/>
              </w:rPr>
            </w:pPr>
          </w:p>
        </w:tc>
        <w:tc>
          <w:tcPr>
            <w:tcW w:w="30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84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231F20"/>
            </w:tcBorders>
          </w:tcPr>
          <w:p>
            <w:pPr>
              <w:spacing w:after="0" w:line="20" w:lineRule="exact"/>
              <w:rPr>
                <w:sz w:val="1"/>
                <w:szCs w:val="1"/>
                <w:color w:val="auto"/>
              </w:rPr>
            </w:pPr>
          </w:p>
        </w:tc>
        <w:tc>
          <w:tcPr>
            <w:tcW w:w="140" w:type="dxa"/>
            <w:vAlign w:val="bottom"/>
            <w:tcBorders>
              <w:bottom w:val="single" w:sz="8" w:color="231F20"/>
            </w:tcBorders>
          </w:tcPr>
          <w:p>
            <w:pPr>
              <w:spacing w:after="0" w:line="20" w:lineRule="exact"/>
              <w:rPr>
                <w:sz w:val="1"/>
                <w:szCs w:val="1"/>
                <w:color w:val="auto"/>
              </w:rPr>
            </w:pPr>
          </w:p>
        </w:tc>
        <w:tc>
          <w:tcPr>
            <w:tcW w:w="80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231F20"/>
            </w:tcBorders>
          </w:tcPr>
          <w:p>
            <w:pPr>
              <w:spacing w:after="0" w:line="20" w:lineRule="exact"/>
              <w:rPr>
                <w:sz w:val="1"/>
                <w:szCs w:val="1"/>
                <w:color w:val="auto"/>
              </w:rPr>
            </w:pPr>
          </w:p>
        </w:tc>
        <w:tc>
          <w:tcPr>
            <w:tcW w:w="100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231F20"/>
            </w:tcBorders>
          </w:tcPr>
          <w:p>
            <w:pPr>
              <w:spacing w:after="0" w:line="20" w:lineRule="exact"/>
              <w:rPr>
                <w:sz w:val="1"/>
                <w:szCs w:val="1"/>
                <w:color w:val="auto"/>
              </w:rPr>
            </w:pPr>
          </w:p>
        </w:tc>
        <w:tc>
          <w:tcPr>
            <w:tcW w:w="90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231F20"/>
            </w:tcBorders>
          </w:tcPr>
          <w:p>
            <w:pPr>
              <w:spacing w:after="0" w:line="20" w:lineRule="exact"/>
              <w:rPr>
                <w:sz w:val="1"/>
                <w:szCs w:val="1"/>
                <w:color w:val="auto"/>
              </w:rPr>
            </w:pPr>
          </w:p>
        </w:tc>
        <w:tc>
          <w:tcPr>
            <w:tcW w:w="86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2998470</wp:posOffset>
            </wp:positionH>
            <wp:positionV relativeFrom="paragraph">
              <wp:posOffset>-6407785</wp:posOffset>
            </wp:positionV>
            <wp:extent cx="4129405" cy="120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1">
                      <a:extLst>
                        <a:ext uri="{28A0092B-C50C-407E-A947-70E740481C1C}"/>
                      </a:extLst>
                    </a:blip>
                    <a:srcRect/>
                    <a:stretch>
                      <a:fillRect/>
                    </a:stretch>
                  </pic:blipFill>
                  <pic:spPr bwMode="auto">
                    <a:xfrm>
                      <a:off x="0" y="0"/>
                      <a:ext cx="4129405" cy="12065"/>
                    </a:xfrm>
                    <a:prstGeom prst="rect">
                      <a:avLst/>
                    </a:prstGeom>
                    <a:noFill/>
                  </pic:spPr>
                </pic:pic>
              </a:graphicData>
            </a:graphic>
          </wp:anchor>
        </w:drawing>
        <w:drawing>
          <wp:anchor simplePos="0" relativeHeight="251657728" behindDoc="1" locked="0" layoutInCell="0" allowOverlap="1">
            <wp:simplePos x="0" y="0"/>
            <wp:positionH relativeFrom="column">
              <wp:posOffset>5081270</wp:posOffset>
            </wp:positionH>
            <wp:positionV relativeFrom="paragraph">
              <wp:posOffset>-6009005</wp:posOffset>
            </wp:positionV>
            <wp:extent cx="1276985" cy="120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2">
                      <a:extLst>
                        <a:ext uri="{28A0092B-C50C-407E-A947-70E740481C1C}"/>
                      </a:extLst>
                    </a:blip>
                    <a:srcRect/>
                    <a:stretch>
                      <a:fillRect/>
                    </a:stretch>
                  </pic:blipFill>
                  <pic:spPr bwMode="auto">
                    <a:xfrm>
                      <a:off x="0" y="0"/>
                      <a:ext cx="1276985" cy="12065"/>
                    </a:xfrm>
                    <a:prstGeom prst="rect">
                      <a:avLst/>
                    </a:prstGeom>
                    <a:noFill/>
                  </pic:spPr>
                </pic:pic>
              </a:graphicData>
            </a:graphic>
          </wp:anchor>
        </w:drawing>
        <w:drawing>
          <wp:anchor simplePos="0" relativeHeight="251657728" behindDoc="1" locked="0" layoutInCell="0" allowOverlap="1">
            <wp:simplePos x="0" y="0"/>
            <wp:positionH relativeFrom="column">
              <wp:posOffset>7903210</wp:posOffset>
            </wp:positionH>
            <wp:positionV relativeFrom="paragraph">
              <wp:posOffset>-5907405</wp:posOffset>
            </wp:positionV>
            <wp:extent cx="704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3">
                      <a:extLst>
                        <a:ext uri="{28A0092B-C50C-407E-A947-70E740481C1C}"/>
                      </a:extLst>
                    </a:blip>
                    <a:srcRect/>
                    <a:stretch>
                      <a:fillRect/>
                    </a:stretch>
                  </pic:blipFill>
                  <pic:spPr bwMode="auto">
                    <a:xfrm>
                      <a:off x="0" y="0"/>
                      <a:ext cx="704850" cy="25400"/>
                    </a:xfrm>
                    <a:prstGeom prst="rect">
                      <a:avLst/>
                    </a:prstGeom>
                    <a:noFill/>
                  </pic:spPr>
                </pic:pic>
              </a:graphicData>
            </a:graphic>
          </wp:anchor>
        </w:drawing>
      </w:r>
    </w:p>
    <w:p>
      <w:pPr>
        <w:jc w:val="center"/>
        <w:ind w:right="60"/>
        <w:spacing w:after="0"/>
        <w:rPr>
          <w:sz w:val="20"/>
          <w:szCs w:val="20"/>
          <w:color w:val="auto"/>
        </w:rPr>
      </w:pPr>
      <w:r>
        <w:rPr>
          <w:rFonts w:ascii="Times New Roman" w:cs="Times New Roman" w:eastAsia="Times New Roman" w:hAnsi="Times New Roman"/>
          <w:sz w:val="17"/>
          <w:szCs w:val="17"/>
          <w:color w:val="231F20"/>
        </w:rPr>
        <w:t>The accompanying notes are an integral part of these consolidated statements.</w:t>
      </w:r>
    </w:p>
    <w:p>
      <w:pPr>
        <w:sectPr>
          <w:pgSz w:w="15480" w:h="11880" w:orient="landscape"/>
          <w:cols w:equalWidth="0" w:num="1">
            <w:col w:w="13540"/>
          </w:cols>
          <w:pgMar w:left="1000" w:top="194" w:right="940" w:bottom="0" w:gutter="0" w:footer="0" w:header="0"/>
        </w:sectPr>
      </w:pPr>
    </w:p>
    <w:p>
      <w:pPr>
        <w:spacing w:after="0" w:line="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9"/>
          <w:szCs w:val="19"/>
          <w:color w:val="231F20"/>
        </w:rPr>
        <w:t>F-10</w:t>
      </w:r>
    </w:p>
    <w:p>
      <w:pPr>
        <w:sectPr>
          <w:pgSz w:w="15480" w:h="11880" w:orient="landscape"/>
          <w:cols w:equalWidth="0" w:num="1">
            <w:col w:w="13540"/>
          </w:cols>
          <w:pgMar w:left="1000" w:top="194" w:right="940" w:bottom="0" w:gutter="0" w:footer="0" w:header="0"/>
          <w:type w:val="continuous"/>
        </w:sectPr>
      </w:pPr>
    </w:p>
    <w:bookmarkStart w:id="74" w:name="page75"/>
    <w:bookmarkEnd w:id="74"/>
    <w:p>
      <w:pPr>
        <w:jc w:val="center"/>
        <w:ind w:right="40"/>
        <w:spacing w:after="0"/>
        <w:rPr>
          <w:sz w:val="20"/>
          <w:szCs w:val="20"/>
          <w:color w:val="auto"/>
        </w:rPr>
      </w:pPr>
      <w:r>
        <w:rPr>
          <w:rFonts w:ascii="Times New Roman" w:cs="Times New Roman" w:eastAsia="Times New Roman" w:hAnsi="Times New Roman"/>
          <w:sz w:val="19"/>
          <w:szCs w:val="19"/>
          <w:b w:val="1"/>
          <w:bCs w:val="1"/>
          <w:color w:val="231F20"/>
        </w:rPr>
        <w:t>Federal Realty Investment Trust</w:t>
      </w:r>
    </w:p>
    <w:p>
      <w:pPr>
        <w:spacing w:after="0" w:line="6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b w:val="1"/>
          <w:bCs w:val="1"/>
          <w:color w:val="231F20"/>
        </w:rPr>
        <w:t>Consolidated Statements of Cash Flows</w:t>
      </w:r>
    </w:p>
    <w:p>
      <w:pPr>
        <w:sectPr>
          <w:pgSz w:w="11880" w:h="15480" w:orient="portrait"/>
          <w:cols w:equalWidth="0" w:num="1">
            <w:col w:w="9680"/>
          </w:cols>
          <w:pgMar w:left="1120" w:top="958"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OPERATING ACTIVITIES</w:t>
      </w:r>
    </w:p>
    <w:p>
      <w:pPr>
        <w:spacing w:after="0" w:line="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color w:val="231F20"/>
        </w:rPr>
        <w:t>Net income</w:t>
      </w:r>
    </w:p>
    <w:p>
      <w:pPr>
        <w:spacing w:after="0" w:line="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color w:val="231F20"/>
        </w:rPr>
        <w:t>Adjustments to reconcile net income to net cash provided by operating activities:</w:t>
      </w:r>
    </w:p>
    <w:p>
      <w:pPr>
        <w:spacing w:after="0" w:line="2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9"/>
          <w:szCs w:val="19"/>
          <w:color w:val="231F20"/>
        </w:rPr>
        <w:t>Depreciation and amortization</w:t>
      </w:r>
    </w:p>
    <w:p>
      <w:pPr>
        <w:spacing w:after="0" w:line="2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9"/>
          <w:szCs w:val="19"/>
          <w:color w:val="231F20"/>
        </w:rPr>
        <w:t>Gain on sale of real estate</w:t>
      </w:r>
    </w:p>
    <w:p>
      <w:pPr>
        <w:spacing w:after="0" w:line="2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9"/>
          <w:szCs w:val="19"/>
          <w:color w:val="231F20"/>
        </w:rPr>
        <w:t>Income from partnerships</w:t>
      </w:r>
    </w:p>
    <w:p>
      <w:pPr>
        <w:spacing w:after="0" w:line="4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9"/>
          <w:szCs w:val="19"/>
          <w:color w:val="231F20"/>
        </w:rPr>
        <w:t>New market tax credit transaction income</w:t>
      </w:r>
    </w:p>
    <w:p>
      <w:pPr>
        <w:spacing w:after="0" w:line="5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9"/>
          <w:szCs w:val="19"/>
          <w:color w:val="231F20"/>
        </w:rPr>
        <w:t>Straight-line rent</w:t>
      </w:r>
    </w:p>
    <w:p>
      <w:pPr>
        <w:spacing w:after="0" w:line="5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9"/>
          <w:szCs w:val="19"/>
          <w:color w:val="231F20"/>
        </w:rPr>
        <w:t>Share-based compensation expense</w:t>
      </w:r>
    </w:p>
    <w:p>
      <w:pPr>
        <w:spacing w:after="0" w:line="5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9"/>
          <w:szCs w:val="19"/>
          <w:color w:val="231F20"/>
        </w:rPr>
        <w:t>Impairment charge</w:t>
      </w:r>
    </w:p>
    <w:p>
      <w:pPr>
        <w:spacing w:after="0" w:line="5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9"/>
          <w:szCs w:val="19"/>
          <w:color w:val="231F20"/>
        </w:rPr>
        <w:t>Other, net</w:t>
      </w:r>
    </w:p>
    <w:p>
      <w:pPr>
        <w:spacing w:after="0" w:line="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color w:val="231F20"/>
        </w:rPr>
        <w:t>Changes in assets and liabilities, net of effects of acquisitions and dispositions:</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5"/>
          <w:szCs w:val="15"/>
          <w:b w:val="1"/>
          <w:bCs w:val="1"/>
          <w:color w:val="231F20"/>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22225</wp:posOffset>
            </wp:positionV>
            <wp:extent cx="1910715" cy="120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4">
                      <a:extLst>
                        <a:ext uri="{28A0092B-C50C-407E-A947-70E740481C1C}"/>
                      </a:extLst>
                    </a:blip>
                    <a:srcRect/>
                    <a:stretch>
                      <a:fillRect/>
                    </a:stretch>
                  </pic:blipFill>
                  <pic:spPr bwMode="auto">
                    <a:xfrm>
                      <a:off x="0" y="0"/>
                      <a:ext cx="1910715" cy="12065"/>
                    </a:xfrm>
                    <a:prstGeom prst="rect">
                      <a:avLst/>
                    </a:prstGeom>
                    <a:noFill/>
                  </pic:spPr>
                </pic:pic>
              </a:graphicData>
            </a:graphic>
          </wp:anchor>
        </w:drawing>
      </w:r>
    </w:p>
    <w:p>
      <w:pPr>
        <w:spacing w:after="0" w:line="36" w:lineRule="exact"/>
        <w:rPr>
          <w:sz w:val="20"/>
          <w:szCs w:val="20"/>
          <w:color w:val="auto"/>
        </w:rPr>
      </w:pPr>
    </w:p>
    <w:p>
      <w:pPr>
        <w:ind w:left="260"/>
        <w:spacing w:after="0"/>
        <w:tabs>
          <w:tab w:leader="none" w:pos="1280" w:val="left"/>
          <w:tab w:leader="none" w:pos="2300" w:val="left"/>
        </w:tabs>
        <w:rPr>
          <w:sz w:val="20"/>
          <w:szCs w:val="20"/>
          <w:color w:val="auto"/>
        </w:rPr>
      </w:pPr>
      <w:r>
        <w:rPr>
          <w:rFonts w:ascii="Times New Roman" w:cs="Times New Roman" w:eastAsia="Times New Roman" w:hAnsi="Times New Roman"/>
          <w:sz w:val="15"/>
          <w:szCs w:val="15"/>
          <w:b w:val="1"/>
          <w:bCs w:val="1"/>
          <w:color w:val="231F20"/>
        </w:rPr>
        <w:t>2025</w:t>
      </w:r>
      <w:r>
        <w:rPr>
          <w:sz w:val="20"/>
          <w:szCs w:val="20"/>
          <w:color w:val="auto"/>
        </w:rPr>
        <w:tab/>
      </w:r>
      <w:r>
        <w:rPr>
          <w:rFonts w:ascii="Times New Roman" w:cs="Times New Roman" w:eastAsia="Times New Roman" w:hAnsi="Times New Roman"/>
          <w:sz w:val="15"/>
          <w:szCs w:val="15"/>
          <w:b w:val="1"/>
          <w:bCs w:val="1"/>
          <w:color w:val="231F20"/>
        </w:rPr>
        <w:t>2024</w:t>
      </w:r>
      <w:r>
        <w:rPr>
          <w:sz w:val="20"/>
          <w:szCs w:val="20"/>
          <w:color w:val="auto"/>
        </w:rPr>
        <w:tab/>
      </w:r>
      <w:r>
        <w:rPr>
          <w:rFonts w:ascii="Times New Roman" w:cs="Times New Roman" w:eastAsia="Times New Roman" w:hAnsi="Times New Roman"/>
          <w:sz w:val="15"/>
          <w:szCs w:val="15"/>
          <w:b w:val="1"/>
          <w:bCs w:val="1"/>
          <w:color w:val="231F20"/>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22225</wp:posOffset>
            </wp:positionV>
            <wp:extent cx="1910715" cy="120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5">
                      <a:extLst>
                        <a:ext uri="{28A0092B-C50C-407E-A947-70E740481C1C}"/>
                      </a:extLst>
                    </a:blip>
                    <a:srcRect/>
                    <a:stretch>
                      <a:fillRect/>
                    </a:stretch>
                  </pic:blipFill>
                  <pic:spPr bwMode="auto">
                    <a:xfrm>
                      <a:off x="0" y="0"/>
                      <a:ext cx="1910715" cy="12065"/>
                    </a:xfrm>
                    <a:prstGeom prst="rect">
                      <a:avLst/>
                    </a:prstGeom>
                    <a:noFill/>
                  </pic:spPr>
                </pic:pic>
              </a:graphicData>
            </a:graphic>
          </wp:anchor>
        </w:drawing>
      </w:r>
    </w:p>
    <w:p>
      <w:pPr>
        <w:spacing w:after="0" w:line="3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5"/>
          <w:szCs w:val="15"/>
          <w:b w:val="1"/>
          <w:bCs w:val="1"/>
          <w:color w:val="231F20"/>
        </w:rPr>
        <w:t>(In thousands)</w:t>
      </w:r>
    </w:p>
    <w:p>
      <w:pPr>
        <w:spacing w:after="0" w:line="268" w:lineRule="exact"/>
        <w:rPr>
          <w:sz w:val="20"/>
          <w:szCs w:val="20"/>
          <w:color w:val="auto"/>
        </w:rPr>
      </w:pPr>
    </w:p>
    <w:p>
      <w:pPr>
        <w:spacing w:after="0"/>
        <w:tabs>
          <w:tab w:leader="none" w:pos="1000" w:val="left"/>
          <w:tab w:leader="none" w:pos="2020" w:val="left"/>
        </w:tabs>
        <w:rPr>
          <w:sz w:val="20"/>
          <w:szCs w:val="20"/>
          <w:color w:val="auto"/>
        </w:rPr>
      </w:pPr>
      <w:r>
        <w:rPr>
          <w:rFonts w:ascii="Times New Roman" w:cs="Times New Roman" w:eastAsia="Times New Roman" w:hAnsi="Times New Roman"/>
          <w:sz w:val="19"/>
          <w:szCs w:val="19"/>
          <w:color w:val="231F20"/>
        </w:rPr>
        <w:t>$ 423,648</w:t>
        <w:tab/>
        <w:t>$ 304,334</w:t>
        <w:tab/>
        <w:t>$ 247,217</w:t>
      </w:r>
    </w:p>
    <w:p>
      <w:pPr>
        <w:spacing w:after="0" w:line="266" w:lineRule="exact"/>
        <w:rPr>
          <w:sz w:val="20"/>
          <w:szCs w:val="20"/>
          <w:color w:val="auto"/>
        </w:rPr>
      </w:pPr>
    </w:p>
    <w:p>
      <w:pPr>
        <w:ind w:left="200"/>
        <w:spacing w:after="0"/>
        <w:tabs>
          <w:tab w:leader="none" w:pos="1200" w:val="left"/>
          <w:tab w:leader="none" w:pos="2240" w:val="left"/>
        </w:tabs>
        <w:rPr>
          <w:sz w:val="20"/>
          <w:szCs w:val="20"/>
          <w:color w:val="auto"/>
        </w:rPr>
      </w:pPr>
      <w:r>
        <w:rPr>
          <w:rFonts w:ascii="Times New Roman" w:cs="Times New Roman" w:eastAsia="Times New Roman" w:hAnsi="Times New Roman"/>
          <w:sz w:val="19"/>
          <w:szCs w:val="19"/>
          <w:color w:val="231F20"/>
        </w:rPr>
        <w:t>367,842</w:t>
      </w:r>
      <w:r>
        <w:rPr>
          <w:sz w:val="20"/>
          <w:szCs w:val="20"/>
          <w:color w:val="auto"/>
        </w:rPr>
        <w:tab/>
      </w:r>
      <w:r>
        <w:rPr>
          <w:rFonts w:ascii="Times New Roman" w:cs="Times New Roman" w:eastAsia="Times New Roman" w:hAnsi="Times New Roman"/>
          <w:sz w:val="19"/>
          <w:szCs w:val="19"/>
          <w:color w:val="231F20"/>
        </w:rPr>
        <w:t>342,598</w:t>
      </w:r>
      <w:r>
        <w:rPr>
          <w:sz w:val="20"/>
          <w:szCs w:val="20"/>
          <w:color w:val="auto"/>
        </w:rPr>
        <w:tab/>
      </w:r>
      <w:r>
        <w:rPr>
          <w:rFonts w:ascii="Times New Roman" w:cs="Times New Roman" w:eastAsia="Times New Roman" w:hAnsi="Times New Roman"/>
          <w:sz w:val="19"/>
          <w:szCs w:val="19"/>
          <w:color w:val="231F20"/>
        </w:rPr>
        <w:t>321,763</w:t>
      </w:r>
    </w:p>
    <w:p>
      <w:pPr>
        <w:spacing w:after="0" w:line="31" w:lineRule="exact"/>
        <w:rPr>
          <w:sz w:val="20"/>
          <w:szCs w:val="20"/>
          <w:color w:val="auto"/>
        </w:rPr>
      </w:pPr>
    </w:p>
    <w:p>
      <w:pPr>
        <w:ind w:left="140"/>
        <w:spacing w:after="0"/>
        <w:tabs>
          <w:tab w:leader="none" w:pos="1240" w:val="left"/>
          <w:tab w:leader="none" w:pos="2360" w:val="left"/>
        </w:tabs>
        <w:rPr>
          <w:sz w:val="20"/>
          <w:szCs w:val="20"/>
          <w:color w:val="auto"/>
        </w:rPr>
      </w:pPr>
      <w:r>
        <w:rPr>
          <w:rFonts w:ascii="Times New Roman" w:cs="Times New Roman" w:eastAsia="Times New Roman" w:hAnsi="Times New Roman"/>
          <w:sz w:val="19"/>
          <w:szCs w:val="19"/>
          <w:color w:val="231F20"/>
        </w:rPr>
        <w:t>(150,111)</w:t>
      </w:r>
      <w:r>
        <w:rPr>
          <w:sz w:val="20"/>
          <w:szCs w:val="20"/>
          <w:color w:val="auto"/>
        </w:rPr>
        <w:tab/>
      </w:r>
      <w:r>
        <w:rPr>
          <w:rFonts w:ascii="Times New Roman" w:cs="Times New Roman" w:eastAsia="Times New Roman" w:hAnsi="Times New Roman"/>
          <w:sz w:val="19"/>
          <w:szCs w:val="19"/>
          <w:color w:val="231F20"/>
        </w:rPr>
        <w:t>(54,040)</w:t>
      </w:r>
      <w:r>
        <w:rPr>
          <w:sz w:val="20"/>
          <w:szCs w:val="20"/>
          <w:color w:val="auto"/>
        </w:rPr>
        <w:tab/>
      </w:r>
      <w:r>
        <w:rPr>
          <w:rFonts w:ascii="Times New Roman" w:cs="Times New Roman" w:eastAsia="Times New Roman" w:hAnsi="Times New Roman"/>
          <w:sz w:val="19"/>
          <w:szCs w:val="19"/>
          <w:color w:val="231F20"/>
        </w:rPr>
        <w:t>(9,881)</w:t>
      </w:r>
    </w:p>
    <w:p>
      <w:pPr>
        <w:spacing w:after="0" w:line="45" w:lineRule="exact"/>
        <w:rPr>
          <w:sz w:val="20"/>
          <w:szCs w:val="20"/>
          <w:color w:val="auto"/>
        </w:rPr>
      </w:pPr>
    </w:p>
    <w:p>
      <w:pPr>
        <w:jc w:val="both"/>
        <w:ind w:left="320"/>
        <w:spacing w:after="0"/>
        <w:tabs>
          <w:tab w:leader="none" w:pos="1340" w:val="left"/>
          <w:tab w:leader="none" w:pos="2360" w:val="left"/>
        </w:tabs>
        <w:rPr>
          <w:sz w:val="20"/>
          <w:szCs w:val="20"/>
          <w:color w:val="auto"/>
        </w:rPr>
      </w:pPr>
      <w:r>
        <w:rPr>
          <w:rFonts w:ascii="Times New Roman" w:cs="Times New Roman" w:eastAsia="Times New Roman" w:hAnsi="Times New Roman"/>
          <w:sz w:val="19"/>
          <w:szCs w:val="19"/>
          <w:color w:val="231F20"/>
        </w:rPr>
        <w:t>(1,920)</w:t>
      </w:r>
      <w:r>
        <w:rPr>
          <w:sz w:val="20"/>
          <w:szCs w:val="20"/>
          <w:color w:val="auto"/>
        </w:rPr>
        <w:tab/>
      </w:r>
      <w:r>
        <w:rPr>
          <w:rFonts w:ascii="Times New Roman" w:cs="Times New Roman" w:eastAsia="Times New Roman" w:hAnsi="Times New Roman"/>
          <w:sz w:val="19"/>
          <w:szCs w:val="19"/>
          <w:color w:val="231F20"/>
        </w:rPr>
        <w:t>(3,160)</w:t>
      </w:r>
      <w:r>
        <w:rPr>
          <w:sz w:val="20"/>
          <w:szCs w:val="20"/>
          <w:color w:val="auto"/>
        </w:rPr>
        <w:tab/>
      </w:r>
      <w:r>
        <w:rPr>
          <w:rFonts w:ascii="Times New Roman" w:cs="Times New Roman" w:eastAsia="Times New Roman" w:hAnsi="Times New Roman"/>
          <w:sz w:val="19"/>
          <w:szCs w:val="19"/>
          <w:color w:val="231F20"/>
        </w:rPr>
        <w:t>(3,869)</w:t>
      </w:r>
    </w:p>
    <w:p>
      <w:pPr>
        <w:spacing w:after="0" w:line="52" w:lineRule="exact"/>
        <w:rPr>
          <w:sz w:val="20"/>
          <w:szCs w:val="20"/>
          <w:color w:val="auto"/>
        </w:rPr>
      </w:pPr>
    </w:p>
    <w:p>
      <w:pPr>
        <w:ind w:left="240"/>
        <w:spacing w:after="0"/>
        <w:tabs>
          <w:tab w:leader="none" w:pos="1640" w:val="left"/>
          <w:tab w:leader="none" w:pos="2660" w:val="left"/>
        </w:tabs>
        <w:rPr>
          <w:sz w:val="20"/>
          <w:szCs w:val="20"/>
          <w:color w:val="auto"/>
        </w:rPr>
      </w:pPr>
      <w:r>
        <w:rPr>
          <w:rFonts w:ascii="Times New Roman" w:cs="Times New Roman" w:eastAsia="Times New Roman" w:hAnsi="Times New Roman"/>
          <w:sz w:val="19"/>
          <w:szCs w:val="19"/>
          <w:color w:val="231F20"/>
        </w:rPr>
        <w:t>(14,176)</w:t>
      </w:r>
      <w:r>
        <w:rPr>
          <w:sz w:val="20"/>
          <w:szCs w:val="20"/>
          <w:color w:val="auto"/>
        </w:rPr>
        <w:tab/>
      </w:r>
      <w:r>
        <w:rPr>
          <w:rFonts w:ascii="Times New Roman" w:cs="Times New Roman" w:eastAsia="Times New Roman" w:hAnsi="Times New Roman"/>
          <w:sz w:val="19"/>
          <w:szCs w:val="19"/>
          <w:color w:val="231F20"/>
        </w:rPr>
        <w:t>—</w:t>
      </w:r>
      <w:r>
        <w:rPr>
          <w:sz w:val="20"/>
          <w:szCs w:val="20"/>
          <w:color w:val="auto"/>
        </w:rPr>
        <w:tab/>
      </w:r>
      <w:r>
        <w:rPr>
          <w:rFonts w:ascii="Times New Roman" w:cs="Times New Roman" w:eastAsia="Times New Roman" w:hAnsi="Times New Roman"/>
          <w:sz w:val="19"/>
          <w:szCs w:val="19"/>
          <w:color w:val="231F20"/>
        </w:rPr>
        <w:t>—</w:t>
      </w:r>
    </w:p>
    <w:p>
      <w:pPr>
        <w:spacing w:after="0" w:line="52" w:lineRule="exact"/>
        <w:rPr>
          <w:sz w:val="20"/>
          <w:szCs w:val="20"/>
          <w:color w:val="auto"/>
        </w:rPr>
      </w:pPr>
    </w:p>
    <w:p>
      <w:pPr>
        <w:ind w:left="240"/>
        <w:spacing w:after="0"/>
        <w:tabs>
          <w:tab w:leader="none" w:pos="1240" w:val="left"/>
          <w:tab w:leader="none" w:pos="2260" w:val="left"/>
        </w:tabs>
        <w:rPr>
          <w:sz w:val="20"/>
          <w:szCs w:val="20"/>
          <w:color w:val="auto"/>
        </w:rPr>
      </w:pPr>
      <w:r>
        <w:rPr>
          <w:rFonts w:ascii="Times New Roman" w:cs="Times New Roman" w:eastAsia="Times New Roman" w:hAnsi="Times New Roman"/>
          <w:sz w:val="19"/>
          <w:szCs w:val="19"/>
          <w:color w:val="231F20"/>
        </w:rPr>
        <w:t>(27,976)</w:t>
      </w:r>
      <w:r>
        <w:rPr>
          <w:sz w:val="20"/>
          <w:szCs w:val="20"/>
          <w:color w:val="auto"/>
        </w:rPr>
        <w:tab/>
      </w:r>
      <w:r>
        <w:rPr>
          <w:rFonts w:ascii="Times New Roman" w:cs="Times New Roman" w:eastAsia="Times New Roman" w:hAnsi="Times New Roman"/>
          <w:sz w:val="19"/>
          <w:szCs w:val="19"/>
          <w:color w:val="231F20"/>
        </w:rPr>
        <w:t>(26,833)</w:t>
      </w:r>
      <w:r>
        <w:rPr>
          <w:sz w:val="20"/>
          <w:szCs w:val="20"/>
          <w:color w:val="auto"/>
        </w:rPr>
        <w:tab/>
      </w:r>
      <w:r>
        <w:rPr>
          <w:rFonts w:ascii="Times New Roman" w:cs="Times New Roman" w:eastAsia="Times New Roman" w:hAnsi="Times New Roman"/>
          <w:sz w:val="19"/>
          <w:szCs w:val="19"/>
          <w:color w:val="231F20"/>
        </w:rPr>
        <w:t>(11,576)</w:t>
      </w:r>
    </w:p>
    <w:p>
      <w:pPr>
        <w:spacing w:after="0" w:line="52" w:lineRule="exact"/>
        <w:rPr>
          <w:sz w:val="20"/>
          <w:szCs w:val="20"/>
          <w:color w:val="auto"/>
        </w:rPr>
      </w:pPr>
    </w:p>
    <w:p>
      <w:pPr>
        <w:ind w:left="300"/>
        <w:spacing w:after="0"/>
        <w:tabs>
          <w:tab w:leader="none" w:pos="1300" w:val="left"/>
          <w:tab w:leader="none" w:pos="2320" w:val="left"/>
        </w:tabs>
        <w:rPr>
          <w:sz w:val="20"/>
          <w:szCs w:val="20"/>
          <w:color w:val="auto"/>
        </w:rPr>
      </w:pPr>
      <w:r>
        <w:rPr>
          <w:rFonts w:ascii="Times New Roman" w:cs="Times New Roman" w:eastAsia="Times New Roman" w:hAnsi="Times New Roman"/>
          <w:sz w:val="19"/>
          <w:szCs w:val="19"/>
          <w:color w:val="231F20"/>
        </w:rPr>
        <w:t>14,608</w:t>
      </w:r>
      <w:r>
        <w:rPr>
          <w:sz w:val="20"/>
          <w:szCs w:val="20"/>
          <w:color w:val="auto"/>
        </w:rPr>
        <w:tab/>
      </w:r>
      <w:r>
        <w:rPr>
          <w:rFonts w:ascii="Times New Roman" w:cs="Times New Roman" w:eastAsia="Times New Roman" w:hAnsi="Times New Roman"/>
          <w:sz w:val="19"/>
          <w:szCs w:val="19"/>
          <w:color w:val="231F20"/>
        </w:rPr>
        <w:t>16,357</w:t>
      </w:r>
      <w:r>
        <w:rPr>
          <w:sz w:val="20"/>
          <w:szCs w:val="20"/>
          <w:color w:val="auto"/>
        </w:rPr>
        <w:tab/>
      </w:r>
      <w:r>
        <w:rPr>
          <w:rFonts w:ascii="Times New Roman" w:cs="Times New Roman" w:eastAsia="Times New Roman" w:hAnsi="Times New Roman"/>
          <w:sz w:val="19"/>
          <w:szCs w:val="19"/>
          <w:color w:val="231F20"/>
        </w:rPr>
        <w:t>14,308</w:t>
      </w:r>
    </w:p>
    <w:p>
      <w:pPr>
        <w:spacing w:after="0" w:line="52" w:lineRule="exact"/>
        <w:rPr>
          <w:sz w:val="20"/>
          <w:szCs w:val="20"/>
          <w:color w:val="auto"/>
        </w:rPr>
      </w:pPr>
    </w:p>
    <w:p>
      <w:pPr>
        <w:ind w:left="400"/>
        <w:spacing w:after="0"/>
        <w:tabs>
          <w:tab w:leader="none" w:pos="1640" w:val="left"/>
          <w:tab w:leader="none" w:pos="2660" w:val="left"/>
        </w:tabs>
        <w:rPr>
          <w:sz w:val="20"/>
          <w:szCs w:val="20"/>
          <w:color w:val="auto"/>
        </w:rPr>
      </w:pPr>
      <w:r>
        <w:rPr>
          <w:rFonts w:ascii="Times New Roman" w:cs="Times New Roman" w:eastAsia="Times New Roman" w:hAnsi="Times New Roman"/>
          <w:sz w:val="19"/>
          <w:szCs w:val="19"/>
          <w:color w:val="231F20"/>
        </w:rPr>
        <w:t>7,425</w:t>
      </w:r>
      <w:r>
        <w:rPr>
          <w:sz w:val="20"/>
          <w:szCs w:val="20"/>
          <w:color w:val="auto"/>
        </w:rPr>
        <w:tab/>
      </w:r>
      <w:r>
        <w:rPr>
          <w:rFonts w:ascii="Times New Roman" w:cs="Times New Roman" w:eastAsia="Times New Roman" w:hAnsi="Times New Roman"/>
          <w:sz w:val="19"/>
          <w:szCs w:val="19"/>
          <w:color w:val="231F20"/>
        </w:rPr>
        <w:t>—</w:t>
      </w:r>
      <w:r>
        <w:rPr>
          <w:sz w:val="20"/>
          <w:szCs w:val="20"/>
          <w:color w:val="auto"/>
        </w:rPr>
        <w:tab/>
      </w:r>
      <w:r>
        <w:rPr>
          <w:rFonts w:ascii="Times New Roman" w:cs="Times New Roman" w:eastAsia="Times New Roman" w:hAnsi="Times New Roman"/>
          <w:sz w:val="19"/>
          <w:szCs w:val="19"/>
          <w:color w:val="231F20"/>
        </w:rPr>
        <w:t>—</w:t>
      </w:r>
    </w:p>
    <w:p>
      <w:pPr>
        <w:spacing w:after="0" w:line="52" w:lineRule="exact"/>
        <w:rPr>
          <w:sz w:val="20"/>
          <w:szCs w:val="20"/>
          <w:color w:val="auto"/>
        </w:rPr>
      </w:pPr>
    </w:p>
    <w:p>
      <w:pPr>
        <w:jc w:val="both"/>
        <w:ind w:left="320"/>
        <w:spacing w:after="0"/>
        <w:tabs>
          <w:tab w:leader="none" w:pos="1340" w:val="left"/>
          <w:tab w:leader="none" w:pos="2360" w:val="left"/>
        </w:tabs>
        <w:rPr>
          <w:sz w:val="20"/>
          <w:szCs w:val="20"/>
          <w:color w:val="auto"/>
        </w:rPr>
      </w:pPr>
      <w:r>
        <w:rPr>
          <w:rFonts w:ascii="Times New Roman" w:cs="Times New Roman" w:eastAsia="Times New Roman" w:hAnsi="Times New Roman"/>
          <w:sz w:val="19"/>
          <w:szCs w:val="19"/>
          <w:color w:val="231F20"/>
        </w:rPr>
        <w:t>(3,114)</w:t>
      </w:r>
      <w:r>
        <w:rPr>
          <w:sz w:val="20"/>
          <w:szCs w:val="20"/>
          <w:color w:val="auto"/>
        </w:rPr>
        <w:tab/>
      </w:r>
      <w:r>
        <w:rPr>
          <w:rFonts w:ascii="Times New Roman" w:cs="Times New Roman" w:eastAsia="Times New Roman" w:hAnsi="Times New Roman"/>
          <w:sz w:val="19"/>
          <w:szCs w:val="19"/>
          <w:color w:val="231F20"/>
        </w:rPr>
        <w:t>(2,158)</w:t>
      </w:r>
      <w:r>
        <w:rPr>
          <w:sz w:val="20"/>
          <w:szCs w:val="20"/>
          <w:color w:val="auto"/>
        </w:rPr>
        <w:tab/>
      </w:r>
      <w:r>
        <w:rPr>
          <w:rFonts w:ascii="Times New Roman" w:cs="Times New Roman" w:eastAsia="Times New Roman" w:hAnsi="Times New Roman"/>
          <w:sz w:val="19"/>
          <w:szCs w:val="19"/>
          <w:color w:val="231F20"/>
        </w:rPr>
        <w:t>(4,959)</w:t>
      </w:r>
    </w:p>
    <w:p>
      <w:pPr>
        <w:spacing w:after="0" w:line="318" w:lineRule="exact"/>
        <w:rPr>
          <w:sz w:val="20"/>
          <w:szCs w:val="20"/>
          <w:color w:val="auto"/>
        </w:rPr>
      </w:pPr>
    </w:p>
    <w:p>
      <w:pPr>
        <w:sectPr>
          <w:pgSz w:w="11880" w:h="15480" w:orient="portrait"/>
          <w:cols w:equalWidth="0" w:num="2">
            <w:col w:w="6500" w:space="240"/>
            <w:col w:w="2940"/>
          </w:cols>
          <w:pgMar w:left="1120" w:top="958" w:right="1080" w:bottom="0" w:gutter="0" w:footer="0" w:header="0"/>
          <w:type w:val="continuous"/>
        </w:sectPr>
      </w:pPr>
    </w:p>
    <w:tbl>
      <w:tblPr>
        <w:tblLayout w:type="fixed"/>
        <w:tblInd w:w="0" w:type="dxa"/>
        <w:tblCellMar>
          <w:top w:w="0" w:type="dxa"/>
          <w:left w:w="0" w:type="dxa"/>
          <w:bottom w:w="0" w:type="dxa"/>
          <w:right w:w="0" w:type="dxa"/>
        </w:tblCellMar>
      </w:tblPr>
      <w:tr>
        <w:trPr>
          <w:trHeight w:val="269"/>
        </w:trPr>
        <w:tc>
          <w:tcPr>
            <w:tcW w:w="6680" w:type="dxa"/>
            <w:vAlign w:val="bottom"/>
          </w:tcPr>
          <w:p>
            <w:pPr>
              <w:ind w:left="680"/>
              <w:spacing w:after="0"/>
              <w:rPr>
                <w:sz w:val="20"/>
                <w:szCs w:val="20"/>
                <w:color w:val="auto"/>
              </w:rPr>
            </w:pPr>
            <w:r>
              <w:rPr>
                <w:rFonts w:ascii="Times New Roman" w:cs="Times New Roman" w:eastAsia="Times New Roman" w:hAnsi="Times New Roman"/>
                <w:sz w:val="19"/>
                <w:szCs w:val="19"/>
                <w:color w:val="231F20"/>
              </w:rPr>
              <w:t>Decrease (increase) in accounts receivable, net</w:t>
            </w: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2,417</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(796)</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3,468</w:t>
            </w:r>
          </w:p>
        </w:tc>
        <w:tc>
          <w:tcPr>
            <w:tcW w:w="0" w:type="dxa"/>
            <w:vAlign w:val="bottom"/>
          </w:tcPr>
          <w:p>
            <w:pPr>
              <w:spacing w:after="0"/>
              <w:rPr>
                <w:sz w:val="1"/>
                <w:szCs w:val="1"/>
                <w:color w:val="auto"/>
              </w:rPr>
            </w:pPr>
          </w:p>
        </w:tc>
      </w:tr>
      <w:tr>
        <w:trPr>
          <w:trHeight w:val="271"/>
        </w:trPr>
        <w:tc>
          <w:tcPr>
            <w:tcW w:w="6680" w:type="dxa"/>
            <w:vAlign w:val="bottom"/>
          </w:tcPr>
          <w:p>
            <w:pPr>
              <w:ind w:left="680"/>
              <w:spacing w:after="0"/>
              <w:rPr>
                <w:sz w:val="20"/>
                <w:szCs w:val="20"/>
                <w:color w:val="auto"/>
              </w:rPr>
            </w:pPr>
            <w:r>
              <w:rPr>
                <w:rFonts w:ascii="Times New Roman" w:cs="Times New Roman" w:eastAsia="Times New Roman" w:hAnsi="Times New Roman"/>
                <w:sz w:val="19"/>
                <w:szCs w:val="19"/>
                <w:color w:val="231F20"/>
              </w:rPr>
              <w:t>Increase in prepaid expenses and other assets</w:t>
            </w: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(4,766)</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(5,030)</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(6,881)</w:t>
            </w:r>
          </w:p>
        </w:tc>
        <w:tc>
          <w:tcPr>
            <w:tcW w:w="0" w:type="dxa"/>
            <w:vAlign w:val="bottom"/>
          </w:tcPr>
          <w:p>
            <w:pPr>
              <w:spacing w:after="0"/>
              <w:rPr>
                <w:sz w:val="1"/>
                <w:szCs w:val="1"/>
                <w:color w:val="auto"/>
              </w:rPr>
            </w:pPr>
          </w:p>
        </w:tc>
      </w:tr>
      <w:tr>
        <w:trPr>
          <w:trHeight w:val="271"/>
        </w:trPr>
        <w:tc>
          <w:tcPr>
            <w:tcW w:w="6680" w:type="dxa"/>
            <w:vAlign w:val="bottom"/>
          </w:tcPr>
          <w:p>
            <w:pPr>
              <w:ind w:left="680"/>
              <w:spacing w:after="0"/>
              <w:rPr>
                <w:sz w:val="20"/>
                <w:szCs w:val="20"/>
                <w:color w:val="auto"/>
              </w:rPr>
            </w:pPr>
            <w:r>
              <w:rPr>
                <w:rFonts w:ascii="Times New Roman" w:cs="Times New Roman" w:eastAsia="Times New Roman" w:hAnsi="Times New Roman"/>
                <w:sz w:val="19"/>
                <w:szCs w:val="19"/>
                <w:color w:val="231F20"/>
              </w:rPr>
              <w:t>Increase in accounts payable and accrued expenses</w:t>
            </w: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5,588</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1,550</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6,005</w:t>
            </w:r>
          </w:p>
        </w:tc>
        <w:tc>
          <w:tcPr>
            <w:tcW w:w="0" w:type="dxa"/>
            <w:vAlign w:val="bottom"/>
          </w:tcPr>
          <w:p>
            <w:pPr>
              <w:spacing w:after="0"/>
              <w:rPr>
                <w:sz w:val="1"/>
                <w:szCs w:val="1"/>
                <w:color w:val="auto"/>
              </w:rPr>
            </w:pPr>
          </w:p>
        </w:tc>
      </w:tr>
      <w:tr>
        <w:trPr>
          <w:trHeight w:val="272"/>
        </w:trPr>
        <w:tc>
          <w:tcPr>
            <w:tcW w:w="6680" w:type="dxa"/>
            <w:vAlign w:val="bottom"/>
          </w:tcPr>
          <w:p>
            <w:pPr>
              <w:ind w:left="680"/>
              <w:spacing w:after="0"/>
              <w:rPr>
                <w:sz w:val="20"/>
                <w:szCs w:val="20"/>
                <w:color w:val="auto"/>
              </w:rPr>
            </w:pPr>
            <w:r>
              <w:rPr>
                <w:rFonts w:ascii="Times New Roman" w:cs="Times New Roman" w:eastAsia="Times New Roman" w:hAnsi="Times New Roman"/>
                <w:sz w:val="19"/>
                <w:szCs w:val="19"/>
                <w:color w:val="231F20"/>
              </w:rPr>
              <w:t>Increase in security deposits and other liabilities</w:t>
            </w:r>
          </w:p>
        </w:tc>
        <w:tc>
          <w:tcPr>
            <w:tcW w:w="9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2,913</w:t>
            </w:r>
          </w:p>
        </w:tc>
        <w:tc>
          <w:tcPr>
            <w:tcW w:w="60" w:type="dxa"/>
            <w:vAlign w:val="bottom"/>
          </w:tcPr>
          <w:p>
            <w:pPr>
              <w:spacing w:after="0"/>
              <w:rPr>
                <w:sz w:val="23"/>
                <w:szCs w:val="23"/>
                <w:color w:val="auto"/>
              </w:rPr>
            </w:pPr>
          </w:p>
        </w:tc>
        <w:tc>
          <w:tcPr>
            <w:tcW w:w="9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1,741</w:t>
            </w:r>
          </w:p>
        </w:tc>
        <w:tc>
          <w:tcPr>
            <w:tcW w:w="80" w:type="dxa"/>
            <w:vAlign w:val="bottom"/>
          </w:tcPr>
          <w:p>
            <w:pPr>
              <w:spacing w:after="0"/>
              <w:rPr>
                <w:sz w:val="23"/>
                <w:szCs w:val="23"/>
                <w:color w:val="auto"/>
              </w:rPr>
            </w:pPr>
          </w:p>
        </w:tc>
        <w:tc>
          <w:tcPr>
            <w:tcW w:w="9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235</w:t>
            </w:r>
          </w:p>
        </w:tc>
        <w:tc>
          <w:tcPr>
            <w:tcW w:w="0" w:type="dxa"/>
            <w:vAlign w:val="bottom"/>
          </w:tcPr>
          <w:p>
            <w:pPr>
              <w:spacing w:after="0"/>
              <w:rPr>
                <w:sz w:val="1"/>
                <w:szCs w:val="1"/>
                <w:color w:val="auto"/>
              </w:rPr>
            </w:pPr>
          </w:p>
        </w:tc>
      </w:tr>
      <w:tr>
        <w:trPr>
          <w:trHeight w:val="250"/>
        </w:trPr>
        <w:tc>
          <w:tcPr>
            <w:tcW w:w="6680" w:type="dxa"/>
            <w:vAlign w:val="bottom"/>
          </w:tcPr>
          <w:p>
            <w:pPr>
              <w:ind w:left="340"/>
              <w:spacing w:after="0"/>
              <w:rPr>
                <w:sz w:val="20"/>
                <w:szCs w:val="20"/>
                <w:color w:val="auto"/>
              </w:rPr>
            </w:pPr>
            <w:r>
              <w:rPr>
                <w:rFonts w:ascii="Times New Roman" w:cs="Times New Roman" w:eastAsia="Times New Roman" w:hAnsi="Times New Roman"/>
                <w:sz w:val="19"/>
                <w:szCs w:val="19"/>
                <w:color w:val="231F20"/>
              </w:rPr>
              <w:t>Net cash provided by operating activities</w:t>
            </w: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622,378</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574,563</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555,830</w:t>
            </w:r>
          </w:p>
        </w:tc>
        <w:tc>
          <w:tcPr>
            <w:tcW w:w="0" w:type="dxa"/>
            <w:vAlign w:val="bottom"/>
          </w:tcPr>
          <w:p>
            <w:pPr>
              <w:spacing w:after="0"/>
              <w:rPr>
                <w:sz w:val="1"/>
                <w:szCs w:val="1"/>
                <w:color w:val="auto"/>
              </w:rPr>
            </w:pPr>
          </w:p>
        </w:tc>
      </w:tr>
      <w:tr>
        <w:trPr>
          <w:trHeight w:val="244"/>
        </w:trPr>
        <w:tc>
          <w:tcPr>
            <w:tcW w:w="6680" w:type="dxa"/>
            <w:vAlign w:val="bottom"/>
          </w:tcPr>
          <w:p>
            <w:pPr>
              <w:spacing w:after="0"/>
              <w:rPr>
                <w:sz w:val="20"/>
                <w:szCs w:val="20"/>
                <w:color w:val="auto"/>
              </w:rPr>
            </w:pPr>
            <w:r>
              <w:rPr>
                <w:rFonts w:ascii="Times New Roman" w:cs="Times New Roman" w:eastAsia="Times New Roman" w:hAnsi="Times New Roman"/>
                <w:sz w:val="19"/>
                <w:szCs w:val="19"/>
                <w:color w:val="231F20"/>
              </w:rPr>
              <w:t>INVESTING ACTIVITIES</w:t>
            </w: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6680" w:type="dxa"/>
            <w:vAlign w:val="bottom"/>
          </w:tcPr>
          <w:p>
            <w:pPr>
              <w:ind w:left="340"/>
              <w:spacing w:after="0"/>
              <w:rPr>
                <w:sz w:val="20"/>
                <w:szCs w:val="20"/>
                <w:color w:val="auto"/>
              </w:rPr>
            </w:pPr>
            <w:r>
              <w:rPr>
                <w:rFonts w:ascii="Times New Roman" w:cs="Times New Roman" w:eastAsia="Times New Roman" w:hAnsi="Times New Roman"/>
                <w:sz w:val="19"/>
                <w:szCs w:val="19"/>
                <w:color w:val="231F20"/>
              </w:rPr>
              <w:t>Acquisition of real estate</w:t>
            </w: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(735,274)</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(273,927)</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(60,628)</w:t>
            </w:r>
          </w:p>
        </w:tc>
        <w:tc>
          <w:tcPr>
            <w:tcW w:w="0" w:type="dxa"/>
            <w:vAlign w:val="bottom"/>
          </w:tcPr>
          <w:p>
            <w:pPr>
              <w:spacing w:after="0"/>
              <w:rPr>
                <w:sz w:val="1"/>
                <w:szCs w:val="1"/>
                <w:color w:val="auto"/>
              </w:rPr>
            </w:pPr>
          </w:p>
        </w:tc>
      </w:tr>
      <w:tr>
        <w:trPr>
          <w:trHeight w:val="271"/>
        </w:trPr>
        <w:tc>
          <w:tcPr>
            <w:tcW w:w="6680" w:type="dxa"/>
            <w:vAlign w:val="bottom"/>
          </w:tcPr>
          <w:p>
            <w:pPr>
              <w:ind w:left="340"/>
              <w:spacing w:after="0"/>
              <w:rPr>
                <w:sz w:val="20"/>
                <w:szCs w:val="20"/>
                <w:color w:val="auto"/>
              </w:rPr>
            </w:pPr>
            <w:r>
              <w:rPr>
                <w:rFonts w:ascii="Times New Roman" w:cs="Times New Roman" w:eastAsia="Times New Roman" w:hAnsi="Times New Roman"/>
                <w:sz w:val="19"/>
                <w:szCs w:val="19"/>
                <w:color w:val="231F20"/>
              </w:rPr>
              <w:t>Capital expenditures - development and redevelopment</w:t>
            </w: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(179,086)</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(139,534)</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(214,062)</w:t>
            </w:r>
          </w:p>
        </w:tc>
        <w:tc>
          <w:tcPr>
            <w:tcW w:w="0" w:type="dxa"/>
            <w:vAlign w:val="bottom"/>
          </w:tcPr>
          <w:p>
            <w:pPr>
              <w:spacing w:after="0"/>
              <w:rPr>
                <w:sz w:val="1"/>
                <w:szCs w:val="1"/>
                <w:color w:val="auto"/>
              </w:rPr>
            </w:pPr>
          </w:p>
        </w:tc>
      </w:tr>
      <w:tr>
        <w:trPr>
          <w:trHeight w:val="271"/>
        </w:trPr>
        <w:tc>
          <w:tcPr>
            <w:tcW w:w="6680" w:type="dxa"/>
            <w:vAlign w:val="bottom"/>
          </w:tcPr>
          <w:p>
            <w:pPr>
              <w:ind w:left="340"/>
              <w:spacing w:after="0"/>
              <w:rPr>
                <w:sz w:val="20"/>
                <w:szCs w:val="20"/>
                <w:color w:val="auto"/>
              </w:rPr>
            </w:pPr>
            <w:r>
              <w:rPr>
                <w:rFonts w:ascii="Times New Roman" w:cs="Times New Roman" w:eastAsia="Times New Roman" w:hAnsi="Times New Roman"/>
                <w:sz w:val="19"/>
                <w:szCs w:val="19"/>
                <w:color w:val="231F20"/>
              </w:rPr>
              <w:t>Capital expenditures - other</w:t>
            </w: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(112,252)</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(107,226)</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(97,058)</w:t>
            </w:r>
          </w:p>
        </w:tc>
        <w:tc>
          <w:tcPr>
            <w:tcW w:w="0" w:type="dxa"/>
            <w:vAlign w:val="bottom"/>
          </w:tcPr>
          <w:p>
            <w:pPr>
              <w:spacing w:after="0"/>
              <w:rPr>
                <w:sz w:val="1"/>
                <w:szCs w:val="1"/>
                <w:color w:val="auto"/>
              </w:rPr>
            </w:pPr>
          </w:p>
        </w:tc>
      </w:tr>
      <w:tr>
        <w:trPr>
          <w:trHeight w:val="271"/>
        </w:trPr>
        <w:tc>
          <w:tcPr>
            <w:tcW w:w="6680" w:type="dxa"/>
            <w:vAlign w:val="bottom"/>
          </w:tcPr>
          <w:p>
            <w:pPr>
              <w:ind w:left="340"/>
              <w:spacing w:after="0"/>
              <w:rPr>
                <w:sz w:val="20"/>
                <w:szCs w:val="20"/>
                <w:color w:val="auto"/>
              </w:rPr>
            </w:pPr>
            <w:r>
              <w:rPr>
                <w:rFonts w:ascii="Times New Roman" w:cs="Times New Roman" w:eastAsia="Times New Roman" w:hAnsi="Times New Roman"/>
                <w:sz w:val="19"/>
                <w:szCs w:val="19"/>
                <w:color w:val="231F20"/>
              </w:rPr>
              <w:t>Costs associated with property sold under threat of condemnation</w:t>
            </w: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(134)</w:t>
            </w:r>
          </w:p>
        </w:tc>
        <w:tc>
          <w:tcPr>
            <w:tcW w:w="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(1,378)</w:t>
            </w:r>
          </w:p>
        </w:tc>
        <w:tc>
          <w:tcPr>
            <w:tcW w:w="0" w:type="dxa"/>
            <w:vAlign w:val="bottom"/>
          </w:tcPr>
          <w:p>
            <w:pPr>
              <w:spacing w:after="0"/>
              <w:rPr>
                <w:sz w:val="1"/>
                <w:szCs w:val="1"/>
                <w:color w:val="auto"/>
              </w:rPr>
            </w:pPr>
          </w:p>
        </w:tc>
      </w:tr>
      <w:tr>
        <w:trPr>
          <w:trHeight w:val="271"/>
        </w:trPr>
        <w:tc>
          <w:tcPr>
            <w:tcW w:w="6680" w:type="dxa"/>
            <w:vAlign w:val="bottom"/>
          </w:tcPr>
          <w:p>
            <w:pPr>
              <w:ind w:left="340"/>
              <w:spacing w:after="0"/>
              <w:rPr>
                <w:sz w:val="20"/>
                <w:szCs w:val="20"/>
                <w:color w:val="auto"/>
              </w:rPr>
            </w:pPr>
            <w:r>
              <w:rPr>
                <w:rFonts w:ascii="Times New Roman" w:cs="Times New Roman" w:eastAsia="Times New Roman" w:hAnsi="Times New Roman"/>
                <w:sz w:val="19"/>
                <w:szCs w:val="19"/>
                <w:color w:val="231F20"/>
              </w:rPr>
              <w:t>Proceeds from sale of real estate</w:t>
            </w: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305,628</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99,928</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28,451</w:t>
            </w:r>
          </w:p>
        </w:tc>
        <w:tc>
          <w:tcPr>
            <w:tcW w:w="0" w:type="dxa"/>
            <w:vAlign w:val="bottom"/>
          </w:tcPr>
          <w:p>
            <w:pPr>
              <w:spacing w:after="0"/>
              <w:rPr>
                <w:sz w:val="1"/>
                <w:szCs w:val="1"/>
                <w:color w:val="auto"/>
              </w:rPr>
            </w:pPr>
          </w:p>
        </w:tc>
      </w:tr>
      <w:tr>
        <w:trPr>
          <w:trHeight w:val="271"/>
        </w:trPr>
        <w:tc>
          <w:tcPr>
            <w:tcW w:w="6680" w:type="dxa"/>
            <w:vAlign w:val="bottom"/>
          </w:tcPr>
          <w:p>
            <w:pPr>
              <w:ind w:left="340"/>
              <w:spacing w:after="0"/>
              <w:rPr>
                <w:sz w:val="20"/>
                <w:szCs w:val="20"/>
                <w:color w:val="auto"/>
              </w:rPr>
            </w:pPr>
            <w:r>
              <w:rPr>
                <w:rFonts w:ascii="Times New Roman" w:cs="Times New Roman" w:eastAsia="Times New Roman" w:hAnsi="Times New Roman"/>
                <w:sz w:val="19"/>
                <w:szCs w:val="19"/>
                <w:color w:val="231F20"/>
              </w:rPr>
              <w:t>Investment in partnerships</w:t>
            </w: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(698)</w:t>
            </w:r>
          </w:p>
        </w:tc>
        <w:tc>
          <w:tcPr>
            <w:tcW w:w="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0" w:type="dxa"/>
            <w:vAlign w:val="bottom"/>
          </w:tcPr>
          <w:p>
            <w:pPr>
              <w:spacing w:after="0"/>
              <w:rPr>
                <w:sz w:val="1"/>
                <w:szCs w:val="1"/>
                <w:color w:val="auto"/>
              </w:rPr>
            </w:pPr>
          </w:p>
        </w:tc>
      </w:tr>
      <w:tr>
        <w:trPr>
          <w:trHeight w:val="271"/>
        </w:trPr>
        <w:tc>
          <w:tcPr>
            <w:tcW w:w="6680" w:type="dxa"/>
            <w:vAlign w:val="bottom"/>
          </w:tcPr>
          <w:p>
            <w:pPr>
              <w:ind w:left="340"/>
              <w:spacing w:after="0"/>
              <w:rPr>
                <w:sz w:val="20"/>
                <w:szCs w:val="20"/>
                <w:color w:val="auto"/>
              </w:rPr>
            </w:pPr>
            <w:r>
              <w:rPr>
                <w:rFonts w:ascii="Times New Roman" w:cs="Times New Roman" w:eastAsia="Times New Roman" w:hAnsi="Times New Roman"/>
                <w:sz w:val="19"/>
                <w:szCs w:val="19"/>
                <w:color w:val="231F20"/>
              </w:rPr>
              <w:t>Distribution from partnerships in excess of earnings</w:t>
            </w: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4,109</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4,742</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9,860</w:t>
            </w:r>
          </w:p>
        </w:tc>
        <w:tc>
          <w:tcPr>
            <w:tcW w:w="0" w:type="dxa"/>
            <w:vAlign w:val="bottom"/>
          </w:tcPr>
          <w:p>
            <w:pPr>
              <w:spacing w:after="0"/>
              <w:rPr>
                <w:sz w:val="1"/>
                <w:szCs w:val="1"/>
                <w:color w:val="auto"/>
              </w:rPr>
            </w:pPr>
          </w:p>
        </w:tc>
      </w:tr>
      <w:tr>
        <w:trPr>
          <w:trHeight w:val="272"/>
        </w:trPr>
        <w:tc>
          <w:tcPr>
            <w:tcW w:w="6680" w:type="dxa"/>
            <w:vAlign w:val="bottom"/>
          </w:tcPr>
          <w:p>
            <w:pPr>
              <w:ind w:left="340"/>
              <w:spacing w:after="0"/>
              <w:rPr>
                <w:sz w:val="20"/>
                <w:szCs w:val="20"/>
                <w:color w:val="auto"/>
              </w:rPr>
            </w:pPr>
            <w:r>
              <w:rPr>
                <w:rFonts w:ascii="Times New Roman" w:cs="Times New Roman" w:eastAsia="Times New Roman" w:hAnsi="Times New Roman"/>
                <w:sz w:val="19"/>
                <w:szCs w:val="19"/>
                <w:color w:val="231F20"/>
              </w:rPr>
              <w:t>Leasing costs</w:t>
            </w:r>
          </w:p>
        </w:tc>
        <w:tc>
          <w:tcPr>
            <w:tcW w:w="9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(25,361)</w:t>
            </w:r>
          </w:p>
        </w:tc>
        <w:tc>
          <w:tcPr>
            <w:tcW w:w="60" w:type="dxa"/>
            <w:vAlign w:val="bottom"/>
          </w:tcPr>
          <w:p>
            <w:pPr>
              <w:spacing w:after="0"/>
              <w:rPr>
                <w:sz w:val="23"/>
                <w:szCs w:val="23"/>
                <w:color w:val="auto"/>
              </w:rPr>
            </w:pPr>
          </w:p>
        </w:tc>
        <w:tc>
          <w:tcPr>
            <w:tcW w:w="9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(30,809)</w:t>
            </w:r>
          </w:p>
        </w:tc>
        <w:tc>
          <w:tcPr>
            <w:tcW w:w="80" w:type="dxa"/>
            <w:vAlign w:val="bottom"/>
          </w:tcPr>
          <w:p>
            <w:pPr>
              <w:spacing w:after="0"/>
              <w:rPr>
                <w:sz w:val="23"/>
                <w:szCs w:val="23"/>
                <w:color w:val="auto"/>
              </w:rPr>
            </w:pPr>
          </w:p>
        </w:tc>
        <w:tc>
          <w:tcPr>
            <w:tcW w:w="9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(23,510)</w:t>
            </w:r>
          </w:p>
        </w:tc>
        <w:tc>
          <w:tcPr>
            <w:tcW w:w="0" w:type="dxa"/>
            <w:vAlign w:val="bottom"/>
          </w:tcPr>
          <w:p>
            <w:pPr>
              <w:spacing w:after="0"/>
              <w:rPr>
                <w:sz w:val="1"/>
                <w:szCs w:val="1"/>
                <w:color w:val="auto"/>
              </w:rPr>
            </w:pPr>
          </w:p>
        </w:tc>
      </w:tr>
      <w:tr>
        <w:trPr>
          <w:trHeight w:val="250"/>
        </w:trPr>
        <w:tc>
          <w:tcPr>
            <w:tcW w:w="6680" w:type="dxa"/>
            <w:vAlign w:val="bottom"/>
          </w:tcPr>
          <w:p>
            <w:pPr>
              <w:ind w:left="340"/>
              <w:spacing w:after="0"/>
              <w:rPr>
                <w:sz w:val="20"/>
                <w:szCs w:val="20"/>
                <w:color w:val="auto"/>
              </w:rPr>
            </w:pPr>
            <w:r>
              <w:rPr>
                <w:rFonts w:ascii="Times New Roman" w:cs="Times New Roman" w:eastAsia="Times New Roman" w:hAnsi="Times New Roman"/>
                <w:sz w:val="19"/>
                <w:szCs w:val="19"/>
                <w:color w:val="231F20"/>
              </w:rPr>
              <w:t>Net cash used in investing activities</w:t>
            </w: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(743,068)</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(446,826)</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(358,325)</w:t>
            </w:r>
          </w:p>
        </w:tc>
        <w:tc>
          <w:tcPr>
            <w:tcW w:w="0" w:type="dxa"/>
            <w:vAlign w:val="bottom"/>
          </w:tcPr>
          <w:p>
            <w:pPr>
              <w:spacing w:after="0"/>
              <w:rPr>
                <w:sz w:val="1"/>
                <w:szCs w:val="1"/>
                <w:color w:val="auto"/>
              </w:rPr>
            </w:pPr>
          </w:p>
        </w:tc>
      </w:tr>
      <w:tr>
        <w:trPr>
          <w:trHeight w:val="244"/>
        </w:trPr>
        <w:tc>
          <w:tcPr>
            <w:tcW w:w="6680" w:type="dxa"/>
            <w:vAlign w:val="bottom"/>
          </w:tcPr>
          <w:p>
            <w:pPr>
              <w:spacing w:after="0"/>
              <w:rPr>
                <w:sz w:val="20"/>
                <w:szCs w:val="20"/>
                <w:color w:val="auto"/>
              </w:rPr>
            </w:pPr>
            <w:r>
              <w:rPr>
                <w:rFonts w:ascii="Times New Roman" w:cs="Times New Roman" w:eastAsia="Times New Roman" w:hAnsi="Times New Roman"/>
                <w:sz w:val="19"/>
                <w:szCs w:val="19"/>
                <w:color w:val="231F20"/>
              </w:rPr>
              <w:t>FINANCING ACTIVITIES</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231F20"/>
              </w:rPr>
              <w:t>310,000</w:t>
            </w:r>
          </w:p>
        </w:tc>
        <w:tc>
          <w:tcPr>
            <w:tcW w:w="60" w:type="dxa"/>
            <w:vAlign w:val="bottom"/>
          </w:tcPr>
          <w:p>
            <w:pPr>
              <w:spacing w:after="0"/>
              <w:rPr>
                <w:sz w:val="21"/>
                <w:szCs w:val="21"/>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80" w:type="dxa"/>
            <w:vAlign w:val="bottom"/>
          </w:tcPr>
          <w:p>
            <w:pPr>
              <w:spacing w:after="0"/>
              <w:rPr>
                <w:sz w:val="21"/>
                <w:szCs w:val="21"/>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0" w:type="dxa"/>
            <w:vAlign w:val="bottom"/>
          </w:tcPr>
          <w:p>
            <w:pPr>
              <w:spacing w:after="0"/>
              <w:rPr>
                <w:sz w:val="1"/>
                <w:szCs w:val="1"/>
                <w:color w:val="auto"/>
              </w:rPr>
            </w:pPr>
          </w:p>
        </w:tc>
      </w:tr>
      <w:tr>
        <w:trPr>
          <w:trHeight w:val="234"/>
        </w:trPr>
        <w:tc>
          <w:tcPr>
            <w:tcW w:w="6680" w:type="dxa"/>
            <w:vAlign w:val="bottom"/>
          </w:tcPr>
          <w:p>
            <w:pPr>
              <w:ind w:left="340"/>
              <w:spacing w:after="0"/>
              <w:rPr>
                <w:sz w:val="20"/>
                <w:szCs w:val="20"/>
                <w:color w:val="auto"/>
              </w:rPr>
            </w:pPr>
            <w:r>
              <w:rPr>
                <w:rFonts w:ascii="Times New Roman" w:cs="Times New Roman" w:eastAsia="Times New Roman" w:hAnsi="Times New Roman"/>
                <w:sz w:val="19"/>
                <w:szCs w:val="19"/>
                <w:color w:val="231F20"/>
              </w:rPr>
              <w:t>Net borrowings under revolving credit facility</w:t>
            </w:r>
          </w:p>
        </w:tc>
        <w:tc>
          <w:tcPr>
            <w:tcW w:w="96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9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6680" w:type="dxa"/>
            <w:vAlign w:val="bottom"/>
          </w:tcPr>
          <w:p>
            <w:pPr>
              <w:ind w:left="340"/>
              <w:spacing w:after="0"/>
              <w:rPr>
                <w:sz w:val="20"/>
                <w:szCs w:val="20"/>
                <w:color w:val="auto"/>
              </w:rPr>
            </w:pPr>
            <w:r>
              <w:rPr>
                <w:rFonts w:ascii="Times New Roman" w:cs="Times New Roman" w:eastAsia="Times New Roman" w:hAnsi="Times New Roman"/>
                <w:sz w:val="19"/>
                <w:szCs w:val="19"/>
                <w:color w:val="231F20"/>
              </w:rPr>
              <w:t>Issuance of senior notes, net of costs</w:t>
            </w: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471,507</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345,698</w:t>
            </w:r>
          </w:p>
        </w:tc>
        <w:tc>
          <w:tcPr>
            <w:tcW w:w="0" w:type="dxa"/>
            <w:vAlign w:val="bottom"/>
          </w:tcPr>
          <w:p>
            <w:pPr>
              <w:spacing w:after="0"/>
              <w:rPr>
                <w:sz w:val="1"/>
                <w:szCs w:val="1"/>
                <w:color w:val="auto"/>
              </w:rPr>
            </w:pPr>
          </w:p>
        </w:tc>
      </w:tr>
      <w:tr>
        <w:trPr>
          <w:trHeight w:val="242"/>
        </w:trPr>
        <w:tc>
          <w:tcPr>
            <w:tcW w:w="6680" w:type="dxa"/>
            <w:vAlign w:val="bottom"/>
          </w:tcPr>
          <w:p>
            <w:pPr>
              <w:ind w:left="340"/>
              <w:spacing w:after="0"/>
              <w:rPr>
                <w:sz w:val="20"/>
                <w:szCs w:val="20"/>
                <w:color w:val="auto"/>
              </w:rPr>
            </w:pPr>
            <w:r>
              <w:rPr>
                <w:rFonts w:ascii="Times New Roman" w:cs="Times New Roman" w:eastAsia="Times New Roman" w:hAnsi="Times New Roman"/>
                <w:sz w:val="19"/>
                <w:szCs w:val="19"/>
                <w:color w:val="231F20"/>
              </w:rPr>
              <w:t>Repayment of senior notes</w:t>
            </w: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(600,000)</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(275,000)</w:t>
            </w:r>
          </w:p>
        </w:tc>
        <w:tc>
          <w:tcPr>
            <w:tcW w:w="0" w:type="dxa"/>
            <w:vAlign w:val="bottom"/>
          </w:tcPr>
          <w:p>
            <w:pPr>
              <w:spacing w:after="0"/>
              <w:rPr>
                <w:sz w:val="1"/>
                <w:szCs w:val="1"/>
                <w:color w:val="auto"/>
              </w:rPr>
            </w:pPr>
          </w:p>
        </w:tc>
      </w:tr>
      <w:tr>
        <w:trPr>
          <w:trHeight w:val="242"/>
        </w:trPr>
        <w:tc>
          <w:tcPr>
            <w:tcW w:w="6680" w:type="dxa"/>
            <w:vAlign w:val="bottom"/>
          </w:tcPr>
          <w:p>
            <w:pPr>
              <w:ind w:left="340"/>
              <w:spacing w:after="0"/>
              <w:rPr>
                <w:sz w:val="20"/>
                <w:szCs w:val="20"/>
                <w:color w:val="auto"/>
              </w:rPr>
            </w:pPr>
            <w:r>
              <w:rPr>
                <w:rFonts w:ascii="Times New Roman" w:cs="Times New Roman" w:eastAsia="Times New Roman" w:hAnsi="Times New Roman"/>
                <w:sz w:val="19"/>
                <w:szCs w:val="19"/>
                <w:color w:val="231F20"/>
              </w:rPr>
              <w:t>Issuance and extension of mortgages and notes payable, net of costs</w:t>
            </w: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157,661</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(902)</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199,237</w:t>
            </w:r>
          </w:p>
        </w:tc>
        <w:tc>
          <w:tcPr>
            <w:tcW w:w="0" w:type="dxa"/>
            <w:vAlign w:val="bottom"/>
          </w:tcPr>
          <w:p>
            <w:pPr>
              <w:spacing w:after="0"/>
              <w:rPr>
                <w:sz w:val="1"/>
                <w:szCs w:val="1"/>
                <w:color w:val="auto"/>
              </w:rPr>
            </w:pPr>
          </w:p>
        </w:tc>
      </w:tr>
      <w:tr>
        <w:trPr>
          <w:trHeight w:val="242"/>
        </w:trPr>
        <w:tc>
          <w:tcPr>
            <w:tcW w:w="6680" w:type="dxa"/>
            <w:vAlign w:val="bottom"/>
          </w:tcPr>
          <w:p>
            <w:pPr>
              <w:ind w:left="340"/>
              <w:spacing w:after="0"/>
              <w:rPr>
                <w:sz w:val="20"/>
                <w:szCs w:val="20"/>
                <w:color w:val="auto"/>
              </w:rPr>
            </w:pPr>
            <w:r>
              <w:rPr>
                <w:rFonts w:ascii="Times New Roman" w:cs="Times New Roman" w:eastAsia="Times New Roman" w:hAnsi="Times New Roman"/>
                <w:sz w:val="19"/>
                <w:szCs w:val="19"/>
                <w:color w:val="231F20"/>
              </w:rPr>
              <w:t>Repayment of mortgages, finance leases, and notes payable</w:t>
            </w: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(7,662)</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(3,496)</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(58,472)</w:t>
            </w:r>
          </w:p>
        </w:tc>
        <w:tc>
          <w:tcPr>
            <w:tcW w:w="0" w:type="dxa"/>
            <w:vAlign w:val="bottom"/>
          </w:tcPr>
          <w:p>
            <w:pPr>
              <w:spacing w:after="0"/>
              <w:rPr>
                <w:sz w:val="1"/>
                <w:szCs w:val="1"/>
                <w:color w:val="auto"/>
              </w:rPr>
            </w:pPr>
          </w:p>
        </w:tc>
      </w:tr>
      <w:tr>
        <w:trPr>
          <w:trHeight w:val="242"/>
        </w:trPr>
        <w:tc>
          <w:tcPr>
            <w:tcW w:w="6680" w:type="dxa"/>
            <w:vAlign w:val="bottom"/>
          </w:tcPr>
          <w:p>
            <w:pPr>
              <w:ind w:left="340"/>
              <w:spacing w:after="0"/>
              <w:rPr>
                <w:sz w:val="20"/>
                <w:szCs w:val="20"/>
                <w:color w:val="auto"/>
              </w:rPr>
            </w:pPr>
            <w:r>
              <w:rPr>
                <w:rFonts w:ascii="Times New Roman" w:cs="Times New Roman" w:eastAsia="Times New Roman" w:hAnsi="Times New Roman"/>
                <w:sz w:val="19"/>
                <w:szCs w:val="19"/>
                <w:color w:val="231F20"/>
              </w:rPr>
              <w:t>Purchase of capped calls</w:t>
            </w: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(19,448)</w:t>
            </w:r>
          </w:p>
        </w:tc>
        <w:tc>
          <w:tcPr>
            <w:tcW w:w="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0" w:type="dxa"/>
            <w:vAlign w:val="bottom"/>
          </w:tcPr>
          <w:p>
            <w:pPr>
              <w:spacing w:after="0"/>
              <w:rPr>
                <w:sz w:val="1"/>
                <w:szCs w:val="1"/>
                <w:color w:val="auto"/>
              </w:rPr>
            </w:pPr>
          </w:p>
        </w:tc>
      </w:tr>
      <w:tr>
        <w:trPr>
          <w:trHeight w:val="242"/>
        </w:trPr>
        <w:tc>
          <w:tcPr>
            <w:tcW w:w="6680" w:type="dxa"/>
            <w:vAlign w:val="bottom"/>
          </w:tcPr>
          <w:p>
            <w:pPr>
              <w:ind w:left="340"/>
              <w:spacing w:after="0"/>
              <w:rPr>
                <w:sz w:val="20"/>
                <w:szCs w:val="20"/>
                <w:color w:val="auto"/>
              </w:rPr>
            </w:pPr>
            <w:r>
              <w:rPr>
                <w:rFonts w:ascii="Times New Roman" w:cs="Times New Roman" w:eastAsia="Times New Roman" w:hAnsi="Times New Roman"/>
                <w:sz w:val="19"/>
                <w:szCs w:val="19"/>
                <w:color w:val="231F20"/>
              </w:rPr>
              <w:t>Issuance of common shares, net of costs</w:t>
            </w: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54,466</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304,045</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131,895</w:t>
            </w:r>
          </w:p>
        </w:tc>
        <w:tc>
          <w:tcPr>
            <w:tcW w:w="0" w:type="dxa"/>
            <w:vAlign w:val="bottom"/>
          </w:tcPr>
          <w:p>
            <w:pPr>
              <w:spacing w:after="0"/>
              <w:rPr>
                <w:sz w:val="1"/>
                <w:szCs w:val="1"/>
                <w:color w:val="auto"/>
              </w:rPr>
            </w:pPr>
          </w:p>
        </w:tc>
      </w:tr>
      <w:tr>
        <w:trPr>
          <w:trHeight w:val="242"/>
        </w:trPr>
        <w:tc>
          <w:tcPr>
            <w:tcW w:w="6680" w:type="dxa"/>
            <w:vAlign w:val="bottom"/>
          </w:tcPr>
          <w:p>
            <w:pPr>
              <w:ind w:left="340"/>
              <w:spacing w:after="0"/>
              <w:rPr>
                <w:sz w:val="20"/>
                <w:szCs w:val="20"/>
                <w:color w:val="auto"/>
              </w:rPr>
            </w:pPr>
            <w:r>
              <w:rPr>
                <w:rFonts w:ascii="Times New Roman" w:cs="Times New Roman" w:eastAsia="Times New Roman" w:hAnsi="Times New Roman"/>
                <w:sz w:val="19"/>
                <w:szCs w:val="19"/>
                <w:color w:val="231F20"/>
              </w:rPr>
              <w:t>Dividends paid to common and preferred shareholders</w:t>
            </w: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(388,058)</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(371,586)</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(359,194)</w:t>
            </w:r>
          </w:p>
        </w:tc>
        <w:tc>
          <w:tcPr>
            <w:tcW w:w="0" w:type="dxa"/>
            <w:vAlign w:val="bottom"/>
          </w:tcPr>
          <w:p>
            <w:pPr>
              <w:spacing w:after="0"/>
              <w:rPr>
                <w:sz w:val="1"/>
                <w:szCs w:val="1"/>
                <w:color w:val="auto"/>
              </w:rPr>
            </w:pPr>
          </w:p>
        </w:tc>
      </w:tr>
      <w:tr>
        <w:trPr>
          <w:trHeight w:val="242"/>
        </w:trPr>
        <w:tc>
          <w:tcPr>
            <w:tcW w:w="6680" w:type="dxa"/>
            <w:vAlign w:val="bottom"/>
          </w:tcPr>
          <w:p>
            <w:pPr>
              <w:ind w:left="340"/>
              <w:spacing w:after="0"/>
              <w:rPr>
                <w:sz w:val="20"/>
                <w:szCs w:val="20"/>
                <w:color w:val="auto"/>
              </w:rPr>
            </w:pPr>
            <w:r>
              <w:rPr>
                <w:rFonts w:ascii="Times New Roman" w:cs="Times New Roman" w:eastAsia="Times New Roman" w:hAnsi="Times New Roman"/>
                <w:sz w:val="19"/>
                <w:szCs w:val="19"/>
                <w:color w:val="231F20"/>
              </w:rPr>
              <w:t>Shares withheld for employee taxes</w:t>
            </w: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(4,911)</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(6,709)</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(5,019)</w:t>
            </w:r>
          </w:p>
        </w:tc>
        <w:tc>
          <w:tcPr>
            <w:tcW w:w="0" w:type="dxa"/>
            <w:vAlign w:val="bottom"/>
          </w:tcPr>
          <w:p>
            <w:pPr>
              <w:spacing w:after="0"/>
              <w:rPr>
                <w:sz w:val="1"/>
                <w:szCs w:val="1"/>
                <w:color w:val="auto"/>
              </w:rPr>
            </w:pPr>
          </w:p>
        </w:tc>
      </w:tr>
      <w:tr>
        <w:trPr>
          <w:trHeight w:val="242"/>
        </w:trPr>
        <w:tc>
          <w:tcPr>
            <w:tcW w:w="6680" w:type="dxa"/>
            <w:vAlign w:val="bottom"/>
          </w:tcPr>
          <w:p>
            <w:pPr>
              <w:ind w:left="340"/>
              <w:spacing w:after="0"/>
              <w:rPr>
                <w:sz w:val="20"/>
                <w:szCs w:val="20"/>
                <w:color w:val="auto"/>
              </w:rPr>
            </w:pPr>
            <w:r>
              <w:rPr>
                <w:rFonts w:ascii="Times New Roman" w:cs="Times New Roman" w:eastAsia="Times New Roman" w:hAnsi="Times New Roman"/>
                <w:sz w:val="19"/>
                <w:szCs w:val="19"/>
                <w:color w:val="231F20"/>
              </w:rPr>
              <w:t>Contributions from noncontrolling interests</w:t>
            </w: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2,670</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725</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1,092</w:t>
            </w:r>
          </w:p>
        </w:tc>
        <w:tc>
          <w:tcPr>
            <w:tcW w:w="0" w:type="dxa"/>
            <w:vAlign w:val="bottom"/>
          </w:tcPr>
          <w:p>
            <w:pPr>
              <w:spacing w:after="0"/>
              <w:rPr>
                <w:sz w:val="1"/>
                <w:szCs w:val="1"/>
                <w:color w:val="auto"/>
              </w:rPr>
            </w:pPr>
          </w:p>
        </w:tc>
      </w:tr>
      <w:tr>
        <w:trPr>
          <w:trHeight w:val="252"/>
        </w:trPr>
        <w:tc>
          <w:tcPr>
            <w:tcW w:w="6680" w:type="dxa"/>
            <w:vAlign w:val="bottom"/>
          </w:tcPr>
          <w:p>
            <w:pPr>
              <w:ind w:left="340"/>
              <w:spacing w:after="0"/>
              <w:rPr>
                <w:sz w:val="20"/>
                <w:szCs w:val="20"/>
                <w:color w:val="auto"/>
              </w:rPr>
            </w:pPr>
            <w:r>
              <w:rPr>
                <w:rFonts w:ascii="Times New Roman" w:cs="Times New Roman" w:eastAsia="Times New Roman" w:hAnsi="Times New Roman"/>
                <w:sz w:val="19"/>
                <w:szCs w:val="19"/>
                <w:color w:val="231F20"/>
              </w:rPr>
              <w:t>Distributions to and acquisition/redemptions of noncontrolling interests</w:t>
            </w: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(21,213)</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(26,434)</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(14,086)</w:t>
            </w:r>
          </w:p>
        </w:tc>
        <w:tc>
          <w:tcPr>
            <w:tcW w:w="0" w:type="dxa"/>
            <w:vAlign w:val="bottom"/>
          </w:tcPr>
          <w:p>
            <w:pPr>
              <w:spacing w:after="0"/>
              <w:rPr>
                <w:sz w:val="1"/>
                <w:szCs w:val="1"/>
                <w:color w:val="auto"/>
              </w:rPr>
            </w:pPr>
          </w:p>
        </w:tc>
      </w:tr>
      <w:tr>
        <w:trPr>
          <w:trHeight w:val="250"/>
        </w:trPr>
        <w:tc>
          <w:tcPr>
            <w:tcW w:w="6680" w:type="dxa"/>
            <w:vAlign w:val="bottom"/>
          </w:tcPr>
          <w:p>
            <w:pPr>
              <w:ind w:left="340"/>
              <w:spacing w:after="0"/>
              <w:rPr>
                <w:sz w:val="20"/>
                <w:szCs w:val="20"/>
                <w:color w:val="auto"/>
              </w:rPr>
            </w:pPr>
            <w:r>
              <w:rPr>
                <w:rFonts w:ascii="Times New Roman" w:cs="Times New Roman" w:eastAsia="Times New Roman" w:hAnsi="Times New Roman"/>
                <w:sz w:val="19"/>
                <w:szCs w:val="19"/>
                <w:color w:val="231F20"/>
              </w:rPr>
              <w:t>Net cash provided by (used in) financing activities</w:t>
            </w:r>
          </w:p>
        </w:tc>
        <w:tc>
          <w:tcPr>
            <w:tcW w:w="96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102,953</w:t>
            </w:r>
          </w:p>
        </w:tc>
        <w:tc>
          <w:tcPr>
            <w:tcW w:w="60" w:type="dxa"/>
            <w:vAlign w:val="bottom"/>
          </w:tcPr>
          <w:p>
            <w:pPr>
              <w:spacing w:after="0"/>
              <w:rPr>
                <w:sz w:val="21"/>
                <w:szCs w:val="21"/>
                <w:color w:val="auto"/>
              </w:rPr>
            </w:pPr>
          </w:p>
        </w:tc>
        <w:tc>
          <w:tcPr>
            <w:tcW w:w="96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(252,298)</w:t>
            </w:r>
          </w:p>
        </w:tc>
        <w:tc>
          <w:tcPr>
            <w:tcW w:w="80" w:type="dxa"/>
            <w:vAlign w:val="bottom"/>
          </w:tcPr>
          <w:p>
            <w:pPr>
              <w:spacing w:after="0"/>
              <w:rPr>
                <w:sz w:val="21"/>
                <w:szCs w:val="21"/>
                <w:color w:val="auto"/>
              </w:rPr>
            </w:pPr>
          </w:p>
        </w:tc>
        <w:tc>
          <w:tcPr>
            <w:tcW w:w="94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(33,849)</w:t>
            </w:r>
          </w:p>
        </w:tc>
        <w:tc>
          <w:tcPr>
            <w:tcW w:w="0" w:type="dxa"/>
            <w:vAlign w:val="bottom"/>
          </w:tcPr>
          <w:p>
            <w:pPr>
              <w:spacing w:after="0"/>
              <w:rPr>
                <w:sz w:val="1"/>
                <w:szCs w:val="1"/>
                <w:color w:val="auto"/>
              </w:rPr>
            </w:pPr>
          </w:p>
        </w:tc>
      </w:tr>
      <w:tr>
        <w:trPr>
          <w:trHeight w:val="214"/>
        </w:trPr>
        <w:tc>
          <w:tcPr>
            <w:tcW w:w="6680" w:type="dxa"/>
            <w:vAlign w:val="bottom"/>
          </w:tcPr>
          <w:p>
            <w:pPr>
              <w:spacing w:after="0" w:line="214" w:lineRule="exact"/>
              <w:rPr>
                <w:sz w:val="20"/>
                <w:szCs w:val="20"/>
                <w:color w:val="auto"/>
              </w:rPr>
            </w:pPr>
            <w:r>
              <w:rPr>
                <w:rFonts w:ascii="Times New Roman" w:cs="Times New Roman" w:eastAsia="Times New Roman" w:hAnsi="Times New Roman"/>
                <w:sz w:val="19"/>
                <w:szCs w:val="19"/>
                <w:color w:val="231F20"/>
              </w:rPr>
              <w:t>(Decrease) increase in cash, cash equivalents, and restricted cash</w:t>
            </w:r>
          </w:p>
        </w:tc>
        <w:tc>
          <w:tcPr>
            <w:tcW w:w="960" w:type="dxa"/>
            <w:vAlign w:val="bottom"/>
          </w:tcPr>
          <w:p>
            <w:pPr>
              <w:jc w:val="right"/>
              <w:spacing w:after="0" w:line="214" w:lineRule="exact"/>
              <w:rPr>
                <w:sz w:val="20"/>
                <w:szCs w:val="20"/>
                <w:color w:val="auto"/>
              </w:rPr>
            </w:pPr>
            <w:r>
              <w:rPr>
                <w:rFonts w:ascii="Times New Roman" w:cs="Times New Roman" w:eastAsia="Times New Roman" w:hAnsi="Times New Roman"/>
                <w:sz w:val="19"/>
                <w:szCs w:val="19"/>
                <w:color w:val="231F20"/>
              </w:rPr>
              <w:t>(17,737)</w:t>
            </w:r>
          </w:p>
        </w:tc>
        <w:tc>
          <w:tcPr>
            <w:tcW w:w="60" w:type="dxa"/>
            <w:vAlign w:val="bottom"/>
          </w:tcPr>
          <w:p>
            <w:pPr>
              <w:spacing w:after="0"/>
              <w:rPr>
                <w:sz w:val="18"/>
                <w:szCs w:val="18"/>
                <w:color w:val="auto"/>
              </w:rPr>
            </w:pPr>
          </w:p>
        </w:tc>
        <w:tc>
          <w:tcPr>
            <w:tcW w:w="960" w:type="dxa"/>
            <w:vAlign w:val="bottom"/>
          </w:tcPr>
          <w:p>
            <w:pPr>
              <w:jc w:val="right"/>
              <w:spacing w:after="0" w:line="214" w:lineRule="exact"/>
              <w:rPr>
                <w:sz w:val="20"/>
                <w:szCs w:val="20"/>
                <w:color w:val="auto"/>
              </w:rPr>
            </w:pPr>
            <w:r>
              <w:rPr>
                <w:rFonts w:ascii="Times New Roman" w:cs="Times New Roman" w:eastAsia="Times New Roman" w:hAnsi="Times New Roman"/>
                <w:sz w:val="19"/>
                <w:szCs w:val="19"/>
                <w:color w:val="231F20"/>
              </w:rPr>
              <w:t>(124,561)</w:t>
            </w:r>
          </w:p>
        </w:tc>
        <w:tc>
          <w:tcPr>
            <w:tcW w:w="80" w:type="dxa"/>
            <w:vAlign w:val="bottom"/>
          </w:tcPr>
          <w:p>
            <w:pPr>
              <w:spacing w:after="0"/>
              <w:rPr>
                <w:sz w:val="18"/>
                <w:szCs w:val="18"/>
                <w:color w:val="auto"/>
              </w:rPr>
            </w:pPr>
          </w:p>
        </w:tc>
        <w:tc>
          <w:tcPr>
            <w:tcW w:w="940" w:type="dxa"/>
            <w:vAlign w:val="bottom"/>
          </w:tcPr>
          <w:p>
            <w:pPr>
              <w:jc w:val="right"/>
              <w:spacing w:after="0" w:line="214" w:lineRule="exact"/>
              <w:rPr>
                <w:sz w:val="20"/>
                <w:szCs w:val="20"/>
                <w:color w:val="auto"/>
              </w:rPr>
            </w:pPr>
            <w:r>
              <w:rPr>
                <w:rFonts w:ascii="Times New Roman" w:cs="Times New Roman" w:eastAsia="Times New Roman" w:hAnsi="Times New Roman"/>
                <w:sz w:val="19"/>
                <w:szCs w:val="19"/>
                <w:color w:val="231F20"/>
              </w:rPr>
              <w:t>163,656</w:t>
            </w:r>
          </w:p>
        </w:tc>
        <w:tc>
          <w:tcPr>
            <w:tcW w:w="0" w:type="dxa"/>
            <w:vAlign w:val="bottom"/>
          </w:tcPr>
          <w:p>
            <w:pPr>
              <w:spacing w:after="0"/>
              <w:rPr>
                <w:sz w:val="1"/>
                <w:szCs w:val="1"/>
                <w:color w:val="auto"/>
              </w:rPr>
            </w:pPr>
          </w:p>
        </w:tc>
      </w:tr>
      <w:tr>
        <w:trPr>
          <w:trHeight w:val="252"/>
        </w:trPr>
        <w:tc>
          <w:tcPr>
            <w:tcW w:w="6680" w:type="dxa"/>
            <w:vAlign w:val="bottom"/>
          </w:tcPr>
          <w:p>
            <w:pPr>
              <w:spacing w:after="0"/>
              <w:rPr>
                <w:sz w:val="20"/>
                <w:szCs w:val="20"/>
                <w:color w:val="auto"/>
              </w:rPr>
            </w:pPr>
            <w:r>
              <w:rPr>
                <w:rFonts w:ascii="Times New Roman" w:cs="Times New Roman" w:eastAsia="Times New Roman" w:hAnsi="Times New Roman"/>
                <w:sz w:val="19"/>
                <w:szCs w:val="19"/>
                <w:color w:val="231F20"/>
              </w:rPr>
              <w:t>Cash, cash equivalents, and restricted cash at beginning of year</w:t>
            </w: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135,443</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260,004</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96,348</w:t>
            </w:r>
          </w:p>
        </w:tc>
        <w:tc>
          <w:tcPr>
            <w:tcW w:w="0" w:type="dxa"/>
            <w:vAlign w:val="bottom"/>
          </w:tcPr>
          <w:p>
            <w:pPr>
              <w:spacing w:after="0"/>
              <w:rPr>
                <w:sz w:val="1"/>
                <w:szCs w:val="1"/>
                <w:color w:val="auto"/>
              </w:rPr>
            </w:pPr>
          </w:p>
        </w:tc>
      </w:tr>
      <w:tr>
        <w:trPr>
          <w:trHeight w:val="203"/>
        </w:trPr>
        <w:tc>
          <w:tcPr>
            <w:tcW w:w="6680" w:type="dxa"/>
            <w:vAlign w:val="bottom"/>
          </w:tcPr>
          <w:p>
            <w:pPr>
              <w:spacing w:after="0" w:line="204" w:lineRule="exact"/>
              <w:rPr>
                <w:sz w:val="20"/>
                <w:szCs w:val="20"/>
                <w:color w:val="auto"/>
              </w:rPr>
            </w:pPr>
            <w:r>
              <w:rPr>
                <w:rFonts w:ascii="Times New Roman" w:cs="Times New Roman" w:eastAsia="Times New Roman" w:hAnsi="Times New Roman"/>
                <w:sz w:val="19"/>
                <w:szCs w:val="19"/>
                <w:color w:val="231F20"/>
              </w:rPr>
              <w:t>Cash, cash equivalents, and restricted cash at end of year</w:t>
            </w:r>
          </w:p>
        </w:tc>
        <w:tc>
          <w:tcPr>
            <w:tcW w:w="960" w:type="dxa"/>
            <w:vAlign w:val="bottom"/>
            <w:tcBorders>
              <w:top w:val="single" w:sz="8" w:color="231F20"/>
              <w:bottom w:val="single" w:sz="8" w:color="231F20"/>
            </w:tcBorders>
          </w:tcPr>
          <w:p>
            <w:pPr>
              <w:jc w:val="right"/>
              <w:spacing w:after="0" w:line="204" w:lineRule="exact"/>
              <w:rPr>
                <w:sz w:val="20"/>
                <w:szCs w:val="20"/>
                <w:color w:val="auto"/>
              </w:rPr>
            </w:pPr>
            <w:r>
              <w:rPr>
                <w:rFonts w:ascii="Times New Roman" w:cs="Times New Roman" w:eastAsia="Times New Roman" w:hAnsi="Times New Roman"/>
                <w:sz w:val="19"/>
                <w:szCs w:val="19"/>
                <w:color w:val="231F20"/>
              </w:rPr>
              <w:t>$ 117,706</w:t>
            </w:r>
          </w:p>
        </w:tc>
        <w:tc>
          <w:tcPr>
            <w:tcW w:w="60" w:type="dxa"/>
            <w:vAlign w:val="bottom"/>
          </w:tcPr>
          <w:p>
            <w:pPr>
              <w:spacing w:after="0"/>
              <w:rPr>
                <w:sz w:val="17"/>
                <w:szCs w:val="17"/>
                <w:color w:val="auto"/>
              </w:rPr>
            </w:pPr>
          </w:p>
        </w:tc>
        <w:tc>
          <w:tcPr>
            <w:tcW w:w="960" w:type="dxa"/>
            <w:vAlign w:val="bottom"/>
            <w:tcBorders>
              <w:top w:val="single" w:sz="8" w:color="231F20"/>
              <w:bottom w:val="single" w:sz="8" w:color="231F20"/>
            </w:tcBorders>
          </w:tcPr>
          <w:p>
            <w:pPr>
              <w:jc w:val="right"/>
              <w:spacing w:after="0" w:line="204" w:lineRule="exact"/>
              <w:rPr>
                <w:sz w:val="20"/>
                <w:szCs w:val="20"/>
                <w:color w:val="auto"/>
              </w:rPr>
            </w:pPr>
            <w:r>
              <w:rPr>
                <w:rFonts w:ascii="Times New Roman" w:cs="Times New Roman" w:eastAsia="Times New Roman" w:hAnsi="Times New Roman"/>
                <w:sz w:val="19"/>
                <w:szCs w:val="19"/>
                <w:color w:val="231F20"/>
              </w:rPr>
              <w:t>$ 135,443</w:t>
            </w:r>
          </w:p>
        </w:tc>
        <w:tc>
          <w:tcPr>
            <w:tcW w:w="80" w:type="dxa"/>
            <w:vAlign w:val="bottom"/>
          </w:tcPr>
          <w:p>
            <w:pPr>
              <w:spacing w:after="0"/>
              <w:rPr>
                <w:sz w:val="17"/>
                <w:szCs w:val="17"/>
                <w:color w:val="auto"/>
              </w:rPr>
            </w:pPr>
          </w:p>
        </w:tc>
        <w:tc>
          <w:tcPr>
            <w:tcW w:w="940" w:type="dxa"/>
            <w:vAlign w:val="bottom"/>
            <w:tcBorders>
              <w:top w:val="single" w:sz="8" w:color="231F20"/>
              <w:bottom w:val="single" w:sz="8" w:color="231F20"/>
            </w:tcBorders>
          </w:tcPr>
          <w:p>
            <w:pPr>
              <w:jc w:val="right"/>
              <w:spacing w:after="0" w:line="204" w:lineRule="exact"/>
              <w:rPr>
                <w:sz w:val="20"/>
                <w:szCs w:val="20"/>
                <w:color w:val="auto"/>
              </w:rPr>
            </w:pPr>
            <w:r>
              <w:rPr>
                <w:rFonts w:ascii="Times New Roman" w:cs="Times New Roman" w:eastAsia="Times New Roman" w:hAnsi="Times New Roman"/>
                <w:sz w:val="19"/>
                <w:szCs w:val="19"/>
                <w:color w:val="231F20"/>
              </w:rPr>
              <w:t>$ 260,004</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96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231F20"/>
        </w:rPr>
        <w:t>The accompanying notes are an integral part of these consolidated statements.</w:t>
      </w:r>
    </w:p>
    <w:p>
      <w:pPr>
        <w:sectPr>
          <w:pgSz w:w="11880" w:h="15480" w:orient="portrait"/>
          <w:cols w:equalWidth="0" w:num="1">
            <w:col w:w="9680"/>
          </w:cols>
          <w:pgMar w:left="1120" w:top="958" w:right="108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231F20"/>
        </w:rPr>
        <w:t>F-11</w:t>
      </w:r>
    </w:p>
    <w:p>
      <w:pPr>
        <w:sectPr>
          <w:pgSz w:w="11880" w:h="15480" w:orient="portrait"/>
          <w:cols w:equalWidth="0" w:num="1">
            <w:col w:w="9680"/>
          </w:cols>
          <w:pgMar w:left="1120" w:top="958" w:right="1080" w:bottom="0" w:gutter="0" w:footer="0" w:header="0"/>
          <w:type w:val="continuous"/>
        </w:sectPr>
      </w:pPr>
    </w:p>
    <w:bookmarkStart w:id="75" w:name="page76"/>
    <w:bookmarkEnd w:id="75"/>
    <w:p>
      <w:pPr>
        <w:jc w:val="center"/>
        <w:ind w:right="40"/>
        <w:spacing w:after="0"/>
        <w:rPr>
          <w:sz w:val="20"/>
          <w:szCs w:val="20"/>
          <w:color w:val="auto"/>
        </w:rPr>
      </w:pPr>
      <w:r>
        <w:rPr>
          <w:rFonts w:ascii="Times New Roman" w:cs="Times New Roman" w:eastAsia="Times New Roman" w:hAnsi="Times New Roman"/>
          <w:sz w:val="19"/>
          <w:szCs w:val="19"/>
          <w:b w:val="1"/>
          <w:bCs w:val="1"/>
          <w:color w:val="231F20"/>
        </w:rPr>
        <w:t>Federal Realty OP LP</w:t>
      </w:r>
    </w:p>
    <w:p>
      <w:pPr>
        <w:spacing w:after="0" w:line="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b w:val="1"/>
          <w:bCs w:val="1"/>
          <w:color w:val="231F20"/>
        </w:rPr>
        <w:t>Consolidated Balance Sheets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420" w:type="dxa"/>
            <w:vAlign w:val="bottom"/>
          </w:tcPr>
          <w:p>
            <w:pPr>
              <w:spacing w:after="0"/>
              <w:rPr>
                <w:sz w:val="17"/>
                <w:szCs w:val="17"/>
                <w:color w:val="auto"/>
              </w:rPr>
            </w:pPr>
          </w:p>
        </w:tc>
        <w:tc>
          <w:tcPr>
            <w:tcW w:w="160" w:type="dxa"/>
            <w:vAlign w:val="bottom"/>
            <w:tcBorders>
              <w:bottom w:val="single" w:sz="8" w:color="231F20"/>
            </w:tcBorders>
          </w:tcPr>
          <w:p>
            <w:pPr>
              <w:spacing w:after="0"/>
              <w:rPr>
                <w:sz w:val="17"/>
                <w:szCs w:val="17"/>
                <w:color w:val="auto"/>
              </w:rPr>
            </w:pPr>
          </w:p>
        </w:tc>
        <w:tc>
          <w:tcPr>
            <w:tcW w:w="2100" w:type="dxa"/>
            <w:vAlign w:val="bottom"/>
            <w:tcBorders>
              <w:bottom w:val="single" w:sz="8" w:color="231F20"/>
            </w:tcBorders>
            <w:gridSpan w:val="4"/>
          </w:tcPr>
          <w:p>
            <w:pPr>
              <w:jc w:val="right"/>
              <w:ind w:right="586"/>
              <w:spacing w:after="0"/>
              <w:rPr>
                <w:sz w:val="20"/>
                <w:szCs w:val="20"/>
                <w:color w:val="auto"/>
              </w:rPr>
            </w:pPr>
            <w:r>
              <w:rPr>
                <w:rFonts w:ascii="Times New Roman" w:cs="Times New Roman" w:eastAsia="Times New Roman" w:hAnsi="Times New Roman"/>
                <w:sz w:val="15"/>
                <w:szCs w:val="15"/>
                <w:b w:val="1"/>
                <w:bCs w:val="1"/>
                <w:color w:val="231F20"/>
              </w:rPr>
              <w:t>December 31,</w:t>
            </w:r>
          </w:p>
        </w:tc>
        <w:tc>
          <w:tcPr>
            <w:tcW w:w="0" w:type="dxa"/>
            <w:vAlign w:val="bottom"/>
          </w:tcPr>
          <w:p>
            <w:pPr>
              <w:spacing w:after="0"/>
              <w:rPr>
                <w:sz w:val="1"/>
                <w:szCs w:val="1"/>
                <w:color w:val="auto"/>
              </w:rPr>
            </w:pPr>
          </w:p>
        </w:tc>
      </w:tr>
      <w:tr>
        <w:trPr>
          <w:trHeight w:val="195"/>
        </w:trPr>
        <w:tc>
          <w:tcPr>
            <w:tcW w:w="7420" w:type="dxa"/>
            <w:vAlign w:val="bottom"/>
          </w:tcPr>
          <w:p>
            <w:pPr>
              <w:spacing w:after="0"/>
              <w:rPr>
                <w:sz w:val="16"/>
                <w:szCs w:val="16"/>
                <w:color w:val="auto"/>
              </w:rPr>
            </w:pPr>
          </w:p>
        </w:tc>
        <w:tc>
          <w:tcPr>
            <w:tcW w:w="160" w:type="dxa"/>
            <w:vAlign w:val="bottom"/>
            <w:tcBorders>
              <w:bottom w:val="single" w:sz="8" w:color="231F20"/>
            </w:tcBorders>
          </w:tcPr>
          <w:p>
            <w:pPr>
              <w:spacing w:after="0"/>
              <w:rPr>
                <w:sz w:val="16"/>
                <w:szCs w:val="16"/>
                <w:color w:val="auto"/>
              </w:rPr>
            </w:pPr>
          </w:p>
        </w:tc>
        <w:tc>
          <w:tcPr>
            <w:tcW w:w="940" w:type="dxa"/>
            <w:vAlign w:val="bottom"/>
            <w:tcBorders>
              <w:bottom w:val="single" w:sz="8" w:color="231F20"/>
            </w:tcBorders>
          </w:tcPr>
          <w:p>
            <w:pPr>
              <w:jc w:val="right"/>
              <w:ind w:right="286"/>
              <w:spacing w:after="0"/>
              <w:rPr>
                <w:sz w:val="20"/>
                <w:szCs w:val="20"/>
                <w:color w:val="auto"/>
              </w:rPr>
            </w:pPr>
            <w:r>
              <w:rPr>
                <w:rFonts w:ascii="Times New Roman" w:cs="Times New Roman" w:eastAsia="Times New Roman" w:hAnsi="Times New Roman"/>
                <w:sz w:val="15"/>
                <w:szCs w:val="15"/>
                <w:b w:val="1"/>
                <w:bCs w:val="1"/>
                <w:color w:val="231F20"/>
              </w:rPr>
              <w:t>2025</w:t>
            </w:r>
          </w:p>
        </w:tc>
        <w:tc>
          <w:tcPr>
            <w:tcW w:w="80" w:type="dxa"/>
            <w:vAlign w:val="bottom"/>
          </w:tcPr>
          <w:p>
            <w:pPr>
              <w:spacing w:after="0"/>
              <w:rPr>
                <w:sz w:val="16"/>
                <w:szCs w:val="16"/>
                <w:color w:val="auto"/>
              </w:rPr>
            </w:pPr>
          </w:p>
        </w:tc>
        <w:tc>
          <w:tcPr>
            <w:tcW w:w="140" w:type="dxa"/>
            <w:vAlign w:val="bottom"/>
            <w:tcBorders>
              <w:bottom w:val="single" w:sz="8" w:color="231F20"/>
            </w:tcBorders>
          </w:tcPr>
          <w:p>
            <w:pPr>
              <w:spacing w:after="0"/>
              <w:rPr>
                <w:sz w:val="16"/>
                <w:szCs w:val="16"/>
                <w:color w:val="auto"/>
              </w:rPr>
            </w:pPr>
          </w:p>
        </w:tc>
        <w:tc>
          <w:tcPr>
            <w:tcW w:w="940" w:type="dxa"/>
            <w:vAlign w:val="bottom"/>
            <w:tcBorders>
              <w:bottom w:val="single" w:sz="8" w:color="231F20"/>
            </w:tcBorders>
          </w:tcPr>
          <w:p>
            <w:pPr>
              <w:jc w:val="right"/>
              <w:ind w:right="286"/>
              <w:spacing w:after="0"/>
              <w:rPr>
                <w:sz w:val="20"/>
                <w:szCs w:val="20"/>
                <w:color w:val="auto"/>
              </w:rPr>
            </w:pPr>
            <w:r>
              <w:rPr>
                <w:rFonts w:ascii="Times New Roman" w:cs="Times New Roman" w:eastAsia="Times New Roman" w:hAnsi="Times New Roman"/>
                <w:sz w:val="15"/>
                <w:szCs w:val="15"/>
                <w:b w:val="1"/>
                <w:bCs w:val="1"/>
                <w:color w:val="231F20"/>
              </w:rPr>
              <w:t>2024</w:t>
            </w:r>
          </w:p>
        </w:tc>
        <w:tc>
          <w:tcPr>
            <w:tcW w:w="0" w:type="dxa"/>
            <w:vAlign w:val="bottom"/>
          </w:tcPr>
          <w:p>
            <w:pPr>
              <w:spacing w:after="0"/>
              <w:rPr>
                <w:sz w:val="1"/>
                <w:szCs w:val="1"/>
                <w:color w:val="auto"/>
              </w:rPr>
            </w:pPr>
          </w:p>
        </w:tc>
      </w:tr>
      <w:tr>
        <w:trPr>
          <w:trHeight w:val="331"/>
        </w:trPr>
        <w:tc>
          <w:tcPr>
            <w:tcW w:w="7420" w:type="dxa"/>
            <w:vAlign w:val="bottom"/>
          </w:tcPr>
          <w:p>
            <w:pPr>
              <w:spacing w:after="0"/>
              <w:rPr>
                <w:sz w:val="24"/>
                <w:szCs w:val="24"/>
                <w:color w:val="auto"/>
              </w:rPr>
            </w:pPr>
          </w:p>
        </w:tc>
        <w:tc>
          <w:tcPr>
            <w:tcW w:w="2260" w:type="dxa"/>
            <w:vAlign w:val="bottom"/>
            <w:gridSpan w:val="5"/>
          </w:tcPr>
          <w:p>
            <w:pPr>
              <w:jc w:val="right"/>
              <w:ind w:right="6"/>
              <w:spacing w:after="0"/>
              <w:rPr>
                <w:sz w:val="20"/>
                <w:szCs w:val="20"/>
                <w:color w:val="auto"/>
              </w:rPr>
            </w:pPr>
            <w:r>
              <w:rPr>
                <w:rFonts w:ascii="Times New Roman" w:cs="Times New Roman" w:eastAsia="Times New Roman" w:hAnsi="Times New Roman"/>
                <w:sz w:val="15"/>
                <w:szCs w:val="15"/>
                <w:b w:val="1"/>
                <w:bCs w:val="1"/>
                <w:color w:val="231F20"/>
              </w:rPr>
              <w:t>(In thousands, except unit data)</w:t>
            </w:r>
          </w:p>
        </w:tc>
        <w:tc>
          <w:tcPr>
            <w:tcW w:w="0" w:type="dxa"/>
            <w:vAlign w:val="bottom"/>
          </w:tcPr>
          <w:p>
            <w:pPr>
              <w:spacing w:after="0"/>
              <w:rPr>
                <w:sz w:val="1"/>
                <w:szCs w:val="1"/>
                <w:color w:val="auto"/>
              </w:rPr>
            </w:pPr>
          </w:p>
        </w:tc>
      </w:tr>
      <w:tr>
        <w:trPr>
          <w:trHeight w:val="248"/>
        </w:trPr>
        <w:tc>
          <w:tcPr>
            <w:tcW w:w="7420" w:type="dxa"/>
            <w:vAlign w:val="bottom"/>
          </w:tcPr>
          <w:p>
            <w:pPr>
              <w:spacing w:after="0"/>
              <w:rPr>
                <w:sz w:val="20"/>
                <w:szCs w:val="20"/>
                <w:color w:val="auto"/>
              </w:rPr>
            </w:pPr>
            <w:r>
              <w:rPr>
                <w:rFonts w:ascii="Times New Roman" w:cs="Times New Roman" w:eastAsia="Times New Roman" w:hAnsi="Times New Roman"/>
                <w:sz w:val="19"/>
                <w:szCs w:val="19"/>
                <w:color w:val="231F20"/>
              </w:rPr>
              <w:t>ASSETS</w:t>
            </w: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420" w:type="dxa"/>
            <w:vAlign w:val="bottom"/>
          </w:tcPr>
          <w:p>
            <w:pPr>
              <w:ind w:left="340"/>
              <w:spacing w:after="0"/>
              <w:rPr>
                <w:sz w:val="20"/>
                <w:szCs w:val="20"/>
                <w:color w:val="auto"/>
              </w:rPr>
            </w:pPr>
            <w:r>
              <w:rPr>
                <w:rFonts w:ascii="Times New Roman" w:cs="Times New Roman" w:eastAsia="Times New Roman" w:hAnsi="Times New Roman"/>
                <w:sz w:val="19"/>
                <w:szCs w:val="19"/>
                <w:color w:val="231F20"/>
              </w:rPr>
              <w:t>Real estate, at cost</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7420" w:type="dxa"/>
            <w:vAlign w:val="bottom"/>
          </w:tcPr>
          <w:p>
            <w:pPr>
              <w:ind w:left="700"/>
              <w:spacing w:after="0" w:line="192" w:lineRule="exact"/>
              <w:rPr>
                <w:sz w:val="20"/>
                <w:szCs w:val="20"/>
                <w:color w:val="auto"/>
              </w:rPr>
            </w:pPr>
            <w:r>
              <w:rPr>
                <w:rFonts w:ascii="Times New Roman" w:cs="Times New Roman" w:eastAsia="Times New Roman" w:hAnsi="Times New Roman"/>
                <w:sz w:val="19"/>
                <w:szCs w:val="19"/>
                <w:color w:val="231F20"/>
              </w:rPr>
              <w:t>Operating (including $1,832,190 and $1,825,656 of consolidated variable interest</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231F20"/>
              </w:rPr>
              <w:t>11,265,167</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231F20"/>
                <w:w w:val="98"/>
              </w:rPr>
              <w:t>10,363,961</w:t>
            </w:r>
          </w:p>
        </w:tc>
        <w:tc>
          <w:tcPr>
            <w:tcW w:w="0" w:type="dxa"/>
            <w:vAlign w:val="bottom"/>
          </w:tcPr>
          <w:p>
            <w:pPr>
              <w:spacing w:after="0"/>
              <w:rPr>
                <w:sz w:val="1"/>
                <w:szCs w:val="1"/>
                <w:color w:val="auto"/>
              </w:rPr>
            </w:pPr>
          </w:p>
        </w:tc>
      </w:tr>
      <w:tr>
        <w:trPr>
          <w:trHeight w:val="249"/>
        </w:trPr>
        <w:tc>
          <w:tcPr>
            <w:tcW w:w="7420" w:type="dxa"/>
            <w:vAlign w:val="bottom"/>
          </w:tcPr>
          <w:p>
            <w:pPr>
              <w:ind w:left="700"/>
              <w:spacing w:after="0"/>
              <w:rPr>
                <w:sz w:val="20"/>
                <w:szCs w:val="20"/>
                <w:color w:val="auto"/>
              </w:rPr>
            </w:pPr>
            <w:r>
              <w:rPr>
                <w:rFonts w:ascii="Times New Roman" w:cs="Times New Roman" w:eastAsia="Times New Roman" w:hAnsi="Times New Roman"/>
                <w:sz w:val="19"/>
                <w:szCs w:val="19"/>
                <w:color w:val="231F20"/>
              </w:rPr>
              <w:t>entities, respectively)</w:t>
            </w:r>
          </w:p>
        </w:tc>
        <w:tc>
          <w:tcPr>
            <w:tcW w:w="160" w:type="dxa"/>
            <w:vAlign w:val="bottom"/>
            <w:vMerge w:val="continue"/>
          </w:tcPr>
          <w:p>
            <w:pPr>
              <w:spacing w:after="0"/>
              <w:rPr>
                <w:sz w:val="21"/>
                <w:szCs w:val="21"/>
                <w:color w:val="auto"/>
              </w:rPr>
            </w:pPr>
          </w:p>
        </w:tc>
        <w:tc>
          <w:tcPr>
            <w:tcW w:w="940" w:type="dxa"/>
            <w:vAlign w:val="bottom"/>
            <w:vMerge w:val="continue"/>
          </w:tcPr>
          <w:p>
            <w:pPr>
              <w:spacing w:after="0"/>
              <w:rPr>
                <w:sz w:val="21"/>
                <w:szCs w:val="21"/>
                <w:color w:val="auto"/>
              </w:rPr>
            </w:pPr>
          </w:p>
        </w:tc>
        <w:tc>
          <w:tcPr>
            <w:tcW w:w="220" w:type="dxa"/>
            <w:vAlign w:val="bottom"/>
            <w:gridSpan w:val="2"/>
            <w:vMerge w:val="continue"/>
          </w:tcPr>
          <w:p>
            <w:pPr>
              <w:spacing w:after="0"/>
              <w:rPr>
                <w:sz w:val="21"/>
                <w:szCs w:val="21"/>
                <w:color w:val="auto"/>
              </w:rPr>
            </w:pPr>
          </w:p>
        </w:tc>
        <w:tc>
          <w:tcPr>
            <w:tcW w:w="9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7420" w:type="dxa"/>
            <w:vAlign w:val="bottom"/>
          </w:tcPr>
          <w:p>
            <w:pPr>
              <w:ind w:left="700"/>
              <w:spacing w:after="0" w:line="192" w:lineRule="exact"/>
              <w:rPr>
                <w:sz w:val="20"/>
                <w:szCs w:val="20"/>
                <w:color w:val="auto"/>
              </w:rPr>
            </w:pPr>
            <w:r>
              <w:rPr>
                <w:rFonts w:ascii="Times New Roman" w:cs="Times New Roman" w:eastAsia="Times New Roman" w:hAnsi="Times New Roman"/>
                <w:sz w:val="19"/>
                <w:szCs w:val="19"/>
                <w:color w:val="231F20"/>
              </w:rPr>
              <w:t>Construction-in-progress (including $28,418 and $9,939 of consolidated variable</w:t>
            </w:r>
          </w:p>
        </w:tc>
        <w:tc>
          <w:tcPr>
            <w:tcW w:w="16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231F20"/>
              </w:rPr>
              <w:t>374,735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231F20"/>
              </w:rPr>
              <w:t>539,752</w:t>
            </w:r>
          </w:p>
        </w:tc>
        <w:tc>
          <w:tcPr>
            <w:tcW w:w="0" w:type="dxa"/>
            <w:vAlign w:val="bottom"/>
          </w:tcPr>
          <w:p>
            <w:pPr>
              <w:spacing w:after="0"/>
              <w:rPr>
                <w:sz w:val="1"/>
                <w:szCs w:val="1"/>
                <w:color w:val="auto"/>
              </w:rPr>
            </w:pPr>
          </w:p>
        </w:tc>
      </w:tr>
      <w:tr>
        <w:trPr>
          <w:trHeight w:val="250"/>
        </w:trPr>
        <w:tc>
          <w:tcPr>
            <w:tcW w:w="7420" w:type="dxa"/>
            <w:vAlign w:val="bottom"/>
          </w:tcPr>
          <w:p>
            <w:pPr>
              <w:ind w:left="700"/>
              <w:spacing w:after="0"/>
              <w:rPr>
                <w:sz w:val="20"/>
                <w:szCs w:val="20"/>
                <w:color w:val="auto"/>
              </w:rPr>
            </w:pPr>
            <w:r>
              <w:rPr>
                <w:rFonts w:ascii="Times New Roman" w:cs="Times New Roman" w:eastAsia="Times New Roman" w:hAnsi="Times New Roman"/>
                <w:sz w:val="19"/>
                <w:szCs w:val="19"/>
                <w:color w:val="231F20"/>
              </w:rPr>
              <w:t>interest entities, respectively)</w:t>
            </w:r>
          </w:p>
        </w:tc>
        <w:tc>
          <w:tcPr>
            <w:tcW w:w="160" w:type="dxa"/>
            <w:vAlign w:val="bottom"/>
            <w:tcBorders>
              <w:bottom w:val="single" w:sz="8" w:color="231F20"/>
            </w:tcBorders>
          </w:tcPr>
          <w:p>
            <w:pPr>
              <w:spacing w:after="0"/>
              <w:rPr>
                <w:sz w:val="21"/>
                <w:szCs w:val="21"/>
                <w:color w:val="auto"/>
              </w:rPr>
            </w:pPr>
          </w:p>
        </w:tc>
        <w:tc>
          <w:tcPr>
            <w:tcW w:w="940" w:type="dxa"/>
            <w:vAlign w:val="bottom"/>
            <w:tcBorders>
              <w:bottom w:val="single" w:sz="8" w:color="231F20"/>
            </w:tcBorders>
            <w:vMerge w:val="continue"/>
          </w:tcPr>
          <w:p>
            <w:pPr>
              <w:spacing w:after="0"/>
              <w:rPr>
                <w:sz w:val="21"/>
                <w:szCs w:val="21"/>
                <w:color w:val="auto"/>
              </w:rPr>
            </w:pPr>
          </w:p>
        </w:tc>
        <w:tc>
          <w:tcPr>
            <w:tcW w:w="80" w:type="dxa"/>
            <w:vAlign w:val="bottom"/>
            <w:tcBorders>
              <w:bottom w:val="single" w:sz="8" w:color="231F20"/>
            </w:tcBorders>
          </w:tcPr>
          <w:p>
            <w:pPr>
              <w:spacing w:after="0"/>
              <w:rPr>
                <w:sz w:val="21"/>
                <w:szCs w:val="21"/>
                <w:color w:val="auto"/>
              </w:rPr>
            </w:pPr>
          </w:p>
        </w:tc>
        <w:tc>
          <w:tcPr>
            <w:tcW w:w="140" w:type="dxa"/>
            <w:vAlign w:val="bottom"/>
            <w:tcBorders>
              <w:bottom w:val="single" w:sz="8" w:color="231F20"/>
            </w:tcBorders>
          </w:tcPr>
          <w:p>
            <w:pPr>
              <w:spacing w:after="0"/>
              <w:rPr>
                <w:sz w:val="21"/>
                <w:szCs w:val="21"/>
                <w:color w:val="auto"/>
              </w:rPr>
            </w:pPr>
          </w:p>
        </w:tc>
        <w:tc>
          <w:tcPr>
            <w:tcW w:w="940" w:type="dxa"/>
            <w:vAlign w:val="bottom"/>
            <w:tcBorders>
              <w:bottom w:val="single" w:sz="8" w:color="231F20"/>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7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line="210" w:lineRule="exact"/>
              <w:rPr>
                <w:sz w:val="20"/>
                <w:szCs w:val="20"/>
                <w:color w:val="auto"/>
              </w:rPr>
            </w:pPr>
            <w:r>
              <w:rPr>
                <w:rFonts w:ascii="Times New Roman" w:cs="Times New Roman" w:eastAsia="Times New Roman" w:hAnsi="Times New Roman"/>
                <w:sz w:val="19"/>
                <w:szCs w:val="19"/>
                <w:color w:val="231F20"/>
              </w:rPr>
              <w:t>11,639,902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line="210" w:lineRule="exact"/>
              <w:rPr>
                <w:sz w:val="20"/>
                <w:szCs w:val="20"/>
                <w:color w:val="auto"/>
              </w:rPr>
            </w:pPr>
            <w:r>
              <w:rPr>
                <w:rFonts w:ascii="Times New Roman" w:cs="Times New Roman" w:eastAsia="Times New Roman" w:hAnsi="Times New Roman"/>
                <w:sz w:val="19"/>
                <w:szCs w:val="19"/>
                <w:color w:val="231F20"/>
                <w:w w:val="98"/>
              </w:rPr>
              <w:t>10,903,713</w:t>
            </w:r>
          </w:p>
        </w:tc>
        <w:tc>
          <w:tcPr>
            <w:tcW w:w="0" w:type="dxa"/>
            <w:vAlign w:val="bottom"/>
          </w:tcPr>
          <w:p>
            <w:pPr>
              <w:spacing w:after="0"/>
              <w:rPr>
                <w:sz w:val="1"/>
                <w:szCs w:val="1"/>
                <w:color w:val="auto"/>
              </w:rPr>
            </w:pPr>
          </w:p>
        </w:tc>
      </w:tr>
      <w:tr>
        <w:trPr>
          <w:trHeight w:val="191"/>
        </w:trPr>
        <w:tc>
          <w:tcPr>
            <w:tcW w:w="7420" w:type="dxa"/>
            <w:vAlign w:val="bottom"/>
          </w:tcPr>
          <w:p>
            <w:pPr>
              <w:ind w:left="700"/>
              <w:spacing w:after="0" w:line="192" w:lineRule="exact"/>
              <w:rPr>
                <w:sz w:val="20"/>
                <w:szCs w:val="20"/>
                <w:color w:val="auto"/>
              </w:rPr>
            </w:pPr>
            <w:r>
              <w:rPr>
                <w:rFonts w:ascii="Times New Roman" w:cs="Times New Roman" w:eastAsia="Times New Roman" w:hAnsi="Times New Roman"/>
                <w:sz w:val="19"/>
                <w:szCs w:val="19"/>
                <w:color w:val="231F20"/>
              </w:rPr>
              <w:t>Less accumulated depreciation and amortization (including $468,725 and $424,044 of</w:t>
            </w:r>
          </w:p>
        </w:tc>
        <w:tc>
          <w:tcPr>
            <w:tcW w:w="16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231F20"/>
              </w:rPr>
              <w:t>(3,351,881)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231F20"/>
              </w:rPr>
              <w:t>(3,152,799)</w:t>
            </w:r>
          </w:p>
        </w:tc>
        <w:tc>
          <w:tcPr>
            <w:tcW w:w="0" w:type="dxa"/>
            <w:vAlign w:val="bottom"/>
          </w:tcPr>
          <w:p>
            <w:pPr>
              <w:spacing w:after="0"/>
              <w:rPr>
                <w:sz w:val="1"/>
                <w:szCs w:val="1"/>
                <w:color w:val="auto"/>
              </w:rPr>
            </w:pPr>
          </w:p>
        </w:tc>
      </w:tr>
      <w:tr>
        <w:trPr>
          <w:trHeight w:val="249"/>
        </w:trPr>
        <w:tc>
          <w:tcPr>
            <w:tcW w:w="7420" w:type="dxa"/>
            <w:vAlign w:val="bottom"/>
          </w:tcPr>
          <w:p>
            <w:pPr>
              <w:ind w:left="700"/>
              <w:spacing w:after="0"/>
              <w:rPr>
                <w:sz w:val="20"/>
                <w:szCs w:val="20"/>
                <w:color w:val="auto"/>
              </w:rPr>
            </w:pPr>
            <w:r>
              <w:rPr>
                <w:rFonts w:ascii="Times New Roman" w:cs="Times New Roman" w:eastAsia="Times New Roman" w:hAnsi="Times New Roman"/>
                <w:sz w:val="19"/>
                <w:szCs w:val="19"/>
                <w:color w:val="231F20"/>
              </w:rPr>
              <w:t>consolidated variable interest entities, respectively)</w:t>
            </w:r>
          </w:p>
        </w:tc>
        <w:tc>
          <w:tcPr>
            <w:tcW w:w="160" w:type="dxa"/>
            <w:vAlign w:val="bottom"/>
            <w:tcBorders>
              <w:bottom w:val="single" w:sz="8" w:color="231F20"/>
            </w:tcBorders>
          </w:tcPr>
          <w:p>
            <w:pPr>
              <w:spacing w:after="0"/>
              <w:rPr>
                <w:sz w:val="21"/>
                <w:szCs w:val="21"/>
                <w:color w:val="auto"/>
              </w:rPr>
            </w:pPr>
          </w:p>
        </w:tc>
        <w:tc>
          <w:tcPr>
            <w:tcW w:w="940" w:type="dxa"/>
            <w:vAlign w:val="bottom"/>
            <w:tcBorders>
              <w:bottom w:val="single" w:sz="8" w:color="231F20"/>
            </w:tcBorders>
            <w:vMerge w:val="continue"/>
          </w:tcPr>
          <w:p>
            <w:pPr>
              <w:spacing w:after="0"/>
              <w:rPr>
                <w:sz w:val="21"/>
                <w:szCs w:val="21"/>
                <w:color w:val="auto"/>
              </w:rPr>
            </w:pPr>
          </w:p>
        </w:tc>
        <w:tc>
          <w:tcPr>
            <w:tcW w:w="80" w:type="dxa"/>
            <w:vAlign w:val="bottom"/>
            <w:tcBorders>
              <w:bottom w:val="single" w:sz="8" w:color="231F20"/>
            </w:tcBorders>
          </w:tcPr>
          <w:p>
            <w:pPr>
              <w:spacing w:after="0"/>
              <w:rPr>
                <w:sz w:val="21"/>
                <w:szCs w:val="21"/>
                <w:color w:val="auto"/>
              </w:rPr>
            </w:pPr>
          </w:p>
        </w:tc>
        <w:tc>
          <w:tcPr>
            <w:tcW w:w="140" w:type="dxa"/>
            <w:vAlign w:val="bottom"/>
            <w:tcBorders>
              <w:bottom w:val="single" w:sz="8" w:color="231F20"/>
            </w:tcBorders>
          </w:tcPr>
          <w:p>
            <w:pPr>
              <w:spacing w:after="0"/>
              <w:rPr>
                <w:sz w:val="21"/>
                <w:szCs w:val="21"/>
                <w:color w:val="auto"/>
              </w:rPr>
            </w:pPr>
          </w:p>
        </w:tc>
        <w:tc>
          <w:tcPr>
            <w:tcW w:w="940" w:type="dxa"/>
            <w:vAlign w:val="bottom"/>
            <w:tcBorders>
              <w:bottom w:val="single" w:sz="8" w:color="231F20"/>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7420" w:type="dxa"/>
            <w:vAlign w:val="bottom"/>
          </w:tcPr>
          <w:p>
            <w:pPr>
              <w:ind w:left="340"/>
              <w:spacing w:after="0" w:line="200" w:lineRule="exact"/>
              <w:rPr>
                <w:sz w:val="20"/>
                <w:szCs w:val="20"/>
                <w:color w:val="auto"/>
              </w:rPr>
            </w:pPr>
            <w:r>
              <w:rPr>
                <w:rFonts w:ascii="Times New Roman" w:cs="Times New Roman" w:eastAsia="Times New Roman" w:hAnsi="Times New Roman"/>
                <w:sz w:val="19"/>
                <w:szCs w:val="19"/>
                <w:color w:val="231F20"/>
              </w:rPr>
              <w:t>Net real estate</w:t>
            </w:r>
          </w:p>
        </w:tc>
        <w:tc>
          <w:tcPr>
            <w:tcW w:w="160" w:type="dxa"/>
            <w:vAlign w:val="bottom"/>
          </w:tcPr>
          <w:p>
            <w:pPr>
              <w:spacing w:after="0"/>
              <w:rPr>
                <w:sz w:val="17"/>
                <w:szCs w:val="17"/>
                <w:color w:val="auto"/>
              </w:rPr>
            </w:pPr>
          </w:p>
        </w:tc>
        <w:tc>
          <w:tcPr>
            <w:tcW w:w="940" w:type="dxa"/>
            <w:vAlign w:val="bottom"/>
          </w:tcPr>
          <w:p>
            <w:pPr>
              <w:jc w:val="right"/>
              <w:spacing w:after="0" w:line="200" w:lineRule="exact"/>
              <w:rPr>
                <w:sz w:val="20"/>
                <w:szCs w:val="20"/>
                <w:color w:val="auto"/>
              </w:rPr>
            </w:pPr>
            <w:r>
              <w:rPr>
                <w:rFonts w:ascii="Times New Roman" w:cs="Times New Roman" w:eastAsia="Times New Roman" w:hAnsi="Times New Roman"/>
                <w:sz w:val="19"/>
                <w:szCs w:val="19"/>
                <w:color w:val="231F20"/>
              </w:rPr>
              <w:t>8,288,021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line="200" w:lineRule="exact"/>
              <w:rPr>
                <w:sz w:val="20"/>
                <w:szCs w:val="20"/>
                <w:color w:val="auto"/>
              </w:rPr>
            </w:pPr>
            <w:r>
              <w:rPr>
                <w:rFonts w:ascii="Times New Roman" w:cs="Times New Roman" w:eastAsia="Times New Roman" w:hAnsi="Times New Roman"/>
                <w:sz w:val="19"/>
                <w:szCs w:val="19"/>
                <w:color w:val="231F20"/>
              </w:rPr>
              <w:t>7,750,914</w:t>
            </w:r>
          </w:p>
        </w:tc>
        <w:tc>
          <w:tcPr>
            <w:tcW w:w="0" w:type="dxa"/>
            <w:vAlign w:val="bottom"/>
          </w:tcPr>
          <w:p>
            <w:pPr>
              <w:spacing w:after="0"/>
              <w:rPr>
                <w:sz w:val="1"/>
                <w:szCs w:val="1"/>
                <w:color w:val="auto"/>
              </w:rPr>
            </w:pPr>
          </w:p>
        </w:tc>
      </w:tr>
      <w:tr>
        <w:trPr>
          <w:trHeight w:val="228"/>
        </w:trPr>
        <w:tc>
          <w:tcPr>
            <w:tcW w:w="7420" w:type="dxa"/>
            <w:vAlign w:val="bottom"/>
          </w:tcPr>
          <w:p>
            <w:pPr>
              <w:ind w:left="340"/>
              <w:spacing w:after="0"/>
              <w:rPr>
                <w:sz w:val="20"/>
                <w:szCs w:val="20"/>
                <w:color w:val="auto"/>
              </w:rPr>
            </w:pPr>
            <w:r>
              <w:rPr>
                <w:rFonts w:ascii="Times New Roman" w:cs="Times New Roman" w:eastAsia="Times New Roman" w:hAnsi="Times New Roman"/>
                <w:sz w:val="19"/>
                <w:szCs w:val="19"/>
                <w:color w:val="231F20"/>
              </w:rPr>
              <w:t>Cash and cash equivalents</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107,415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123,409</w:t>
            </w:r>
          </w:p>
        </w:tc>
        <w:tc>
          <w:tcPr>
            <w:tcW w:w="0" w:type="dxa"/>
            <w:vAlign w:val="bottom"/>
          </w:tcPr>
          <w:p>
            <w:pPr>
              <w:spacing w:after="0"/>
              <w:rPr>
                <w:sz w:val="1"/>
                <w:szCs w:val="1"/>
                <w:color w:val="auto"/>
              </w:rPr>
            </w:pPr>
          </w:p>
        </w:tc>
      </w:tr>
      <w:tr>
        <w:trPr>
          <w:trHeight w:val="242"/>
        </w:trPr>
        <w:tc>
          <w:tcPr>
            <w:tcW w:w="7420" w:type="dxa"/>
            <w:vAlign w:val="bottom"/>
          </w:tcPr>
          <w:p>
            <w:pPr>
              <w:ind w:left="340"/>
              <w:spacing w:after="0"/>
              <w:rPr>
                <w:sz w:val="20"/>
                <w:szCs w:val="20"/>
                <w:color w:val="auto"/>
              </w:rPr>
            </w:pPr>
            <w:r>
              <w:rPr>
                <w:rFonts w:ascii="Times New Roman" w:cs="Times New Roman" w:eastAsia="Times New Roman" w:hAnsi="Times New Roman"/>
                <w:sz w:val="19"/>
                <w:szCs w:val="19"/>
                <w:color w:val="231F20"/>
              </w:rPr>
              <w:t>Accounts and notes receivable, net</w:t>
            </w: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249,755</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229,080</w:t>
            </w:r>
          </w:p>
        </w:tc>
        <w:tc>
          <w:tcPr>
            <w:tcW w:w="0" w:type="dxa"/>
            <w:vAlign w:val="bottom"/>
          </w:tcPr>
          <w:p>
            <w:pPr>
              <w:spacing w:after="0"/>
              <w:rPr>
                <w:sz w:val="1"/>
                <w:szCs w:val="1"/>
                <w:color w:val="auto"/>
              </w:rPr>
            </w:pPr>
          </w:p>
        </w:tc>
      </w:tr>
      <w:tr>
        <w:trPr>
          <w:trHeight w:val="242"/>
        </w:trPr>
        <w:tc>
          <w:tcPr>
            <w:tcW w:w="7420" w:type="dxa"/>
            <w:vAlign w:val="bottom"/>
          </w:tcPr>
          <w:p>
            <w:pPr>
              <w:ind w:left="340"/>
              <w:spacing w:after="0"/>
              <w:rPr>
                <w:sz w:val="20"/>
                <w:szCs w:val="20"/>
                <w:color w:val="auto"/>
              </w:rPr>
            </w:pPr>
            <w:r>
              <w:rPr>
                <w:rFonts w:ascii="Times New Roman" w:cs="Times New Roman" w:eastAsia="Times New Roman" w:hAnsi="Times New Roman"/>
                <w:sz w:val="19"/>
                <w:szCs w:val="19"/>
                <w:color w:val="231F20"/>
              </w:rPr>
              <w:t>Mortgage notes receivable, net</w:t>
            </w: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9,091</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9,144</w:t>
            </w:r>
          </w:p>
        </w:tc>
        <w:tc>
          <w:tcPr>
            <w:tcW w:w="0" w:type="dxa"/>
            <w:vAlign w:val="bottom"/>
          </w:tcPr>
          <w:p>
            <w:pPr>
              <w:spacing w:after="0"/>
              <w:rPr>
                <w:sz w:val="1"/>
                <w:szCs w:val="1"/>
                <w:color w:val="auto"/>
              </w:rPr>
            </w:pPr>
          </w:p>
        </w:tc>
      </w:tr>
      <w:tr>
        <w:trPr>
          <w:trHeight w:val="242"/>
        </w:trPr>
        <w:tc>
          <w:tcPr>
            <w:tcW w:w="7420" w:type="dxa"/>
            <w:vAlign w:val="bottom"/>
          </w:tcPr>
          <w:p>
            <w:pPr>
              <w:ind w:left="340"/>
              <w:spacing w:after="0"/>
              <w:rPr>
                <w:sz w:val="20"/>
                <w:szCs w:val="20"/>
                <w:color w:val="auto"/>
              </w:rPr>
            </w:pPr>
            <w:r>
              <w:rPr>
                <w:rFonts w:ascii="Times New Roman" w:cs="Times New Roman" w:eastAsia="Times New Roman" w:hAnsi="Times New Roman"/>
                <w:sz w:val="19"/>
                <w:szCs w:val="19"/>
                <w:color w:val="231F20"/>
              </w:rPr>
              <w:t>Investment in partnerships</w:t>
            </w: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31,881</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33,458</w:t>
            </w:r>
          </w:p>
        </w:tc>
        <w:tc>
          <w:tcPr>
            <w:tcW w:w="0" w:type="dxa"/>
            <w:vAlign w:val="bottom"/>
          </w:tcPr>
          <w:p>
            <w:pPr>
              <w:spacing w:after="0"/>
              <w:rPr>
                <w:sz w:val="1"/>
                <w:szCs w:val="1"/>
                <w:color w:val="auto"/>
              </w:rPr>
            </w:pPr>
          </w:p>
        </w:tc>
      </w:tr>
      <w:tr>
        <w:trPr>
          <w:trHeight w:val="242"/>
        </w:trPr>
        <w:tc>
          <w:tcPr>
            <w:tcW w:w="7420" w:type="dxa"/>
            <w:vAlign w:val="bottom"/>
          </w:tcPr>
          <w:p>
            <w:pPr>
              <w:ind w:left="340"/>
              <w:spacing w:after="0"/>
              <w:rPr>
                <w:sz w:val="20"/>
                <w:szCs w:val="20"/>
                <w:color w:val="auto"/>
              </w:rPr>
            </w:pPr>
            <w:r>
              <w:rPr>
                <w:rFonts w:ascii="Times New Roman" w:cs="Times New Roman" w:eastAsia="Times New Roman" w:hAnsi="Times New Roman"/>
                <w:sz w:val="19"/>
                <w:szCs w:val="19"/>
                <w:color w:val="231F20"/>
              </w:rPr>
              <w:t>Operating lease right of use assets, net</w:t>
            </w: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83,120</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85,806</w:t>
            </w:r>
          </w:p>
        </w:tc>
        <w:tc>
          <w:tcPr>
            <w:tcW w:w="0" w:type="dxa"/>
            <w:vAlign w:val="bottom"/>
          </w:tcPr>
          <w:p>
            <w:pPr>
              <w:spacing w:after="0"/>
              <w:rPr>
                <w:sz w:val="1"/>
                <w:szCs w:val="1"/>
                <w:color w:val="auto"/>
              </w:rPr>
            </w:pPr>
          </w:p>
        </w:tc>
      </w:tr>
      <w:tr>
        <w:trPr>
          <w:trHeight w:val="242"/>
        </w:trPr>
        <w:tc>
          <w:tcPr>
            <w:tcW w:w="7420" w:type="dxa"/>
            <w:vAlign w:val="bottom"/>
          </w:tcPr>
          <w:p>
            <w:pPr>
              <w:ind w:left="340"/>
              <w:spacing w:after="0"/>
              <w:rPr>
                <w:sz w:val="20"/>
                <w:szCs w:val="20"/>
                <w:color w:val="auto"/>
              </w:rPr>
            </w:pPr>
            <w:r>
              <w:rPr>
                <w:rFonts w:ascii="Times New Roman" w:cs="Times New Roman" w:eastAsia="Times New Roman" w:hAnsi="Times New Roman"/>
                <w:sz w:val="19"/>
                <w:szCs w:val="19"/>
                <w:color w:val="231F20"/>
              </w:rPr>
              <w:t>Finance lease right of use assets, net</w:t>
            </w: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6,410</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6,630</w:t>
            </w:r>
          </w:p>
        </w:tc>
        <w:tc>
          <w:tcPr>
            <w:tcW w:w="0" w:type="dxa"/>
            <w:vAlign w:val="bottom"/>
          </w:tcPr>
          <w:p>
            <w:pPr>
              <w:spacing w:after="0"/>
              <w:rPr>
                <w:sz w:val="1"/>
                <w:szCs w:val="1"/>
                <w:color w:val="auto"/>
              </w:rPr>
            </w:pPr>
          </w:p>
        </w:tc>
      </w:tr>
      <w:tr>
        <w:trPr>
          <w:trHeight w:val="251"/>
        </w:trPr>
        <w:tc>
          <w:tcPr>
            <w:tcW w:w="7420" w:type="dxa"/>
            <w:vAlign w:val="bottom"/>
          </w:tcPr>
          <w:p>
            <w:pPr>
              <w:ind w:left="340"/>
              <w:spacing w:after="0"/>
              <w:rPr>
                <w:sz w:val="20"/>
                <w:szCs w:val="20"/>
                <w:color w:val="auto"/>
              </w:rPr>
            </w:pPr>
            <w:r>
              <w:rPr>
                <w:rFonts w:ascii="Times New Roman" w:cs="Times New Roman" w:eastAsia="Times New Roman" w:hAnsi="Times New Roman"/>
                <w:sz w:val="19"/>
                <w:szCs w:val="19"/>
                <w:color w:val="231F20"/>
              </w:rPr>
              <w:t>Prepaid expenses and other assets</w:t>
            </w:r>
          </w:p>
        </w:tc>
        <w:tc>
          <w:tcPr>
            <w:tcW w:w="160" w:type="dxa"/>
            <w:vAlign w:val="bottom"/>
            <w:tcBorders>
              <w:bottom w:val="single" w:sz="8" w:color="231F20"/>
            </w:tcBorders>
          </w:tcPr>
          <w:p>
            <w:pPr>
              <w:spacing w:after="0"/>
              <w:rPr>
                <w:sz w:val="21"/>
                <w:szCs w:val="21"/>
                <w:color w:val="auto"/>
              </w:rPr>
            </w:pPr>
          </w:p>
        </w:tc>
        <w:tc>
          <w:tcPr>
            <w:tcW w:w="9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354,767</w:t>
            </w:r>
          </w:p>
        </w:tc>
        <w:tc>
          <w:tcPr>
            <w:tcW w:w="80" w:type="dxa"/>
            <w:vAlign w:val="bottom"/>
            <w:tcBorders>
              <w:bottom w:val="single" w:sz="8" w:color="231F20"/>
            </w:tcBorders>
          </w:tcPr>
          <w:p>
            <w:pPr>
              <w:spacing w:after="0"/>
              <w:rPr>
                <w:sz w:val="21"/>
                <w:szCs w:val="21"/>
                <w:color w:val="auto"/>
              </w:rPr>
            </w:pPr>
          </w:p>
        </w:tc>
        <w:tc>
          <w:tcPr>
            <w:tcW w:w="140" w:type="dxa"/>
            <w:vAlign w:val="bottom"/>
            <w:tcBorders>
              <w:bottom w:val="single" w:sz="8" w:color="231F20"/>
            </w:tcBorders>
          </w:tcPr>
          <w:p>
            <w:pPr>
              <w:spacing w:after="0"/>
              <w:rPr>
                <w:sz w:val="21"/>
                <w:szCs w:val="21"/>
                <w:color w:val="auto"/>
              </w:rPr>
            </w:pPr>
          </w:p>
        </w:tc>
        <w:tc>
          <w:tcPr>
            <w:tcW w:w="9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286,316</w:t>
            </w:r>
          </w:p>
        </w:tc>
        <w:tc>
          <w:tcPr>
            <w:tcW w:w="0" w:type="dxa"/>
            <w:vAlign w:val="bottom"/>
          </w:tcPr>
          <w:p>
            <w:pPr>
              <w:spacing w:after="0"/>
              <w:rPr>
                <w:sz w:val="1"/>
                <w:szCs w:val="1"/>
                <w:color w:val="auto"/>
              </w:rPr>
            </w:pPr>
          </w:p>
        </w:tc>
      </w:tr>
      <w:tr>
        <w:trPr>
          <w:trHeight w:val="203"/>
        </w:trPr>
        <w:tc>
          <w:tcPr>
            <w:tcW w:w="7420" w:type="dxa"/>
            <w:vAlign w:val="bottom"/>
          </w:tcPr>
          <w:p>
            <w:pPr>
              <w:spacing w:after="0" w:line="204" w:lineRule="exact"/>
              <w:rPr>
                <w:sz w:val="20"/>
                <w:szCs w:val="20"/>
                <w:color w:val="auto"/>
              </w:rPr>
            </w:pPr>
            <w:r>
              <w:rPr>
                <w:rFonts w:ascii="Times New Roman" w:cs="Times New Roman" w:eastAsia="Times New Roman" w:hAnsi="Times New Roman"/>
                <w:sz w:val="19"/>
                <w:szCs w:val="19"/>
                <w:color w:val="231F20"/>
              </w:rPr>
              <w:t>TOTAL ASSETS</w:t>
            </w:r>
          </w:p>
        </w:tc>
        <w:tc>
          <w:tcPr>
            <w:tcW w:w="160" w:type="dxa"/>
            <w:vAlign w:val="bottom"/>
            <w:tcBorders>
              <w:bottom w:val="single" w:sz="8" w:color="231F20"/>
            </w:tcBorders>
          </w:tcPr>
          <w:p>
            <w:pPr>
              <w:jc w:val="right"/>
              <w:spacing w:after="0" w:line="204" w:lineRule="exact"/>
              <w:rPr>
                <w:sz w:val="20"/>
                <w:szCs w:val="20"/>
                <w:color w:val="auto"/>
              </w:rPr>
            </w:pPr>
            <w:r>
              <w:rPr>
                <w:rFonts w:ascii="Times New Roman" w:cs="Times New Roman" w:eastAsia="Times New Roman" w:hAnsi="Times New Roman"/>
                <w:sz w:val="19"/>
                <w:szCs w:val="19"/>
                <w:color w:val="231F20"/>
              </w:rPr>
              <w:t>$</w:t>
            </w:r>
          </w:p>
        </w:tc>
        <w:tc>
          <w:tcPr>
            <w:tcW w:w="940" w:type="dxa"/>
            <w:vAlign w:val="bottom"/>
            <w:tcBorders>
              <w:bottom w:val="single" w:sz="8" w:color="231F20"/>
            </w:tcBorders>
          </w:tcPr>
          <w:p>
            <w:pPr>
              <w:jc w:val="right"/>
              <w:spacing w:after="0" w:line="204" w:lineRule="exact"/>
              <w:rPr>
                <w:sz w:val="20"/>
                <w:szCs w:val="20"/>
                <w:color w:val="auto"/>
              </w:rPr>
            </w:pPr>
            <w:r>
              <w:rPr>
                <w:rFonts w:ascii="Times New Roman" w:cs="Times New Roman" w:eastAsia="Times New Roman" w:hAnsi="Times New Roman"/>
                <w:sz w:val="19"/>
                <w:szCs w:val="19"/>
                <w:color w:val="231F20"/>
              </w:rPr>
              <w:t>9,130,460</w:t>
            </w:r>
          </w:p>
        </w:tc>
        <w:tc>
          <w:tcPr>
            <w:tcW w:w="220" w:type="dxa"/>
            <w:vAlign w:val="bottom"/>
            <w:tcBorders>
              <w:bottom w:val="single" w:sz="8" w:color="231F20"/>
            </w:tcBorders>
            <w:gridSpan w:val="2"/>
          </w:tcPr>
          <w:p>
            <w:pPr>
              <w:jc w:val="right"/>
              <w:spacing w:after="0" w:line="204" w:lineRule="exact"/>
              <w:rPr>
                <w:sz w:val="20"/>
                <w:szCs w:val="20"/>
                <w:color w:val="auto"/>
              </w:rPr>
            </w:pPr>
            <w:r>
              <w:rPr>
                <w:rFonts w:ascii="Times New Roman" w:cs="Times New Roman" w:eastAsia="Times New Roman" w:hAnsi="Times New Roman"/>
                <w:sz w:val="19"/>
                <w:szCs w:val="19"/>
                <w:color w:val="231F20"/>
              </w:rPr>
              <w:t>$</w:t>
            </w:r>
          </w:p>
        </w:tc>
        <w:tc>
          <w:tcPr>
            <w:tcW w:w="940" w:type="dxa"/>
            <w:vAlign w:val="bottom"/>
            <w:tcBorders>
              <w:bottom w:val="single" w:sz="8" w:color="231F20"/>
            </w:tcBorders>
          </w:tcPr>
          <w:p>
            <w:pPr>
              <w:jc w:val="right"/>
              <w:spacing w:after="0" w:line="204" w:lineRule="exact"/>
              <w:rPr>
                <w:sz w:val="20"/>
                <w:szCs w:val="20"/>
                <w:color w:val="auto"/>
              </w:rPr>
            </w:pPr>
            <w:r>
              <w:rPr>
                <w:rFonts w:ascii="Times New Roman" w:cs="Times New Roman" w:eastAsia="Times New Roman" w:hAnsi="Times New Roman"/>
                <w:sz w:val="19"/>
                <w:szCs w:val="19"/>
                <w:color w:val="231F20"/>
              </w:rPr>
              <w:t>8,524,757</w:t>
            </w:r>
          </w:p>
        </w:tc>
        <w:tc>
          <w:tcPr>
            <w:tcW w:w="0" w:type="dxa"/>
            <w:vAlign w:val="bottom"/>
          </w:tcPr>
          <w:p>
            <w:pPr>
              <w:spacing w:after="0"/>
              <w:rPr>
                <w:sz w:val="1"/>
                <w:szCs w:val="1"/>
                <w:color w:val="auto"/>
              </w:rPr>
            </w:pPr>
          </w:p>
        </w:tc>
      </w:tr>
      <w:tr>
        <w:trPr>
          <w:trHeight w:val="20"/>
        </w:trPr>
        <w:tc>
          <w:tcPr>
            <w:tcW w:w="7420" w:type="dxa"/>
            <w:vAlign w:val="bottom"/>
            <w:vMerge w:val="restart"/>
          </w:tcPr>
          <w:p>
            <w:pPr>
              <w:spacing w:after="0"/>
              <w:rPr>
                <w:sz w:val="20"/>
                <w:szCs w:val="20"/>
                <w:color w:val="auto"/>
              </w:rPr>
            </w:pPr>
            <w:r>
              <w:rPr>
                <w:rFonts w:ascii="Times New Roman" w:cs="Times New Roman" w:eastAsia="Times New Roman" w:hAnsi="Times New Roman"/>
                <w:sz w:val="19"/>
                <w:szCs w:val="19"/>
                <w:color w:val="231F20"/>
              </w:rPr>
              <w:t>LIABILITIES AND CAPITAL</w:t>
            </w:r>
          </w:p>
        </w:tc>
        <w:tc>
          <w:tcPr>
            <w:tcW w:w="160" w:type="dxa"/>
            <w:vAlign w:val="bottom"/>
            <w:tcBorders>
              <w:bottom w:val="single" w:sz="8" w:color="231F20"/>
            </w:tcBorders>
          </w:tcPr>
          <w:p>
            <w:pPr>
              <w:spacing w:after="0" w:line="20" w:lineRule="exact"/>
              <w:rPr>
                <w:sz w:val="1"/>
                <w:szCs w:val="1"/>
                <w:color w:val="auto"/>
              </w:rPr>
            </w:pPr>
          </w:p>
        </w:tc>
        <w:tc>
          <w:tcPr>
            <w:tcW w:w="940" w:type="dxa"/>
            <w:vAlign w:val="bottom"/>
            <w:tcBorders>
              <w:bottom w:val="single" w:sz="8" w:color="231F20"/>
            </w:tcBorders>
          </w:tcPr>
          <w:p>
            <w:pPr>
              <w:spacing w:after="0" w:line="20" w:lineRule="exact"/>
              <w:rPr>
                <w:sz w:val="1"/>
                <w:szCs w:val="1"/>
                <w:color w:val="auto"/>
              </w:rPr>
            </w:pPr>
          </w:p>
        </w:tc>
        <w:tc>
          <w:tcPr>
            <w:tcW w:w="80" w:type="dxa"/>
            <w:vAlign w:val="bottom"/>
            <w:tcBorders>
              <w:bottom w:val="single" w:sz="8" w:color="231F20"/>
            </w:tcBorders>
          </w:tcPr>
          <w:p>
            <w:pPr>
              <w:spacing w:after="0" w:line="20" w:lineRule="exact"/>
              <w:rPr>
                <w:sz w:val="1"/>
                <w:szCs w:val="1"/>
                <w:color w:val="auto"/>
              </w:rPr>
            </w:pPr>
          </w:p>
        </w:tc>
        <w:tc>
          <w:tcPr>
            <w:tcW w:w="140" w:type="dxa"/>
            <w:vAlign w:val="bottom"/>
            <w:tcBorders>
              <w:bottom w:val="single" w:sz="8" w:color="231F20"/>
            </w:tcBorders>
          </w:tcPr>
          <w:p>
            <w:pPr>
              <w:spacing w:after="0" w:line="20" w:lineRule="exact"/>
              <w:rPr>
                <w:sz w:val="1"/>
                <w:szCs w:val="1"/>
                <w:color w:val="auto"/>
              </w:rPr>
            </w:pPr>
          </w:p>
        </w:tc>
        <w:tc>
          <w:tcPr>
            <w:tcW w:w="94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74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7420" w:type="dxa"/>
            <w:vAlign w:val="bottom"/>
          </w:tcPr>
          <w:p>
            <w:pPr>
              <w:ind w:left="340"/>
              <w:spacing w:after="0"/>
              <w:rPr>
                <w:sz w:val="20"/>
                <w:szCs w:val="20"/>
                <w:color w:val="auto"/>
              </w:rPr>
            </w:pPr>
            <w:r>
              <w:rPr>
                <w:rFonts w:ascii="Times New Roman" w:cs="Times New Roman" w:eastAsia="Times New Roman" w:hAnsi="Times New Roman"/>
                <w:sz w:val="19"/>
                <w:szCs w:val="19"/>
                <w:color w:val="231F20"/>
              </w:rPr>
              <w:t>Liabilities</w:t>
            </w: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7420" w:type="dxa"/>
            <w:vAlign w:val="bottom"/>
          </w:tcPr>
          <w:p>
            <w:pPr>
              <w:ind w:left="700"/>
              <w:spacing w:after="0" w:line="192" w:lineRule="exact"/>
              <w:rPr>
                <w:sz w:val="20"/>
                <w:szCs w:val="20"/>
                <w:color w:val="auto"/>
              </w:rPr>
            </w:pPr>
            <w:r>
              <w:rPr>
                <w:rFonts w:ascii="Times New Roman" w:cs="Times New Roman" w:eastAsia="Times New Roman" w:hAnsi="Times New Roman"/>
                <w:sz w:val="19"/>
                <w:szCs w:val="19"/>
                <w:color w:val="231F20"/>
              </w:rPr>
              <w:t>Mortgages payable, net (including $194,176 and $186,643 of consolidated variable</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231F20"/>
              </w:rPr>
              <w:t>521,759</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231F20"/>
              </w:rPr>
              <w:t>514,378</w:t>
            </w:r>
          </w:p>
        </w:tc>
        <w:tc>
          <w:tcPr>
            <w:tcW w:w="0" w:type="dxa"/>
            <w:vAlign w:val="bottom"/>
          </w:tcPr>
          <w:p>
            <w:pPr>
              <w:spacing w:after="0"/>
              <w:rPr>
                <w:sz w:val="1"/>
                <w:szCs w:val="1"/>
                <w:color w:val="auto"/>
              </w:rPr>
            </w:pPr>
          </w:p>
        </w:tc>
      </w:tr>
      <w:tr>
        <w:trPr>
          <w:trHeight w:val="241"/>
        </w:trPr>
        <w:tc>
          <w:tcPr>
            <w:tcW w:w="7420" w:type="dxa"/>
            <w:vAlign w:val="bottom"/>
          </w:tcPr>
          <w:p>
            <w:pPr>
              <w:ind w:left="700"/>
              <w:spacing w:after="0"/>
              <w:rPr>
                <w:sz w:val="20"/>
                <w:szCs w:val="20"/>
                <w:color w:val="auto"/>
              </w:rPr>
            </w:pPr>
            <w:r>
              <w:rPr>
                <w:rFonts w:ascii="Times New Roman" w:cs="Times New Roman" w:eastAsia="Times New Roman" w:hAnsi="Times New Roman"/>
                <w:sz w:val="19"/>
                <w:szCs w:val="19"/>
                <w:color w:val="231F20"/>
              </w:rPr>
              <w:t>interest entities, respectively)</w:t>
            </w:r>
          </w:p>
        </w:tc>
        <w:tc>
          <w:tcPr>
            <w:tcW w:w="160" w:type="dxa"/>
            <w:vAlign w:val="bottom"/>
            <w:vMerge w:val="continue"/>
          </w:tcPr>
          <w:p>
            <w:pPr>
              <w:spacing w:after="0"/>
              <w:rPr>
                <w:sz w:val="20"/>
                <w:szCs w:val="20"/>
                <w:color w:val="auto"/>
              </w:rPr>
            </w:pPr>
          </w:p>
        </w:tc>
        <w:tc>
          <w:tcPr>
            <w:tcW w:w="940" w:type="dxa"/>
            <w:vAlign w:val="bottom"/>
            <w:vMerge w:val="continue"/>
          </w:tcPr>
          <w:p>
            <w:pPr>
              <w:spacing w:after="0"/>
              <w:rPr>
                <w:sz w:val="20"/>
                <w:szCs w:val="20"/>
                <w:color w:val="auto"/>
              </w:rPr>
            </w:pPr>
          </w:p>
        </w:tc>
        <w:tc>
          <w:tcPr>
            <w:tcW w:w="220" w:type="dxa"/>
            <w:vAlign w:val="bottom"/>
            <w:gridSpan w:val="2"/>
            <w:vMerge w:val="continue"/>
          </w:tcPr>
          <w:p>
            <w:pPr>
              <w:spacing w:after="0"/>
              <w:rPr>
                <w:sz w:val="20"/>
                <w:szCs w:val="20"/>
                <w:color w:val="auto"/>
              </w:rPr>
            </w:pPr>
          </w:p>
        </w:tc>
        <w:tc>
          <w:tcPr>
            <w:tcW w:w="9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7420" w:type="dxa"/>
            <w:vAlign w:val="bottom"/>
          </w:tcPr>
          <w:p>
            <w:pPr>
              <w:ind w:left="700"/>
              <w:spacing w:after="0"/>
              <w:rPr>
                <w:sz w:val="20"/>
                <w:szCs w:val="20"/>
                <w:color w:val="auto"/>
              </w:rPr>
            </w:pPr>
            <w:r>
              <w:rPr>
                <w:rFonts w:ascii="Times New Roman" w:cs="Times New Roman" w:eastAsia="Times New Roman" w:hAnsi="Times New Roman"/>
                <w:sz w:val="19"/>
                <w:szCs w:val="19"/>
                <w:color w:val="231F20"/>
              </w:rPr>
              <w:t>Notes payable, net</w:t>
            </w: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1,057,331</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601,414</w:t>
            </w:r>
          </w:p>
        </w:tc>
        <w:tc>
          <w:tcPr>
            <w:tcW w:w="0" w:type="dxa"/>
            <w:vAlign w:val="bottom"/>
          </w:tcPr>
          <w:p>
            <w:pPr>
              <w:spacing w:after="0"/>
              <w:rPr>
                <w:sz w:val="1"/>
                <w:szCs w:val="1"/>
                <w:color w:val="auto"/>
              </w:rPr>
            </w:pPr>
          </w:p>
        </w:tc>
      </w:tr>
      <w:tr>
        <w:trPr>
          <w:trHeight w:val="242"/>
        </w:trPr>
        <w:tc>
          <w:tcPr>
            <w:tcW w:w="7420" w:type="dxa"/>
            <w:vAlign w:val="bottom"/>
          </w:tcPr>
          <w:p>
            <w:pPr>
              <w:ind w:left="700"/>
              <w:spacing w:after="0"/>
              <w:rPr>
                <w:sz w:val="20"/>
                <w:szCs w:val="20"/>
                <w:color w:val="auto"/>
              </w:rPr>
            </w:pPr>
            <w:r>
              <w:rPr>
                <w:rFonts w:ascii="Times New Roman" w:cs="Times New Roman" w:eastAsia="Times New Roman" w:hAnsi="Times New Roman"/>
                <w:sz w:val="19"/>
                <w:szCs w:val="19"/>
                <w:color w:val="231F20"/>
              </w:rPr>
              <w:t>Senior notes and debentures, net</w:t>
            </w: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3,364,010</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3,357,840</w:t>
            </w:r>
          </w:p>
        </w:tc>
        <w:tc>
          <w:tcPr>
            <w:tcW w:w="0" w:type="dxa"/>
            <w:vAlign w:val="bottom"/>
          </w:tcPr>
          <w:p>
            <w:pPr>
              <w:spacing w:after="0"/>
              <w:rPr>
                <w:sz w:val="1"/>
                <w:szCs w:val="1"/>
                <w:color w:val="auto"/>
              </w:rPr>
            </w:pPr>
          </w:p>
        </w:tc>
      </w:tr>
      <w:tr>
        <w:trPr>
          <w:trHeight w:val="242"/>
        </w:trPr>
        <w:tc>
          <w:tcPr>
            <w:tcW w:w="7420" w:type="dxa"/>
            <w:vAlign w:val="bottom"/>
          </w:tcPr>
          <w:p>
            <w:pPr>
              <w:ind w:left="700"/>
              <w:spacing w:after="0"/>
              <w:rPr>
                <w:sz w:val="20"/>
                <w:szCs w:val="20"/>
                <w:color w:val="auto"/>
              </w:rPr>
            </w:pPr>
            <w:r>
              <w:rPr>
                <w:rFonts w:ascii="Times New Roman" w:cs="Times New Roman" w:eastAsia="Times New Roman" w:hAnsi="Times New Roman"/>
                <w:sz w:val="19"/>
                <w:szCs w:val="19"/>
                <w:color w:val="231F20"/>
              </w:rPr>
              <w:t>Accounts payable and accrued expenses</w:t>
            </w: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219,678</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183,564</w:t>
            </w:r>
          </w:p>
        </w:tc>
        <w:tc>
          <w:tcPr>
            <w:tcW w:w="0" w:type="dxa"/>
            <w:vAlign w:val="bottom"/>
          </w:tcPr>
          <w:p>
            <w:pPr>
              <w:spacing w:after="0"/>
              <w:rPr>
                <w:sz w:val="1"/>
                <w:szCs w:val="1"/>
                <w:color w:val="auto"/>
              </w:rPr>
            </w:pPr>
          </w:p>
        </w:tc>
      </w:tr>
      <w:tr>
        <w:trPr>
          <w:trHeight w:val="242"/>
        </w:trPr>
        <w:tc>
          <w:tcPr>
            <w:tcW w:w="7420" w:type="dxa"/>
            <w:vAlign w:val="bottom"/>
          </w:tcPr>
          <w:p>
            <w:pPr>
              <w:ind w:left="700"/>
              <w:spacing w:after="0"/>
              <w:rPr>
                <w:sz w:val="20"/>
                <w:szCs w:val="20"/>
                <w:color w:val="auto"/>
              </w:rPr>
            </w:pPr>
            <w:r>
              <w:rPr>
                <w:rFonts w:ascii="Times New Roman" w:cs="Times New Roman" w:eastAsia="Times New Roman" w:hAnsi="Times New Roman"/>
                <w:sz w:val="19"/>
                <w:szCs w:val="19"/>
                <w:color w:val="231F20"/>
              </w:rPr>
              <w:t>Dividends payable</w:t>
            </w: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99,792</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96,743</w:t>
            </w:r>
          </w:p>
        </w:tc>
        <w:tc>
          <w:tcPr>
            <w:tcW w:w="0" w:type="dxa"/>
            <w:vAlign w:val="bottom"/>
          </w:tcPr>
          <w:p>
            <w:pPr>
              <w:spacing w:after="0"/>
              <w:rPr>
                <w:sz w:val="1"/>
                <w:szCs w:val="1"/>
                <w:color w:val="auto"/>
              </w:rPr>
            </w:pPr>
          </w:p>
        </w:tc>
      </w:tr>
      <w:tr>
        <w:trPr>
          <w:trHeight w:val="242"/>
        </w:trPr>
        <w:tc>
          <w:tcPr>
            <w:tcW w:w="7420" w:type="dxa"/>
            <w:vAlign w:val="bottom"/>
          </w:tcPr>
          <w:p>
            <w:pPr>
              <w:ind w:left="700"/>
              <w:spacing w:after="0"/>
              <w:rPr>
                <w:sz w:val="20"/>
                <w:szCs w:val="20"/>
                <w:color w:val="auto"/>
              </w:rPr>
            </w:pPr>
            <w:r>
              <w:rPr>
                <w:rFonts w:ascii="Times New Roman" w:cs="Times New Roman" w:eastAsia="Times New Roman" w:hAnsi="Times New Roman"/>
                <w:sz w:val="19"/>
                <w:szCs w:val="19"/>
                <w:color w:val="231F20"/>
              </w:rPr>
              <w:t>Security deposits payable</w:t>
            </w: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31,548</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30,941</w:t>
            </w:r>
          </w:p>
        </w:tc>
        <w:tc>
          <w:tcPr>
            <w:tcW w:w="0" w:type="dxa"/>
            <w:vAlign w:val="bottom"/>
          </w:tcPr>
          <w:p>
            <w:pPr>
              <w:spacing w:after="0"/>
              <w:rPr>
                <w:sz w:val="1"/>
                <w:szCs w:val="1"/>
                <w:color w:val="auto"/>
              </w:rPr>
            </w:pPr>
          </w:p>
        </w:tc>
      </w:tr>
      <w:tr>
        <w:trPr>
          <w:trHeight w:val="228"/>
        </w:trPr>
        <w:tc>
          <w:tcPr>
            <w:tcW w:w="7420" w:type="dxa"/>
            <w:vAlign w:val="bottom"/>
          </w:tcPr>
          <w:p>
            <w:pPr>
              <w:ind w:left="700"/>
              <w:spacing w:after="0"/>
              <w:rPr>
                <w:sz w:val="20"/>
                <w:szCs w:val="20"/>
                <w:color w:val="auto"/>
              </w:rPr>
            </w:pPr>
            <w:r>
              <w:rPr>
                <w:rFonts w:ascii="Times New Roman" w:cs="Times New Roman" w:eastAsia="Times New Roman" w:hAnsi="Times New Roman"/>
                <w:sz w:val="19"/>
                <w:szCs w:val="19"/>
                <w:color w:val="231F20"/>
              </w:rPr>
              <w:t>Operating lease liabilities</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72,304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74,837</w:t>
            </w:r>
          </w:p>
        </w:tc>
        <w:tc>
          <w:tcPr>
            <w:tcW w:w="0" w:type="dxa"/>
            <w:vAlign w:val="bottom"/>
          </w:tcPr>
          <w:p>
            <w:pPr>
              <w:spacing w:after="0"/>
              <w:rPr>
                <w:sz w:val="1"/>
                <w:szCs w:val="1"/>
                <w:color w:val="auto"/>
              </w:rPr>
            </w:pPr>
          </w:p>
        </w:tc>
      </w:tr>
      <w:tr>
        <w:trPr>
          <w:trHeight w:val="242"/>
        </w:trPr>
        <w:tc>
          <w:tcPr>
            <w:tcW w:w="7420" w:type="dxa"/>
            <w:vAlign w:val="bottom"/>
          </w:tcPr>
          <w:p>
            <w:pPr>
              <w:ind w:left="700"/>
              <w:spacing w:after="0"/>
              <w:rPr>
                <w:sz w:val="20"/>
                <w:szCs w:val="20"/>
                <w:color w:val="auto"/>
              </w:rPr>
            </w:pPr>
            <w:r>
              <w:rPr>
                <w:rFonts w:ascii="Times New Roman" w:cs="Times New Roman" w:eastAsia="Times New Roman" w:hAnsi="Times New Roman"/>
                <w:sz w:val="19"/>
                <w:szCs w:val="19"/>
                <w:color w:val="231F20"/>
              </w:rPr>
              <w:t>Finance lease liabilities</w:t>
            </w: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12,903</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12,783</w:t>
            </w:r>
          </w:p>
        </w:tc>
        <w:tc>
          <w:tcPr>
            <w:tcW w:w="0" w:type="dxa"/>
            <w:vAlign w:val="bottom"/>
          </w:tcPr>
          <w:p>
            <w:pPr>
              <w:spacing w:after="0"/>
              <w:rPr>
                <w:sz w:val="1"/>
                <w:szCs w:val="1"/>
                <w:color w:val="auto"/>
              </w:rPr>
            </w:pPr>
          </w:p>
        </w:tc>
      </w:tr>
      <w:tr>
        <w:trPr>
          <w:trHeight w:val="252"/>
        </w:trPr>
        <w:tc>
          <w:tcPr>
            <w:tcW w:w="7420" w:type="dxa"/>
            <w:vAlign w:val="bottom"/>
          </w:tcPr>
          <w:p>
            <w:pPr>
              <w:ind w:left="700"/>
              <w:spacing w:after="0"/>
              <w:rPr>
                <w:sz w:val="20"/>
                <w:szCs w:val="20"/>
                <w:color w:val="auto"/>
              </w:rPr>
            </w:pPr>
            <w:r>
              <w:rPr>
                <w:rFonts w:ascii="Times New Roman" w:cs="Times New Roman" w:eastAsia="Times New Roman" w:hAnsi="Times New Roman"/>
                <w:sz w:val="19"/>
                <w:szCs w:val="19"/>
                <w:color w:val="231F20"/>
              </w:rPr>
              <w:t>Other liabilities and deferred credits</w:t>
            </w:r>
          </w:p>
        </w:tc>
        <w:tc>
          <w:tcPr>
            <w:tcW w:w="160" w:type="dxa"/>
            <w:vAlign w:val="bottom"/>
            <w:tcBorders>
              <w:bottom w:val="single" w:sz="8" w:color="231F20"/>
            </w:tcBorders>
          </w:tcPr>
          <w:p>
            <w:pPr>
              <w:spacing w:after="0"/>
              <w:rPr>
                <w:sz w:val="21"/>
                <w:szCs w:val="21"/>
                <w:color w:val="auto"/>
              </w:rPr>
            </w:pPr>
          </w:p>
        </w:tc>
        <w:tc>
          <w:tcPr>
            <w:tcW w:w="9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250,494</w:t>
            </w:r>
          </w:p>
        </w:tc>
        <w:tc>
          <w:tcPr>
            <w:tcW w:w="80" w:type="dxa"/>
            <w:vAlign w:val="bottom"/>
            <w:tcBorders>
              <w:bottom w:val="single" w:sz="8" w:color="231F20"/>
            </w:tcBorders>
          </w:tcPr>
          <w:p>
            <w:pPr>
              <w:spacing w:after="0"/>
              <w:rPr>
                <w:sz w:val="21"/>
                <w:szCs w:val="21"/>
                <w:color w:val="auto"/>
              </w:rPr>
            </w:pPr>
          </w:p>
        </w:tc>
        <w:tc>
          <w:tcPr>
            <w:tcW w:w="140" w:type="dxa"/>
            <w:vAlign w:val="bottom"/>
            <w:tcBorders>
              <w:bottom w:val="single" w:sz="8" w:color="231F20"/>
            </w:tcBorders>
          </w:tcPr>
          <w:p>
            <w:pPr>
              <w:spacing w:after="0"/>
              <w:rPr>
                <w:sz w:val="21"/>
                <w:szCs w:val="21"/>
                <w:color w:val="auto"/>
              </w:rPr>
            </w:pPr>
          </w:p>
        </w:tc>
        <w:tc>
          <w:tcPr>
            <w:tcW w:w="9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227,827</w:t>
            </w:r>
          </w:p>
        </w:tc>
        <w:tc>
          <w:tcPr>
            <w:tcW w:w="0" w:type="dxa"/>
            <w:vAlign w:val="bottom"/>
          </w:tcPr>
          <w:p>
            <w:pPr>
              <w:spacing w:after="0"/>
              <w:rPr>
                <w:sz w:val="1"/>
                <w:szCs w:val="1"/>
                <w:color w:val="auto"/>
              </w:rPr>
            </w:pPr>
          </w:p>
        </w:tc>
      </w:tr>
      <w:tr>
        <w:trPr>
          <w:trHeight w:val="208"/>
        </w:trPr>
        <w:tc>
          <w:tcPr>
            <w:tcW w:w="7420" w:type="dxa"/>
            <w:vAlign w:val="bottom"/>
          </w:tcPr>
          <w:p>
            <w:pPr>
              <w:ind w:left="340"/>
              <w:spacing w:after="0" w:line="208" w:lineRule="exact"/>
              <w:rPr>
                <w:sz w:val="20"/>
                <w:szCs w:val="20"/>
                <w:color w:val="auto"/>
              </w:rPr>
            </w:pPr>
            <w:r>
              <w:rPr>
                <w:rFonts w:ascii="Times New Roman" w:cs="Times New Roman" w:eastAsia="Times New Roman" w:hAnsi="Times New Roman"/>
                <w:sz w:val="19"/>
                <w:szCs w:val="19"/>
                <w:color w:val="231F20"/>
              </w:rPr>
              <w:t>Total liabilities</w:t>
            </w:r>
          </w:p>
        </w:tc>
        <w:tc>
          <w:tcPr>
            <w:tcW w:w="160" w:type="dxa"/>
            <w:vAlign w:val="bottom"/>
          </w:tcPr>
          <w:p>
            <w:pPr>
              <w:spacing w:after="0"/>
              <w:rPr>
                <w:sz w:val="18"/>
                <w:szCs w:val="18"/>
                <w:color w:val="auto"/>
              </w:rPr>
            </w:pPr>
          </w:p>
        </w:tc>
        <w:tc>
          <w:tcPr>
            <w:tcW w:w="940" w:type="dxa"/>
            <w:vAlign w:val="bottom"/>
          </w:tcPr>
          <w:p>
            <w:pPr>
              <w:jc w:val="right"/>
              <w:spacing w:after="0" w:line="208" w:lineRule="exact"/>
              <w:rPr>
                <w:sz w:val="20"/>
                <w:szCs w:val="20"/>
                <w:color w:val="auto"/>
              </w:rPr>
            </w:pPr>
            <w:r>
              <w:rPr>
                <w:rFonts w:ascii="Times New Roman" w:cs="Times New Roman" w:eastAsia="Times New Roman" w:hAnsi="Times New Roman"/>
                <w:sz w:val="19"/>
                <w:szCs w:val="19"/>
                <w:color w:val="231F20"/>
              </w:rPr>
              <w:t>5,629,819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line="208" w:lineRule="exact"/>
              <w:rPr>
                <w:sz w:val="20"/>
                <w:szCs w:val="20"/>
                <w:color w:val="auto"/>
              </w:rPr>
            </w:pPr>
            <w:r>
              <w:rPr>
                <w:rFonts w:ascii="Times New Roman" w:cs="Times New Roman" w:eastAsia="Times New Roman" w:hAnsi="Times New Roman"/>
                <w:sz w:val="19"/>
                <w:szCs w:val="19"/>
                <w:color w:val="231F20"/>
              </w:rPr>
              <w:t>5,100,327</w:t>
            </w:r>
          </w:p>
        </w:tc>
        <w:tc>
          <w:tcPr>
            <w:tcW w:w="0" w:type="dxa"/>
            <w:vAlign w:val="bottom"/>
          </w:tcPr>
          <w:p>
            <w:pPr>
              <w:spacing w:after="0"/>
              <w:rPr>
                <w:sz w:val="1"/>
                <w:szCs w:val="1"/>
                <w:color w:val="auto"/>
              </w:rPr>
            </w:pPr>
          </w:p>
        </w:tc>
      </w:tr>
      <w:tr>
        <w:trPr>
          <w:trHeight w:val="242"/>
        </w:trPr>
        <w:tc>
          <w:tcPr>
            <w:tcW w:w="7420" w:type="dxa"/>
            <w:vAlign w:val="bottom"/>
          </w:tcPr>
          <w:p>
            <w:pPr>
              <w:ind w:left="340"/>
              <w:spacing w:after="0"/>
              <w:rPr>
                <w:sz w:val="20"/>
                <w:szCs w:val="20"/>
                <w:color w:val="auto"/>
              </w:rPr>
            </w:pPr>
            <w:r>
              <w:rPr>
                <w:rFonts w:ascii="Times New Roman" w:cs="Times New Roman" w:eastAsia="Times New Roman" w:hAnsi="Times New Roman"/>
                <w:sz w:val="19"/>
                <w:szCs w:val="19"/>
                <w:color w:val="231F20"/>
              </w:rPr>
              <w:t>Commitments and contingencies (Note 7)</w:t>
            </w:r>
          </w:p>
        </w:tc>
        <w:tc>
          <w:tcPr>
            <w:tcW w:w="160" w:type="dxa"/>
            <w:vAlign w:val="bottom"/>
          </w:tcPr>
          <w:p>
            <w:pPr>
              <w:spacing w:after="0"/>
              <w:rPr>
                <w:sz w:val="21"/>
                <w:szCs w:val="21"/>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231F20"/>
              </w:rPr>
              <w:t>181,655</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231F20"/>
              </w:rPr>
              <w:t>180,286</w:t>
            </w:r>
          </w:p>
        </w:tc>
        <w:tc>
          <w:tcPr>
            <w:tcW w:w="0" w:type="dxa"/>
            <w:vAlign w:val="bottom"/>
          </w:tcPr>
          <w:p>
            <w:pPr>
              <w:spacing w:after="0"/>
              <w:rPr>
                <w:sz w:val="1"/>
                <w:szCs w:val="1"/>
                <w:color w:val="auto"/>
              </w:rPr>
            </w:pPr>
          </w:p>
        </w:tc>
      </w:tr>
      <w:tr>
        <w:trPr>
          <w:trHeight w:val="242"/>
        </w:trPr>
        <w:tc>
          <w:tcPr>
            <w:tcW w:w="7420" w:type="dxa"/>
            <w:vAlign w:val="bottom"/>
          </w:tcPr>
          <w:p>
            <w:pPr>
              <w:ind w:left="340"/>
              <w:spacing w:after="0"/>
              <w:rPr>
                <w:sz w:val="20"/>
                <w:szCs w:val="20"/>
                <w:color w:val="auto"/>
              </w:rPr>
            </w:pPr>
            <w:r>
              <w:rPr>
                <w:rFonts w:ascii="Times New Roman" w:cs="Times New Roman" w:eastAsia="Times New Roman" w:hAnsi="Times New Roman"/>
                <w:sz w:val="19"/>
                <w:szCs w:val="19"/>
                <w:color w:val="231F20"/>
              </w:rPr>
              <w:t>Redeemable noncontrolling interests</w:t>
            </w:r>
          </w:p>
        </w:tc>
        <w:tc>
          <w:tcPr>
            <w:tcW w:w="160" w:type="dxa"/>
            <w:vAlign w:val="bottom"/>
          </w:tcPr>
          <w:p>
            <w:pPr>
              <w:spacing w:after="0"/>
              <w:rPr>
                <w:sz w:val="21"/>
                <w:szCs w:val="21"/>
                <w:color w:val="auto"/>
              </w:rPr>
            </w:pPr>
          </w:p>
        </w:tc>
        <w:tc>
          <w:tcPr>
            <w:tcW w:w="94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7420" w:type="dxa"/>
            <w:vAlign w:val="bottom"/>
          </w:tcPr>
          <w:p>
            <w:pPr>
              <w:ind w:left="340"/>
              <w:spacing w:after="0"/>
              <w:rPr>
                <w:sz w:val="20"/>
                <w:szCs w:val="20"/>
                <w:color w:val="auto"/>
              </w:rPr>
            </w:pPr>
            <w:r>
              <w:rPr>
                <w:rFonts w:ascii="Times New Roman" w:cs="Times New Roman" w:eastAsia="Times New Roman" w:hAnsi="Times New Roman"/>
                <w:sz w:val="19"/>
                <w:szCs w:val="19"/>
                <w:color w:val="231F20"/>
              </w:rPr>
              <w:t>Partner capital</w:t>
            </w: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7420" w:type="dxa"/>
            <w:vAlign w:val="bottom"/>
          </w:tcPr>
          <w:p>
            <w:pPr>
              <w:ind w:left="700"/>
              <w:spacing w:after="0"/>
              <w:rPr>
                <w:sz w:val="20"/>
                <w:szCs w:val="20"/>
                <w:color w:val="auto"/>
              </w:rPr>
            </w:pPr>
            <w:r>
              <w:rPr>
                <w:rFonts w:ascii="Times New Roman" w:cs="Times New Roman" w:eastAsia="Times New Roman" w:hAnsi="Times New Roman"/>
                <w:sz w:val="19"/>
                <w:szCs w:val="19"/>
                <w:color w:val="231F20"/>
              </w:rPr>
              <w:t>Preferred units, 398,878 units issued and outstanding</w:t>
            </w:r>
          </w:p>
        </w:tc>
        <w:tc>
          <w:tcPr>
            <w:tcW w:w="1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154,788</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154,788</w:t>
            </w:r>
          </w:p>
        </w:tc>
        <w:tc>
          <w:tcPr>
            <w:tcW w:w="0" w:type="dxa"/>
            <w:vAlign w:val="bottom"/>
          </w:tcPr>
          <w:p>
            <w:pPr>
              <w:spacing w:after="0"/>
              <w:rPr>
                <w:sz w:val="1"/>
                <w:szCs w:val="1"/>
                <w:color w:val="auto"/>
              </w:rPr>
            </w:pPr>
          </w:p>
        </w:tc>
      </w:tr>
      <w:tr>
        <w:trPr>
          <w:trHeight w:val="264"/>
        </w:trPr>
        <w:tc>
          <w:tcPr>
            <w:tcW w:w="7420" w:type="dxa"/>
            <w:vAlign w:val="bottom"/>
          </w:tcPr>
          <w:p>
            <w:pPr>
              <w:ind w:left="700"/>
              <w:spacing w:after="0"/>
              <w:rPr>
                <w:sz w:val="20"/>
                <w:szCs w:val="20"/>
                <w:color w:val="auto"/>
              </w:rPr>
            </w:pPr>
            <w:r>
              <w:rPr>
                <w:rFonts w:ascii="Times New Roman" w:cs="Times New Roman" w:eastAsia="Times New Roman" w:hAnsi="Times New Roman"/>
                <w:sz w:val="19"/>
                <w:szCs w:val="19"/>
                <w:color w:val="231F20"/>
              </w:rPr>
              <w:t>Common units, 86,266,009 and 85,666,220 units issued and outstanding, respectively</w:t>
            </w:r>
          </w:p>
        </w:tc>
        <w:tc>
          <w:tcPr>
            <w:tcW w:w="1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3,091,896</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3,012,066</w:t>
            </w:r>
          </w:p>
        </w:tc>
        <w:tc>
          <w:tcPr>
            <w:tcW w:w="0" w:type="dxa"/>
            <w:vAlign w:val="bottom"/>
          </w:tcPr>
          <w:p>
            <w:pPr>
              <w:spacing w:after="0"/>
              <w:rPr>
                <w:sz w:val="1"/>
                <w:szCs w:val="1"/>
                <w:color w:val="auto"/>
              </w:rPr>
            </w:pPr>
          </w:p>
        </w:tc>
      </w:tr>
      <w:tr>
        <w:trPr>
          <w:trHeight w:val="252"/>
        </w:trPr>
        <w:tc>
          <w:tcPr>
            <w:tcW w:w="7420" w:type="dxa"/>
            <w:vAlign w:val="bottom"/>
          </w:tcPr>
          <w:p>
            <w:pPr>
              <w:ind w:left="700"/>
              <w:spacing w:after="0"/>
              <w:rPr>
                <w:sz w:val="20"/>
                <w:szCs w:val="20"/>
                <w:color w:val="auto"/>
              </w:rPr>
            </w:pPr>
            <w:r>
              <w:rPr>
                <w:rFonts w:ascii="Times New Roman" w:cs="Times New Roman" w:eastAsia="Times New Roman" w:hAnsi="Times New Roman"/>
                <w:sz w:val="19"/>
                <w:szCs w:val="19"/>
                <w:color w:val="231F20"/>
              </w:rPr>
              <w:t>Accumulated other comprehensive income</w:t>
            </w:r>
          </w:p>
        </w:tc>
        <w:tc>
          <w:tcPr>
            <w:tcW w:w="160" w:type="dxa"/>
            <w:vAlign w:val="bottom"/>
            <w:tcBorders>
              <w:bottom w:val="single" w:sz="8" w:color="231F20"/>
            </w:tcBorders>
          </w:tcPr>
          <w:p>
            <w:pPr>
              <w:spacing w:after="0"/>
              <w:rPr>
                <w:sz w:val="21"/>
                <w:szCs w:val="21"/>
                <w:color w:val="auto"/>
              </w:rPr>
            </w:pPr>
          </w:p>
        </w:tc>
        <w:tc>
          <w:tcPr>
            <w:tcW w:w="9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2,047</w:t>
            </w:r>
          </w:p>
        </w:tc>
        <w:tc>
          <w:tcPr>
            <w:tcW w:w="80" w:type="dxa"/>
            <w:vAlign w:val="bottom"/>
          </w:tcPr>
          <w:p>
            <w:pPr>
              <w:spacing w:after="0"/>
              <w:rPr>
                <w:sz w:val="21"/>
                <w:szCs w:val="21"/>
                <w:color w:val="auto"/>
              </w:rPr>
            </w:pPr>
          </w:p>
        </w:tc>
        <w:tc>
          <w:tcPr>
            <w:tcW w:w="140" w:type="dxa"/>
            <w:vAlign w:val="bottom"/>
            <w:tcBorders>
              <w:bottom w:val="single" w:sz="8" w:color="231F20"/>
            </w:tcBorders>
          </w:tcPr>
          <w:p>
            <w:pPr>
              <w:spacing w:after="0"/>
              <w:rPr>
                <w:sz w:val="21"/>
                <w:szCs w:val="21"/>
                <w:color w:val="auto"/>
              </w:rPr>
            </w:pPr>
          </w:p>
        </w:tc>
        <w:tc>
          <w:tcPr>
            <w:tcW w:w="9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4,740</w:t>
            </w:r>
          </w:p>
        </w:tc>
        <w:tc>
          <w:tcPr>
            <w:tcW w:w="0" w:type="dxa"/>
            <w:vAlign w:val="bottom"/>
          </w:tcPr>
          <w:p>
            <w:pPr>
              <w:spacing w:after="0"/>
              <w:rPr>
                <w:sz w:val="1"/>
                <w:szCs w:val="1"/>
                <w:color w:val="auto"/>
              </w:rPr>
            </w:pPr>
          </w:p>
        </w:tc>
      </w:tr>
      <w:tr>
        <w:trPr>
          <w:trHeight w:val="213"/>
        </w:trPr>
        <w:tc>
          <w:tcPr>
            <w:tcW w:w="7420" w:type="dxa"/>
            <w:vAlign w:val="bottom"/>
          </w:tcPr>
          <w:p>
            <w:pPr>
              <w:ind w:left="340"/>
              <w:spacing w:after="0" w:line="214" w:lineRule="exact"/>
              <w:rPr>
                <w:sz w:val="20"/>
                <w:szCs w:val="20"/>
                <w:color w:val="auto"/>
              </w:rPr>
            </w:pPr>
            <w:r>
              <w:rPr>
                <w:rFonts w:ascii="Times New Roman" w:cs="Times New Roman" w:eastAsia="Times New Roman" w:hAnsi="Times New Roman"/>
                <w:sz w:val="19"/>
                <w:szCs w:val="19"/>
                <w:color w:val="231F20"/>
              </w:rPr>
              <w:t>Total partner capital</w:t>
            </w:r>
          </w:p>
        </w:tc>
        <w:tc>
          <w:tcPr>
            <w:tcW w:w="160" w:type="dxa"/>
            <w:vAlign w:val="bottom"/>
          </w:tcPr>
          <w:p>
            <w:pPr>
              <w:spacing w:after="0"/>
              <w:rPr>
                <w:sz w:val="18"/>
                <w:szCs w:val="18"/>
                <w:color w:val="auto"/>
              </w:rPr>
            </w:pPr>
          </w:p>
        </w:tc>
        <w:tc>
          <w:tcPr>
            <w:tcW w:w="940" w:type="dxa"/>
            <w:vAlign w:val="bottom"/>
          </w:tcPr>
          <w:p>
            <w:pPr>
              <w:jc w:val="right"/>
              <w:spacing w:after="0" w:line="214" w:lineRule="exact"/>
              <w:rPr>
                <w:sz w:val="20"/>
                <w:szCs w:val="20"/>
                <w:color w:val="auto"/>
              </w:rPr>
            </w:pPr>
            <w:r>
              <w:rPr>
                <w:rFonts w:ascii="Times New Roman" w:cs="Times New Roman" w:eastAsia="Times New Roman" w:hAnsi="Times New Roman"/>
                <w:sz w:val="19"/>
                <w:szCs w:val="19"/>
                <w:color w:val="231F20"/>
              </w:rPr>
              <w:t>3,248,731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line="214" w:lineRule="exact"/>
              <w:rPr>
                <w:sz w:val="20"/>
                <w:szCs w:val="20"/>
                <w:color w:val="auto"/>
              </w:rPr>
            </w:pPr>
            <w:r>
              <w:rPr>
                <w:rFonts w:ascii="Times New Roman" w:cs="Times New Roman" w:eastAsia="Times New Roman" w:hAnsi="Times New Roman"/>
                <w:sz w:val="19"/>
                <w:szCs w:val="19"/>
                <w:color w:val="231F20"/>
              </w:rPr>
              <w:t>3,171,594</w:t>
            </w:r>
          </w:p>
        </w:tc>
        <w:tc>
          <w:tcPr>
            <w:tcW w:w="0" w:type="dxa"/>
            <w:vAlign w:val="bottom"/>
          </w:tcPr>
          <w:p>
            <w:pPr>
              <w:spacing w:after="0"/>
              <w:rPr>
                <w:sz w:val="1"/>
                <w:szCs w:val="1"/>
                <w:color w:val="auto"/>
              </w:rPr>
            </w:pPr>
          </w:p>
        </w:tc>
      </w:tr>
      <w:tr>
        <w:trPr>
          <w:trHeight w:val="252"/>
        </w:trPr>
        <w:tc>
          <w:tcPr>
            <w:tcW w:w="7420" w:type="dxa"/>
            <w:vAlign w:val="bottom"/>
          </w:tcPr>
          <w:p>
            <w:pPr>
              <w:ind w:left="700"/>
              <w:spacing w:after="0"/>
              <w:rPr>
                <w:sz w:val="20"/>
                <w:szCs w:val="20"/>
                <w:color w:val="auto"/>
              </w:rPr>
            </w:pPr>
            <w:r>
              <w:rPr>
                <w:rFonts w:ascii="Times New Roman" w:cs="Times New Roman" w:eastAsia="Times New Roman" w:hAnsi="Times New Roman"/>
                <w:sz w:val="19"/>
                <w:szCs w:val="19"/>
                <w:color w:val="231F20"/>
              </w:rPr>
              <w:t>Noncontrolling interests in consolidated partnerships</w:t>
            </w:r>
          </w:p>
        </w:tc>
        <w:tc>
          <w:tcPr>
            <w:tcW w:w="160" w:type="dxa"/>
            <w:vAlign w:val="bottom"/>
            <w:tcBorders>
              <w:bottom w:val="single" w:sz="8" w:color="231F20"/>
            </w:tcBorders>
          </w:tcPr>
          <w:p>
            <w:pPr>
              <w:spacing w:after="0"/>
              <w:rPr>
                <w:sz w:val="21"/>
                <w:szCs w:val="21"/>
                <w:color w:val="auto"/>
              </w:rPr>
            </w:pPr>
          </w:p>
        </w:tc>
        <w:tc>
          <w:tcPr>
            <w:tcW w:w="9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70,255</w:t>
            </w:r>
          </w:p>
        </w:tc>
        <w:tc>
          <w:tcPr>
            <w:tcW w:w="80" w:type="dxa"/>
            <w:vAlign w:val="bottom"/>
          </w:tcPr>
          <w:p>
            <w:pPr>
              <w:spacing w:after="0"/>
              <w:rPr>
                <w:sz w:val="21"/>
                <w:szCs w:val="21"/>
                <w:color w:val="auto"/>
              </w:rPr>
            </w:pPr>
          </w:p>
        </w:tc>
        <w:tc>
          <w:tcPr>
            <w:tcW w:w="140" w:type="dxa"/>
            <w:vAlign w:val="bottom"/>
            <w:tcBorders>
              <w:bottom w:val="single" w:sz="8" w:color="231F20"/>
            </w:tcBorders>
          </w:tcPr>
          <w:p>
            <w:pPr>
              <w:spacing w:after="0"/>
              <w:rPr>
                <w:sz w:val="21"/>
                <w:szCs w:val="21"/>
                <w:color w:val="auto"/>
              </w:rPr>
            </w:pPr>
          </w:p>
        </w:tc>
        <w:tc>
          <w:tcPr>
            <w:tcW w:w="9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72,550</w:t>
            </w:r>
          </w:p>
        </w:tc>
        <w:tc>
          <w:tcPr>
            <w:tcW w:w="0" w:type="dxa"/>
            <w:vAlign w:val="bottom"/>
          </w:tcPr>
          <w:p>
            <w:pPr>
              <w:spacing w:after="0"/>
              <w:rPr>
                <w:sz w:val="1"/>
                <w:szCs w:val="1"/>
                <w:color w:val="auto"/>
              </w:rPr>
            </w:pPr>
          </w:p>
        </w:tc>
      </w:tr>
      <w:tr>
        <w:trPr>
          <w:trHeight w:val="222"/>
        </w:trPr>
        <w:tc>
          <w:tcPr>
            <w:tcW w:w="7420" w:type="dxa"/>
            <w:vAlign w:val="bottom"/>
          </w:tcPr>
          <w:p>
            <w:pPr>
              <w:ind w:left="340"/>
              <w:spacing w:after="0"/>
              <w:rPr>
                <w:sz w:val="20"/>
                <w:szCs w:val="20"/>
                <w:color w:val="auto"/>
              </w:rPr>
            </w:pPr>
            <w:r>
              <w:rPr>
                <w:rFonts w:ascii="Times New Roman" w:cs="Times New Roman" w:eastAsia="Times New Roman" w:hAnsi="Times New Roman"/>
                <w:sz w:val="19"/>
                <w:szCs w:val="19"/>
                <w:color w:val="231F20"/>
              </w:rPr>
              <w:t>Total capital</w:t>
            </w:r>
          </w:p>
        </w:tc>
        <w:tc>
          <w:tcPr>
            <w:tcW w:w="160" w:type="dxa"/>
            <w:vAlign w:val="bottom"/>
            <w:tcBorders>
              <w:bottom w:val="single" w:sz="8" w:color="231F20"/>
            </w:tcBorders>
          </w:tcPr>
          <w:p>
            <w:pPr>
              <w:spacing w:after="0"/>
              <w:rPr>
                <w:sz w:val="19"/>
                <w:szCs w:val="19"/>
                <w:color w:val="auto"/>
              </w:rPr>
            </w:pPr>
          </w:p>
        </w:tc>
        <w:tc>
          <w:tcPr>
            <w:tcW w:w="9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3,318,986</w:t>
            </w:r>
          </w:p>
        </w:tc>
        <w:tc>
          <w:tcPr>
            <w:tcW w:w="80" w:type="dxa"/>
            <w:vAlign w:val="bottom"/>
          </w:tcPr>
          <w:p>
            <w:pPr>
              <w:spacing w:after="0"/>
              <w:rPr>
                <w:sz w:val="19"/>
                <w:szCs w:val="19"/>
                <w:color w:val="auto"/>
              </w:rPr>
            </w:pPr>
          </w:p>
        </w:tc>
        <w:tc>
          <w:tcPr>
            <w:tcW w:w="140" w:type="dxa"/>
            <w:vAlign w:val="bottom"/>
            <w:tcBorders>
              <w:bottom w:val="single" w:sz="8" w:color="231F20"/>
            </w:tcBorders>
          </w:tcPr>
          <w:p>
            <w:pPr>
              <w:spacing w:after="0"/>
              <w:rPr>
                <w:sz w:val="19"/>
                <w:szCs w:val="19"/>
                <w:color w:val="auto"/>
              </w:rPr>
            </w:pPr>
          </w:p>
        </w:tc>
        <w:tc>
          <w:tcPr>
            <w:tcW w:w="9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3,244,144</w:t>
            </w:r>
          </w:p>
        </w:tc>
        <w:tc>
          <w:tcPr>
            <w:tcW w:w="0" w:type="dxa"/>
            <w:vAlign w:val="bottom"/>
          </w:tcPr>
          <w:p>
            <w:pPr>
              <w:spacing w:after="0"/>
              <w:rPr>
                <w:sz w:val="1"/>
                <w:szCs w:val="1"/>
                <w:color w:val="auto"/>
              </w:rPr>
            </w:pPr>
          </w:p>
        </w:tc>
      </w:tr>
      <w:tr>
        <w:trPr>
          <w:trHeight w:val="203"/>
        </w:trPr>
        <w:tc>
          <w:tcPr>
            <w:tcW w:w="7420" w:type="dxa"/>
            <w:vAlign w:val="bottom"/>
          </w:tcPr>
          <w:p>
            <w:pPr>
              <w:spacing w:after="0" w:line="204" w:lineRule="exact"/>
              <w:rPr>
                <w:sz w:val="20"/>
                <w:szCs w:val="20"/>
                <w:color w:val="auto"/>
              </w:rPr>
            </w:pPr>
            <w:r>
              <w:rPr>
                <w:rFonts w:ascii="Times New Roman" w:cs="Times New Roman" w:eastAsia="Times New Roman" w:hAnsi="Times New Roman"/>
                <w:sz w:val="19"/>
                <w:szCs w:val="19"/>
                <w:color w:val="231F20"/>
              </w:rPr>
              <w:t>TOTAL LIABILITIES AND CAPITAL</w:t>
            </w:r>
          </w:p>
        </w:tc>
        <w:tc>
          <w:tcPr>
            <w:tcW w:w="160" w:type="dxa"/>
            <w:vAlign w:val="bottom"/>
            <w:tcBorders>
              <w:bottom w:val="single" w:sz="8" w:color="231F20"/>
            </w:tcBorders>
          </w:tcPr>
          <w:p>
            <w:pPr>
              <w:jc w:val="right"/>
              <w:spacing w:after="0" w:line="204" w:lineRule="exact"/>
              <w:rPr>
                <w:sz w:val="20"/>
                <w:szCs w:val="20"/>
                <w:color w:val="auto"/>
              </w:rPr>
            </w:pPr>
            <w:r>
              <w:rPr>
                <w:rFonts w:ascii="Times New Roman" w:cs="Times New Roman" w:eastAsia="Times New Roman" w:hAnsi="Times New Roman"/>
                <w:sz w:val="19"/>
                <w:szCs w:val="19"/>
                <w:color w:val="231F20"/>
              </w:rPr>
              <w:t>$</w:t>
            </w:r>
          </w:p>
        </w:tc>
        <w:tc>
          <w:tcPr>
            <w:tcW w:w="940" w:type="dxa"/>
            <w:vAlign w:val="bottom"/>
            <w:tcBorders>
              <w:bottom w:val="single" w:sz="8" w:color="231F20"/>
            </w:tcBorders>
          </w:tcPr>
          <w:p>
            <w:pPr>
              <w:jc w:val="right"/>
              <w:spacing w:after="0" w:line="204" w:lineRule="exact"/>
              <w:rPr>
                <w:sz w:val="20"/>
                <w:szCs w:val="20"/>
                <w:color w:val="auto"/>
              </w:rPr>
            </w:pPr>
            <w:r>
              <w:rPr>
                <w:rFonts w:ascii="Times New Roman" w:cs="Times New Roman" w:eastAsia="Times New Roman" w:hAnsi="Times New Roman"/>
                <w:sz w:val="19"/>
                <w:szCs w:val="19"/>
                <w:color w:val="231F20"/>
              </w:rPr>
              <w:t>9,130,460</w:t>
            </w:r>
          </w:p>
        </w:tc>
        <w:tc>
          <w:tcPr>
            <w:tcW w:w="80" w:type="dxa"/>
            <w:vAlign w:val="bottom"/>
          </w:tcPr>
          <w:p>
            <w:pPr>
              <w:spacing w:after="0"/>
              <w:rPr>
                <w:sz w:val="17"/>
                <w:szCs w:val="17"/>
                <w:color w:val="auto"/>
              </w:rPr>
            </w:pPr>
          </w:p>
        </w:tc>
        <w:tc>
          <w:tcPr>
            <w:tcW w:w="140" w:type="dxa"/>
            <w:vAlign w:val="bottom"/>
            <w:tcBorders>
              <w:bottom w:val="single" w:sz="8" w:color="231F20"/>
            </w:tcBorders>
          </w:tcPr>
          <w:p>
            <w:pPr>
              <w:jc w:val="right"/>
              <w:spacing w:after="0" w:line="204" w:lineRule="exact"/>
              <w:rPr>
                <w:sz w:val="20"/>
                <w:szCs w:val="20"/>
                <w:color w:val="auto"/>
              </w:rPr>
            </w:pPr>
            <w:r>
              <w:rPr>
                <w:rFonts w:ascii="Times New Roman" w:cs="Times New Roman" w:eastAsia="Times New Roman" w:hAnsi="Times New Roman"/>
                <w:sz w:val="19"/>
                <w:szCs w:val="19"/>
                <w:color w:val="231F20"/>
              </w:rPr>
              <w:t>$</w:t>
            </w:r>
          </w:p>
        </w:tc>
        <w:tc>
          <w:tcPr>
            <w:tcW w:w="940" w:type="dxa"/>
            <w:vAlign w:val="bottom"/>
            <w:tcBorders>
              <w:bottom w:val="single" w:sz="8" w:color="231F20"/>
            </w:tcBorders>
          </w:tcPr>
          <w:p>
            <w:pPr>
              <w:jc w:val="right"/>
              <w:spacing w:after="0" w:line="204" w:lineRule="exact"/>
              <w:rPr>
                <w:sz w:val="20"/>
                <w:szCs w:val="20"/>
                <w:color w:val="auto"/>
              </w:rPr>
            </w:pPr>
            <w:r>
              <w:rPr>
                <w:rFonts w:ascii="Times New Roman" w:cs="Times New Roman" w:eastAsia="Times New Roman" w:hAnsi="Times New Roman"/>
                <w:sz w:val="19"/>
                <w:szCs w:val="19"/>
                <w:color w:val="231F20"/>
              </w:rPr>
              <w:t>8,524,757</w:t>
            </w:r>
          </w:p>
        </w:tc>
        <w:tc>
          <w:tcPr>
            <w:tcW w:w="0" w:type="dxa"/>
            <w:vAlign w:val="bottom"/>
          </w:tcPr>
          <w:p>
            <w:pPr>
              <w:spacing w:after="0"/>
              <w:rPr>
                <w:sz w:val="1"/>
                <w:szCs w:val="1"/>
                <w:color w:val="auto"/>
              </w:rPr>
            </w:pPr>
          </w:p>
        </w:tc>
      </w:tr>
      <w:tr>
        <w:trPr>
          <w:trHeight w:val="20"/>
        </w:trPr>
        <w:tc>
          <w:tcPr>
            <w:tcW w:w="7420" w:type="dxa"/>
            <w:vAlign w:val="bottom"/>
          </w:tcPr>
          <w:p>
            <w:pPr>
              <w:spacing w:after="0" w:line="20" w:lineRule="exact"/>
              <w:rPr>
                <w:sz w:val="1"/>
                <w:szCs w:val="1"/>
                <w:color w:val="auto"/>
              </w:rPr>
            </w:pPr>
          </w:p>
        </w:tc>
        <w:tc>
          <w:tcPr>
            <w:tcW w:w="160" w:type="dxa"/>
            <w:vAlign w:val="bottom"/>
            <w:tcBorders>
              <w:bottom w:val="single" w:sz="8" w:color="231F20"/>
            </w:tcBorders>
          </w:tcPr>
          <w:p>
            <w:pPr>
              <w:spacing w:after="0" w:line="20" w:lineRule="exact"/>
              <w:rPr>
                <w:sz w:val="1"/>
                <w:szCs w:val="1"/>
                <w:color w:val="auto"/>
              </w:rPr>
            </w:pPr>
          </w:p>
        </w:tc>
        <w:tc>
          <w:tcPr>
            <w:tcW w:w="94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231F20"/>
            </w:tcBorders>
          </w:tcPr>
          <w:p>
            <w:pPr>
              <w:spacing w:after="0" w:line="20" w:lineRule="exact"/>
              <w:rPr>
                <w:sz w:val="1"/>
                <w:szCs w:val="1"/>
                <w:color w:val="auto"/>
              </w:rPr>
            </w:pPr>
          </w:p>
        </w:tc>
        <w:tc>
          <w:tcPr>
            <w:tcW w:w="94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231F20"/>
        </w:rPr>
        <w:t>The accompanying notes are an integral part of these consolidated statements.</w:t>
      </w:r>
    </w:p>
    <w:p>
      <w:pPr>
        <w:sectPr>
          <w:pgSz w:w="11880" w:h="15480" w:orient="portrait"/>
          <w:cols w:equalWidth="0" w:num="1">
            <w:col w:w="9680"/>
          </w:cols>
          <w:pgMar w:left="1120" w:top="1186"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231F20"/>
        </w:rPr>
        <w:t>F-12</w:t>
      </w:r>
    </w:p>
    <w:p>
      <w:pPr>
        <w:sectPr>
          <w:pgSz w:w="11880" w:h="15480" w:orient="portrait"/>
          <w:cols w:equalWidth="0" w:num="1">
            <w:col w:w="9680"/>
          </w:cols>
          <w:pgMar w:left="1120" w:top="1186" w:right="1080" w:bottom="0" w:gutter="0" w:footer="0" w:header="0"/>
          <w:type w:val="continuous"/>
        </w:sectPr>
      </w:pPr>
    </w:p>
    <w:bookmarkStart w:id="76" w:name="page77"/>
    <w:bookmarkEnd w:id="76"/>
    <w:p>
      <w:pPr>
        <w:jc w:val="center"/>
        <w:ind w:right="20"/>
        <w:spacing w:after="0"/>
        <w:rPr>
          <w:sz w:val="20"/>
          <w:szCs w:val="20"/>
          <w:color w:val="auto"/>
        </w:rPr>
      </w:pPr>
      <w:r>
        <w:rPr>
          <w:rFonts w:ascii="Times New Roman" w:cs="Times New Roman" w:eastAsia="Times New Roman" w:hAnsi="Times New Roman"/>
          <w:sz w:val="19"/>
          <w:szCs w:val="19"/>
          <w:b w:val="1"/>
          <w:bCs w:val="1"/>
          <w:color w:val="231F20"/>
        </w:rPr>
        <w:t>Federal Realty OP LP</w:t>
      </w:r>
    </w:p>
    <w:p>
      <w:pPr>
        <w:spacing w:after="0" w:line="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231F20"/>
        </w:rPr>
        <w:t>Consolidated Statements of Comprehensive Income</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220" w:type="dxa"/>
            <w:vAlign w:val="bottom"/>
          </w:tcPr>
          <w:p>
            <w:pPr>
              <w:spacing w:after="0"/>
              <w:rPr>
                <w:sz w:val="17"/>
                <w:szCs w:val="17"/>
                <w:color w:val="auto"/>
              </w:rPr>
            </w:pPr>
          </w:p>
        </w:tc>
        <w:tc>
          <w:tcPr>
            <w:tcW w:w="200" w:type="dxa"/>
            <w:vAlign w:val="bottom"/>
            <w:tcBorders>
              <w:bottom w:val="single" w:sz="8" w:color="231F20"/>
            </w:tcBorders>
          </w:tcPr>
          <w:p>
            <w:pPr>
              <w:spacing w:after="0"/>
              <w:rPr>
                <w:sz w:val="17"/>
                <w:szCs w:val="17"/>
                <w:color w:val="auto"/>
              </w:rPr>
            </w:pPr>
          </w:p>
        </w:tc>
        <w:tc>
          <w:tcPr>
            <w:tcW w:w="2380" w:type="dxa"/>
            <w:vAlign w:val="bottom"/>
            <w:tcBorders>
              <w:bottom w:val="single" w:sz="8" w:color="231F20"/>
            </w:tcBorders>
            <w:gridSpan w:val="6"/>
          </w:tcPr>
          <w:p>
            <w:pPr>
              <w:jc w:val="center"/>
              <w:ind w:left="547"/>
              <w:spacing w:after="0"/>
              <w:rPr>
                <w:sz w:val="20"/>
                <w:szCs w:val="20"/>
                <w:color w:val="auto"/>
              </w:rPr>
            </w:pPr>
            <w:r>
              <w:rPr>
                <w:rFonts w:ascii="Times New Roman" w:cs="Times New Roman" w:eastAsia="Times New Roman" w:hAnsi="Times New Roman"/>
                <w:sz w:val="15"/>
                <w:szCs w:val="15"/>
                <w:b w:val="1"/>
                <w:bCs w:val="1"/>
                <w:color w:val="231F20"/>
              </w:rPr>
              <w:t>Year Ended December 31,</w:t>
            </w:r>
          </w:p>
        </w:tc>
        <w:tc>
          <w:tcPr>
            <w:tcW w:w="860" w:type="dxa"/>
            <w:vAlign w:val="bottom"/>
            <w:tcBorders>
              <w:bottom w:val="single" w:sz="8" w:color="231F20"/>
            </w:tcBorders>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220" w:type="dxa"/>
            <w:vAlign w:val="bottom"/>
          </w:tcPr>
          <w:p>
            <w:pPr>
              <w:spacing w:after="0"/>
              <w:rPr>
                <w:sz w:val="18"/>
                <w:szCs w:val="18"/>
                <w:color w:val="auto"/>
              </w:rPr>
            </w:pPr>
          </w:p>
        </w:tc>
        <w:tc>
          <w:tcPr>
            <w:tcW w:w="200" w:type="dxa"/>
            <w:vAlign w:val="bottom"/>
            <w:tcBorders>
              <w:bottom w:val="single" w:sz="8" w:color="231F20"/>
            </w:tcBorders>
          </w:tcPr>
          <w:p>
            <w:pPr>
              <w:spacing w:after="0"/>
              <w:rPr>
                <w:sz w:val="18"/>
                <w:szCs w:val="18"/>
                <w:color w:val="auto"/>
              </w:rPr>
            </w:pPr>
          </w:p>
        </w:tc>
        <w:tc>
          <w:tcPr>
            <w:tcW w:w="900" w:type="dxa"/>
            <w:vAlign w:val="bottom"/>
            <w:tcBorders>
              <w:bottom w:val="single" w:sz="8" w:color="231F20"/>
            </w:tcBorders>
          </w:tcPr>
          <w:p>
            <w:pPr>
              <w:jc w:val="right"/>
              <w:ind w:right="307"/>
              <w:spacing w:after="0"/>
              <w:rPr>
                <w:sz w:val="20"/>
                <w:szCs w:val="20"/>
                <w:color w:val="auto"/>
              </w:rPr>
            </w:pPr>
            <w:r>
              <w:rPr>
                <w:rFonts w:ascii="Times New Roman" w:cs="Times New Roman" w:eastAsia="Times New Roman" w:hAnsi="Times New Roman"/>
                <w:sz w:val="15"/>
                <w:szCs w:val="15"/>
                <w:b w:val="1"/>
                <w:bCs w:val="1"/>
                <w:color w:val="231F20"/>
              </w:rPr>
              <w:t>2025</w:t>
            </w:r>
          </w:p>
        </w:tc>
        <w:tc>
          <w:tcPr>
            <w:tcW w:w="60" w:type="dxa"/>
            <w:vAlign w:val="bottom"/>
          </w:tcPr>
          <w:p>
            <w:pPr>
              <w:spacing w:after="0"/>
              <w:rPr>
                <w:sz w:val="18"/>
                <w:szCs w:val="18"/>
                <w:color w:val="auto"/>
              </w:rPr>
            </w:pPr>
          </w:p>
        </w:tc>
        <w:tc>
          <w:tcPr>
            <w:tcW w:w="200" w:type="dxa"/>
            <w:vAlign w:val="bottom"/>
            <w:tcBorders>
              <w:bottom w:val="single" w:sz="8" w:color="231F20"/>
            </w:tcBorders>
          </w:tcPr>
          <w:p>
            <w:pPr>
              <w:spacing w:after="0"/>
              <w:rPr>
                <w:sz w:val="18"/>
                <w:szCs w:val="18"/>
                <w:color w:val="auto"/>
              </w:rPr>
            </w:pPr>
          </w:p>
        </w:tc>
        <w:tc>
          <w:tcPr>
            <w:tcW w:w="900" w:type="dxa"/>
            <w:vAlign w:val="bottom"/>
            <w:tcBorders>
              <w:bottom w:val="single" w:sz="8" w:color="231F20"/>
            </w:tcBorders>
          </w:tcPr>
          <w:p>
            <w:pPr>
              <w:jc w:val="center"/>
              <w:ind w:right="106"/>
              <w:spacing w:after="0"/>
              <w:rPr>
                <w:sz w:val="20"/>
                <w:szCs w:val="20"/>
                <w:color w:val="auto"/>
              </w:rPr>
            </w:pPr>
            <w:r>
              <w:rPr>
                <w:rFonts w:ascii="Times New Roman" w:cs="Times New Roman" w:eastAsia="Times New Roman" w:hAnsi="Times New Roman"/>
                <w:sz w:val="15"/>
                <w:szCs w:val="15"/>
                <w:b w:val="1"/>
                <w:bCs w:val="1"/>
                <w:color w:val="231F20"/>
                <w:w w:val="99"/>
              </w:rPr>
              <w:t>2024</w:t>
            </w:r>
          </w:p>
        </w:tc>
        <w:tc>
          <w:tcPr>
            <w:tcW w:w="80" w:type="dxa"/>
            <w:vAlign w:val="bottom"/>
          </w:tcPr>
          <w:p>
            <w:pPr>
              <w:spacing w:after="0"/>
              <w:rPr>
                <w:sz w:val="18"/>
                <w:szCs w:val="18"/>
                <w:color w:val="auto"/>
              </w:rPr>
            </w:pPr>
          </w:p>
        </w:tc>
        <w:tc>
          <w:tcPr>
            <w:tcW w:w="240" w:type="dxa"/>
            <w:vAlign w:val="bottom"/>
            <w:tcBorders>
              <w:bottom w:val="single" w:sz="8" w:color="231F20"/>
            </w:tcBorders>
          </w:tcPr>
          <w:p>
            <w:pPr>
              <w:spacing w:after="0"/>
              <w:rPr>
                <w:sz w:val="18"/>
                <w:szCs w:val="18"/>
                <w:color w:val="auto"/>
              </w:rPr>
            </w:pPr>
          </w:p>
        </w:tc>
        <w:tc>
          <w:tcPr>
            <w:tcW w:w="860" w:type="dxa"/>
            <w:vAlign w:val="bottom"/>
            <w:tcBorders>
              <w:bottom w:val="single" w:sz="8" w:color="231F20"/>
            </w:tcBorders>
          </w:tcPr>
          <w:p>
            <w:pPr>
              <w:jc w:val="right"/>
              <w:ind w:right="306"/>
              <w:spacing w:after="0"/>
              <w:rPr>
                <w:sz w:val="20"/>
                <w:szCs w:val="20"/>
                <w:color w:val="auto"/>
              </w:rPr>
            </w:pPr>
            <w:r>
              <w:rPr>
                <w:rFonts w:ascii="Times New Roman" w:cs="Times New Roman" w:eastAsia="Times New Roman" w:hAnsi="Times New Roman"/>
                <w:sz w:val="15"/>
                <w:szCs w:val="15"/>
                <w:b w:val="1"/>
                <w:bCs w:val="1"/>
                <w:color w:val="231F20"/>
              </w:rPr>
              <w:t>2023</w:t>
            </w:r>
          </w:p>
        </w:tc>
        <w:tc>
          <w:tcPr>
            <w:tcW w:w="0" w:type="dxa"/>
            <w:vAlign w:val="bottom"/>
          </w:tcPr>
          <w:p>
            <w:pPr>
              <w:spacing w:after="0"/>
              <w:rPr>
                <w:sz w:val="1"/>
                <w:szCs w:val="1"/>
                <w:color w:val="auto"/>
              </w:rPr>
            </w:pPr>
          </w:p>
        </w:tc>
      </w:tr>
      <w:tr>
        <w:trPr>
          <w:trHeight w:val="203"/>
        </w:trPr>
        <w:tc>
          <w:tcPr>
            <w:tcW w:w="6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40" w:type="dxa"/>
            <w:vAlign w:val="bottom"/>
            <w:gridSpan w:val="7"/>
          </w:tcPr>
          <w:p>
            <w:pPr>
              <w:jc w:val="center"/>
              <w:ind w:right="106"/>
              <w:spacing w:after="0"/>
              <w:rPr>
                <w:sz w:val="20"/>
                <w:szCs w:val="20"/>
                <w:color w:val="auto"/>
              </w:rPr>
            </w:pPr>
            <w:r>
              <w:rPr>
                <w:rFonts w:ascii="Times New Roman" w:cs="Times New Roman" w:eastAsia="Times New Roman" w:hAnsi="Times New Roman"/>
                <w:sz w:val="15"/>
                <w:szCs w:val="15"/>
                <w:b w:val="1"/>
                <w:bCs w:val="1"/>
                <w:color w:val="231F20"/>
              </w:rPr>
              <w:t>(In thousands, except per unit data)</w:t>
            </w:r>
          </w:p>
        </w:tc>
        <w:tc>
          <w:tcPr>
            <w:tcW w:w="0" w:type="dxa"/>
            <w:vAlign w:val="bottom"/>
          </w:tcPr>
          <w:p>
            <w:pPr>
              <w:spacing w:after="0"/>
              <w:rPr>
                <w:sz w:val="1"/>
                <w:szCs w:val="1"/>
                <w:color w:val="auto"/>
              </w:rPr>
            </w:pPr>
          </w:p>
        </w:tc>
      </w:tr>
      <w:tr>
        <w:trPr>
          <w:trHeight w:val="248"/>
        </w:trPr>
        <w:tc>
          <w:tcPr>
            <w:tcW w:w="6220" w:type="dxa"/>
            <w:vAlign w:val="bottom"/>
          </w:tcPr>
          <w:p>
            <w:pPr>
              <w:spacing w:after="0"/>
              <w:rPr>
                <w:sz w:val="20"/>
                <w:szCs w:val="20"/>
                <w:color w:val="auto"/>
              </w:rPr>
            </w:pPr>
            <w:r>
              <w:rPr>
                <w:rFonts w:ascii="Times New Roman" w:cs="Times New Roman" w:eastAsia="Times New Roman" w:hAnsi="Times New Roman"/>
                <w:sz w:val="19"/>
                <w:szCs w:val="19"/>
                <w:color w:val="231F20"/>
              </w:rPr>
              <w:t>REVENUE</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231F20"/>
              </w:rPr>
              <w:t>1,245,491</w:t>
            </w:r>
          </w:p>
        </w:tc>
        <w:tc>
          <w:tcPr>
            <w:tcW w:w="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231F20"/>
              </w:rPr>
              <w:t>1,170,078</w:t>
            </w:r>
          </w:p>
        </w:tc>
        <w:tc>
          <w:tcPr>
            <w:tcW w:w="320" w:type="dxa"/>
            <w:vAlign w:val="bottom"/>
            <w:gridSpan w:val="2"/>
            <w:vMerge w:val="restart"/>
          </w:tcPr>
          <w:p>
            <w:pPr>
              <w:jc w:val="right"/>
              <w:ind w:right="5"/>
              <w:spacing w:after="0"/>
              <w:rPr>
                <w:sz w:val="20"/>
                <w:szCs w:val="20"/>
                <w:color w:val="auto"/>
              </w:rPr>
            </w:pPr>
            <w:r>
              <w:rPr>
                <w:rFonts w:ascii="Times New Roman" w:cs="Times New Roman" w:eastAsia="Times New Roman" w:hAnsi="Times New Roman"/>
                <w:sz w:val="19"/>
                <w:szCs w:val="19"/>
                <w:color w:val="231F20"/>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231F20"/>
                <w:w w:val="99"/>
              </w:rPr>
              <w:t>1,101,439</w:t>
            </w:r>
          </w:p>
        </w:tc>
        <w:tc>
          <w:tcPr>
            <w:tcW w:w="0" w:type="dxa"/>
            <w:vAlign w:val="bottom"/>
          </w:tcPr>
          <w:p>
            <w:pPr>
              <w:spacing w:after="0"/>
              <w:rPr>
                <w:sz w:val="1"/>
                <w:szCs w:val="1"/>
                <w:color w:val="auto"/>
              </w:rPr>
            </w:pPr>
          </w:p>
        </w:tc>
      </w:tr>
      <w:tr>
        <w:trPr>
          <w:trHeight w:val="242"/>
        </w:trPr>
        <w:tc>
          <w:tcPr>
            <w:tcW w:w="6220" w:type="dxa"/>
            <w:vAlign w:val="bottom"/>
          </w:tcPr>
          <w:p>
            <w:pPr>
              <w:ind w:left="340"/>
              <w:spacing w:after="0"/>
              <w:rPr>
                <w:sz w:val="20"/>
                <w:szCs w:val="20"/>
                <w:color w:val="auto"/>
              </w:rPr>
            </w:pPr>
            <w:r>
              <w:rPr>
                <w:rFonts w:ascii="Times New Roman" w:cs="Times New Roman" w:eastAsia="Times New Roman" w:hAnsi="Times New Roman"/>
                <w:sz w:val="19"/>
                <w:szCs w:val="19"/>
                <w:color w:val="231F20"/>
              </w:rPr>
              <w:t>Rental income</w:t>
            </w:r>
          </w:p>
        </w:tc>
        <w:tc>
          <w:tcPr>
            <w:tcW w:w="200" w:type="dxa"/>
            <w:vAlign w:val="bottom"/>
            <w:vMerge w:val="continue"/>
          </w:tcPr>
          <w:p>
            <w:pPr>
              <w:spacing w:after="0"/>
              <w:rPr>
                <w:sz w:val="21"/>
                <w:szCs w:val="21"/>
                <w:color w:val="auto"/>
              </w:rPr>
            </w:pPr>
          </w:p>
        </w:tc>
        <w:tc>
          <w:tcPr>
            <w:tcW w:w="900" w:type="dxa"/>
            <w:vAlign w:val="bottom"/>
            <w:vMerge w:val="continue"/>
          </w:tcPr>
          <w:p>
            <w:pPr>
              <w:spacing w:after="0"/>
              <w:rPr>
                <w:sz w:val="21"/>
                <w:szCs w:val="21"/>
                <w:color w:val="auto"/>
              </w:rPr>
            </w:pPr>
          </w:p>
        </w:tc>
        <w:tc>
          <w:tcPr>
            <w:tcW w:w="260" w:type="dxa"/>
            <w:vAlign w:val="bottom"/>
            <w:gridSpan w:val="2"/>
            <w:vMerge w:val="continue"/>
          </w:tcPr>
          <w:p>
            <w:pPr>
              <w:spacing w:after="0"/>
              <w:rPr>
                <w:sz w:val="21"/>
                <w:szCs w:val="21"/>
                <w:color w:val="auto"/>
              </w:rPr>
            </w:pPr>
          </w:p>
        </w:tc>
        <w:tc>
          <w:tcPr>
            <w:tcW w:w="900" w:type="dxa"/>
            <w:vAlign w:val="bottom"/>
            <w:vMerge w:val="continue"/>
          </w:tcPr>
          <w:p>
            <w:pPr>
              <w:spacing w:after="0"/>
              <w:rPr>
                <w:sz w:val="21"/>
                <w:szCs w:val="21"/>
                <w:color w:val="auto"/>
              </w:rPr>
            </w:pPr>
          </w:p>
        </w:tc>
        <w:tc>
          <w:tcPr>
            <w:tcW w:w="320" w:type="dxa"/>
            <w:vAlign w:val="bottom"/>
            <w:gridSpan w:val="2"/>
            <w:vMerge w:val="continue"/>
          </w:tcPr>
          <w:p>
            <w:pPr>
              <w:spacing w:after="0"/>
              <w:rPr>
                <w:sz w:val="21"/>
                <w:szCs w:val="21"/>
                <w:color w:val="auto"/>
              </w:rPr>
            </w:pPr>
          </w:p>
        </w:tc>
        <w:tc>
          <w:tcPr>
            <w:tcW w:w="8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6220" w:type="dxa"/>
            <w:vAlign w:val="bottom"/>
          </w:tcPr>
          <w:p>
            <w:pPr>
              <w:ind w:left="340"/>
              <w:spacing w:after="0"/>
              <w:rPr>
                <w:sz w:val="20"/>
                <w:szCs w:val="20"/>
                <w:color w:val="auto"/>
              </w:rPr>
            </w:pPr>
            <w:r>
              <w:rPr>
                <w:rFonts w:ascii="Times New Roman" w:cs="Times New Roman" w:eastAsia="Times New Roman" w:hAnsi="Times New Roman"/>
                <w:sz w:val="19"/>
                <w:szCs w:val="19"/>
                <w:color w:val="231F20"/>
              </w:rPr>
              <w:t>Other property income</w:t>
            </w: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32,371</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31,258</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29,602</w:t>
            </w:r>
          </w:p>
        </w:tc>
        <w:tc>
          <w:tcPr>
            <w:tcW w:w="0" w:type="dxa"/>
            <w:vAlign w:val="bottom"/>
          </w:tcPr>
          <w:p>
            <w:pPr>
              <w:spacing w:after="0"/>
              <w:rPr>
                <w:sz w:val="1"/>
                <w:szCs w:val="1"/>
                <w:color w:val="auto"/>
              </w:rPr>
            </w:pPr>
          </w:p>
        </w:tc>
      </w:tr>
      <w:tr>
        <w:trPr>
          <w:trHeight w:val="251"/>
        </w:trPr>
        <w:tc>
          <w:tcPr>
            <w:tcW w:w="6220" w:type="dxa"/>
            <w:vAlign w:val="bottom"/>
          </w:tcPr>
          <w:p>
            <w:pPr>
              <w:ind w:left="340"/>
              <w:spacing w:after="0"/>
              <w:rPr>
                <w:sz w:val="20"/>
                <w:szCs w:val="20"/>
                <w:color w:val="auto"/>
              </w:rPr>
            </w:pPr>
            <w:r>
              <w:rPr>
                <w:rFonts w:ascii="Times New Roman" w:cs="Times New Roman" w:eastAsia="Times New Roman" w:hAnsi="Times New Roman"/>
                <w:sz w:val="19"/>
                <w:szCs w:val="19"/>
                <w:color w:val="231F20"/>
              </w:rPr>
              <w:t>Mortgage interest income</w:t>
            </w:r>
          </w:p>
        </w:tc>
        <w:tc>
          <w:tcPr>
            <w:tcW w:w="200" w:type="dxa"/>
            <w:vAlign w:val="bottom"/>
            <w:tcBorders>
              <w:bottom w:val="single" w:sz="8" w:color="231F20"/>
            </w:tcBorders>
          </w:tcPr>
          <w:p>
            <w:pPr>
              <w:spacing w:after="0"/>
              <w:rPr>
                <w:sz w:val="21"/>
                <w:szCs w:val="21"/>
                <w:color w:val="auto"/>
              </w:rPr>
            </w:pPr>
          </w:p>
        </w:tc>
        <w:tc>
          <w:tcPr>
            <w:tcW w:w="9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1,113</w:t>
            </w:r>
          </w:p>
        </w:tc>
        <w:tc>
          <w:tcPr>
            <w:tcW w:w="60" w:type="dxa"/>
            <w:vAlign w:val="bottom"/>
          </w:tcPr>
          <w:p>
            <w:pPr>
              <w:spacing w:after="0"/>
              <w:rPr>
                <w:sz w:val="21"/>
                <w:szCs w:val="21"/>
                <w:color w:val="auto"/>
              </w:rPr>
            </w:pPr>
          </w:p>
        </w:tc>
        <w:tc>
          <w:tcPr>
            <w:tcW w:w="200" w:type="dxa"/>
            <w:vAlign w:val="bottom"/>
            <w:tcBorders>
              <w:bottom w:val="single" w:sz="8" w:color="231F20"/>
            </w:tcBorders>
          </w:tcPr>
          <w:p>
            <w:pPr>
              <w:spacing w:after="0"/>
              <w:rPr>
                <w:sz w:val="21"/>
                <w:szCs w:val="21"/>
                <w:color w:val="auto"/>
              </w:rPr>
            </w:pPr>
          </w:p>
        </w:tc>
        <w:tc>
          <w:tcPr>
            <w:tcW w:w="9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1,116</w:t>
            </w:r>
          </w:p>
        </w:tc>
        <w:tc>
          <w:tcPr>
            <w:tcW w:w="80" w:type="dxa"/>
            <w:vAlign w:val="bottom"/>
          </w:tcPr>
          <w:p>
            <w:pPr>
              <w:spacing w:after="0"/>
              <w:rPr>
                <w:sz w:val="21"/>
                <w:szCs w:val="21"/>
                <w:color w:val="auto"/>
              </w:rPr>
            </w:pPr>
          </w:p>
        </w:tc>
        <w:tc>
          <w:tcPr>
            <w:tcW w:w="240" w:type="dxa"/>
            <w:vAlign w:val="bottom"/>
            <w:tcBorders>
              <w:bottom w:val="single" w:sz="8" w:color="231F20"/>
            </w:tcBorders>
          </w:tcPr>
          <w:p>
            <w:pPr>
              <w:spacing w:after="0"/>
              <w:rPr>
                <w:sz w:val="21"/>
                <w:szCs w:val="21"/>
                <w:color w:val="auto"/>
              </w:rPr>
            </w:pPr>
          </w:p>
        </w:tc>
        <w:tc>
          <w:tcPr>
            <w:tcW w:w="8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1,113</w:t>
            </w:r>
          </w:p>
        </w:tc>
        <w:tc>
          <w:tcPr>
            <w:tcW w:w="0" w:type="dxa"/>
            <w:vAlign w:val="bottom"/>
          </w:tcPr>
          <w:p>
            <w:pPr>
              <w:spacing w:after="0"/>
              <w:rPr>
                <w:sz w:val="1"/>
                <w:szCs w:val="1"/>
                <w:color w:val="auto"/>
              </w:rPr>
            </w:pPr>
          </w:p>
        </w:tc>
      </w:tr>
      <w:tr>
        <w:trPr>
          <w:trHeight w:val="222"/>
        </w:trPr>
        <w:tc>
          <w:tcPr>
            <w:tcW w:w="6220" w:type="dxa"/>
            <w:vAlign w:val="bottom"/>
          </w:tcPr>
          <w:p>
            <w:pPr>
              <w:ind w:left="680"/>
              <w:spacing w:after="0"/>
              <w:rPr>
                <w:sz w:val="20"/>
                <w:szCs w:val="20"/>
                <w:color w:val="auto"/>
              </w:rPr>
            </w:pPr>
            <w:r>
              <w:rPr>
                <w:rFonts w:ascii="Times New Roman" w:cs="Times New Roman" w:eastAsia="Times New Roman" w:hAnsi="Times New Roman"/>
                <w:sz w:val="19"/>
                <w:szCs w:val="19"/>
                <w:color w:val="231F20"/>
              </w:rPr>
              <w:t>Total revenue</w:t>
            </w:r>
          </w:p>
        </w:tc>
        <w:tc>
          <w:tcPr>
            <w:tcW w:w="200" w:type="dxa"/>
            <w:vAlign w:val="bottom"/>
            <w:tcBorders>
              <w:bottom w:val="single" w:sz="8" w:color="231F20"/>
            </w:tcBorders>
          </w:tcPr>
          <w:p>
            <w:pPr>
              <w:spacing w:after="0"/>
              <w:rPr>
                <w:sz w:val="19"/>
                <w:szCs w:val="19"/>
                <w:color w:val="auto"/>
              </w:rPr>
            </w:pPr>
          </w:p>
        </w:tc>
        <w:tc>
          <w:tcPr>
            <w:tcW w:w="9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1,278,975</w:t>
            </w:r>
          </w:p>
        </w:tc>
        <w:tc>
          <w:tcPr>
            <w:tcW w:w="60" w:type="dxa"/>
            <w:vAlign w:val="bottom"/>
          </w:tcPr>
          <w:p>
            <w:pPr>
              <w:spacing w:after="0"/>
              <w:rPr>
                <w:sz w:val="19"/>
                <w:szCs w:val="19"/>
                <w:color w:val="auto"/>
              </w:rPr>
            </w:pPr>
          </w:p>
        </w:tc>
        <w:tc>
          <w:tcPr>
            <w:tcW w:w="200" w:type="dxa"/>
            <w:vAlign w:val="bottom"/>
            <w:tcBorders>
              <w:bottom w:val="single" w:sz="8" w:color="231F20"/>
            </w:tcBorders>
          </w:tcPr>
          <w:p>
            <w:pPr>
              <w:spacing w:after="0"/>
              <w:rPr>
                <w:sz w:val="19"/>
                <w:szCs w:val="19"/>
                <w:color w:val="auto"/>
              </w:rPr>
            </w:pPr>
          </w:p>
        </w:tc>
        <w:tc>
          <w:tcPr>
            <w:tcW w:w="9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1,202,452</w:t>
            </w:r>
          </w:p>
        </w:tc>
        <w:tc>
          <w:tcPr>
            <w:tcW w:w="80" w:type="dxa"/>
            <w:vAlign w:val="bottom"/>
          </w:tcPr>
          <w:p>
            <w:pPr>
              <w:spacing w:after="0"/>
              <w:rPr>
                <w:sz w:val="19"/>
                <w:szCs w:val="19"/>
                <w:color w:val="auto"/>
              </w:rPr>
            </w:pPr>
          </w:p>
        </w:tc>
        <w:tc>
          <w:tcPr>
            <w:tcW w:w="240" w:type="dxa"/>
            <w:vAlign w:val="bottom"/>
            <w:tcBorders>
              <w:bottom w:val="single" w:sz="8" w:color="231F20"/>
            </w:tcBorders>
          </w:tcPr>
          <w:p>
            <w:pPr>
              <w:spacing w:after="0"/>
              <w:rPr>
                <w:sz w:val="19"/>
                <w:szCs w:val="19"/>
                <w:color w:val="auto"/>
              </w:rPr>
            </w:pPr>
          </w:p>
        </w:tc>
        <w:tc>
          <w:tcPr>
            <w:tcW w:w="8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w w:val="99"/>
              </w:rPr>
              <w:t>1,132,154</w:t>
            </w:r>
          </w:p>
        </w:tc>
        <w:tc>
          <w:tcPr>
            <w:tcW w:w="0" w:type="dxa"/>
            <w:vAlign w:val="bottom"/>
          </w:tcPr>
          <w:p>
            <w:pPr>
              <w:spacing w:after="0"/>
              <w:rPr>
                <w:sz w:val="1"/>
                <w:szCs w:val="1"/>
                <w:color w:val="auto"/>
              </w:rPr>
            </w:pPr>
          </w:p>
        </w:tc>
      </w:tr>
      <w:tr>
        <w:trPr>
          <w:trHeight w:val="222"/>
        </w:trPr>
        <w:tc>
          <w:tcPr>
            <w:tcW w:w="6220" w:type="dxa"/>
            <w:vAlign w:val="bottom"/>
          </w:tcPr>
          <w:p>
            <w:pPr>
              <w:spacing w:after="0"/>
              <w:rPr>
                <w:sz w:val="20"/>
                <w:szCs w:val="20"/>
                <w:color w:val="auto"/>
              </w:rPr>
            </w:pPr>
            <w:r>
              <w:rPr>
                <w:rFonts w:ascii="Times New Roman" w:cs="Times New Roman" w:eastAsia="Times New Roman" w:hAnsi="Times New Roman"/>
                <w:sz w:val="19"/>
                <w:szCs w:val="19"/>
                <w:color w:val="231F20"/>
              </w:rPr>
              <w:t>EXPENSES</w:t>
            </w:r>
          </w:p>
        </w:tc>
        <w:tc>
          <w:tcPr>
            <w:tcW w:w="200" w:type="dxa"/>
            <w:vAlign w:val="bottom"/>
          </w:tcPr>
          <w:p>
            <w:pPr>
              <w:spacing w:after="0"/>
              <w:rPr>
                <w:sz w:val="19"/>
                <w:szCs w:val="19"/>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231F20"/>
              </w:rPr>
              <w:t>267,445</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231F20"/>
              </w:rPr>
              <w:t>249,569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231F20"/>
              </w:rPr>
              <w:t>231,666</w:t>
            </w:r>
          </w:p>
        </w:tc>
        <w:tc>
          <w:tcPr>
            <w:tcW w:w="0" w:type="dxa"/>
            <w:vAlign w:val="bottom"/>
          </w:tcPr>
          <w:p>
            <w:pPr>
              <w:spacing w:after="0"/>
              <w:rPr>
                <w:sz w:val="1"/>
                <w:szCs w:val="1"/>
                <w:color w:val="auto"/>
              </w:rPr>
            </w:pPr>
          </w:p>
        </w:tc>
      </w:tr>
      <w:tr>
        <w:trPr>
          <w:trHeight w:val="234"/>
        </w:trPr>
        <w:tc>
          <w:tcPr>
            <w:tcW w:w="6220" w:type="dxa"/>
            <w:vAlign w:val="bottom"/>
          </w:tcPr>
          <w:p>
            <w:pPr>
              <w:ind w:left="340"/>
              <w:spacing w:after="0"/>
              <w:rPr>
                <w:sz w:val="20"/>
                <w:szCs w:val="20"/>
                <w:color w:val="auto"/>
              </w:rPr>
            </w:pPr>
            <w:r>
              <w:rPr>
                <w:rFonts w:ascii="Times New Roman" w:cs="Times New Roman" w:eastAsia="Times New Roman" w:hAnsi="Times New Roman"/>
                <w:sz w:val="19"/>
                <w:szCs w:val="19"/>
                <w:color w:val="231F20"/>
              </w:rPr>
              <w:t>Rental expenses</w:t>
            </w:r>
          </w:p>
        </w:tc>
        <w:tc>
          <w:tcPr>
            <w:tcW w:w="20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6220" w:type="dxa"/>
            <w:vAlign w:val="bottom"/>
          </w:tcPr>
          <w:p>
            <w:pPr>
              <w:ind w:left="340"/>
              <w:spacing w:after="0"/>
              <w:rPr>
                <w:sz w:val="20"/>
                <w:szCs w:val="20"/>
                <w:color w:val="auto"/>
              </w:rPr>
            </w:pPr>
            <w:r>
              <w:rPr>
                <w:rFonts w:ascii="Times New Roman" w:cs="Times New Roman" w:eastAsia="Times New Roman" w:hAnsi="Times New Roman"/>
                <w:sz w:val="19"/>
                <w:szCs w:val="19"/>
                <w:color w:val="231F20"/>
              </w:rPr>
              <w:t>Real estate taxes</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151,438</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142,230</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131,429</w:t>
            </w:r>
          </w:p>
        </w:tc>
        <w:tc>
          <w:tcPr>
            <w:tcW w:w="0" w:type="dxa"/>
            <w:vAlign w:val="bottom"/>
          </w:tcPr>
          <w:p>
            <w:pPr>
              <w:spacing w:after="0"/>
              <w:rPr>
                <w:sz w:val="1"/>
                <w:szCs w:val="1"/>
                <w:color w:val="auto"/>
              </w:rPr>
            </w:pPr>
          </w:p>
        </w:tc>
      </w:tr>
      <w:tr>
        <w:trPr>
          <w:trHeight w:val="242"/>
        </w:trPr>
        <w:tc>
          <w:tcPr>
            <w:tcW w:w="6220" w:type="dxa"/>
            <w:vAlign w:val="bottom"/>
          </w:tcPr>
          <w:p>
            <w:pPr>
              <w:ind w:left="340"/>
              <w:spacing w:after="0"/>
              <w:rPr>
                <w:sz w:val="20"/>
                <w:szCs w:val="20"/>
                <w:color w:val="auto"/>
              </w:rPr>
            </w:pPr>
            <w:r>
              <w:rPr>
                <w:rFonts w:ascii="Times New Roman" w:cs="Times New Roman" w:eastAsia="Times New Roman" w:hAnsi="Times New Roman"/>
                <w:sz w:val="19"/>
                <w:szCs w:val="19"/>
                <w:color w:val="231F20"/>
              </w:rPr>
              <w:t>General and administrative</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46,913</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49,739</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50,707</w:t>
            </w:r>
          </w:p>
        </w:tc>
        <w:tc>
          <w:tcPr>
            <w:tcW w:w="0" w:type="dxa"/>
            <w:vAlign w:val="bottom"/>
          </w:tcPr>
          <w:p>
            <w:pPr>
              <w:spacing w:after="0"/>
              <w:rPr>
                <w:sz w:val="1"/>
                <w:szCs w:val="1"/>
                <w:color w:val="auto"/>
              </w:rPr>
            </w:pPr>
          </w:p>
        </w:tc>
      </w:tr>
      <w:tr>
        <w:trPr>
          <w:trHeight w:val="251"/>
        </w:trPr>
        <w:tc>
          <w:tcPr>
            <w:tcW w:w="6220" w:type="dxa"/>
            <w:vAlign w:val="bottom"/>
          </w:tcPr>
          <w:p>
            <w:pPr>
              <w:ind w:left="340"/>
              <w:spacing w:after="0"/>
              <w:rPr>
                <w:sz w:val="20"/>
                <w:szCs w:val="20"/>
                <w:color w:val="auto"/>
              </w:rPr>
            </w:pPr>
            <w:r>
              <w:rPr>
                <w:rFonts w:ascii="Times New Roman" w:cs="Times New Roman" w:eastAsia="Times New Roman" w:hAnsi="Times New Roman"/>
                <w:sz w:val="19"/>
                <w:szCs w:val="19"/>
                <w:color w:val="231F20"/>
              </w:rPr>
              <w:t>Depreciation and amortization</w:t>
            </w:r>
          </w:p>
        </w:tc>
        <w:tc>
          <w:tcPr>
            <w:tcW w:w="200" w:type="dxa"/>
            <w:vAlign w:val="bottom"/>
            <w:tcBorders>
              <w:bottom w:val="single" w:sz="8" w:color="231F20"/>
            </w:tcBorders>
          </w:tcPr>
          <w:p>
            <w:pPr>
              <w:spacing w:after="0"/>
              <w:rPr>
                <w:sz w:val="21"/>
                <w:szCs w:val="21"/>
                <w:color w:val="auto"/>
              </w:rPr>
            </w:pPr>
          </w:p>
        </w:tc>
        <w:tc>
          <w:tcPr>
            <w:tcW w:w="9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367,842</w:t>
            </w:r>
          </w:p>
        </w:tc>
        <w:tc>
          <w:tcPr>
            <w:tcW w:w="60" w:type="dxa"/>
            <w:vAlign w:val="bottom"/>
            <w:tcBorders>
              <w:bottom w:val="single" w:sz="8" w:color="231F20"/>
            </w:tcBorders>
          </w:tcPr>
          <w:p>
            <w:pPr>
              <w:spacing w:after="0"/>
              <w:rPr>
                <w:sz w:val="21"/>
                <w:szCs w:val="21"/>
                <w:color w:val="auto"/>
              </w:rPr>
            </w:pPr>
          </w:p>
        </w:tc>
        <w:tc>
          <w:tcPr>
            <w:tcW w:w="200" w:type="dxa"/>
            <w:vAlign w:val="bottom"/>
            <w:tcBorders>
              <w:bottom w:val="single" w:sz="8" w:color="231F20"/>
            </w:tcBorders>
          </w:tcPr>
          <w:p>
            <w:pPr>
              <w:spacing w:after="0"/>
              <w:rPr>
                <w:sz w:val="21"/>
                <w:szCs w:val="21"/>
                <w:color w:val="auto"/>
              </w:rPr>
            </w:pPr>
          </w:p>
        </w:tc>
        <w:tc>
          <w:tcPr>
            <w:tcW w:w="9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342,598</w:t>
            </w:r>
          </w:p>
        </w:tc>
        <w:tc>
          <w:tcPr>
            <w:tcW w:w="80" w:type="dxa"/>
            <w:vAlign w:val="bottom"/>
            <w:tcBorders>
              <w:bottom w:val="single" w:sz="8" w:color="231F20"/>
            </w:tcBorders>
          </w:tcPr>
          <w:p>
            <w:pPr>
              <w:spacing w:after="0"/>
              <w:rPr>
                <w:sz w:val="21"/>
                <w:szCs w:val="21"/>
                <w:color w:val="auto"/>
              </w:rPr>
            </w:pPr>
          </w:p>
        </w:tc>
        <w:tc>
          <w:tcPr>
            <w:tcW w:w="240" w:type="dxa"/>
            <w:vAlign w:val="bottom"/>
            <w:tcBorders>
              <w:bottom w:val="single" w:sz="8" w:color="231F20"/>
            </w:tcBorders>
          </w:tcPr>
          <w:p>
            <w:pPr>
              <w:spacing w:after="0"/>
              <w:rPr>
                <w:sz w:val="21"/>
                <w:szCs w:val="21"/>
                <w:color w:val="auto"/>
              </w:rPr>
            </w:pPr>
          </w:p>
        </w:tc>
        <w:tc>
          <w:tcPr>
            <w:tcW w:w="8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321,763</w:t>
            </w:r>
          </w:p>
        </w:tc>
        <w:tc>
          <w:tcPr>
            <w:tcW w:w="0" w:type="dxa"/>
            <w:vAlign w:val="bottom"/>
          </w:tcPr>
          <w:p>
            <w:pPr>
              <w:spacing w:after="0"/>
              <w:rPr>
                <w:sz w:val="1"/>
                <w:szCs w:val="1"/>
                <w:color w:val="auto"/>
              </w:rPr>
            </w:pPr>
          </w:p>
        </w:tc>
      </w:tr>
      <w:tr>
        <w:trPr>
          <w:trHeight w:val="222"/>
        </w:trPr>
        <w:tc>
          <w:tcPr>
            <w:tcW w:w="6220" w:type="dxa"/>
            <w:vAlign w:val="bottom"/>
          </w:tcPr>
          <w:p>
            <w:pPr>
              <w:ind w:left="680"/>
              <w:spacing w:after="0"/>
              <w:rPr>
                <w:sz w:val="20"/>
                <w:szCs w:val="20"/>
                <w:color w:val="auto"/>
              </w:rPr>
            </w:pPr>
            <w:r>
              <w:rPr>
                <w:rFonts w:ascii="Times New Roman" w:cs="Times New Roman" w:eastAsia="Times New Roman" w:hAnsi="Times New Roman"/>
                <w:sz w:val="19"/>
                <w:szCs w:val="19"/>
                <w:color w:val="231F20"/>
              </w:rPr>
              <w:t>Total operating expenses</w:t>
            </w:r>
          </w:p>
        </w:tc>
        <w:tc>
          <w:tcPr>
            <w:tcW w:w="200" w:type="dxa"/>
            <w:vAlign w:val="bottom"/>
            <w:tcBorders>
              <w:bottom w:val="single" w:sz="8" w:color="231F20"/>
            </w:tcBorders>
          </w:tcPr>
          <w:p>
            <w:pPr>
              <w:spacing w:after="0"/>
              <w:rPr>
                <w:sz w:val="19"/>
                <w:szCs w:val="19"/>
                <w:color w:val="auto"/>
              </w:rPr>
            </w:pPr>
          </w:p>
        </w:tc>
        <w:tc>
          <w:tcPr>
            <w:tcW w:w="9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833,638</w:t>
            </w:r>
          </w:p>
        </w:tc>
        <w:tc>
          <w:tcPr>
            <w:tcW w:w="60" w:type="dxa"/>
            <w:vAlign w:val="bottom"/>
          </w:tcPr>
          <w:p>
            <w:pPr>
              <w:spacing w:after="0"/>
              <w:rPr>
                <w:sz w:val="19"/>
                <w:szCs w:val="19"/>
                <w:color w:val="auto"/>
              </w:rPr>
            </w:pPr>
          </w:p>
        </w:tc>
        <w:tc>
          <w:tcPr>
            <w:tcW w:w="200" w:type="dxa"/>
            <w:vAlign w:val="bottom"/>
            <w:tcBorders>
              <w:bottom w:val="single" w:sz="8" w:color="231F20"/>
            </w:tcBorders>
          </w:tcPr>
          <w:p>
            <w:pPr>
              <w:spacing w:after="0"/>
              <w:rPr>
                <w:sz w:val="19"/>
                <w:szCs w:val="19"/>
                <w:color w:val="auto"/>
              </w:rPr>
            </w:pPr>
          </w:p>
        </w:tc>
        <w:tc>
          <w:tcPr>
            <w:tcW w:w="9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784,136</w:t>
            </w:r>
          </w:p>
        </w:tc>
        <w:tc>
          <w:tcPr>
            <w:tcW w:w="80" w:type="dxa"/>
            <w:vAlign w:val="bottom"/>
          </w:tcPr>
          <w:p>
            <w:pPr>
              <w:spacing w:after="0"/>
              <w:rPr>
                <w:sz w:val="19"/>
                <w:szCs w:val="19"/>
                <w:color w:val="auto"/>
              </w:rPr>
            </w:pPr>
          </w:p>
        </w:tc>
        <w:tc>
          <w:tcPr>
            <w:tcW w:w="240" w:type="dxa"/>
            <w:vAlign w:val="bottom"/>
            <w:tcBorders>
              <w:bottom w:val="single" w:sz="8" w:color="231F20"/>
            </w:tcBorders>
          </w:tcPr>
          <w:p>
            <w:pPr>
              <w:spacing w:after="0"/>
              <w:rPr>
                <w:sz w:val="19"/>
                <w:szCs w:val="19"/>
                <w:color w:val="auto"/>
              </w:rPr>
            </w:pPr>
          </w:p>
        </w:tc>
        <w:tc>
          <w:tcPr>
            <w:tcW w:w="8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735,565</w:t>
            </w:r>
          </w:p>
        </w:tc>
        <w:tc>
          <w:tcPr>
            <w:tcW w:w="0" w:type="dxa"/>
            <w:vAlign w:val="bottom"/>
          </w:tcPr>
          <w:p>
            <w:pPr>
              <w:spacing w:after="0"/>
              <w:rPr>
                <w:sz w:val="1"/>
                <w:szCs w:val="1"/>
                <w:color w:val="auto"/>
              </w:rPr>
            </w:pPr>
          </w:p>
        </w:tc>
      </w:tr>
      <w:tr>
        <w:trPr>
          <w:trHeight w:val="456"/>
        </w:trPr>
        <w:tc>
          <w:tcPr>
            <w:tcW w:w="6220" w:type="dxa"/>
            <w:vAlign w:val="bottom"/>
          </w:tcPr>
          <w:p>
            <w:pPr>
              <w:ind w:left="340"/>
              <w:spacing w:after="0"/>
              <w:rPr>
                <w:sz w:val="20"/>
                <w:szCs w:val="20"/>
                <w:color w:val="auto"/>
              </w:rPr>
            </w:pPr>
            <w:r>
              <w:rPr>
                <w:rFonts w:ascii="Times New Roman" w:cs="Times New Roman" w:eastAsia="Times New Roman" w:hAnsi="Times New Roman"/>
                <w:sz w:val="19"/>
                <w:szCs w:val="19"/>
                <w:color w:val="231F20"/>
              </w:rPr>
              <w:t>New market tax credit transaction income</w:t>
            </w:r>
          </w:p>
        </w:tc>
        <w:tc>
          <w:tcPr>
            <w:tcW w:w="2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14,176</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0" w:type="dxa"/>
            <w:vAlign w:val="bottom"/>
          </w:tcPr>
          <w:p>
            <w:pPr>
              <w:spacing w:after="0"/>
              <w:rPr>
                <w:sz w:val="1"/>
                <w:szCs w:val="1"/>
                <w:color w:val="auto"/>
              </w:rPr>
            </w:pPr>
          </w:p>
        </w:tc>
      </w:tr>
      <w:tr>
        <w:trPr>
          <w:trHeight w:val="242"/>
        </w:trPr>
        <w:tc>
          <w:tcPr>
            <w:tcW w:w="6220" w:type="dxa"/>
            <w:vAlign w:val="bottom"/>
          </w:tcPr>
          <w:p>
            <w:pPr>
              <w:ind w:left="340"/>
              <w:spacing w:after="0"/>
              <w:rPr>
                <w:sz w:val="20"/>
                <w:szCs w:val="20"/>
                <w:color w:val="auto"/>
              </w:rPr>
            </w:pPr>
            <w:r>
              <w:rPr>
                <w:rFonts w:ascii="Times New Roman" w:cs="Times New Roman" w:eastAsia="Times New Roman" w:hAnsi="Times New Roman"/>
                <w:sz w:val="19"/>
                <w:szCs w:val="19"/>
                <w:color w:val="231F20"/>
              </w:rPr>
              <w:t>Gain on sale of real estate</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150,111</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54,040</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9,881</w:t>
            </w:r>
          </w:p>
        </w:tc>
        <w:tc>
          <w:tcPr>
            <w:tcW w:w="0" w:type="dxa"/>
            <w:vAlign w:val="bottom"/>
          </w:tcPr>
          <w:p>
            <w:pPr>
              <w:spacing w:after="0"/>
              <w:rPr>
                <w:sz w:val="1"/>
                <w:szCs w:val="1"/>
                <w:color w:val="auto"/>
              </w:rPr>
            </w:pPr>
          </w:p>
        </w:tc>
      </w:tr>
      <w:tr>
        <w:trPr>
          <w:trHeight w:val="251"/>
        </w:trPr>
        <w:tc>
          <w:tcPr>
            <w:tcW w:w="6220" w:type="dxa"/>
            <w:vAlign w:val="bottom"/>
          </w:tcPr>
          <w:p>
            <w:pPr>
              <w:ind w:left="340"/>
              <w:spacing w:after="0"/>
              <w:rPr>
                <w:sz w:val="20"/>
                <w:szCs w:val="20"/>
                <w:color w:val="auto"/>
              </w:rPr>
            </w:pPr>
            <w:r>
              <w:rPr>
                <w:rFonts w:ascii="Times New Roman" w:cs="Times New Roman" w:eastAsia="Times New Roman" w:hAnsi="Times New Roman"/>
                <w:sz w:val="19"/>
                <w:szCs w:val="19"/>
                <w:color w:val="231F20"/>
              </w:rPr>
              <w:t>Impairment charge</w:t>
            </w:r>
          </w:p>
        </w:tc>
        <w:tc>
          <w:tcPr>
            <w:tcW w:w="200" w:type="dxa"/>
            <w:vAlign w:val="bottom"/>
            <w:tcBorders>
              <w:bottom w:val="single" w:sz="8" w:color="231F20"/>
            </w:tcBorders>
          </w:tcPr>
          <w:p>
            <w:pPr>
              <w:spacing w:after="0"/>
              <w:rPr>
                <w:sz w:val="21"/>
                <w:szCs w:val="21"/>
                <w:color w:val="auto"/>
              </w:rPr>
            </w:pPr>
          </w:p>
        </w:tc>
        <w:tc>
          <w:tcPr>
            <w:tcW w:w="9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(7,425)</w:t>
            </w:r>
          </w:p>
        </w:tc>
        <w:tc>
          <w:tcPr>
            <w:tcW w:w="60" w:type="dxa"/>
            <w:vAlign w:val="bottom"/>
          </w:tcPr>
          <w:p>
            <w:pPr>
              <w:spacing w:after="0"/>
              <w:rPr>
                <w:sz w:val="21"/>
                <w:szCs w:val="21"/>
                <w:color w:val="auto"/>
              </w:rPr>
            </w:pPr>
          </w:p>
        </w:tc>
        <w:tc>
          <w:tcPr>
            <w:tcW w:w="200" w:type="dxa"/>
            <w:vAlign w:val="bottom"/>
            <w:tcBorders>
              <w:bottom w:val="single" w:sz="8" w:color="231F20"/>
            </w:tcBorders>
          </w:tcPr>
          <w:p>
            <w:pPr>
              <w:spacing w:after="0"/>
              <w:rPr>
                <w:sz w:val="21"/>
                <w:szCs w:val="21"/>
                <w:color w:val="auto"/>
              </w:rPr>
            </w:pPr>
          </w:p>
        </w:tc>
        <w:tc>
          <w:tcPr>
            <w:tcW w:w="9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80" w:type="dxa"/>
            <w:vAlign w:val="bottom"/>
          </w:tcPr>
          <w:p>
            <w:pPr>
              <w:spacing w:after="0"/>
              <w:rPr>
                <w:sz w:val="21"/>
                <w:szCs w:val="21"/>
                <w:color w:val="auto"/>
              </w:rPr>
            </w:pPr>
          </w:p>
        </w:tc>
        <w:tc>
          <w:tcPr>
            <w:tcW w:w="240" w:type="dxa"/>
            <w:vAlign w:val="bottom"/>
            <w:tcBorders>
              <w:bottom w:val="single" w:sz="8" w:color="231F20"/>
            </w:tcBorders>
          </w:tcPr>
          <w:p>
            <w:pPr>
              <w:spacing w:after="0"/>
              <w:rPr>
                <w:sz w:val="21"/>
                <w:szCs w:val="21"/>
                <w:color w:val="auto"/>
              </w:rPr>
            </w:pPr>
          </w:p>
        </w:tc>
        <w:tc>
          <w:tcPr>
            <w:tcW w:w="8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0" w:type="dxa"/>
            <w:vAlign w:val="bottom"/>
          </w:tcPr>
          <w:p>
            <w:pPr>
              <w:spacing w:after="0"/>
              <w:rPr>
                <w:sz w:val="1"/>
                <w:szCs w:val="1"/>
                <w:color w:val="auto"/>
              </w:rPr>
            </w:pPr>
          </w:p>
        </w:tc>
      </w:tr>
      <w:tr>
        <w:trPr>
          <w:trHeight w:val="472"/>
        </w:trPr>
        <w:tc>
          <w:tcPr>
            <w:tcW w:w="6220" w:type="dxa"/>
            <w:vAlign w:val="bottom"/>
          </w:tcPr>
          <w:p>
            <w:pPr>
              <w:spacing w:after="0"/>
              <w:rPr>
                <w:sz w:val="20"/>
                <w:szCs w:val="20"/>
                <w:color w:val="auto"/>
              </w:rPr>
            </w:pPr>
            <w:r>
              <w:rPr>
                <w:rFonts w:ascii="Times New Roman" w:cs="Times New Roman" w:eastAsia="Times New Roman" w:hAnsi="Times New Roman"/>
                <w:sz w:val="19"/>
                <w:szCs w:val="19"/>
                <w:color w:val="231F20"/>
              </w:rPr>
              <w:t>OPERATING INCOME</w:t>
            </w:r>
          </w:p>
        </w:tc>
        <w:tc>
          <w:tcPr>
            <w:tcW w:w="2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602,199</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472,356</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406,470</w:t>
            </w:r>
          </w:p>
        </w:tc>
        <w:tc>
          <w:tcPr>
            <w:tcW w:w="0" w:type="dxa"/>
            <w:vAlign w:val="bottom"/>
          </w:tcPr>
          <w:p>
            <w:pPr>
              <w:spacing w:after="0"/>
              <w:rPr>
                <w:sz w:val="1"/>
                <w:szCs w:val="1"/>
                <w:color w:val="auto"/>
              </w:rPr>
            </w:pPr>
          </w:p>
        </w:tc>
      </w:tr>
      <w:tr>
        <w:trPr>
          <w:trHeight w:val="478"/>
        </w:trPr>
        <w:tc>
          <w:tcPr>
            <w:tcW w:w="6220" w:type="dxa"/>
            <w:vAlign w:val="bottom"/>
          </w:tcPr>
          <w:p>
            <w:pPr>
              <w:spacing w:after="0"/>
              <w:rPr>
                <w:sz w:val="20"/>
                <w:szCs w:val="20"/>
                <w:color w:val="auto"/>
              </w:rPr>
            </w:pPr>
            <w:r>
              <w:rPr>
                <w:rFonts w:ascii="Times New Roman" w:cs="Times New Roman" w:eastAsia="Times New Roman" w:hAnsi="Times New Roman"/>
                <w:sz w:val="19"/>
                <w:szCs w:val="19"/>
                <w:color w:val="231F20"/>
              </w:rPr>
              <w:t>OTHER INCOME/(EXPENSE)</w:t>
            </w:r>
          </w:p>
        </w:tc>
        <w:tc>
          <w:tcPr>
            <w:tcW w:w="200" w:type="dxa"/>
            <w:vAlign w:val="bottom"/>
          </w:tcPr>
          <w:p>
            <w:pPr>
              <w:spacing w:after="0"/>
              <w:rPr>
                <w:sz w:val="24"/>
                <w:szCs w:val="2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231F20"/>
              </w:rPr>
              <w:t>3,143</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231F20"/>
              </w:rPr>
              <w:t>4,294</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231F20"/>
              </w:rPr>
              <w:t>4,687</w:t>
            </w:r>
          </w:p>
        </w:tc>
        <w:tc>
          <w:tcPr>
            <w:tcW w:w="0" w:type="dxa"/>
            <w:vAlign w:val="bottom"/>
          </w:tcPr>
          <w:p>
            <w:pPr>
              <w:spacing w:after="0"/>
              <w:rPr>
                <w:sz w:val="1"/>
                <w:szCs w:val="1"/>
                <w:color w:val="auto"/>
              </w:rPr>
            </w:pPr>
          </w:p>
        </w:tc>
      </w:tr>
      <w:tr>
        <w:trPr>
          <w:trHeight w:val="234"/>
        </w:trPr>
        <w:tc>
          <w:tcPr>
            <w:tcW w:w="6220" w:type="dxa"/>
            <w:vAlign w:val="bottom"/>
          </w:tcPr>
          <w:p>
            <w:pPr>
              <w:ind w:left="340"/>
              <w:spacing w:after="0"/>
              <w:rPr>
                <w:sz w:val="20"/>
                <w:szCs w:val="20"/>
                <w:color w:val="auto"/>
              </w:rPr>
            </w:pPr>
            <w:r>
              <w:rPr>
                <w:rFonts w:ascii="Times New Roman" w:cs="Times New Roman" w:eastAsia="Times New Roman" w:hAnsi="Times New Roman"/>
                <w:sz w:val="19"/>
                <w:szCs w:val="19"/>
                <w:color w:val="231F20"/>
              </w:rPr>
              <w:t>Other interest income</w:t>
            </w:r>
          </w:p>
        </w:tc>
        <w:tc>
          <w:tcPr>
            <w:tcW w:w="20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6220" w:type="dxa"/>
            <w:vAlign w:val="bottom"/>
          </w:tcPr>
          <w:p>
            <w:pPr>
              <w:ind w:left="340"/>
              <w:spacing w:after="0"/>
              <w:rPr>
                <w:sz w:val="20"/>
                <w:szCs w:val="20"/>
                <w:color w:val="auto"/>
              </w:rPr>
            </w:pPr>
            <w:r>
              <w:rPr>
                <w:rFonts w:ascii="Times New Roman" w:cs="Times New Roman" w:eastAsia="Times New Roman" w:hAnsi="Times New Roman"/>
                <w:sz w:val="19"/>
                <w:szCs w:val="19"/>
                <w:color w:val="231F20"/>
              </w:rPr>
              <w:t>Interest expense</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(183,614)</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(175,476)</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(167,809)</w:t>
            </w:r>
          </w:p>
        </w:tc>
        <w:tc>
          <w:tcPr>
            <w:tcW w:w="0" w:type="dxa"/>
            <w:vAlign w:val="bottom"/>
          </w:tcPr>
          <w:p>
            <w:pPr>
              <w:spacing w:after="0"/>
              <w:rPr>
                <w:sz w:val="1"/>
                <w:szCs w:val="1"/>
                <w:color w:val="auto"/>
              </w:rPr>
            </w:pPr>
          </w:p>
        </w:tc>
      </w:tr>
      <w:tr>
        <w:trPr>
          <w:trHeight w:val="252"/>
        </w:trPr>
        <w:tc>
          <w:tcPr>
            <w:tcW w:w="6220" w:type="dxa"/>
            <w:vAlign w:val="bottom"/>
          </w:tcPr>
          <w:p>
            <w:pPr>
              <w:ind w:left="340"/>
              <w:spacing w:after="0"/>
              <w:rPr>
                <w:sz w:val="20"/>
                <w:szCs w:val="20"/>
                <w:color w:val="auto"/>
              </w:rPr>
            </w:pPr>
            <w:r>
              <w:rPr>
                <w:rFonts w:ascii="Times New Roman" w:cs="Times New Roman" w:eastAsia="Times New Roman" w:hAnsi="Times New Roman"/>
                <w:sz w:val="19"/>
                <w:szCs w:val="19"/>
                <w:color w:val="231F20"/>
              </w:rPr>
              <w:t>Income from partnerships</w:t>
            </w:r>
          </w:p>
        </w:tc>
        <w:tc>
          <w:tcPr>
            <w:tcW w:w="200" w:type="dxa"/>
            <w:vAlign w:val="bottom"/>
            <w:tcBorders>
              <w:bottom w:val="single" w:sz="8" w:color="231F20"/>
            </w:tcBorders>
          </w:tcPr>
          <w:p>
            <w:pPr>
              <w:spacing w:after="0"/>
              <w:rPr>
                <w:sz w:val="21"/>
                <w:szCs w:val="21"/>
                <w:color w:val="auto"/>
              </w:rPr>
            </w:pPr>
          </w:p>
        </w:tc>
        <w:tc>
          <w:tcPr>
            <w:tcW w:w="9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1,920</w:t>
            </w:r>
          </w:p>
        </w:tc>
        <w:tc>
          <w:tcPr>
            <w:tcW w:w="60" w:type="dxa"/>
            <w:vAlign w:val="bottom"/>
          </w:tcPr>
          <w:p>
            <w:pPr>
              <w:spacing w:after="0"/>
              <w:rPr>
                <w:sz w:val="21"/>
                <w:szCs w:val="21"/>
                <w:color w:val="auto"/>
              </w:rPr>
            </w:pPr>
          </w:p>
        </w:tc>
        <w:tc>
          <w:tcPr>
            <w:tcW w:w="200" w:type="dxa"/>
            <w:vAlign w:val="bottom"/>
            <w:tcBorders>
              <w:bottom w:val="single" w:sz="8" w:color="231F20"/>
            </w:tcBorders>
          </w:tcPr>
          <w:p>
            <w:pPr>
              <w:spacing w:after="0"/>
              <w:rPr>
                <w:sz w:val="21"/>
                <w:szCs w:val="21"/>
                <w:color w:val="auto"/>
              </w:rPr>
            </w:pPr>
          </w:p>
        </w:tc>
        <w:tc>
          <w:tcPr>
            <w:tcW w:w="9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3,160</w:t>
            </w:r>
          </w:p>
        </w:tc>
        <w:tc>
          <w:tcPr>
            <w:tcW w:w="80" w:type="dxa"/>
            <w:vAlign w:val="bottom"/>
          </w:tcPr>
          <w:p>
            <w:pPr>
              <w:spacing w:after="0"/>
              <w:rPr>
                <w:sz w:val="21"/>
                <w:szCs w:val="21"/>
                <w:color w:val="auto"/>
              </w:rPr>
            </w:pPr>
          </w:p>
        </w:tc>
        <w:tc>
          <w:tcPr>
            <w:tcW w:w="240" w:type="dxa"/>
            <w:vAlign w:val="bottom"/>
            <w:tcBorders>
              <w:bottom w:val="single" w:sz="8" w:color="231F20"/>
            </w:tcBorders>
          </w:tcPr>
          <w:p>
            <w:pPr>
              <w:spacing w:after="0"/>
              <w:rPr>
                <w:sz w:val="21"/>
                <w:szCs w:val="21"/>
                <w:color w:val="auto"/>
              </w:rPr>
            </w:pPr>
          </w:p>
        </w:tc>
        <w:tc>
          <w:tcPr>
            <w:tcW w:w="8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3,869</w:t>
            </w:r>
          </w:p>
        </w:tc>
        <w:tc>
          <w:tcPr>
            <w:tcW w:w="0" w:type="dxa"/>
            <w:vAlign w:val="bottom"/>
          </w:tcPr>
          <w:p>
            <w:pPr>
              <w:spacing w:after="0"/>
              <w:rPr>
                <w:sz w:val="1"/>
                <w:szCs w:val="1"/>
                <w:color w:val="auto"/>
              </w:rPr>
            </w:pPr>
          </w:p>
        </w:tc>
      </w:tr>
      <w:tr>
        <w:trPr>
          <w:trHeight w:val="213"/>
        </w:trPr>
        <w:tc>
          <w:tcPr>
            <w:tcW w:w="6220" w:type="dxa"/>
            <w:vAlign w:val="bottom"/>
          </w:tcPr>
          <w:p>
            <w:pPr>
              <w:spacing w:after="0" w:line="214" w:lineRule="exact"/>
              <w:rPr>
                <w:sz w:val="20"/>
                <w:szCs w:val="20"/>
                <w:color w:val="auto"/>
              </w:rPr>
            </w:pPr>
            <w:r>
              <w:rPr>
                <w:rFonts w:ascii="Times New Roman" w:cs="Times New Roman" w:eastAsia="Times New Roman" w:hAnsi="Times New Roman"/>
                <w:sz w:val="19"/>
                <w:szCs w:val="19"/>
                <w:color w:val="231F20"/>
              </w:rPr>
              <w:t>NET INCOME</w:t>
            </w:r>
          </w:p>
        </w:tc>
        <w:tc>
          <w:tcPr>
            <w:tcW w:w="200" w:type="dxa"/>
            <w:vAlign w:val="bottom"/>
          </w:tcPr>
          <w:p>
            <w:pPr>
              <w:spacing w:after="0"/>
              <w:rPr>
                <w:sz w:val="18"/>
                <w:szCs w:val="18"/>
                <w:color w:val="auto"/>
              </w:rPr>
            </w:pPr>
          </w:p>
        </w:tc>
        <w:tc>
          <w:tcPr>
            <w:tcW w:w="900" w:type="dxa"/>
            <w:vAlign w:val="bottom"/>
          </w:tcPr>
          <w:p>
            <w:pPr>
              <w:jc w:val="right"/>
              <w:spacing w:after="0" w:line="214" w:lineRule="exact"/>
              <w:rPr>
                <w:sz w:val="20"/>
                <w:szCs w:val="20"/>
                <w:color w:val="auto"/>
              </w:rPr>
            </w:pPr>
            <w:r>
              <w:rPr>
                <w:rFonts w:ascii="Times New Roman" w:cs="Times New Roman" w:eastAsia="Times New Roman" w:hAnsi="Times New Roman"/>
                <w:sz w:val="19"/>
                <w:szCs w:val="19"/>
                <w:color w:val="231F20"/>
              </w:rPr>
              <w:t>423,648</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line="214" w:lineRule="exact"/>
              <w:rPr>
                <w:sz w:val="20"/>
                <w:szCs w:val="20"/>
                <w:color w:val="auto"/>
              </w:rPr>
            </w:pPr>
            <w:r>
              <w:rPr>
                <w:rFonts w:ascii="Times New Roman" w:cs="Times New Roman" w:eastAsia="Times New Roman" w:hAnsi="Times New Roman"/>
                <w:sz w:val="19"/>
                <w:szCs w:val="19"/>
                <w:color w:val="231F20"/>
              </w:rPr>
              <w:t>304,334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line="214" w:lineRule="exact"/>
              <w:rPr>
                <w:sz w:val="20"/>
                <w:szCs w:val="20"/>
                <w:color w:val="auto"/>
              </w:rPr>
            </w:pPr>
            <w:r>
              <w:rPr>
                <w:rFonts w:ascii="Times New Roman" w:cs="Times New Roman" w:eastAsia="Times New Roman" w:hAnsi="Times New Roman"/>
                <w:sz w:val="19"/>
                <w:szCs w:val="19"/>
                <w:color w:val="231F20"/>
              </w:rPr>
              <w:t>247,217</w:t>
            </w:r>
          </w:p>
        </w:tc>
        <w:tc>
          <w:tcPr>
            <w:tcW w:w="0" w:type="dxa"/>
            <w:vAlign w:val="bottom"/>
          </w:tcPr>
          <w:p>
            <w:pPr>
              <w:spacing w:after="0"/>
              <w:rPr>
                <w:sz w:val="1"/>
                <w:szCs w:val="1"/>
                <w:color w:val="auto"/>
              </w:rPr>
            </w:pPr>
          </w:p>
        </w:tc>
      </w:tr>
      <w:tr>
        <w:trPr>
          <w:trHeight w:val="252"/>
        </w:trPr>
        <w:tc>
          <w:tcPr>
            <w:tcW w:w="6220" w:type="dxa"/>
            <w:vAlign w:val="bottom"/>
          </w:tcPr>
          <w:p>
            <w:pPr>
              <w:ind w:left="340"/>
              <w:spacing w:after="0"/>
              <w:rPr>
                <w:sz w:val="20"/>
                <w:szCs w:val="20"/>
                <w:color w:val="auto"/>
              </w:rPr>
            </w:pPr>
            <w:r>
              <w:rPr>
                <w:rFonts w:ascii="Times New Roman" w:cs="Times New Roman" w:eastAsia="Times New Roman" w:hAnsi="Times New Roman"/>
                <w:sz w:val="19"/>
                <w:szCs w:val="19"/>
                <w:color w:val="231F20"/>
              </w:rPr>
              <w:t>Net income attributable to noncontrolling interests</w:t>
            </w:r>
          </w:p>
        </w:tc>
        <w:tc>
          <w:tcPr>
            <w:tcW w:w="200" w:type="dxa"/>
            <w:vAlign w:val="bottom"/>
            <w:tcBorders>
              <w:bottom w:val="single" w:sz="8" w:color="231F20"/>
            </w:tcBorders>
          </w:tcPr>
          <w:p>
            <w:pPr>
              <w:spacing w:after="0"/>
              <w:rPr>
                <w:sz w:val="21"/>
                <w:szCs w:val="21"/>
                <w:color w:val="auto"/>
              </w:rPr>
            </w:pPr>
          </w:p>
        </w:tc>
        <w:tc>
          <w:tcPr>
            <w:tcW w:w="9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(12,571)</w:t>
            </w:r>
          </w:p>
        </w:tc>
        <w:tc>
          <w:tcPr>
            <w:tcW w:w="60" w:type="dxa"/>
            <w:vAlign w:val="bottom"/>
          </w:tcPr>
          <w:p>
            <w:pPr>
              <w:spacing w:after="0"/>
              <w:rPr>
                <w:sz w:val="21"/>
                <w:szCs w:val="21"/>
                <w:color w:val="auto"/>
              </w:rPr>
            </w:pPr>
          </w:p>
        </w:tc>
        <w:tc>
          <w:tcPr>
            <w:tcW w:w="200" w:type="dxa"/>
            <w:vAlign w:val="bottom"/>
            <w:tcBorders>
              <w:bottom w:val="single" w:sz="8" w:color="231F20"/>
            </w:tcBorders>
          </w:tcPr>
          <w:p>
            <w:pPr>
              <w:spacing w:after="0"/>
              <w:rPr>
                <w:sz w:val="21"/>
                <w:szCs w:val="21"/>
                <w:color w:val="auto"/>
              </w:rPr>
            </w:pPr>
          </w:p>
        </w:tc>
        <w:tc>
          <w:tcPr>
            <w:tcW w:w="9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(9,126)</w:t>
            </w:r>
          </w:p>
        </w:tc>
        <w:tc>
          <w:tcPr>
            <w:tcW w:w="80" w:type="dxa"/>
            <w:vAlign w:val="bottom"/>
          </w:tcPr>
          <w:p>
            <w:pPr>
              <w:spacing w:after="0"/>
              <w:rPr>
                <w:sz w:val="21"/>
                <w:szCs w:val="21"/>
                <w:color w:val="auto"/>
              </w:rPr>
            </w:pPr>
          </w:p>
        </w:tc>
        <w:tc>
          <w:tcPr>
            <w:tcW w:w="240" w:type="dxa"/>
            <w:vAlign w:val="bottom"/>
            <w:tcBorders>
              <w:bottom w:val="single" w:sz="8" w:color="231F20"/>
            </w:tcBorders>
          </w:tcPr>
          <w:p>
            <w:pPr>
              <w:spacing w:after="0"/>
              <w:rPr>
                <w:sz w:val="21"/>
                <w:szCs w:val="21"/>
                <w:color w:val="auto"/>
              </w:rPr>
            </w:pPr>
          </w:p>
        </w:tc>
        <w:tc>
          <w:tcPr>
            <w:tcW w:w="8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(10,232)</w:t>
            </w:r>
          </w:p>
        </w:tc>
        <w:tc>
          <w:tcPr>
            <w:tcW w:w="0" w:type="dxa"/>
            <w:vAlign w:val="bottom"/>
          </w:tcPr>
          <w:p>
            <w:pPr>
              <w:spacing w:after="0"/>
              <w:rPr>
                <w:sz w:val="1"/>
                <w:szCs w:val="1"/>
                <w:color w:val="auto"/>
              </w:rPr>
            </w:pPr>
          </w:p>
        </w:tc>
      </w:tr>
      <w:tr>
        <w:trPr>
          <w:trHeight w:val="213"/>
        </w:trPr>
        <w:tc>
          <w:tcPr>
            <w:tcW w:w="6220" w:type="dxa"/>
            <w:vAlign w:val="bottom"/>
          </w:tcPr>
          <w:p>
            <w:pPr>
              <w:spacing w:after="0" w:line="214" w:lineRule="exact"/>
              <w:rPr>
                <w:sz w:val="20"/>
                <w:szCs w:val="20"/>
                <w:color w:val="auto"/>
              </w:rPr>
            </w:pPr>
            <w:r>
              <w:rPr>
                <w:rFonts w:ascii="Times New Roman" w:cs="Times New Roman" w:eastAsia="Times New Roman" w:hAnsi="Times New Roman"/>
                <w:sz w:val="19"/>
                <w:szCs w:val="19"/>
                <w:color w:val="231F20"/>
              </w:rPr>
              <w:t>NET INCOME ATTRIBUTABLE TO THE PARTNERSHIP</w:t>
            </w:r>
          </w:p>
        </w:tc>
        <w:tc>
          <w:tcPr>
            <w:tcW w:w="200" w:type="dxa"/>
            <w:vAlign w:val="bottom"/>
          </w:tcPr>
          <w:p>
            <w:pPr>
              <w:spacing w:after="0"/>
              <w:rPr>
                <w:sz w:val="18"/>
                <w:szCs w:val="18"/>
                <w:color w:val="auto"/>
              </w:rPr>
            </w:pPr>
          </w:p>
        </w:tc>
        <w:tc>
          <w:tcPr>
            <w:tcW w:w="900" w:type="dxa"/>
            <w:vAlign w:val="bottom"/>
          </w:tcPr>
          <w:p>
            <w:pPr>
              <w:jc w:val="right"/>
              <w:spacing w:after="0" w:line="214" w:lineRule="exact"/>
              <w:rPr>
                <w:sz w:val="20"/>
                <w:szCs w:val="20"/>
                <w:color w:val="auto"/>
              </w:rPr>
            </w:pPr>
            <w:r>
              <w:rPr>
                <w:rFonts w:ascii="Times New Roman" w:cs="Times New Roman" w:eastAsia="Times New Roman" w:hAnsi="Times New Roman"/>
                <w:sz w:val="19"/>
                <w:szCs w:val="19"/>
                <w:color w:val="231F20"/>
              </w:rPr>
              <w:t>411,077</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line="214" w:lineRule="exact"/>
              <w:rPr>
                <w:sz w:val="20"/>
                <w:szCs w:val="20"/>
                <w:color w:val="auto"/>
              </w:rPr>
            </w:pPr>
            <w:r>
              <w:rPr>
                <w:rFonts w:ascii="Times New Roman" w:cs="Times New Roman" w:eastAsia="Times New Roman" w:hAnsi="Times New Roman"/>
                <w:sz w:val="19"/>
                <w:szCs w:val="19"/>
                <w:color w:val="231F20"/>
              </w:rPr>
              <w:t>295,208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line="214" w:lineRule="exact"/>
              <w:rPr>
                <w:sz w:val="20"/>
                <w:szCs w:val="20"/>
                <w:color w:val="auto"/>
              </w:rPr>
            </w:pPr>
            <w:r>
              <w:rPr>
                <w:rFonts w:ascii="Times New Roman" w:cs="Times New Roman" w:eastAsia="Times New Roman" w:hAnsi="Times New Roman"/>
                <w:sz w:val="19"/>
                <w:szCs w:val="19"/>
                <w:color w:val="231F20"/>
              </w:rPr>
              <w:t>236,985</w:t>
            </w:r>
          </w:p>
        </w:tc>
        <w:tc>
          <w:tcPr>
            <w:tcW w:w="0" w:type="dxa"/>
            <w:vAlign w:val="bottom"/>
          </w:tcPr>
          <w:p>
            <w:pPr>
              <w:spacing w:after="0"/>
              <w:rPr>
                <w:sz w:val="1"/>
                <w:szCs w:val="1"/>
                <w:color w:val="auto"/>
              </w:rPr>
            </w:pPr>
          </w:p>
        </w:tc>
      </w:tr>
      <w:tr>
        <w:trPr>
          <w:trHeight w:val="252"/>
        </w:trPr>
        <w:tc>
          <w:tcPr>
            <w:tcW w:w="6220" w:type="dxa"/>
            <w:vAlign w:val="bottom"/>
          </w:tcPr>
          <w:p>
            <w:pPr>
              <w:ind w:left="340"/>
              <w:spacing w:after="0"/>
              <w:rPr>
                <w:sz w:val="20"/>
                <w:szCs w:val="20"/>
                <w:color w:val="auto"/>
              </w:rPr>
            </w:pPr>
            <w:r>
              <w:rPr>
                <w:rFonts w:ascii="Times New Roman" w:cs="Times New Roman" w:eastAsia="Times New Roman" w:hAnsi="Times New Roman"/>
                <w:sz w:val="19"/>
                <w:szCs w:val="19"/>
                <w:color w:val="231F20"/>
              </w:rPr>
              <w:t>Dividends on preferred units</w:t>
            </w:r>
          </w:p>
        </w:tc>
        <w:tc>
          <w:tcPr>
            <w:tcW w:w="200" w:type="dxa"/>
            <w:vAlign w:val="bottom"/>
            <w:tcBorders>
              <w:bottom w:val="single" w:sz="8" w:color="231F20"/>
            </w:tcBorders>
          </w:tcPr>
          <w:p>
            <w:pPr>
              <w:spacing w:after="0"/>
              <w:rPr>
                <w:sz w:val="21"/>
                <w:szCs w:val="21"/>
                <w:color w:val="auto"/>
              </w:rPr>
            </w:pPr>
          </w:p>
        </w:tc>
        <w:tc>
          <w:tcPr>
            <w:tcW w:w="9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(8,032)</w:t>
            </w:r>
          </w:p>
        </w:tc>
        <w:tc>
          <w:tcPr>
            <w:tcW w:w="60" w:type="dxa"/>
            <w:vAlign w:val="bottom"/>
          </w:tcPr>
          <w:p>
            <w:pPr>
              <w:spacing w:after="0"/>
              <w:rPr>
                <w:sz w:val="21"/>
                <w:szCs w:val="21"/>
                <w:color w:val="auto"/>
              </w:rPr>
            </w:pPr>
          </w:p>
        </w:tc>
        <w:tc>
          <w:tcPr>
            <w:tcW w:w="200" w:type="dxa"/>
            <w:vAlign w:val="bottom"/>
            <w:tcBorders>
              <w:bottom w:val="single" w:sz="8" w:color="231F20"/>
            </w:tcBorders>
          </w:tcPr>
          <w:p>
            <w:pPr>
              <w:spacing w:after="0"/>
              <w:rPr>
                <w:sz w:val="21"/>
                <w:szCs w:val="21"/>
                <w:color w:val="auto"/>
              </w:rPr>
            </w:pPr>
          </w:p>
        </w:tc>
        <w:tc>
          <w:tcPr>
            <w:tcW w:w="9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(8,032)</w:t>
            </w:r>
          </w:p>
        </w:tc>
        <w:tc>
          <w:tcPr>
            <w:tcW w:w="80" w:type="dxa"/>
            <w:vAlign w:val="bottom"/>
          </w:tcPr>
          <w:p>
            <w:pPr>
              <w:spacing w:after="0"/>
              <w:rPr>
                <w:sz w:val="21"/>
                <w:szCs w:val="21"/>
                <w:color w:val="auto"/>
              </w:rPr>
            </w:pPr>
          </w:p>
        </w:tc>
        <w:tc>
          <w:tcPr>
            <w:tcW w:w="240" w:type="dxa"/>
            <w:vAlign w:val="bottom"/>
            <w:tcBorders>
              <w:bottom w:val="single" w:sz="8" w:color="231F20"/>
            </w:tcBorders>
          </w:tcPr>
          <w:p>
            <w:pPr>
              <w:spacing w:after="0"/>
              <w:rPr>
                <w:sz w:val="21"/>
                <w:szCs w:val="21"/>
                <w:color w:val="auto"/>
              </w:rPr>
            </w:pPr>
          </w:p>
        </w:tc>
        <w:tc>
          <w:tcPr>
            <w:tcW w:w="8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(8,032)</w:t>
            </w:r>
          </w:p>
        </w:tc>
        <w:tc>
          <w:tcPr>
            <w:tcW w:w="0" w:type="dxa"/>
            <w:vAlign w:val="bottom"/>
          </w:tcPr>
          <w:p>
            <w:pPr>
              <w:spacing w:after="0"/>
              <w:rPr>
                <w:sz w:val="1"/>
                <w:szCs w:val="1"/>
                <w:color w:val="auto"/>
              </w:rPr>
            </w:pPr>
          </w:p>
        </w:tc>
      </w:tr>
      <w:tr>
        <w:trPr>
          <w:trHeight w:val="203"/>
        </w:trPr>
        <w:tc>
          <w:tcPr>
            <w:tcW w:w="6220" w:type="dxa"/>
            <w:vAlign w:val="bottom"/>
          </w:tcPr>
          <w:p>
            <w:pPr>
              <w:spacing w:after="0" w:line="204" w:lineRule="exact"/>
              <w:rPr>
                <w:sz w:val="20"/>
                <w:szCs w:val="20"/>
                <w:color w:val="auto"/>
              </w:rPr>
            </w:pPr>
            <w:r>
              <w:rPr>
                <w:rFonts w:ascii="Times New Roman" w:cs="Times New Roman" w:eastAsia="Times New Roman" w:hAnsi="Times New Roman"/>
                <w:sz w:val="19"/>
                <w:szCs w:val="19"/>
                <w:color w:val="231F20"/>
              </w:rPr>
              <w:t>NET INCOME AVAILABLE FOR COMMON UNIT HOLDERS</w:t>
            </w:r>
          </w:p>
        </w:tc>
        <w:tc>
          <w:tcPr>
            <w:tcW w:w="200" w:type="dxa"/>
            <w:vAlign w:val="bottom"/>
            <w:tcBorders>
              <w:bottom w:val="single" w:sz="8" w:color="231F20"/>
            </w:tcBorders>
          </w:tcPr>
          <w:p>
            <w:pPr>
              <w:jc w:val="right"/>
              <w:spacing w:after="0" w:line="204" w:lineRule="exact"/>
              <w:rPr>
                <w:sz w:val="20"/>
                <w:szCs w:val="20"/>
                <w:color w:val="auto"/>
              </w:rPr>
            </w:pPr>
            <w:r>
              <w:rPr>
                <w:rFonts w:ascii="Times New Roman" w:cs="Times New Roman" w:eastAsia="Times New Roman" w:hAnsi="Times New Roman"/>
                <w:sz w:val="19"/>
                <w:szCs w:val="19"/>
                <w:color w:val="231F20"/>
              </w:rPr>
              <w:t>$</w:t>
            </w:r>
          </w:p>
        </w:tc>
        <w:tc>
          <w:tcPr>
            <w:tcW w:w="900" w:type="dxa"/>
            <w:vAlign w:val="bottom"/>
            <w:tcBorders>
              <w:bottom w:val="single" w:sz="8" w:color="231F20"/>
            </w:tcBorders>
          </w:tcPr>
          <w:p>
            <w:pPr>
              <w:jc w:val="right"/>
              <w:spacing w:after="0" w:line="204" w:lineRule="exact"/>
              <w:rPr>
                <w:sz w:val="20"/>
                <w:szCs w:val="20"/>
                <w:color w:val="auto"/>
              </w:rPr>
            </w:pPr>
            <w:r>
              <w:rPr>
                <w:rFonts w:ascii="Times New Roman" w:cs="Times New Roman" w:eastAsia="Times New Roman" w:hAnsi="Times New Roman"/>
                <w:sz w:val="19"/>
                <w:szCs w:val="19"/>
                <w:color w:val="231F20"/>
              </w:rPr>
              <w:t>403,045</w:t>
            </w:r>
          </w:p>
        </w:tc>
        <w:tc>
          <w:tcPr>
            <w:tcW w:w="60" w:type="dxa"/>
            <w:vAlign w:val="bottom"/>
          </w:tcPr>
          <w:p>
            <w:pPr>
              <w:spacing w:after="0"/>
              <w:rPr>
                <w:sz w:val="17"/>
                <w:szCs w:val="17"/>
                <w:color w:val="auto"/>
              </w:rPr>
            </w:pPr>
          </w:p>
        </w:tc>
        <w:tc>
          <w:tcPr>
            <w:tcW w:w="200" w:type="dxa"/>
            <w:vAlign w:val="bottom"/>
            <w:tcBorders>
              <w:bottom w:val="single" w:sz="8" w:color="231F20"/>
            </w:tcBorders>
          </w:tcPr>
          <w:p>
            <w:pPr>
              <w:jc w:val="right"/>
              <w:spacing w:after="0" w:line="204" w:lineRule="exact"/>
              <w:rPr>
                <w:sz w:val="20"/>
                <w:szCs w:val="20"/>
                <w:color w:val="auto"/>
              </w:rPr>
            </w:pPr>
            <w:r>
              <w:rPr>
                <w:rFonts w:ascii="Times New Roman" w:cs="Times New Roman" w:eastAsia="Times New Roman" w:hAnsi="Times New Roman"/>
                <w:sz w:val="19"/>
                <w:szCs w:val="19"/>
                <w:color w:val="231F20"/>
              </w:rPr>
              <w:t>$</w:t>
            </w:r>
          </w:p>
        </w:tc>
        <w:tc>
          <w:tcPr>
            <w:tcW w:w="900" w:type="dxa"/>
            <w:vAlign w:val="bottom"/>
            <w:tcBorders>
              <w:bottom w:val="single" w:sz="8" w:color="231F20"/>
            </w:tcBorders>
          </w:tcPr>
          <w:p>
            <w:pPr>
              <w:jc w:val="right"/>
              <w:spacing w:after="0" w:line="204" w:lineRule="exact"/>
              <w:rPr>
                <w:sz w:val="20"/>
                <w:szCs w:val="20"/>
                <w:color w:val="auto"/>
              </w:rPr>
            </w:pPr>
            <w:r>
              <w:rPr>
                <w:rFonts w:ascii="Times New Roman" w:cs="Times New Roman" w:eastAsia="Times New Roman" w:hAnsi="Times New Roman"/>
                <w:sz w:val="19"/>
                <w:szCs w:val="19"/>
                <w:color w:val="231F20"/>
              </w:rPr>
              <w:t>287,176</w:t>
            </w:r>
          </w:p>
        </w:tc>
        <w:tc>
          <w:tcPr>
            <w:tcW w:w="80" w:type="dxa"/>
            <w:vAlign w:val="bottom"/>
          </w:tcPr>
          <w:p>
            <w:pPr>
              <w:spacing w:after="0"/>
              <w:rPr>
                <w:sz w:val="17"/>
                <w:szCs w:val="17"/>
                <w:color w:val="auto"/>
              </w:rPr>
            </w:pPr>
          </w:p>
        </w:tc>
        <w:tc>
          <w:tcPr>
            <w:tcW w:w="240" w:type="dxa"/>
            <w:vAlign w:val="bottom"/>
            <w:tcBorders>
              <w:bottom w:val="single" w:sz="8" w:color="231F20"/>
            </w:tcBorders>
          </w:tcPr>
          <w:p>
            <w:pPr>
              <w:jc w:val="right"/>
              <w:ind w:right="5"/>
              <w:spacing w:after="0" w:line="204" w:lineRule="exact"/>
              <w:rPr>
                <w:sz w:val="20"/>
                <w:szCs w:val="20"/>
                <w:color w:val="auto"/>
              </w:rPr>
            </w:pPr>
            <w:r>
              <w:rPr>
                <w:rFonts w:ascii="Times New Roman" w:cs="Times New Roman" w:eastAsia="Times New Roman" w:hAnsi="Times New Roman"/>
                <w:sz w:val="19"/>
                <w:szCs w:val="19"/>
                <w:color w:val="231F20"/>
              </w:rPr>
              <w:t>$</w:t>
            </w:r>
          </w:p>
        </w:tc>
        <w:tc>
          <w:tcPr>
            <w:tcW w:w="860" w:type="dxa"/>
            <w:vAlign w:val="bottom"/>
            <w:tcBorders>
              <w:bottom w:val="single" w:sz="8" w:color="231F20"/>
            </w:tcBorders>
          </w:tcPr>
          <w:p>
            <w:pPr>
              <w:jc w:val="right"/>
              <w:spacing w:after="0" w:line="204" w:lineRule="exact"/>
              <w:rPr>
                <w:sz w:val="20"/>
                <w:szCs w:val="20"/>
                <w:color w:val="auto"/>
              </w:rPr>
            </w:pPr>
            <w:r>
              <w:rPr>
                <w:rFonts w:ascii="Times New Roman" w:cs="Times New Roman" w:eastAsia="Times New Roman" w:hAnsi="Times New Roman"/>
                <w:sz w:val="19"/>
                <w:szCs w:val="19"/>
                <w:color w:val="231F20"/>
              </w:rPr>
              <w:t>228,953</w:t>
            </w:r>
          </w:p>
        </w:tc>
        <w:tc>
          <w:tcPr>
            <w:tcW w:w="0" w:type="dxa"/>
            <w:vAlign w:val="bottom"/>
          </w:tcPr>
          <w:p>
            <w:pPr>
              <w:spacing w:after="0"/>
              <w:rPr>
                <w:sz w:val="1"/>
                <w:szCs w:val="1"/>
                <w:color w:val="auto"/>
              </w:rPr>
            </w:pPr>
          </w:p>
        </w:tc>
      </w:tr>
      <w:tr>
        <w:trPr>
          <w:trHeight w:val="20"/>
        </w:trPr>
        <w:tc>
          <w:tcPr>
            <w:tcW w:w="6220" w:type="dxa"/>
            <w:vAlign w:val="bottom"/>
            <w:vMerge w:val="restart"/>
          </w:tcPr>
          <w:p>
            <w:pPr>
              <w:spacing w:after="0"/>
              <w:rPr>
                <w:sz w:val="20"/>
                <w:szCs w:val="20"/>
                <w:color w:val="auto"/>
              </w:rPr>
            </w:pPr>
            <w:r>
              <w:rPr>
                <w:rFonts w:ascii="Times New Roman" w:cs="Times New Roman" w:eastAsia="Times New Roman" w:hAnsi="Times New Roman"/>
                <w:sz w:val="19"/>
                <w:szCs w:val="19"/>
                <w:color w:val="231F20"/>
              </w:rPr>
              <w:t>EARNINGS PER COMMON UNIT, BASIC</w:t>
            </w:r>
          </w:p>
        </w:tc>
        <w:tc>
          <w:tcPr>
            <w:tcW w:w="200" w:type="dxa"/>
            <w:vAlign w:val="bottom"/>
            <w:tcBorders>
              <w:bottom w:val="single" w:sz="8" w:color="231F20"/>
            </w:tcBorders>
          </w:tcPr>
          <w:p>
            <w:pPr>
              <w:spacing w:after="0" w:line="20" w:lineRule="exact"/>
              <w:rPr>
                <w:sz w:val="1"/>
                <w:szCs w:val="1"/>
                <w:color w:val="auto"/>
              </w:rPr>
            </w:pPr>
          </w:p>
        </w:tc>
        <w:tc>
          <w:tcPr>
            <w:tcW w:w="90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231F20"/>
            </w:tcBorders>
          </w:tcPr>
          <w:p>
            <w:pPr>
              <w:spacing w:after="0" w:line="20" w:lineRule="exact"/>
              <w:rPr>
                <w:sz w:val="1"/>
                <w:szCs w:val="1"/>
                <w:color w:val="auto"/>
              </w:rPr>
            </w:pPr>
          </w:p>
        </w:tc>
        <w:tc>
          <w:tcPr>
            <w:tcW w:w="90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231F20"/>
            </w:tcBorders>
          </w:tcPr>
          <w:p>
            <w:pPr>
              <w:spacing w:after="0" w:line="20" w:lineRule="exact"/>
              <w:rPr>
                <w:sz w:val="1"/>
                <w:szCs w:val="1"/>
                <w:color w:val="auto"/>
              </w:rPr>
            </w:pPr>
          </w:p>
        </w:tc>
        <w:tc>
          <w:tcPr>
            <w:tcW w:w="86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6220" w:type="dxa"/>
            <w:vAlign w:val="bottom"/>
            <w:vMerge w:val="continue"/>
          </w:tcPr>
          <w:p>
            <w:pPr>
              <w:spacing w:after="0"/>
              <w:rPr>
                <w:sz w:val="17"/>
                <w:szCs w:val="17"/>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231F20"/>
              </w:rPr>
              <w:t>4.68</w:t>
            </w:r>
          </w:p>
        </w:tc>
        <w:tc>
          <w:tcPr>
            <w:tcW w:w="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231F20"/>
              </w:rPr>
              <w:t>3.42</w:t>
            </w:r>
          </w:p>
        </w:tc>
        <w:tc>
          <w:tcPr>
            <w:tcW w:w="320" w:type="dxa"/>
            <w:vAlign w:val="bottom"/>
            <w:gridSpan w:val="2"/>
            <w:vMerge w:val="restart"/>
          </w:tcPr>
          <w:p>
            <w:pPr>
              <w:jc w:val="right"/>
              <w:ind w:right="5"/>
              <w:spacing w:after="0"/>
              <w:rPr>
                <w:sz w:val="20"/>
                <w:szCs w:val="20"/>
                <w:color w:val="auto"/>
              </w:rPr>
            </w:pPr>
            <w:r>
              <w:rPr>
                <w:rFonts w:ascii="Times New Roman" w:cs="Times New Roman" w:eastAsia="Times New Roman" w:hAnsi="Times New Roman"/>
                <w:sz w:val="19"/>
                <w:szCs w:val="19"/>
                <w:color w:val="231F20"/>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231F20"/>
              </w:rPr>
              <w:t>2.80</w:t>
            </w:r>
          </w:p>
        </w:tc>
        <w:tc>
          <w:tcPr>
            <w:tcW w:w="0" w:type="dxa"/>
            <w:vAlign w:val="bottom"/>
          </w:tcPr>
          <w:p>
            <w:pPr>
              <w:spacing w:after="0"/>
              <w:rPr>
                <w:sz w:val="1"/>
                <w:szCs w:val="1"/>
                <w:color w:val="auto"/>
              </w:rPr>
            </w:pPr>
          </w:p>
        </w:tc>
      </w:tr>
      <w:tr>
        <w:trPr>
          <w:trHeight w:val="224"/>
        </w:trPr>
        <w:tc>
          <w:tcPr>
            <w:tcW w:w="6220" w:type="dxa"/>
            <w:vAlign w:val="bottom"/>
          </w:tcPr>
          <w:p>
            <w:pPr>
              <w:ind w:left="340"/>
              <w:spacing w:after="0"/>
              <w:rPr>
                <w:sz w:val="20"/>
                <w:szCs w:val="20"/>
                <w:color w:val="auto"/>
              </w:rPr>
            </w:pPr>
            <w:r>
              <w:rPr>
                <w:rFonts w:ascii="Times New Roman" w:cs="Times New Roman" w:eastAsia="Times New Roman" w:hAnsi="Times New Roman"/>
                <w:sz w:val="19"/>
                <w:szCs w:val="19"/>
                <w:color w:val="231F20"/>
              </w:rPr>
              <w:t>Net income available for common unit holders</w:t>
            </w:r>
          </w:p>
        </w:tc>
        <w:tc>
          <w:tcPr>
            <w:tcW w:w="200" w:type="dxa"/>
            <w:vAlign w:val="bottom"/>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260" w:type="dxa"/>
            <w:vAlign w:val="bottom"/>
            <w:gridSpan w:val="2"/>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320" w:type="dxa"/>
            <w:vAlign w:val="bottom"/>
            <w:gridSpan w:val="2"/>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ind w:left="340"/>
              <w:spacing w:after="0"/>
              <w:rPr>
                <w:sz w:val="20"/>
                <w:szCs w:val="20"/>
                <w:color w:val="auto"/>
              </w:rPr>
            </w:pPr>
            <w:r>
              <w:rPr>
                <w:rFonts w:ascii="Times New Roman" w:cs="Times New Roman" w:eastAsia="Times New Roman" w:hAnsi="Times New Roman"/>
                <w:sz w:val="19"/>
                <w:szCs w:val="19"/>
                <w:color w:val="231F20"/>
              </w:rPr>
              <w:t>Weighted average number of common units</w:t>
            </w:r>
          </w:p>
        </w:tc>
        <w:tc>
          <w:tcPr>
            <w:tcW w:w="200" w:type="dxa"/>
            <w:vAlign w:val="bottom"/>
            <w:tcBorders>
              <w:top w:val="single" w:sz="8" w:color="231F20"/>
              <w:bottom w:val="single" w:sz="8" w:color="231F20"/>
            </w:tcBorders>
          </w:tcPr>
          <w:p>
            <w:pPr>
              <w:spacing w:after="0" w:line="20" w:lineRule="exact"/>
              <w:rPr>
                <w:sz w:val="1"/>
                <w:szCs w:val="1"/>
                <w:color w:val="auto"/>
              </w:rPr>
            </w:pPr>
          </w:p>
        </w:tc>
        <w:tc>
          <w:tcPr>
            <w:tcW w:w="90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231F20"/>
              <w:bottom w:val="single" w:sz="8" w:color="231F20"/>
            </w:tcBorders>
          </w:tcPr>
          <w:p>
            <w:pPr>
              <w:spacing w:after="0" w:line="20" w:lineRule="exact"/>
              <w:rPr>
                <w:sz w:val="1"/>
                <w:szCs w:val="1"/>
                <w:color w:val="auto"/>
              </w:rPr>
            </w:pPr>
          </w:p>
        </w:tc>
        <w:tc>
          <w:tcPr>
            <w:tcW w:w="90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231F20"/>
              <w:bottom w:val="single" w:sz="8" w:color="231F20"/>
            </w:tcBorders>
          </w:tcPr>
          <w:p>
            <w:pPr>
              <w:spacing w:after="0" w:line="20" w:lineRule="exact"/>
              <w:rPr>
                <w:sz w:val="1"/>
                <w:szCs w:val="1"/>
                <w:color w:val="auto"/>
              </w:rPr>
            </w:pPr>
          </w:p>
        </w:tc>
        <w:tc>
          <w:tcPr>
            <w:tcW w:w="860" w:type="dxa"/>
            <w:vAlign w:val="bottom"/>
            <w:tcBorders>
              <w:top w:val="single" w:sz="8" w:color="231F20"/>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20" w:type="dxa"/>
            <w:vAlign w:val="bottom"/>
            <w:vMerge w:val="continue"/>
          </w:tcPr>
          <w:p>
            <w:pPr>
              <w:spacing w:after="0"/>
              <w:rPr>
                <w:sz w:val="15"/>
                <w:szCs w:val="15"/>
                <w:color w:val="auto"/>
              </w:rPr>
            </w:pPr>
          </w:p>
        </w:tc>
        <w:tc>
          <w:tcPr>
            <w:tcW w:w="200" w:type="dxa"/>
            <w:vAlign w:val="bottom"/>
            <w:tcBorders>
              <w:bottom w:val="single" w:sz="8" w:color="231F20"/>
            </w:tcBorders>
          </w:tcPr>
          <w:p>
            <w:pPr>
              <w:spacing w:after="0"/>
              <w:rPr>
                <w:sz w:val="15"/>
                <w:szCs w:val="15"/>
                <w:color w:val="auto"/>
              </w:rPr>
            </w:pPr>
          </w:p>
        </w:tc>
        <w:tc>
          <w:tcPr>
            <w:tcW w:w="900" w:type="dxa"/>
            <w:vAlign w:val="bottom"/>
            <w:tcBorders>
              <w:bottom w:val="single" w:sz="8" w:color="231F20"/>
            </w:tcBorders>
          </w:tcPr>
          <w:p>
            <w:pPr>
              <w:jc w:val="right"/>
              <w:spacing w:after="0" w:line="183" w:lineRule="exact"/>
              <w:rPr>
                <w:sz w:val="20"/>
                <w:szCs w:val="20"/>
                <w:color w:val="auto"/>
              </w:rPr>
            </w:pPr>
            <w:r>
              <w:rPr>
                <w:rFonts w:ascii="Times New Roman" w:cs="Times New Roman" w:eastAsia="Times New Roman" w:hAnsi="Times New Roman"/>
                <w:sz w:val="19"/>
                <w:szCs w:val="19"/>
                <w:color w:val="231F20"/>
              </w:rPr>
              <w:t>85,852</w:t>
            </w:r>
          </w:p>
        </w:tc>
        <w:tc>
          <w:tcPr>
            <w:tcW w:w="60" w:type="dxa"/>
            <w:vAlign w:val="bottom"/>
          </w:tcPr>
          <w:p>
            <w:pPr>
              <w:spacing w:after="0"/>
              <w:rPr>
                <w:sz w:val="15"/>
                <w:szCs w:val="15"/>
                <w:color w:val="auto"/>
              </w:rPr>
            </w:pPr>
          </w:p>
        </w:tc>
        <w:tc>
          <w:tcPr>
            <w:tcW w:w="200" w:type="dxa"/>
            <w:vAlign w:val="bottom"/>
            <w:tcBorders>
              <w:bottom w:val="single" w:sz="8" w:color="231F20"/>
            </w:tcBorders>
          </w:tcPr>
          <w:p>
            <w:pPr>
              <w:spacing w:after="0"/>
              <w:rPr>
                <w:sz w:val="15"/>
                <w:szCs w:val="15"/>
                <w:color w:val="auto"/>
              </w:rPr>
            </w:pPr>
          </w:p>
        </w:tc>
        <w:tc>
          <w:tcPr>
            <w:tcW w:w="900" w:type="dxa"/>
            <w:vAlign w:val="bottom"/>
            <w:tcBorders>
              <w:bottom w:val="single" w:sz="8" w:color="231F20"/>
            </w:tcBorders>
          </w:tcPr>
          <w:p>
            <w:pPr>
              <w:jc w:val="right"/>
              <w:spacing w:after="0" w:line="183" w:lineRule="exact"/>
              <w:rPr>
                <w:sz w:val="20"/>
                <w:szCs w:val="20"/>
                <w:color w:val="auto"/>
              </w:rPr>
            </w:pPr>
            <w:r>
              <w:rPr>
                <w:rFonts w:ascii="Times New Roman" w:cs="Times New Roman" w:eastAsia="Times New Roman" w:hAnsi="Times New Roman"/>
                <w:sz w:val="19"/>
                <w:szCs w:val="19"/>
                <w:color w:val="231F20"/>
              </w:rPr>
              <w:t>83,559</w:t>
            </w:r>
          </w:p>
        </w:tc>
        <w:tc>
          <w:tcPr>
            <w:tcW w:w="80" w:type="dxa"/>
            <w:vAlign w:val="bottom"/>
          </w:tcPr>
          <w:p>
            <w:pPr>
              <w:spacing w:after="0"/>
              <w:rPr>
                <w:sz w:val="15"/>
                <w:szCs w:val="15"/>
                <w:color w:val="auto"/>
              </w:rPr>
            </w:pPr>
          </w:p>
        </w:tc>
        <w:tc>
          <w:tcPr>
            <w:tcW w:w="240" w:type="dxa"/>
            <w:vAlign w:val="bottom"/>
            <w:tcBorders>
              <w:bottom w:val="single" w:sz="8" w:color="231F20"/>
            </w:tcBorders>
          </w:tcPr>
          <w:p>
            <w:pPr>
              <w:spacing w:after="0"/>
              <w:rPr>
                <w:sz w:val="15"/>
                <w:szCs w:val="15"/>
                <w:color w:val="auto"/>
              </w:rPr>
            </w:pPr>
          </w:p>
        </w:tc>
        <w:tc>
          <w:tcPr>
            <w:tcW w:w="860" w:type="dxa"/>
            <w:vAlign w:val="bottom"/>
            <w:tcBorders>
              <w:bottom w:val="single" w:sz="8" w:color="231F20"/>
            </w:tcBorders>
          </w:tcPr>
          <w:p>
            <w:pPr>
              <w:jc w:val="right"/>
              <w:spacing w:after="0" w:line="183" w:lineRule="exact"/>
              <w:rPr>
                <w:sz w:val="20"/>
                <w:szCs w:val="20"/>
                <w:color w:val="auto"/>
              </w:rPr>
            </w:pPr>
            <w:r>
              <w:rPr>
                <w:rFonts w:ascii="Times New Roman" w:cs="Times New Roman" w:eastAsia="Times New Roman" w:hAnsi="Times New Roman"/>
                <w:sz w:val="19"/>
                <w:szCs w:val="19"/>
                <w:color w:val="231F20"/>
              </w:rPr>
              <w:t>81,313</w:t>
            </w:r>
          </w:p>
        </w:tc>
        <w:tc>
          <w:tcPr>
            <w:tcW w:w="0" w:type="dxa"/>
            <w:vAlign w:val="bottom"/>
          </w:tcPr>
          <w:p>
            <w:pPr>
              <w:spacing w:after="0"/>
              <w:rPr>
                <w:sz w:val="1"/>
                <w:szCs w:val="1"/>
                <w:color w:val="auto"/>
              </w:rPr>
            </w:pPr>
          </w:p>
        </w:tc>
      </w:tr>
      <w:tr>
        <w:trPr>
          <w:trHeight w:val="20"/>
        </w:trPr>
        <w:tc>
          <w:tcPr>
            <w:tcW w:w="6220" w:type="dxa"/>
            <w:vAlign w:val="bottom"/>
            <w:vMerge w:val="restart"/>
          </w:tcPr>
          <w:p>
            <w:pPr>
              <w:spacing w:after="0"/>
              <w:rPr>
                <w:sz w:val="20"/>
                <w:szCs w:val="20"/>
                <w:color w:val="auto"/>
              </w:rPr>
            </w:pPr>
            <w:r>
              <w:rPr>
                <w:rFonts w:ascii="Times New Roman" w:cs="Times New Roman" w:eastAsia="Times New Roman" w:hAnsi="Times New Roman"/>
                <w:sz w:val="19"/>
                <w:szCs w:val="19"/>
                <w:color w:val="231F20"/>
              </w:rPr>
              <w:t>EARNINGS PER COMMON UNIT, DILUTED</w:t>
            </w:r>
          </w:p>
        </w:tc>
        <w:tc>
          <w:tcPr>
            <w:tcW w:w="200" w:type="dxa"/>
            <w:vAlign w:val="bottom"/>
            <w:tcBorders>
              <w:bottom w:val="single" w:sz="8" w:color="231F20"/>
            </w:tcBorders>
          </w:tcPr>
          <w:p>
            <w:pPr>
              <w:spacing w:after="0" w:line="20" w:lineRule="exact"/>
              <w:rPr>
                <w:sz w:val="1"/>
                <w:szCs w:val="1"/>
                <w:color w:val="auto"/>
              </w:rPr>
            </w:pPr>
          </w:p>
        </w:tc>
        <w:tc>
          <w:tcPr>
            <w:tcW w:w="90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231F20"/>
            </w:tcBorders>
          </w:tcPr>
          <w:p>
            <w:pPr>
              <w:spacing w:after="0" w:line="20" w:lineRule="exact"/>
              <w:rPr>
                <w:sz w:val="1"/>
                <w:szCs w:val="1"/>
                <w:color w:val="auto"/>
              </w:rPr>
            </w:pPr>
          </w:p>
        </w:tc>
        <w:tc>
          <w:tcPr>
            <w:tcW w:w="90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231F20"/>
            </w:tcBorders>
          </w:tcPr>
          <w:p>
            <w:pPr>
              <w:spacing w:after="0" w:line="20" w:lineRule="exact"/>
              <w:rPr>
                <w:sz w:val="1"/>
                <w:szCs w:val="1"/>
                <w:color w:val="auto"/>
              </w:rPr>
            </w:pPr>
          </w:p>
        </w:tc>
        <w:tc>
          <w:tcPr>
            <w:tcW w:w="86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6220" w:type="dxa"/>
            <w:vAlign w:val="bottom"/>
            <w:vMerge w:val="continue"/>
          </w:tcPr>
          <w:p>
            <w:pPr>
              <w:spacing w:after="0"/>
              <w:rPr>
                <w:sz w:val="17"/>
                <w:szCs w:val="17"/>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231F20"/>
              </w:rPr>
              <w:t>4.68</w:t>
            </w:r>
          </w:p>
        </w:tc>
        <w:tc>
          <w:tcPr>
            <w:tcW w:w="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231F20"/>
              </w:rPr>
              <w:t>3.42</w:t>
            </w:r>
          </w:p>
        </w:tc>
        <w:tc>
          <w:tcPr>
            <w:tcW w:w="320" w:type="dxa"/>
            <w:vAlign w:val="bottom"/>
            <w:gridSpan w:val="2"/>
            <w:vMerge w:val="restart"/>
          </w:tcPr>
          <w:p>
            <w:pPr>
              <w:jc w:val="right"/>
              <w:ind w:right="5"/>
              <w:spacing w:after="0"/>
              <w:rPr>
                <w:sz w:val="20"/>
                <w:szCs w:val="20"/>
                <w:color w:val="auto"/>
              </w:rPr>
            </w:pPr>
            <w:r>
              <w:rPr>
                <w:rFonts w:ascii="Times New Roman" w:cs="Times New Roman" w:eastAsia="Times New Roman" w:hAnsi="Times New Roman"/>
                <w:sz w:val="19"/>
                <w:szCs w:val="19"/>
                <w:color w:val="231F20"/>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231F20"/>
              </w:rPr>
              <w:t>2.80</w:t>
            </w:r>
          </w:p>
        </w:tc>
        <w:tc>
          <w:tcPr>
            <w:tcW w:w="0" w:type="dxa"/>
            <w:vAlign w:val="bottom"/>
          </w:tcPr>
          <w:p>
            <w:pPr>
              <w:spacing w:after="0"/>
              <w:rPr>
                <w:sz w:val="1"/>
                <w:szCs w:val="1"/>
                <w:color w:val="auto"/>
              </w:rPr>
            </w:pPr>
          </w:p>
        </w:tc>
      </w:tr>
      <w:tr>
        <w:trPr>
          <w:trHeight w:val="224"/>
        </w:trPr>
        <w:tc>
          <w:tcPr>
            <w:tcW w:w="6220" w:type="dxa"/>
            <w:vAlign w:val="bottom"/>
          </w:tcPr>
          <w:p>
            <w:pPr>
              <w:ind w:left="340"/>
              <w:spacing w:after="0"/>
              <w:rPr>
                <w:sz w:val="20"/>
                <w:szCs w:val="20"/>
                <w:color w:val="auto"/>
              </w:rPr>
            </w:pPr>
            <w:r>
              <w:rPr>
                <w:rFonts w:ascii="Times New Roman" w:cs="Times New Roman" w:eastAsia="Times New Roman" w:hAnsi="Times New Roman"/>
                <w:sz w:val="19"/>
                <w:szCs w:val="19"/>
                <w:color w:val="231F20"/>
              </w:rPr>
              <w:t>Net income available for common unit holders</w:t>
            </w:r>
          </w:p>
        </w:tc>
        <w:tc>
          <w:tcPr>
            <w:tcW w:w="200" w:type="dxa"/>
            <w:vAlign w:val="bottom"/>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260" w:type="dxa"/>
            <w:vAlign w:val="bottom"/>
            <w:gridSpan w:val="2"/>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320" w:type="dxa"/>
            <w:vAlign w:val="bottom"/>
            <w:gridSpan w:val="2"/>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ind w:left="340"/>
              <w:spacing w:after="0"/>
              <w:rPr>
                <w:sz w:val="20"/>
                <w:szCs w:val="20"/>
                <w:color w:val="auto"/>
              </w:rPr>
            </w:pPr>
            <w:r>
              <w:rPr>
                <w:rFonts w:ascii="Times New Roman" w:cs="Times New Roman" w:eastAsia="Times New Roman" w:hAnsi="Times New Roman"/>
                <w:sz w:val="19"/>
                <w:szCs w:val="19"/>
                <w:color w:val="231F20"/>
              </w:rPr>
              <w:t>Weighted average number of common units</w:t>
            </w:r>
          </w:p>
        </w:tc>
        <w:tc>
          <w:tcPr>
            <w:tcW w:w="200" w:type="dxa"/>
            <w:vAlign w:val="bottom"/>
            <w:tcBorders>
              <w:top w:val="single" w:sz="8" w:color="231F20"/>
              <w:bottom w:val="single" w:sz="8" w:color="231F20"/>
            </w:tcBorders>
          </w:tcPr>
          <w:p>
            <w:pPr>
              <w:spacing w:after="0" w:line="20" w:lineRule="exact"/>
              <w:rPr>
                <w:sz w:val="1"/>
                <w:szCs w:val="1"/>
                <w:color w:val="auto"/>
              </w:rPr>
            </w:pPr>
          </w:p>
        </w:tc>
        <w:tc>
          <w:tcPr>
            <w:tcW w:w="90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231F20"/>
              <w:bottom w:val="single" w:sz="8" w:color="231F20"/>
            </w:tcBorders>
          </w:tcPr>
          <w:p>
            <w:pPr>
              <w:spacing w:after="0" w:line="20" w:lineRule="exact"/>
              <w:rPr>
                <w:sz w:val="1"/>
                <w:szCs w:val="1"/>
                <w:color w:val="auto"/>
              </w:rPr>
            </w:pPr>
          </w:p>
        </w:tc>
        <w:tc>
          <w:tcPr>
            <w:tcW w:w="90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231F20"/>
              <w:bottom w:val="single" w:sz="8" w:color="231F20"/>
            </w:tcBorders>
          </w:tcPr>
          <w:p>
            <w:pPr>
              <w:spacing w:after="0" w:line="20" w:lineRule="exact"/>
              <w:rPr>
                <w:sz w:val="1"/>
                <w:szCs w:val="1"/>
                <w:color w:val="auto"/>
              </w:rPr>
            </w:pPr>
          </w:p>
        </w:tc>
        <w:tc>
          <w:tcPr>
            <w:tcW w:w="860" w:type="dxa"/>
            <w:vAlign w:val="bottom"/>
            <w:tcBorders>
              <w:top w:val="single" w:sz="8" w:color="231F20"/>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20" w:type="dxa"/>
            <w:vAlign w:val="bottom"/>
            <w:vMerge w:val="continue"/>
          </w:tcPr>
          <w:p>
            <w:pPr>
              <w:spacing w:after="0"/>
              <w:rPr>
                <w:sz w:val="15"/>
                <w:szCs w:val="15"/>
                <w:color w:val="auto"/>
              </w:rPr>
            </w:pPr>
          </w:p>
        </w:tc>
        <w:tc>
          <w:tcPr>
            <w:tcW w:w="200" w:type="dxa"/>
            <w:vAlign w:val="bottom"/>
            <w:tcBorders>
              <w:bottom w:val="single" w:sz="8" w:color="231F20"/>
            </w:tcBorders>
          </w:tcPr>
          <w:p>
            <w:pPr>
              <w:spacing w:after="0"/>
              <w:rPr>
                <w:sz w:val="15"/>
                <w:szCs w:val="15"/>
                <w:color w:val="auto"/>
              </w:rPr>
            </w:pPr>
          </w:p>
        </w:tc>
        <w:tc>
          <w:tcPr>
            <w:tcW w:w="900" w:type="dxa"/>
            <w:vAlign w:val="bottom"/>
            <w:tcBorders>
              <w:bottom w:val="single" w:sz="8" w:color="231F20"/>
            </w:tcBorders>
          </w:tcPr>
          <w:p>
            <w:pPr>
              <w:jc w:val="right"/>
              <w:spacing w:after="0" w:line="183" w:lineRule="exact"/>
              <w:rPr>
                <w:sz w:val="20"/>
                <w:szCs w:val="20"/>
                <w:color w:val="auto"/>
              </w:rPr>
            </w:pPr>
            <w:r>
              <w:rPr>
                <w:rFonts w:ascii="Times New Roman" w:cs="Times New Roman" w:eastAsia="Times New Roman" w:hAnsi="Times New Roman"/>
                <w:sz w:val="19"/>
                <w:szCs w:val="19"/>
                <w:color w:val="231F20"/>
              </w:rPr>
              <w:t>86,405</w:t>
            </w:r>
          </w:p>
        </w:tc>
        <w:tc>
          <w:tcPr>
            <w:tcW w:w="60" w:type="dxa"/>
            <w:vAlign w:val="bottom"/>
          </w:tcPr>
          <w:p>
            <w:pPr>
              <w:spacing w:after="0"/>
              <w:rPr>
                <w:sz w:val="15"/>
                <w:szCs w:val="15"/>
                <w:color w:val="auto"/>
              </w:rPr>
            </w:pPr>
          </w:p>
        </w:tc>
        <w:tc>
          <w:tcPr>
            <w:tcW w:w="200" w:type="dxa"/>
            <w:vAlign w:val="bottom"/>
            <w:tcBorders>
              <w:bottom w:val="single" w:sz="8" w:color="231F20"/>
            </w:tcBorders>
          </w:tcPr>
          <w:p>
            <w:pPr>
              <w:spacing w:after="0"/>
              <w:rPr>
                <w:sz w:val="15"/>
                <w:szCs w:val="15"/>
                <w:color w:val="auto"/>
              </w:rPr>
            </w:pPr>
          </w:p>
        </w:tc>
        <w:tc>
          <w:tcPr>
            <w:tcW w:w="900" w:type="dxa"/>
            <w:vAlign w:val="bottom"/>
            <w:tcBorders>
              <w:bottom w:val="single" w:sz="8" w:color="231F20"/>
            </w:tcBorders>
          </w:tcPr>
          <w:p>
            <w:pPr>
              <w:jc w:val="right"/>
              <w:spacing w:after="0" w:line="183" w:lineRule="exact"/>
              <w:rPr>
                <w:sz w:val="20"/>
                <w:szCs w:val="20"/>
                <w:color w:val="auto"/>
              </w:rPr>
            </w:pPr>
            <w:r>
              <w:rPr>
                <w:rFonts w:ascii="Times New Roman" w:cs="Times New Roman" w:eastAsia="Times New Roman" w:hAnsi="Times New Roman"/>
                <w:sz w:val="19"/>
                <w:szCs w:val="19"/>
                <w:color w:val="231F20"/>
              </w:rPr>
              <w:t>83,566</w:t>
            </w:r>
          </w:p>
        </w:tc>
        <w:tc>
          <w:tcPr>
            <w:tcW w:w="80" w:type="dxa"/>
            <w:vAlign w:val="bottom"/>
          </w:tcPr>
          <w:p>
            <w:pPr>
              <w:spacing w:after="0"/>
              <w:rPr>
                <w:sz w:val="15"/>
                <w:szCs w:val="15"/>
                <w:color w:val="auto"/>
              </w:rPr>
            </w:pPr>
          </w:p>
        </w:tc>
        <w:tc>
          <w:tcPr>
            <w:tcW w:w="240" w:type="dxa"/>
            <w:vAlign w:val="bottom"/>
            <w:tcBorders>
              <w:bottom w:val="single" w:sz="8" w:color="231F20"/>
            </w:tcBorders>
          </w:tcPr>
          <w:p>
            <w:pPr>
              <w:spacing w:after="0"/>
              <w:rPr>
                <w:sz w:val="15"/>
                <w:szCs w:val="15"/>
                <w:color w:val="auto"/>
              </w:rPr>
            </w:pPr>
          </w:p>
        </w:tc>
        <w:tc>
          <w:tcPr>
            <w:tcW w:w="860" w:type="dxa"/>
            <w:vAlign w:val="bottom"/>
            <w:tcBorders>
              <w:bottom w:val="single" w:sz="8" w:color="231F20"/>
            </w:tcBorders>
          </w:tcPr>
          <w:p>
            <w:pPr>
              <w:jc w:val="right"/>
              <w:spacing w:after="0" w:line="183" w:lineRule="exact"/>
              <w:rPr>
                <w:sz w:val="20"/>
                <w:szCs w:val="20"/>
                <w:color w:val="auto"/>
              </w:rPr>
            </w:pPr>
            <w:r>
              <w:rPr>
                <w:rFonts w:ascii="Times New Roman" w:cs="Times New Roman" w:eastAsia="Times New Roman" w:hAnsi="Times New Roman"/>
                <w:sz w:val="19"/>
                <w:szCs w:val="19"/>
                <w:color w:val="231F20"/>
              </w:rPr>
              <w:t>81,313</w:t>
            </w: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200" w:type="dxa"/>
            <w:vAlign w:val="bottom"/>
            <w:tcBorders>
              <w:bottom w:val="single" w:sz="8" w:color="231F20"/>
            </w:tcBorders>
          </w:tcPr>
          <w:p>
            <w:pPr>
              <w:spacing w:after="0" w:line="20" w:lineRule="exact"/>
              <w:rPr>
                <w:sz w:val="1"/>
                <w:szCs w:val="1"/>
                <w:color w:val="auto"/>
              </w:rPr>
            </w:pPr>
          </w:p>
        </w:tc>
        <w:tc>
          <w:tcPr>
            <w:tcW w:w="90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231F20"/>
            </w:tcBorders>
          </w:tcPr>
          <w:p>
            <w:pPr>
              <w:spacing w:after="0" w:line="20" w:lineRule="exact"/>
              <w:rPr>
                <w:sz w:val="1"/>
                <w:szCs w:val="1"/>
                <w:color w:val="auto"/>
              </w:rPr>
            </w:pPr>
          </w:p>
        </w:tc>
        <w:tc>
          <w:tcPr>
            <w:tcW w:w="90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231F20"/>
            </w:tcBorders>
          </w:tcPr>
          <w:p>
            <w:pPr>
              <w:spacing w:after="0" w:line="20" w:lineRule="exact"/>
              <w:rPr>
                <w:sz w:val="1"/>
                <w:szCs w:val="1"/>
                <w:color w:val="auto"/>
              </w:rPr>
            </w:pPr>
          </w:p>
        </w:tc>
        <w:tc>
          <w:tcPr>
            <w:tcW w:w="86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5"/>
        </w:trPr>
        <w:tc>
          <w:tcPr>
            <w:tcW w:w="6220" w:type="dxa"/>
            <w:vAlign w:val="bottom"/>
          </w:tcPr>
          <w:p>
            <w:pPr>
              <w:spacing w:after="0"/>
              <w:rPr>
                <w:sz w:val="20"/>
                <w:szCs w:val="20"/>
                <w:color w:val="auto"/>
              </w:rPr>
            </w:pPr>
            <w:r>
              <w:rPr>
                <w:rFonts w:ascii="Times New Roman" w:cs="Times New Roman" w:eastAsia="Times New Roman" w:hAnsi="Times New Roman"/>
                <w:sz w:val="19"/>
                <w:szCs w:val="19"/>
                <w:color w:val="231F20"/>
              </w:rPr>
              <w:t>NET INCOME</w:t>
            </w:r>
          </w:p>
        </w:tc>
        <w:tc>
          <w:tcPr>
            <w:tcW w:w="2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423,648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304,334</w:t>
            </w:r>
          </w:p>
        </w:tc>
        <w:tc>
          <w:tcPr>
            <w:tcW w:w="320" w:type="dxa"/>
            <w:vAlign w:val="bottom"/>
            <w:gridSpan w:val="2"/>
          </w:tcPr>
          <w:p>
            <w:pPr>
              <w:jc w:val="right"/>
              <w:ind w:right="5"/>
              <w:spacing w:after="0"/>
              <w:rPr>
                <w:sz w:val="20"/>
                <w:szCs w:val="20"/>
                <w:color w:val="auto"/>
              </w:rPr>
            </w:pPr>
            <w:r>
              <w:rPr>
                <w:rFonts w:ascii="Times New Roman" w:cs="Times New Roman" w:eastAsia="Times New Roman" w:hAnsi="Times New Roman"/>
                <w:sz w:val="19"/>
                <w:szCs w:val="19"/>
                <w:color w:val="231F2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247,217</w:t>
            </w:r>
          </w:p>
        </w:tc>
        <w:tc>
          <w:tcPr>
            <w:tcW w:w="0" w:type="dxa"/>
            <w:vAlign w:val="bottom"/>
          </w:tcPr>
          <w:p>
            <w:pPr>
              <w:spacing w:after="0"/>
              <w:rPr>
                <w:sz w:val="1"/>
                <w:szCs w:val="1"/>
                <w:color w:val="auto"/>
              </w:rPr>
            </w:pPr>
          </w:p>
        </w:tc>
      </w:tr>
      <w:tr>
        <w:trPr>
          <w:trHeight w:val="252"/>
        </w:trPr>
        <w:tc>
          <w:tcPr>
            <w:tcW w:w="6220" w:type="dxa"/>
            <w:vAlign w:val="bottom"/>
          </w:tcPr>
          <w:p>
            <w:pPr>
              <w:ind w:left="340"/>
              <w:spacing w:after="0"/>
              <w:rPr>
                <w:sz w:val="20"/>
                <w:szCs w:val="20"/>
                <w:color w:val="auto"/>
              </w:rPr>
            </w:pPr>
            <w:r>
              <w:rPr>
                <w:rFonts w:ascii="Times New Roman" w:cs="Times New Roman" w:eastAsia="Times New Roman" w:hAnsi="Times New Roman"/>
                <w:sz w:val="19"/>
                <w:szCs w:val="19"/>
                <w:color w:val="231F20"/>
              </w:rPr>
              <w:t>Other comprehensive (loss) income - change in value of interest rate swaps</w:t>
            </w:r>
          </w:p>
        </w:tc>
        <w:tc>
          <w:tcPr>
            <w:tcW w:w="200" w:type="dxa"/>
            <w:vAlign w:val="bottom"/>
            <w:tcBorders>
              <w:bottom w:val="single" w:sz="8" w:color="231F20"/>
            </w:tcBorders>
          </w:tcPr>
          <w:p>
            <w:pPr>
              <w:spacing w:after="0"/>
              <w:rPr>
                <w:sz w:val="21"/>
                <w:szCs w:val="21"/>
                <w:color w:val="auto"/>
              </w:rPr>
            </w:pPr>
          </w:p>
        </w:tc>
        <w:tc>
          <w:tcPr>
            <w:tcW w:w="9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(2,903)</w:t>
            </w:r>
          </w:p>
        </w:tc>
        <w:tc>
          <w:tcPr>
            <w:tcW w:w="60" w:type="dxa"/>
            <w:vAlign w:val="bottom"/>
          </w:tcPr>
          <w:p>
            <w:pPr>
              <w:spacing w:after="0"/>
              <w:rPr>
                <w:sz w:val="21"/>
                <w:szCs w:val="21"/>
                <w:color w:val="auto"/>
              </w:rPr>
            </w:pPr>
          </w:p>
        </w:tc>
        <w:tc>
          <w:tcPr>
            <w:tcW w:w="200" w:type="dxa"/>
            <w:vAlign w:val="bottom"/>
            <w:tcBorders>
              <w:bottom w:val="single" w:sz="8" w:color="231F20"/>
            </w:tcBorders>
          </w:tcPr>
          <w:p>
            <w:pPr>
              <w:spacing w:after="0"/>
              <w:rPr>
                <w:sz w:val="21"/>
                <w:szCs w:val="21"/>
                <w:color w:val="auto"/>
              </w:rPr>
            </w:pPr>
          </w:p>
        </w:tc>
        <w:tc>
          <w:tcPr>
            <w:tcW w:w="9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711</w:t>
            </w:r>
          </w:p>
        </w:tc>
        <w:tc>
          <w:tcPr>
            <w:tcW w:w="80" w:type="dxa"/>
            <w:vAlign w:val="bottom"/>
          </w:tcPr>
          <w:p>
            <w:pPr>
              <w:spacing w:after="0"/>
              <w:rPr>
                <w:sz w:val="21"/>
                <w:szCs w:val="21"/>
                <w:color w:val="auto"/>
              </w:rPr>
            </w:pPr>
          </w:p>
        </w:tc>
        <w:tc>
          <w:tcPr>
            <w:tcW w:w="240" w:type="dxa"/>
            <w:vAlign w:val="bottom"/>
            <w:tcBorders>
              <w:bottom w:val="single" w:sz="8" w:color="231F20"/>
            </w:tcBorders>
          </w:tcPr>
          <w:p>
            <w:pPr>
              <w:spacing w:after="0"/>
              <w:rPr>
                <w:sz w:val="21"/>
                <w:szCs w:val="21"/>
                <w:color w:val="auto"/>
              </w:rPr>
            </w:pPr>
          </w:p>
        </w:tc>
        <w:tc>
          <w:tcPr>
            <w:tcW w:w="8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(1,824)</w:t>
            </w:r>
          </w:p>
        </w:tc>
        <w:tc>
          <w:tcPr>
            <w:tcW w:w="0" w:type="dxa"/>
            <w:vAlign w:val="bottom"/>
          </w:tcPr>
          <w:p>
            <w:pPr>
              <w:spacing w:after="0"/>
              <w:rPr>
                <w:sz w:val="1"/>
                <w:szCs w:val="1"/>
                <w:color w:val="auto"/>
              </w:rPr>
            </w:pPr>
          </w:p>
        </w:tc>
      </w:tr>
      <w:tr>
        <w:trPr>
          <w:trHeight w:val="213"/>
        </w:trPr>
        <w:tc>
          <w:tcPr>
            <w:tcW w:w="6220" w:type="dxa"/>
            <w:vAlign w:val="bottom"/>
          </w:tcPr>
          <w:p>
            <w:pPr>
              <w:spacing w:after="0" w:line="214" w:lineRule="exact"/>
              <w:rPr>
                <w:sz w:val="20"/>
                <w:szCs w:val="20"/>
                <w:color w:val="auto"/>
              </w:rPr>
            </w:pPr>
            <w:r>
              <w:rPr>
                <w:rFonts w:ascii="Times New Roman" w:cs="Times New Roman" w:eastAsia="Times New Roman" w:hAnsi="Times New Roman"/>
                <w:sz w:val="19"/>
                <w:szCs w:val="19"/>
                <w:color w:val="231F20"/>
              </w:rPr>
              <w:t>COMPREHENSIVE INCOME</w:t>
            </w:r>
          </w:p>
        </w:tc>
        <w:tc>
          <w:tcPr>
            <w:tcW w:w="200" w:type="dxa"/>
            <w:vAlign w:val="bottom"/>
          </w:tcPr>
          <w:p>
            <w:pPr>
              <w:spacing w:after="0"/>
              <w:rPr>
                <w:sz w:val="18"/>
                <w:szCs w:val="18"/>
                <w:color w:val="auto"/>
              </w:rPr>
            </w:pPr>
          </w:p>
        </w:tc>
        <w:tc>
          <w:tcPr>
            <w:tcW w:w="900" w:type="dxa"/>
            <w:vAlign w:val="bottom"/>
          </w:tcPr>
          <w:p>
            <w:pPr>
              <w:jc w:val="right"/>
              <w:spacing w:after="0" w:line="214" w:lineRule="exact"/>
              <w:rPr>
                <w:sz w:val="20"/>
                <w:szCs w:val="20"/>
                <w:color w:val="auto"/>
              </w:rPr>
            </w:pPr>
            <w:r>
              <w:rPr>
                <w:rFonts w:ascii="Times New Roman" w:cs="Times New Roman" w:eastAsia="Times New Roman" w:hAnsi="Times New Roman"/>
                <w:sz w:val="19"/>
                <w:szCs w:val="19"/>
                <w:color w:val="231F20"/>
              </w:rPr>
              <w:t>420,745</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line="214" w:lineRule="exact"/>
              <w:rPr>
                <w:sz w:val="20"/>
                <w:szCs w:val="20"/>
                <w:color w:val="auto"/>
              </w:rPr>
            </w:pPr>
            <w:r>
              <w:rPr>
                <w:rFonts w:ascii="Times New Roman" w:cs="Times New Roman" w:eastAsia="Times New Roman" w:hAnsi="Times New Roman"/>
                <w:sz w:val="19"/>
                <w:szCs w:val="19"/>
                <w:color w:val="231F20"/>
              </w:rPr>
              <w:t>305,045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line="214" w:lineRule="exact"/>
              <w:rPr>
                <w:sz w:val="20"/>
                <w:szCs w:val="20"/>
                <w:color w:val="auto"/>
              </w:rPr>
            </w:pPr>
            <w:r>
              <w:rPr>
                <w:rFonts w:ascii="Times New Roman" w:cs="Times New Roman" w:eastAsia="Times New Roman" w:hAnsi="Times New Roman"/>
                <w:sz w:val="19"/>
                <w:szCs w:val="19"/>
                <w:color w:val="231F20"/>
              </w:rPr>
              <w:t>245,393</w:t>
            </w:r>
          </w:p>
        </w:tc>
        <w:tc>
          <w:tcPr>
            <w:tcW w:w="0" w:type="dxa"/>
            <w:vAlign w:val="bottom"/>
          </w:tcPr>
          <w:p>
            <w:pPr>
              <w:spacing w:after="0"/>
              <w:rPr>
                <w:sz w:val="1"/>
                <w:szCs w:val="1"/>
                <w:color w:val="auto"/>
              </w:rPr>
            </w:pPr>
          </w:p>
        </w:tc>
      </w:tr>
      <w:tr>
        <w:trPr>
          <w:trHeight w:val="252"/>
        </w:trPr>
        <w:tc>
          <w:tcPr>
            <w:tcW w:w="6220" w:type="dxa"/>
            <w:vAlign w:val="bottom"/>
          </w:tcPr>
          <w:p>
            <w:pPr>
              <w:ind w:left="340"/>
              <w:spacing w:after="0"/>
              <w:rPr>
                <w:sz w:val="20"/>
                <w:szCs w:val="20"/>
                <w:color w:val="auto"/>
              </w:rPr>
            </w:pPr>
            <w:r>
              <w:rPr>
                <w:rFonts w:ascii="Times New Roman" w:cs="Times New Roman" w:eastAsia="Times New Roman" w:hAnsi="Times New Roman"/>
                <w:sz w:val="19"/>
                <w:szCs w:val="19"/>
                <w:color w:val="231F20"/>
              </w:rPr>
              <w:t>Comprehensive income attributable to noncontrolling interests</w:t>
            </w:r>
          </w:p>
        </w:tc>
        <w:tc>
          <w:tcPr>
            <w:tcW w:w="200" w:type="dxa"/>
            <w:vAlign w:val="bottom"/>
            <w:tcBorders>
              <w:bottom w:val="single" w:sz="8" w:color="231F20"/>
            </w:tcBorders>
          </w:tcPr>
          <w:p>
            <w:pPr>
              <w:spacing w:after="0"/>
              <w:rPr>
                <w:sz w:val="21"/>
                <w:szCs w:val="21"/>
                <w:color w:val="auto"/>
              </w:rPr>
            </w:pPr>
          </w:p>
        </w:tc>
        <w:tc>
          <w:tcPr>
            <w:tcW w:w="9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(12,361)</w:t>
            </w:r>
          </w:p>
        </w:tc>
        <w:tc>
          <w:tcPr>
            <w:tcW w:w="60" w:type="dxa"/>
            <w:vAlign w:val="bottom"/>
          </w:tcPr>
          <w:p>
            <w:pPr>
              <w:spacing w:after="0"/>
              <w:rPr>
                <w:sz w:val="21"/>
                <w:szCs w:val="21"/>
                <w:color w:val="auto"/>
              </w:rPr>
            </w:pPr>
          </w:p>
        </w:tc>
        <w:tc>
          <w:tcPr>
            <w:tcW w:w="200" w:type="dxa"/>
            <w:vAlign w:val="bottom"/>
            <w:tcBorders>
              <w:bottom w:val="single" w:sz="8" w:color="231F20"/>
            </w:tcBorders>
          </w:tcPr>
          <w:p>
            <w:pPr>
              <w:spacing w:after="0"/>
              <w:rPr>
                <w:sz w:val="21"/>
                <w:szCs w:val="21"/>
                <w:color w:val="auto"/>
              </w:rPr>
            </w:pPr>
          </w:p>
        </w:tc>
        <w:tc>
          <w:tcPr>
            <w:tcW w:w="9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(9,149)</w:t>
            </w:r>
          </w:p>
        </w:tc>
        <w:tc>
          <w:tcPr>
            <w:tcW w:w="80" w:type="dxa"/>
            <w:vAlign w:val="bottom"/>
          </w:tcPr>
          <w:p>
            <w:pPr>
              <w:spacing w:after="0"/>
              <w:rPr>
                <w:sz w:val="21"/>
                <w:szCs w:val="21"/>
                <w:color w:val="auto"/>
              </w:rPr>
            </w:pPr>
          </w:p>
        </w:tc>
        <w:tc>
          <w:tcPr>
            <w:tcW w:w="240" w:type="dxa"/>
            <w:vAlign w:val="bottom"/>
            <w:tcBorders>
              <w:bottom w:val="single" w:sz="8" w:color="231F20"/>
            </w:tcBorders>
          </w:tcPr>
          <w:p>
            <w:pPr>
              <w:spacing w:after="0"/>
              <w:rPr>
                <w:sz w:val="21"/>
                <w:szCs w:val="21"/>
                <w:color w:val="auto"/>
              </w:rPr>
            </w:pPr>
          </w:p>
        </w:tc>
        <w:tc>
          <w:tcPr>
            <w:tcW w:w="8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(10,113)</w:t>
            </w:r>
          </w:p>
        </w:tc>
        <w:tc>
          <w:tcPr>
            <w:tcW w:w="0" w:type="dxa"/>
            <w:vAlign w:val="bottom"/>
          </w:tcPr>
          <w:p>
            <w:pPr>
              <w:spacing w:after="0"/>
              <w:rPr>
                <w:sz w:val="1"/>
                <w:szCs w:val="1"/>
                <w:color w:val="auto"/>
              </w:rPr>
            </w:pPr>
          </w:p>
        </w:tc>
      </w:tr>
      <w:tr>
        <w:trPr>
          <w:trHeight w:val="203"/>
        </w:trPr>
        <w:tc>
          <w:tcPr>
            <w:tcW w:w="6220" w:type="dxa"/>
            <w:vAlign w:val="bottom"/>
          </w:tcPr>
          <w:p>
            <w:pPr>
              <w:spacing w:after="0" w:line="204" w:lineRule="exact"/>
              <w:rPr>
                <w:sz w:val="20"/>
                <w:szCs w:val="20"/>
                <w:color w:val="auto"/>
              </w:rPr>
            </w:pPr>
            <w:r>
              <w:rPr>
                <w:rFonts w:ascii="Times New Roman" w:cs="Times New Roman" w:eastAsia="Times New Roman" w:hAnsi="Times New Roman"/>
                <w:sz w:val="19"/>
                <w:szCs w:val="19"/>
                <w:color w:val="231F20"/>
              </w:rPr>
              <w:t>COMPREHENSIVE INCOME ATTRIBUTABLE TO THE PARTNERSHIP</w:t>
            </w:r>
          </w:p>
        </w:tc>
        <w:tc>
          <w:tcPr>
            <w:tcW w:w="200" w:type="dxa"/>
            <w:vAlign w:val="bottom"/>
            <w:tcBorders>
              <w:bottom w:val="single" w:sz="8" w:color="231F20"/>
            </w:tcBorders>
          </w:tcPr>
          <w:p>
            <w:pPr>
              <w:jc w:val="right"/>
              <w:spacing w:after="0" w:line="204" w:lineRule="exact"/>
              <w:rPr>
                <w:sz w:val="20"/>
                <w:szCs w:val="20"/>
                <w:color w:val="auto"/>
              </w:rPr>
            </w:pPr>
            <w:r>
              <w:rPr>
                <w:rFonts w:ascii="Times New Roman" w:cs="Times New Roman" w:eastAsia="Times New Roman" w:hAnsi="Times New Roman"/>
                <w:sz w:val="19"/>
                <w:szCs w:val="19"/>
                <w:color w:val="231F20"/>
              </w:rPr>
              <w:t>$</w:t>
            </w:r>
          </w:p>
        </w:tc>
        <w:tc>
          <w:tcPr>
            <w:tcW w:w="900" w:type="dxa"/>
            <w:vAlign w:val="bottom"/>
            <w:tcBorders>
              <w:bottom w:val="single" w:sz="8" w:color="231F20"/>
            </w:tcBorders>
          </w:tcPr>
          <w:p>
            <w:pPr>
              <w:jc w:val="right"/>
              <w:spacing w:after="0" w:line="204" w:lineRule="exact"/>
              <w:rPr>
                <w:sz w:val="20"/>
                <w:szCs w:val="20"/>
                <w:color w:val="auto"/>
              </w:rPr>
            </w:pPr>
            <w:r>
              <w:rPr>
                <w:rFonts w:ascii="Times New Roman" w:cs="Times New Roman" w:eastAsia="Times New Roman" w:hAnsi="Times New Roman"/>
                <w:sz w:val="19"/>
                <w:szCs w:val="19"/>
                <w:color w:val="231F20"/>
              </w:rPr>
              <w:t>408,384</w:t>
            </w:r>
          </w:p>
        </w:tc>
        <w:tc>
          <w:tcPr>
            <w:tcW w:w="60" w:type="dxa"/>
            <w:vAlign w:val="bottom"/>
          </w:tcPr>
          <w:p>
            <w:pPr>
              <w:spacing w:after="0"/>
              <w:rPr>
                <w:sz w:val="17"/>
                <w:szCs w:val="17"/>
                <w:color w:val="auto"/>
              </w:rPr>
            </w:pPr>
          </w:p>
        </w:tc>
        <w:tc>
          <w:tcPr>
            <w:tcW w:w="200" w:type="dxa"/>
            <w:vAlign w:val="bottom"/>
            <w:tcBorders>
              <w:bottom w:val="single" w:sz="8" w:color="231F20"/>
            </w:tcBorders>
          </w:tcPr>
          <w:p>
            <w:pPr>
              <w:jc w:val="right"/>
              <w:spacing w:after="0" w:line="204" w:lineRule="exact"/>
              <w:rPr>
                <w:sz w:val="20"/>
                <w:szCs w:val="20"/>
                <w:color w:val="auto"/>
              </w:rPr>
            </w:pPr>
            <w:r>
              <w:rPr>
                <w:rFonts w:ascii="Times New Roman" w:cs="Times New Roman" w:eastAsia="Times New Roman" w:hAnsi="Times New Roman"/>
                <w:sz w:val="19"/>
                <w:szCs w:val="19"/>
                <w:color w:val="231F20"/>
              </w:rPr>
              <w:t>$</w:t>
            </w:r>
          </w:p>
        </w:tc>
        <w:tc>
          <w:tcPr>
            <w:tcW w:w="900" w:type="dxa"/>
            <w:vAlign w:val="bottom"/>
            <w:tcBorders>
              <w:bottom w:val="single" w:sz="8" w:color="231F20"/>
            </w:tcBorders>
          </w:tcPr>
          <w:p>
            <w:pPr>
              <w:jc w:val="right"/>
              <w:spacing w:after="0" w:line="204" w:lineRule="exact"/>
              <w:rPr>
                <w:sz w:val="20"/>
                <w:szCs w:val="20"/>
                <w:color w:val="auto"/>
              </w:rPr>
            </w:pPr>
            <w:r>
              <w:rPr>
                <w:rFonts w:ascii="Times New Roman" w:cs="Times New Roman" w:eastAsia="Times New Roman" w:hAnsi="Times New Roman"/>
                <w:sz w:val="19"/>
                <w:szCs w:val="19"/>
                <w:color w:val="231F20"/>
              </w:rPr>
              <w:t>295,896</w:t>
            </w:r>
          </w:p>
        </w:tc>
        <w:tc>
          <w:tcPr>
            <w:tcW w:w="80" w:type="dxa"/>
            <w:vAlign w:val="bottom"/>
          </w:tcPr>
          <w:p>
            <w:pPr>
              <w:spacing w:after="0"/>
              <w:rPr>
                <w:sz w:val="17"/>
                <w:szCs w:val="17"/>
                <w:color w:val="auto"/>
              </w:rPr>
            </w:pPr>
          </w:p>
        </w:tc>
        <w:tc>
          <w:tcPr>
            <w:tcW w:w="240" w:type="dxa"/>
            <w:vAlign w:val="bottom"/>
            <w:tcBorders>
              <w:bottom w:val="single" w:sz="8" w:color="231F20"/>
            </w:tcBorders>
          </w:tcPr>
          <w:p>
            <w:pPr>
              <w:jc w:val="right"/>
              <w:ind w:right="5"/>
              <w:spacing w:after="0" w:line="204" w:lineRule="exact"/>
              <w:rPr>
                <w:sz w:val="20"/>
                <w:szCs w:val="20"/>
                <w:color w:val="auto"/>
              </w:rPr>
            </w:pPr>
            <w:r>
              <w:rPr>
                <w:rFonts w:ascii="Times New Roman" w:cs="Times New Roman" w:eastAsia="Times New Roman" w:hAnsi="Times New Roman"/>
                <w:sz w:val="19"/>
                <w:szCs w:val="19"/>
                <w:color w:val="231F20"/>
              </w:rPr>
              <w:t>$</w:t>
            </w:r>
          </w:p>
        </w:tc>
        <w:tc>
          <w:tcPr>
            <w:tcW w:w="860" w:type="dxa"/>
            <w:vAlign w:val="bottom"/>
            <w:tcBorders>
              <w:bottom w:val="single" w:sz="8" w:color="231F20"/>
            </w:tcBorders>
          </w:tcPr>
          <w:p>
            <w:pPr>
              <w:jc w:val="right"/>
              <w:spacing w:after="0" w:line="204" w:lineRule="exact"/>
              <w:rPr>
                <w:sz w:val="20"/>
                <w:szCs w:val="20"/>
                <w:color w:val="auto"/>
              </w:rPr>
            </w:pPr>
            <w:r>
              <w:rPr>
                <w:rFonts w:ascii="Times New Roman" w:cs="Times New Roman" w:eastAsia="Times New Roman" w:hAnsi="Times New Roman"/>
                <w:sz w:val="19"/>
                <w:szCs w:val="19"/>
                <w:color w:val="231F20"/>
              </w:rPr>
              <w:t>235,280</w:t>
            </w: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200" w:type="dxa"/>
            <w:vAlign w:val="bottom"/>
            <w:tcBorders>
              <w:bottom w:val="single" w:sz="8" w:color="231F20"/>
            </w:tcBorders>
          </w:tcPr>
          <w:p>
            <w:pPr>
              <w:spacing w:after="0" w:line="20" w:lineRule="exact"/>
              <w:rPr>
                <w:sz w:val="1"/>
                <w:szCs w:val="1"/>
                <w:color w:val="auto"/>
              </w:rPr>
            </w:pPr>
          </w:p>
        </w:tc>
        <w:tc>
          <w:tcPr>
            <w:tcW w:w="90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231F20"/>
            </w:tcBorders>
          </w:tcPr>
          <w:p>
            <w:pPr>
              <w:spacing w:after="0" w:line="20" w:lineRule="exact"/>
              <w:rPr>
                <w:sz w:val="1"/>
                <w:szCs w:val="1"/>
                <w:color w:val="auto"/>
              </w:rPr>
            </w:pPr>
          </w:p>
        </w:tc>
        <w:tc>
          <w:tcPr>
            <w:tcW w:w="90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231F20"/>
            </w:tcBorders>
          </w:tcPr>
          <w:p>
            <w:pPr>
              <w:spacing w:after="0" w:line="20" w:lineRule="exact"/>
              <w:rPr>
                <w:sz w:val="1"/>
                <w:szCs w:val="1"/>
                <w:color w:val="auto"/>
              </w:rPr>
            </w:pPr>
          </w:p>
        </w:tc>
        <w:tc>
          <w:tcPr>
            <w:tcW w:w="86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231F20"/>
        </w:rPr>
        <w:t>The accompanying notes are an integral part of these consolidated statements.</w:t>
      </w:r>
    </w:p>
    <w:p>
      <w:pPr>
        <w:sectPr>
          <w:pgSz w:w="11880" w:h="15480" w:orient="portrait"/>
          <w:cols w:equalWidth="0" w:num="1">
            <w:col w:w="9660"/>
          </w:cols>
          <w:pgMar w:left="1120" w:top="958" w:right="11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231F20"/>
        </w:rPr>
        <w:t>F-13</w:t>
      </w:r>
    </w:p>
    <w:p>
      <w:pPr>
        <w:sectPr>
          <w:pgSz w:w="11880" w:h="15480" w:orient="portrait"/>
          <w:cols w:equalWidth="0" w:num="1">
            <w:col w:w="9660"/>
          </w:cols>
          <w:pgMar w:left="1120" w:top="958" w:right="1100" w:bottom="0" w:gutter="0" w:footer="0" w:header="0"/>
          <w:type w:val="continuous"/>
        </w:sectPr>
      </w:pPr>
    </w:p>
    <w:bookmarkStart w:id="77" w:name="page78"/>
    <w:bookmarkEnd w:id="77"/>
    <w:p>
      <w:pPr>
        <w:jc w:val="center"/>
        <w:ind w:right="40"/>
        <w:spacing w:after="0"/>
        <w:rPr>
          <w:sz w:val="20"/>
          <w:szCs w:val="20"/>
          <w:color w:val="auto"/>
        </w:rPr>
      </w:pPr>
      <w:r>
        <w:rPr>
          <w:rFonts w:ascii="Times New Roman" w:cs="Times New Roman" w:eastAsia="Times New Roman" w:hAnsi="Times New Roman"/>
          <w:sz w:val="16"/>
          <w:szCs w:val="16"/>
          <w:b w:val="1"/>
          <w:bCs w:val="1"/>
          <w:color w:val="231F20"/>
        </w:rPr>
        <w:t>Federal Realty OP LP</w:t>
      </w:r>
    </w:p>
    <w:p>
      <w:pPr>
        <w:spacing w:after="0" w:line="2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231F20"/>
        </w:rPr>
        <w:t>Consolidated Statements of Capital</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center"/>
              <w:ind w:right="69"/>
              <w:spacing w:after="0"/>
              <w:rPr>
                <w:sz w:val="20"/>
                <w:szCs w:val="20"/>
                <w:color w:val="auto"/>
              </w:rPr>
            </w:pPr>
            <w:r>
              <w:rPr>
                <w:rFonts w:ascii="Times New Roman" w:cs="Times New Roman" w:eastAsia="Times New Roman" w:hAnsi="Times New Roman"/>
                <w:sz w:val="14"/>
                <w:szCs w:val="14"/>
                <w:b w:val="1"/>
                <w:bCs w:val="1"/>
                <w:color w:val="231F20"/>
              </w:rPr>
              <w:t>Accumulated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center"/>
              <w:ind w:right="69"/>
              <w:spacing w:after="0"/>
              <w:rPr>
                <w:sz w:val="20"/>
                <w:szCs w:val="20"/>
                <w:color w:val="auto"/>
              </w:rPr>
            </w:pPr>
            <w:r>
              <w:rPr>
                <w:rFonts w:ascii="Times New Roman" w:cs="Times New Roman" w:eastAsia="Times New Roman" w:hAnsi="Times New Roman"/>
                <w:sz w:val="14"/>
                <w:szCs w:val="14"/>
                <w:b w:val="1"/>
                <w:bCs w:val="1"/>
                <w:color w:val="231F20"/>
              </w:rPr>
              <w:t>Noncontrolling</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5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center"/>
              <w:ind w:right="69"/>
              <w:spacing w:after="0" w:line="143" w:lineRule="exact"/>
              <w:rPr>
                <w:sz w:val="20"/>
                <w:szCs w:val="20"/>
                <w:color w:val="auto"/>
              </w:rPr>
            </w:pPr>
            <w:r>
              <w:rPr>
                <w:rFonts w:ascii="Times New Roman" w:cs="Times New Roman" w:eastAsia="Times New Roman" w:hAnsi="Times New Roman"/>
                <w:sz w:val="14"/>
                <w:szCs w:val="14"/>
                <w:b w:val="1"/>
                <w:bCs w:val="1"/>
                <w:color w:val="231F20"/>
              </w:rPr>
              <w:t>Other</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vMerge w:val="restart"/>
          </w:tcPr>
          <w:p>
            <w:pPr>
              <w:jc w:val="right"/>
              <w:ind w:right="129"/>
              <w:spacing w:after="0"/>
              <w:rPr>
                <w:sz w:val="20"/>
                <w:szCs w:val="20"/>
                <w:color w:val="auto"/>
              </w:rPr>
            </w:pPr>
            <w:r>
              <w:rPr>
                <w:rFonts w:ascii="Times New Roman" w:cs="Times New Roman" w:eastAsia="Times New Roman" w:hAnsi="Times New Roman"/>
                <w:sz w:val="14"/>
                <w:szCs w:val="14"/>
                <w:b w:val="1"/>
                <w:bCs w:val="1"/>
                <w:color w:val="231F20"/>
              </w:rPr>
              <w:t>Total Partner</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center"/>
              <w:ind w:right="69"/>
              <w:spacing w:after="0" w:line="143" w:lineRule="exact"/>
              <w:rPr>
                <w:sz w:val="20"/>
                <w:szCs w:val="20"/>
                <w:color w:val="auto"/>
              </w:rPr>
            </w:pPr>
            <w:r>
              <w:rPr>
                <w:rFonts w:ascii="Times New Roman" w:cs="Times New Roman" w:eastAsia="Times New Roman" w:hAnsi="Times New Roman"/>
                <w:sz w:val="14"/>
                <w:szCs w:val="14"/>
                <w:b w:val="1"/>
                <w:bCs w:val="1"/>
                <w:color w:val="231F20"/>
              </w:rPr>
              <w:t>Interests in</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5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vMerge w:val="restart"/>
          </w:tcPr>
          <w:p>
            <w:pPr>
              <w:jc w:val="right"/>
              <w:ind w:right="69"/>
              <w:spacing w:after="0"/>
              <w:rPr>
                <w:sz w:val="20"/>
                <w:szCs w:val="20"/>
                <w:color w:val="auto"/>
              </w:rPr>
            </w:pPr>
            <w:r>
              <w:rPr>
                <w:rFonts w:ascii="Times New Roman" w:cs="Times New Roman" w:eastAsia="Times New Roman" w:hAnsi="Times New Roman"/>
                <w:sz w:val="14"/>
                <w:szCs w:val="14"/>
                <w:b w:val="1"/>
                <w:bCs w:val="1"/>
                <w:color w:val="231F20"/>
              </w:rPr>
              <w:t>Preferred Units</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vMerge w:val="restart"/>
          </w:tcPr>
          <w:p>
            <w:pPr>
              <w:jc w:val="right"/>
              <w:ind w:right="89"/>
              <w:spacing w:after="0"/>
              <w:rPr>
                <w:sz w:val="20"/>
                <w:szCs w:val="20"/>
                <w:color w:val="auto"/>
              </w:rPr>
            </w:pPr>
            <w:r>
              <w:rPr>
                <w:rFonts w:ascii="Times New Roman" w:cs="Times New Roman" w:eastAsia="Times New Roman" w:hAnsi="Times New Roman"/>
                <w:sz w:val="14"/>
                <w:szCs w:val="14"/>
                <w:b w:val="1"/>
                <w:bCs w:val="1"/>
                <w:color w:val="231F20"/>
              </w:rPr>
              <w:t>Common Units</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center"/>
              <w:ind w:right="69"/>
              <w:spacing w:after="0" w:line="143" w:lineRule="exact"/>
              <w:rPr>
                <w:sz w:val="20"/>
                <w:szCs w:val="20"/>
                <w:color w:val="auto"/>
              </w:rPr>
            </w:pPr>
            <w:r>
              <w:rPr>
                <w:rFonts w:ascii="Times New Roman" w:cs="Times New Roman" w:eastAsia="Times New Roman" w:hAnsi="Times New Roman"/>
                <w:sz w:val="14"/>
                <w:szCs w:val="14"/>
                <w:b w:val="1"/>
                <w:bCs w:val="1"/>
                <w:color w:val="231F20"/>
              </w:rPr>
              <w:t>Comprehensive</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center"/>
              <w:ind w:right="69"/>
              <w:spacing w:after="0" w:line="143" w:lineRule="exact"/>
              <w:rPr>
                <w:sz w:val="20"/>
                <w:szCs w:val="20"/>
                <w:color w:val="auto"/>
              </w:rPr>
            </w:pPr>
            <w:r>
              <w:rPr>
                <w:rFonts w:ascii="Times New Roman" w:cs="Times New Roman" w:eastAsia="Times New Roman" w:hAnsi="Times New Roman"/>
                <w:sz w:val="14"/>
                <w:szCs w:val="14"/>
                <w:b w:val="1"/>
                <w:bCs w:val="1"/>
                <w:color w:val="231F20"/>
              </w:rPr>
              <w:t>Consolidated</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vMerge w:val="restart"/>
          </w:tcPr>
          <w:p>
            <w:pPr>
              <w:jc w:val="right"/>
              <w:ind w:right="129"/>
              <w:spacing w:after="0"/>
              <w:rPr>
                <w:sz w:val="20"/>
                <w:szCs w:val="20"/>
                <w:color w:val="auto"/>
              </w:rPr>
            </w:pPr>
            <w:r>
              <w:rPr>
                <w:rFonts w:ascii="Times New Roman" w:cs="Times New Roman" w:eastAsia="Times New Roman" w:hAnsi="Times New Roman"/>
                <w:sz w:val="14"/>
                <w:szCs w:val="14"/>
                <w:b w:val="1"/>
                <w:bCs w:val="1"/>
                <w:color w:val="231F20"/>
              </w:rPr>
              <w:t>Total Capital</w:t>
            </w:r>
          </w:p>
        </w:tc>
        <w:tc>
          <w:tcPr>
            <w:tcW w:w="0" w:type="dxa"/>
            <w:vAlign w:val="bottom"/>
          </w:tcPr>
          <w:p>
            <w:pPr>
              <w:spacing w:after="0"/>
              <w:rPr>
                <w:sz w:val="1"/>
                <w:szCs w:val="1"/>
                <w:color w:val="auto"/>
              </w:rPr>
            </w:pPr>
          </w:p>
        </w:tc>
      </w:tr>
      <w:tr>
        <w:trPr>
          <w:trHeight w:val="191"/>
        </w:trPr>
        <w:tc>
          <w:tcPr>
            <w:tcW w:w="5880" w:type="dxa"/>
            <w:vAlign w:val="bottom"/>
          </w:tcPr>
          <w:p>
            <w:pPr>
              <w:spacing w:after="0"/>
              <w:rPr>
                <w:sz w:val="16"/>
                <w:szCs w:val="16"/>
                <w:color w:val="auto"/>
              </w:rPr>
            </w:pPr>
          </w:p>
        </w:tc>
        <w:tc>
          <w:tcPr>
            <w:tcW w:w="120" w:type="dxa"/>
            <w:vAlign w:val="bottom"/>
            <w:tcBorders>
              <w:bottom w:val="single" w:sz="8" w:color="231F20"/>
            </w:tcBorders>
          </w:tcPr>
          <w:p>
            <w:pPr>
              <w:spacing w:after="0"/>
              <w:rPr>
                <w:sz w:val="16"/>
                <w:szCs w:val="16"/>
                <w:color w:val="auto"/>
              </w:rPr>
            </w:pPr>
          </w:p>
        </w:tc>
        <w:tc>
          <w:tcPr>
            <w:tcW w:w="1120" w:type="dxa"/>
            <w:vAlign w:val="bottom"/>
            <w:tcBorders>
              <w:bottom w:val="single" w:sz="8" w:color="231F20"/>
            </w:tcBorders>
            <w:vMerge w:val="continue"/>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Borders>
              <w:bottom w:val="single" w:sz="8" w:color="231F20"/>
            </w:tcBorders>
          </w:tcPr>
          <w:p>
            <w:pPr>
              <w:spacing w:after="0"/>
              <w:rPr>
                <w:sz w:val="16"/>
                <w:szCs w:val="16"/>
                <w:color w:val="auto"/>
              </w:rPr>
            </w:pPr>
          </w:p>
        </w:tc>
        <w:tc>
          <w:tcPr>
            <w:tcW w:w="1100" w:type="dxa"/>
            <w:vAlign w:val="bottom"/>
            <w:tcBorders>
              <w:bottom w:val="single" w:sz="8" w:color="231F20"/>
            </w:tcBorders>
            <w:vMerge w:val="continue"/>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Borders>
              <w:bottom w:val="single" w:sz="8" w:color="231F20"/>
            </w:tcBorders>
          </w:tcPr>
          <w:p>
            <w:pPr>
              <w:spacing w:after="0"/>
              <w:rPr>
                <w:sz w:val="16"/>
                <w:szCs w:val="16"/>
                <w:color w:val="auto"/>
              </w:rPr>
            </w:pPr>
          </w:p>
        </w:tc>
        <w:tc>
          <w:tcPr>
            <w:tcW w:w="1100" w:type="dxa"/>
            <w:vAlign w:val="bottom"/>
            <w:tcBorders>
              <w:bottom w:val="single" w:sz="8" w:color="231F20"/>
            </w:tcBorders>
          </w:tcPr>
          <w:p>
            <w:pPr>
              <w:jc w:val="center"/>
              <w:ind w:right="49"/>
              <w:spacing w:after="0"/>
              <w:rPr>
                <w:sz w:val="20"/>
                <w:szCs w:val="20"/>
                <w:color w:val="auto"/>
              </w:rPr>
            </w:pPr>
            <w:r>
              <w:rPr>
                <w:rFonts w:ascii="Times New Roman" w:cs="Times New Roman" w:eastAsia="Times New Roman" w:hAnsi="Times New Roman"/>
                <w:sz w:val="14"/>
                <w:szCs w:val="14"/>
                <w:b w:val="1"/>
                <w:bCs w:val="1"/>
                <w:color w:val="231F20"/>
              </w:rPr>
              <w:t>(Loss) Income</w:t>
            </w:r>
          </w:p>
        </w:tc>
        <w:tc>
          <w:tcPr>
            <w:tcW w:w="80" w:type="dxa"/>
            <w:vAlign w:val="bottom"/>
          </w:tcPr>
          <w:p>
            <w:pPr>
              <w:spacing w:after="0"/>
              <w:rPr>
                <w:sz w:val="16"/>
                <w:szCs w:val="16"/>
                <w:color w:val="auto"/>
              </w:rPr>
            </w:pPr>
          </w:p>
        </w:tc>
        <w:tc>
          <w:tcPr>
            <w:tcW w:w="160" w:type="dxa"/>
            <w:vAlign w:val="bottom"/>
            <w:tcBorders>
              <w:bottom w:val="single" w:sz="8" w:color="231F20"/>
            </w:tcBorders>
          </w:tcPr>
          <w:p>
            <w:pPr>
              <w:spacing w:after="0"/>
              <w:rPr>
                <w:sz w:val="16"/>
                <w:szCs w:val="16"/>
                <w:color w:val="auto"/>
              </w:rPr>
            </w:pPr>
          </w:p>
        </w:tc>
        <w:tc>
          <w:tcPr>
            <w:tcW w:w="1080" w:type="dxa"/>
            <w:vAlign w:val="bottom"/>
            <w:tcBorders>
              <w:bottom w:val="single" w:sz="8" w:color="231F20"/>
            </w:tcBorders>
          </w:tcPr>
          <w:p>
            <w:pPr>
              <w:jc w:val="right"/>
              <w:ind w:right="329"/>
              <w:spacing w:after="0"/>
              <w:rPr>
                <w:sz w:val="20"/>
                <w:szCs w:val="20"/>
                <w:color w:val="auto"/>
              </w:rPr>
            </w:pPr>
            <w:r>
              <w:rPr>
                <w:rFonts w:ascii="Times New Roman" w:cs="Times New Roman" w:eastAsia="Times New Roman" w:hAnsi="Times New Roman"/>
                <w:sz w:val="14"/>
                <w:szCs w:val="14"/>
                <w:b w:val="1"/>
                <w:bCs w:val="1"/>
                <w:color w:val="231F20"/>
              </w:rPr>
              <w:t>Capital</w:t>
            </w:r>
          </w:p>
        </w:tc>
        <w:tc>
          <w:tcPr>
            <w:tcW w:w="60" w:type="dxa"/>
            <w:vAlign w:val="bottom"/>
          </w:tcPr>
          <w:p>
            <w:pPr>
              <w:spacing w:after="0"/>
              <w:rPr>
                <w:sz w:val="16"/>
                <w:szCs w:val="16"/>
                <w:color w:val="auto"/>
              </w:rPr>
            </w:pPr>
          </w:p>
        </w:tc>
        <w:tc>
          <w:tcPr>
            <w:tcW w:w="140" w:type="dxa"/>
            <w:vAlign w:val="bottom"/>
            <w:tcBorders>
              <w:bottom w:val="single" w:sz="8" w:color="231F20"/>
            </w:tcBorders>
          </w:tcPr>
          <w:p>
            <w:pPr>
              <w:spacing w:after="0"/>
              <w:rPr>
                <w:sz w:val="16"/>
                <w:szCs w:val="16"/>
                <w:color w:val="auto"/>
              </w:rPr>
            </w:pPr>
          </w:p>
        </w:tc>
        <w:tc>
          <w:tcPr>
            <w:tcW w:w="1100" w:type="dxa"/>
            <w:vAlign w:val="bottom"/>
            <w:tcBorders>
              <w:bottom w:val="single" w:sz="8" w:color="231F20"/>
            </w:tcBorders>
          </w:tcPr>
          <w:p>
            <w:pPr>
              <w:jc w:val="center"/>
              <w:ind w:right="89"/>
              <w:spacing w:after="0"/>
              <w:rPr>
                <w:sz w:val="20"/>
                <w:szCs w:val="20"/>
                <w:color w:val="auto"/>
              </w:rPr>
            </w:pPr>
            <w:r>
              <w:rPr>
                <w:rFonts w:ascii="Times New Roman" w:cs="Times New Roman" w:eastAsia="Times New Roman" w:hAnsi="Times New Roman"/>
                <w:sz w:val="14"/>
                <w:szCs w:val="14"/>
                <w:b w:val="1"/>
                <w:bCs w:val="1"/>
                <w:color w:val="231F20"/>
              </w:rPr>
              <w:t>Partnerships</w:t>
            </w:r>
          </w:p>
        </w:tc>
        <w:tc>
          <w:tcPr>
            <w:tcW w:w="60" w:type="dxa"/>
            <w:vAlign w:val="bottom"/>
          </w:tcPr>
          <w:p>
            <w:pPr>
              <w:spacing w:after="0"/>
              <w:rPr>
                <w:sz w:val="16"/>
                <w:szCs w:val="16"/>
                <w:color w:val="auto"/>
              </w:rPr>
            </w:pPr>
          </w:p>
        </w:tc>
        <w:tc>
          <w:tcPr>
            <w:tcW w:w="180" w:type="dxa"/>
            <w:vAlign w:val="bottom"/>
            <w:tcBorders>
              <w:bottom w:val="single" w:sz="8" w:color="231F20"/>
            </w:tcBorders>
          </w:tcPr>
          <w:p>
            <w:pPr>
              <w:spacing w:after="0"/>
              <w:rPr>
                <w:sz w:val="16"/>
                <w:szCs w:val="16"/>
                <w:color w:val="auto"/>
              </w:rPr>
            </w:pPr>
          </w:p>
        </w:tc>
        <w:tc>
          <w:tcPr>
            <w:tcW w:w="1060" w:type="dxa"/>
            <w:vAlign w:val="bottom"/>
            <w:tcBorders>
              <w:bottom w:val="single" w:sz="8" w:color="231F20"/>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5880" w:type="dxa"/>
            <w:vAlign w:val="bottom"/>
          </w:tcPr>
          <w:p>
            <w:pPr>
              <w:spacing w:after="0"/>
              <w:rPr>
                <w:sz w:val="20"/>
                <w:szCs w:val="20"/>
                <w:color w:val="auto"/>
              </w:rPr>
            </w:pPr>
            <w:r>
              <w:rPr>
                <w:rFonts w:ascii="Times New Roman" w:cs="Times New Roman" w:eastAsia="Times New Roman" w:hAnsi="Times New Roman"/>
                <w:sz w:val="14"/>
                <w:szCs w:val="14"/>
                <w:color w:val="231F20"/>
              </w:rPr>
              <w:t>BALANCE AT DECEMBER 31, 2022</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154,788</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2,793,467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5,757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2,954,012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80,003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3,034,015</w:t>
            </w:r>
          </w:p>
        </w:tc>
        <w:tc>
          <w:tcPr>
            <w:tcW w:w="0" w:type="dxa"/>
            <w:vAlign w:val="bottom"/>
          </w:tcPr>
          <w:p>
            <w:pPr>
              <w:spacing w:after="0"/>
              <w:rPr>
                <w:sz w:val="1"/>
                <w:szCs w:val="1"/>
                <w:color w:val="auto"/>
              </w:rPr>
            </w:pPr>
          </w:p>
        </w:tc>
      </w:tr>
      <w:tr>
        <w:trPr>
          <w:trHeight w:val="201"/>
        </w:trPr>
        <w:tc>
          <w:tcPr>
            <w:tcW w:w="5880" w:type="dxa"/>
            <w:vAlign w:val="bottom"/>
          </w:tcPr>
          <w:p>
            <w:pPr>
              <w:spacing w:after="0"/>
              <w:rPr>
                <w:sz w:val="20"/>
                <w:szCs w:val="20"/>
                <w:color w:val="auto"/>
              </w:rPr>
            </w:pPr>
            <w:r>
              <w:rPr>
                <w:rFonts w:ascii="Times New Roman" w:cs="Times New Roman" w:eastAsia="Times New Roman" w:hAnsi="Times New Roman"/>
                <w:sz w:val="14"/>
                <w:szCs w:val="14"/>
                <w:color w:val="231F20"/>
              </w:rPr>
              <w:t>Net income, excluding $7,253 attributable to redeemable noncontrolling interests</w:t>
            </w: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8,032</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228,953</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236,985</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2,979</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239,964</w:t>
            </w:r>
          </w:p>
        </w:tc>
        <w:tc>
          <w:tcPr>
            <w:tcW w:w="0" w:type="dxa"/>
            <w:vAlign w:val="bottom"/>
          </w:tcPr>
          <w:p>
            <w:pPr>
              <w:spacing w:after="0"/>
              <w:rPr>
                <w:sz w:val="1"/>
                <w:szCs w:val="1"/>
                <w:color w:val="auto"/>
              </w:rPr>
            </w:pPr>
          </w:p>
        </w:tc>
      </w:tr>
      <w:tr>
        <w:trPr>
          <w:trHeight w:val="169"/>
        </w:trPr>
        <w:tc>
          <w:tcPr>
            <w:tcW w:w="5880" w:type="dxa"/>
            <w:vAlign w:val="bottom"/>
          </w:tcPr>
          <w:p>
            <w:pPr>
              <w:spacing w:after="0"/>
              <w:rPr>
                <w:sz w:val="20"/>
                <w:szCs w:val="20"/>
                <w:color w:val="auto"/>
              </w:rPr>
            </w:pPr>
            <w:r>
              <w:rPr>
                <w:rFonts w:ascii="Times New Roman" w:cs="Times New Roman" w:eastAsia="Times New Roman" w:hAnsi="Times New Roman"/>
                <w:sz w:val="14"/>
                <w:szCs w:val="14"/>
                <w:color w:val="231F20"/>
              </w:rPr>
              <w:t>Other comprehensive loss - change in fair value of interest rate swaps, excluding $119 attributable</w:t>
            </w:r>
          </w:p>
        </w:tc>
        <w:tc>
          <w:tcPr>
            <w:tcW w:w="12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231F20"/>
              </w:rPr>
              <w:t>(1,705)</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231F20"/>
              </w:rPr>
              <w:t>(1,705)</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231F20"/>
              </w:rPr>
              <w:t>(1,705)</w:t>
            </w:r>
          </w:p>
        </w:tc>
        <w:tc>
          <w:tcPr>
            <w:tcW w:w="0" w:type="dxa"/>
            <w:vAlign w:val="bottom"/>
          </w:tcPr>
          <w:p>
            <w:pPr>
              <w:spacing w:after="0"/>
              <w:rPr>
                <w:sz w:val="1"/>
                <w:szCs w:val="1"/>
                <w:color w:val="auto"/>
              </w:rPr>
            </w:pPr>
          </w:p>
        </w:tc>
      </w:tr>
      <w:tr>
        <w:trPr>
          <w:trHeight w:val="143"/>
        </w:trPr>
        <w:tc>
          <w:tcPr>
            <w:tcW w:w="5880" w:type="dxa"/>
            <w:vAlign w:val="bottom"/>
          </w:tcPr>
          <w:p>
            <w:pPr>
              <w:spacing w:after="0" w:line="143" w:lineRule="exact"/>
              <w:rPr>
                <w:sz w:val="20"/>
                <w:szCs w:val="20"/>
                <w:color w:val="auto"/>
              </w:rPr>
            </w:pPr>
            <w:r>
              <w:rPr>
                <w:rFonts w:ascii="Times New Roman" w:cs="Times New Roman" w:eastAsia="Times New Roman" w:hAnsi="Times New Roman"/>
                <w:sz w:val="14"/>
                <w:szCs w:val="14"/>
                <w:color w:val="231F20"/>
              </w:rPr>
              <w:t>to redeemable noncontrolling interest</w:t>
            </w:r>
          </w:p>
        </w:tc>
        <w:tc>
          <w:tcPr>
            <w:tcW w:w="12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880" w:type="dxa"/>
            <w:vAlign w:val="bottom"/>
          </w:tcPr>
          <w:p>
            <w:pPr>
              <w:spacing w:after="0"/>
              <w:rPr>
                <w:sz w:val="20"/>
                <w:szCs w:val="20"/>
                <w:color w:val="auto"/>
              </w:rPr>
            </w:pPr>
            <w:r>
              <w:rPr>
                <w:rFonts w:ascii="Times New Roman" w:cs="Times New Roman" w:eastAsia="Times New Roman" w:hAnsi="Times New Roman"/>
                <w:sz w:val="14"/>
                <w:szCs w:val="14"/>
                <w:color w:val="231F20"/>
              </w:rPr>
              <w:t>Distributions declared to common unit holders</w:t>
            </w: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(355,241)</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(355,241)</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(355,241)</w:t>
            </w:r>
          </w:p>
        </w:tc>
        <w:tc>
          <w:tcPr>
            <w:tcW w:w="0" w:type="dxa"/>
            <w:vAlign w:val="bottom"/>
          </w:tcPr>
          <w:p>
            <w:pPr>
              <w:spacing w:after="0"/>
              <w:rPr>
                <w:sz w:val="1"/>
                <w:szCs w:val="1"/>
                <w:color w:val="auto"/>
              </w:rPr>
            </w:pPr>
          </w:p>
        </w:tc>
      </w:tr>
      <w:tr>
        <w:trPr>
          <w:trHeight w:val="201"/>
        </w:trPr>
        <w:tc>
          <w:tcPr>
            <w:tcW w:w="5880" w:type="dxa"/>
            <w:vAlign w:val="bottom"/>
          </w:tcPr>
          <w:p>
            <w:pPr>
              <w:spacing w:after="0"/>
              <w:rPr>
                <w:sz w:val="20"/>
                <w:szCs w:val="20"/>
                <w:color w:val="auto"/>
              </w:rPr>
            </w:pPr>
            <w:r>
              <w:rPr>
                <w:rFonts w:ascii="Times New Roman" w:cs="Times New Roman" w:eastAsia="Times New Roman" w:hAnsi="Times New Roman"/>
                <w:sz w:val="14"/>
                <w:szCs w:val="14"/>
                <w:color w:val="231F20"/>
              </w:rPr>
              <w:t>Distributions declared to preferred unit holders</w:t>
            </w: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(8,032)</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(8,032)</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(8,032)</w:t>
            </w:r>
          </w:p>
        </w:tc>
        <w:tc>
          <w:tcPr>
            <w:tcW w:w="0" w:type="dxa"/>
            <w:vAlign w:val="bottom"/>
          </w:tcPr>
          <w:p>
            <w:pPr>
              <w:spacing w:after="0"/>
              <w:rPr>
                <w:sz w:val="1"/>
                <w:szCs w:val="1"/>
                <w:color w:val="auto"/>
              </w:rPr>
            </w:pPr>
          </w:p>
        </w:tc>
      </w:tr>
      <w:tr>
        <w:trPr>
          <w:trHeight w:val="169"/>
        </w:trPr>
        <w:tc>
          <w:tcPr>
            <w:tcW w:w="5880" w:type="dxa"/>
            <w:vAlign w:val="bottom"/>
          </w:tcPr>
          <w:p>
            <w:pPr>
              <w:spacing w:after="0"/>
              <w:rPr>
                <w:sz w:val="20"/>
                <w:szCs w:val="20"/>
                <w:color w:val="auto"/>
              </w:rPr>
            </w:pPr>
            <w:r>
              <w:rPr>
                <w:rFonts w:ascii="Times New Roman" w:cs="Times New Roman" w:eastAsia="Times New Roman" w:hAnsi="Times New Roman"/>
                <w:sz w:val="14"/>
                <w:szCs w:val="14"/>
                <w:color w:val="231F20"/>
              </w:rPr>
              <w:t>Distributions declared to noncontrolling interests in consolidated partnerships, excluding $9,539</w:t>
            </w:r>
          </w:p>
        </w:tc>
        <w:tc>
          <w:tcPr>
            <w:tcW w:w="12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231F20"/>
              </w:rPr>
              <w:t>(4,541)</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231F20"/>
              </w:rPr>
              <w:t>(4,541)</w:t>
            </w:r>
          </w:p>
        </w:tc>
        <w:tc>
          <w:tcPr>
            <w:tcW w:w="0" w:type="dxa"/>
            <w:vAlign w:val="bottom"/>
          </w:tcPr>
          <w:p>
            <w:pPr>
              <w:spacing w:after="0"/>
              <w:rPr>
                <w:sz w:val="1"/>
                <w:szCs w:val="1"/>
                <w:color w:val="auto"/>
              </w:rPr>
            </w:pPr>
          </w:p>
        </w:tc>
      </w:tr>
      <w:tr>
        <w:trPr>
          <w:trHeight w:val="143"/>
        </w:trPr>
        <w:tc>
          <w:tcPr>
            <w:tcW w:w="5880" w:type="dxa"/>
            <w:vAlign w:val="bottom"/>
          </w:tcPr>
          <w:p>
            <w:pPr>
              <w:spacing w:after="0" w:line="143" w:lineRule="exact"/>
              <w:rPr>
                <w:sz w:val="20"/>
                <w:szCs w:val="20"/>
                <w:color w:val="auto"/>
              </w:rPr>
            </w:pPr>
            <w:r>
              <w:rPr>
                <w:rFonts w:ascii="Times New Roman" w:cs="Times New Roman" w:eastAsia="Times New Roman" w:hAnsi="Times New Roman"/>
                <w:sz w:val="14"/>
                <w:szCs w:val="14"/>
                <w:color w:val="231F20"/>
              </w:rPr>
              <w:t>attributable to redeemable noncontrolling interests</w:t>
            </w:r>
          </w:p>
        </w:tc>
        <w:tc>
          <w:tcPr>
            <w:tcW w:w="12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880" w:type="dxa"/>
            <w:vAlign w:val="bottom"/>
          </w:tcPr>
          <w:p>
            <w:pPr>
              <w:spacing w:after="0"/>
              <w:rPr>
                <w:sz w:val="20"/>
                <w:szCs w:val="20"/>
                <w:color w:val="auto"/>
              </w:rPr>
            </w:pPr>
            <w:r>
              <w:rPr>
                <w:rFonts w:ascii="Times New Roman" w:cs="Times New Roman" w:eastAsia="Times New Roman" w:hAnsi="Times New Roman"/>
                <w:sz w:val="14"/>
                <w:szCs w:val="14"/>
                <w:color w:val="231F20"/>
              </w:rPr>
              <w:t>Common units issued as a result of common stock issued by Parent Company, net of issuance costs</w:t>
            </w: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131,729</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131,729</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131,729</w:t>
            </w:r>
          </w:p>
        </w:tc>
        <w:tc>
          <w:tcPr>
            <w:tcW w:w="0" w:type="dxa"/>
            <w:vAlign w:val="bottom"/>
          </w:tcPr>
          <w:p>
            <w:pPr>
              <w:spacing w:after="0"/>
              <w:rPr>
                <w:sz w:val="1"/>
                <w:szCs w:val="1"/>
                <w:color w:val="auto"/>
              </w:rPr>
            </w:pPr>
          </w:p>
        </w:tc>
      </w:tr>
      <w:tr>
        <w:trPr>
          <w:trHeight w:val="185"/>
        </w:trPr>
        <w:tc>
          <w:tcPr>
            <w:tcW w:w="5880" w:type="dxa"/>
            <w:vAlign w:val="bottom"/>
          </w:tcPr>
          <w:p>
            <w:pPr>
              <w:spacing w:after="0"/>
              <w:rPr>
                <w:sz w:val="20"/>
                <w:szCs w:val="20"/>
                <w:color w:val="auto"/>
              </w:rPr>
            </w:pPr>
            <w:r>
              <w:rPr>
                <w:rFonts w:ascii="Times New Roman" w:cs="Times New Roman" w:eastAsia="Times New Roman" w:hAnsi="Times New Roman"/>
                <w:sz w:val="14"/>
                <w:szCs w:val="14"/>
                <w:color w:val="231F20"/>
              </w:rPr>
              <w:t>Common units issued under dividend reinvestment plan</w:t>
            </w: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1,870</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1,870</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1,870</w:t>
            </w:r>
          </w:p>
        </w:tc>
        <w:tc>
          <w:tcPr>
            <w:tcW w:w="0" w:type="dxa"/>
            <w:vAlign w:val="bottom"/>
          </w:tcPr>
          <w:p>
            <w:pPr>
              <w:spacing w:after="0"/>
              <w:rPr>
                <w:sz w:val="1"/>
                <w:szCs w:val="1"/>
                <w:color w:val="auto"/>
              </w:rPr>
            </w:pPr>
          </w:p>
        </w:tc>
      </w:tr>
      <w:tr>
        <w:trPr>
          <w:trHeight w:val="185"/>
        </w:trPr>
        <w:tc>
          <w:tcPr>
            <w:tcW w:w="5880" w:type="dxa"/>
            <w:vAlign w:val="bottom"/>
          </w:tcPr>
          <w:p>
            <w:pPr>
              <w:spacing w:after="0"/>
              <w:rPr>
                <w:sz w:val="20"/>
                <w:szCs w:val="20"/>
                <w:color w:val="auto"/>
              </w:rPr>
            </w:pPr>
            <w:r>
              <w:rPr>
                <w:rFonts w:ascii="Times New Roman" w:cs="Times New Roman" w:eastAsia="Times New Roman" w:hAnsi="Times New Roman"/>
                <w:sz w:val="14"/>
                <w:szCs w:val="14"/>
                <w:color w:val="231F20"/>
              </w:rPr>
              <w:t>Share-based compensation expense, net of forfeitures</w:t>
            </w: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15,427</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15,427</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15,427</w:t>
            </w:r>
          </w:p>
        </w:tc>
        <w:tc>
          <w:tcPr>
            <w:tcW w:w="0" w:type="dxa"/>
            <w:vAlign w:val="bottom"/>
          </w:tcPr>
          <w:p>
            <w:pPr>
              <w:spacing w:after="0"/>
              <w:rPr>
                <w:sz w:val="1"/>
                <w:szCs w:val="1"/>
                <w:color w:val="auto"/>
              </w:rPr>
            </w:pPr>
          </w:p>
        </w:tc>
      </w:tr>
      <w:tr>
        <w:trPr>
          <w:trHeight w:val="185"/>
        </w:trPr>
        <w:tc>
          <w:tcPr>
            <w:tcW w:w="5880" w:type="dxa"/>
            <w:vAlign w:val="bottom"/>
          </w:tcPr>
          <w:p>
            <w:pPr>
              <w:spacing w:after="0"/>
              <w:rPr>
                <w:sz w:val="20"/>
                <w:szCs w:val="20"/>
                <w:color w:val="auto"/>
              </w:rPr>
            </w:pPr>
            <w:r>
              <w:rPr>
                <w:rFonts w:ascii="Times New Roman" w:cs="Times New Roman" w:eastAsia="Times New Roman" w:hAnsi="Times New Roman"/>
                <w:sz w:val="14"/>
                <w:szCs w:val="14"/>
                <w:color w:val="231F20"/>
              </w:rPr>
              <w:t>Common units withheld for employee taxes</w:t>
            </w: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(5,019)</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(5,019)</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(5,019)</w:t>
            </w:r>
          </w:p>
        </w:tc>
        <w:tc>
          <w:tcPr>
            <w:tcW w:w="0" w:type="dxa"/>
            <w:vAlign w:val="bottom"/>
          </w:tcPr>
          <w:p>
            <w:pPr>
              <w:spacing w:after="0"/>
              <w:rPr>
                <w:sz w:val="1"/>
                <w:szCs w:val="1"/>
                <w:color w:val="auto"/>
              </w:rPr>
            </w:pPr>
          </w:p>
        </w:tc>
      </w:tr>
      <w:tr>
        <w:trPr>
          <w:trHeight w:val="201"/>
        </w:trPr>
        <w:tc>
          <w:tcPr>
            <w:tcW w:w="5880" w:type="dxa"/>
            <w:vAlign w:val="bottom"/>
          </w:tcPr>
          <w:p>
            <w:pPr>
              <w:spacing w:after="0"/>
              <w:rPr>
                <w:sz w:val="20"/>
                <w:szCs w:val="20"/>
                <w:color w:val="auto"/>
              </w:rPr>
            </w:pPr>
            <w:r>
              <w:rPr>
                <w:rFonts w:ascii="Times New Roman" w:cs="Times New Roman" w:eastAsia="Times New Roman" w:hAnsi="Times New Roman"/>
                <w:sz w:val="14"/>
                <w:szCs w:val="14"/>
                <w:color w:val="231F20"/>
              </w:rPr>
              <w:t>Conversion and redemption of downREIT OP units</w:t>
            </w: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231F20"/>
              </w:rPr>
              <w:t>883</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883</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(883)</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0" w:type="dxa"/>
            <w:vAlign w:val="bottom"/>
          </w:tcPr>
          <w:p>
            <w:pPr>
              <w:spacing w:after="0"/>
              <w:rPr>
                <w:sz w:val="1"/>
                <w:szCs w:val="1"/>
                <w:color w:val="auto"/>
              </w:rPr>
            </w:pPr>
          </w:p>
        </w:tc>
      </w:tr>
      <w:tr>
        <w:trPr>
          <w:trHeight w:val="191"/>
        </w:trPr>
        <w:tc>
          <w:tcPr>
            <w:tcW w:w="5880" w:type="dxa"/>
            <w:vAlign w:val="bottom"/>
          </w:tcPr>
          <w:p>
            <w:pPr>
              <w:spacing w:after="0"/>
              <w:rPr>
                <w:sz w:val="20"/>
                <w:szCs w:val="20"/>
                <w:color w:val="auto"/>
              </w:rPr>
            </w:pPr>
            <w:r>
              <w:rPr>
                <w:rFonts w:ascii="Times New Roman" w:cs="Times New Roman" w:eastAsia="Times New Roman" w:hAnsi="Times New Roman"/>
                <w:sz w:val="14"/>
                <w:szCs w:val="14"/>
                <w:color w:val="231F20"/>
              </w:rPr>
              <w:t>Contributions from noncontrolling interests</w:t>
            </w: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1,092</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1,092</w:t>
            </w:r>
          </w:p>
        </w:tc>
        <w:tc>
          <w:tcPr>
            <w:tcW w:w="0" w:type="dxa"/>
            <w:vAlign w:val="bottom"/>
          </w:tcPr>
          <w:p>
            <w:pPr>
              <w:spacing w:after="0"/>
              <w:rPr>
                <w:sz w:val="1"/>
                <w:szCs w:val="1"/>
                <w:color w:val="auto"/>
              </w:rPr>
            </w:pPr>
          </w:p>
        </w:tc>
      </w:tr>
      <w:tr>
        <w:trPr>
          <w:trHeight w:val="218"/>
        </w:trPr>
        <w:tc>
          <w:tcPr>
            <w:tcW w:w="5880" w:type="dxa"/>
            <w:vAlign w:val="bottom"/>
          </w:tcPr>
          <w:p>
            <w:pPr>
              <w:spacing w:after="0"/>
              <w:rPr>
                <w:sz w:val="20"/>
                <w:szCs w:val="20"/>
                <w:color w:val="auto"/>
              </w:rPr>
            </w:pPr>
            <w:r>
              <w:rPr>
                <w:rFonts w:ascii="Times New Roman" w:cs="Times New Roman" w:eastAsia="Times New Roman" w:hAnsi="Times New Roman"/>
                <w:sz w:val="14"/>
                <w:szCs w:val="14"/>
                <w:color w:val="231F20"/>
              </w:rPr>
              <w:t>Adjustment to redeemable noncontrolling interests</w:t>
            </w:r>
          </w:p>
        </w:tc>
        <w:tc>
          <w:tcPr>
            <w:tcW w:w="120" w:type="dxa"/>
            <w:vAlign w:val="bottom"/>
            <w:tcBorders>
              <w:bottom w:val="single" w:sz="8" w:color="231F20"/>
            </w:tcBorders>
          </w:tcPr>
          <w:p>
            <w:pPr>
              <w:spacing w:after="0"/>
              <w:rPr>
                <w:sz w:val="18"/>
                <w:szCs w:val="18"/>
                <w:color w:val="auto"/>
              </w:rPr>
            </w:pPr>
          </w:p>
        </w:tc>
        <w:tc>
          <w:tcPr>
            <w:tcW w:w="11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8"/>
                <w:szCs w:val="18"/>
                <w:color w:val="auto"/>
              </w:rPr>
            </w:pPr>
          </w:p>
        </w:tc>
        <w:tc>
          <w:tcPr>
            <w:tcW w:w="140" w:type="dxa"/>
            <w:vAlign w:val="bottom"/>
            <w:tcBorders>
              <w:bottom w:val="single" w:sz="8" w:color="231F20"/>
            </w:tcBorders>
          </w:tcPr>
          <w:p>
            <w:pPr>
              <w:spacing w:after="0"/>
              <w:rPr>
                <w:sz w:val="18"/>
                <w:szCs w:val="18"/>
                <w:color w:val="auto"/>
              </w:rPr>
            </w:pPr>
          </w:p>
        </w:tc>
        <w:tc>
          <w:tcPr>
            <w:tcW w:w="11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4"/>
                <w:szCs w:val="14"/>
                <w:color w:val="231F20"/>
              </w:rPr>
              <w:t>(7,400)</w:t>
            </w:r>
          </w:p>
        </w:tc>
        <w:tc>
          <w:tcPr>
            <w:tcW w:w="60" w:type="dxa"/>
            <w:vAlign w:val="bottom"/>
          </w:tcPr>
          <w:p>
            <w:pPr>
              <w:spacing w:after="0"/>
              <w:rPr>
                <w:sz w:val="18"/>
                <w:szCs w:val="18"/>
                <w:color w:val="auto"/>
              </w:rPr>
            </w:pPr>
          </w:p>
        </w:tc>
        <w:tc>
          <w:tcPr>
            <w:tcW w:w="140" w:type="dxa"/>
            <w:vAlign w:val="bottom"/>
            <w:tcBorders>
              <w:bottom w:val="single" w:sz="8" w:color="231F20"/>
            </w:tcBorders>
          </w:tcPr>
          <w:p>
            <w:pPr>
              <w:spacing w:after="0"/>
              <w:rPr>
                <w:sz w:val="18"/>
                <w:szCs w:val="18"/>
                <w:color w:val="auto"/>
              </w:rPr>
            </w:pPr>
          </w:p>
        </w:tc>
        <w:tc>
          <w:tcPr>
            <w:tcW w:w="11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8"/>
                <w:szCs w:val="18"/>
                <w:color w:val="auto"/>
              </w:rPr>
            </w:pPr>
          </w:p>
        </w:tc>
        <w:tc>
          <w:tcPr>
            <w:tcW w:w="160" w:type="dxa"/>
            <w:vAlign w:val="bottom"/>
            <w:tcBorders>
              <w:bottom w:val="single" w:sz="8" w:color="231F20"/>
            </w:tcBorders>
          </w:tcPr>
          <w:p>
            <w:pPr>
              <w:spacing w:after="0"/>
              <w:rPr>
                <w:sz w:val="18"/>
                <w:szCs w:val="18"/>
                <w:color w:val="auto"/>
              </w:rPr>
            </w:pPr>
          </w:p>
        </w:tc>
        <w:tc>
          <w:tcPr>
            <w:tcW w:w="10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4"/>
                <w:szCs w:val="14"/>
                <w:color w:val="231F20"/>
              </w:rPr>
              <w:t>(7,400)</w:t>
            </w:r>
          </w:p>
        </w:tc>
        <w:tc>
          <w:tcPr>
            <w:tcW w:w="60" w:type="dxa"/>
            <w:vAlign w:val="bottom"/>
          </w:tcPr>
          <w:p>
            <w:pPr>
              <w:spacing w:after="0"/>
              <w:rPr>
                <w:sz w:val="18"/>
                <w:szCs w:val="18"/>
                <w:color w:val="auto"/>
              </w:rPr>
            </w:pPr>
          </w:p>
        </w:tc>
        <w:tc>
          <w:tcPr>
            <w:tcW w:w="140" w:type="dxa"/>
            <w:vAlign w:val="bottom"/>
            <w:tcBorders>
              <w:bottom w:val="single" w:sz="8" w:color="231F20"/>
            </w:tcBorders>
          </w:tcPr>
          <w:p>
            <w:pPr>
              <w:spacing w:after="0"/>
              <w:rPr>
                <w:sz w:val="18"/>
                <w:szCs w:val="18"/>
                <w:color w:val="auto"/>
              </w:rPr>
            </w:pPr>
          </w:p>
        </w:tc>
        <w:tc>
          <w:tcPr>
            <w:tcW w:w="11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8"/>
                <w:szCs w:val="18"/>
                <w:color w:val="auto"/>
              </w:rPr>
            </w:pPr>
          </w:p>
        </w:tc>
        <w:tc>
          <w:tcPr>
            <w:tcW w:w="180" w:type="dxa"/>
            <w:vAlign w:val="bottom"/>
            <w:tcBorders>
              <w:bottom w:val="single" w:sz="8" w:color="231F20"/>
            </w:tcBorders>
          </w:tcPr>
          <w:p>
            <w:pPr>
              <w:spacing w:after="0"/>
              <w:rPr>
                <w:sz w:val="18"/>
                <w:szCs w:val="18"/>
                <w:color w:val="auto"/>
              </w:rPr>
            </w:pPr>
          </w:p>
        </w:tc>
        <w:tc>
          <w:tcPr>
            <w:tcW w:w="10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4"/>
                <w:szCs w:val="14"/>
                <w:color w:val="231F20"/>
              </w:rPr>
              <w:t>(7,400)</w:t>
            </w:r>
          </w:p>
        </w:tc>
        <w:tc>
          <w:tcPr>
            <w:tcW w:w="0" w:type="dxa"/>
            <w:vAlign w:val="bottom"/>
          </w:tcPr>
          <w:p>
            <w:pPr>
              <w:spacing w:after="0"/>
              <w:rPr>
                <w:sz w:val="1"/>
                <w:szCs w:val="1"/>
                <w:color w:val="auto"/>
              </w:rPr>
            </w:pPr>
          </w:p>
        </w:tc>
      </w:tr>
      <w:tr>
        <w:trPr>
          <w:trHeight w:val="184"/>
        </w:trPr>
        <w:tc>
          <w:tcPr>
            <w:tcW w:w="5880" w:type="dxa"/>
            <w:vAlign w:val="bottom"/>
          </w:tcPr>
          <w:p>
            <w:pPr>
              <w:spacing w:after="0" w:line="155" w:lineRule="exact"/>
              <w:rPr>
                <w:sz w:val="20"/>
                <w:szCs w:val="20"/>
                <w:color w:val="auto"/>
              </w:rPr>
            </w:pPr>
            <w:r>
              <w:rPr>
                <w:rFonts w:ascii="Times New Roman" w:cs="Times New Roman" w:eastAsia="Times New Roman" w:hAnsi="Times New Roman"/>
                <w:sz w:val="14"/>
                <w:szCs w:val="14"/>
                <w:color w:val="231F20"/>
              </w:rPr>
              <w:t>BALANCE AT DECEMBER 31, 2023</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154,788</w:t>
            </w:r>
          </w:p>
        </w:tc>
        <w:tc>
          <w:tcPr>
            <w:tcW w:w="6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2,804,669</w:t>
            </w:r>
          </w:p>
        </w:tc>
        <w:tc>
          <w:tcPr>
            <w:tcW w:w="6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4,052</w:t>
            </w:r>
          </w:p>
        </w:tc>
        <w:tc>
          <w:tcPr>
            <w:tcW w:w="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2,963,509</w:t>
            </w:r>
          </w:p>
        </w:tc>
        <w:tc>
          <w:tcPr>
            <w:tcW w:w="6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78,650</w:t>
            </w:r>
          </w:p>
        </w:tc>
        <w:tc>
          <w:tcPr>
            <w:tcW w:w="6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3,042,159</w:t>
            </w:r>
          </w:p>
        </w:tc>
        <w:tc>
          <w:tcPr>
            <w:tcW w:w="0" w:type="dxa"/>
            <w:vAlign w:val="bottom"/>
          </w:tcPr>
          <w:p>
            <w:pPr>
              <w:spacing w:after="0"/>
              <w:rPr>
                <w:sz w:val="1"/>
                <w:szCs w:val="1"/>
                <w:color w:val="auto"/>
              </w:rPr>
            </w:pPr>
          </w:p>
        </w:tc>
      </w:tr>
      <w:tr>
        <w:trPr>
          <w:trHeight w:val="191"/>
        </w:trPr>
        <w:tc>
          <w:tcPr>
            <w:tcW w:w="5880" w:type="dxa"/>
            <w:vAlign w:val="bottom"/>
          </w:tcPr>
          <w:p>
            <w:pPr>
              <w:spacing w:after="0"/>
              <w:rPr>
                <w:sz w:val="20"/>
                <w:szCs w:val="20"/>
                <w:color w:val="auto"/>
              </w:rPr>
            </w:pPr>
            <w:r>
              <w:rPr>
                <w:rFonts w:ascii="Times New Roman" w:cs="Times New Roman" w:eastAsia="Times New Roman" w:hAnsi="Times New Roman"/>
                <w:sz w:val="14"/>
                <w:szCs w:val="14"/>
                <w:color w:val="231F20"/>
              </w:rPr>
              <w:t>Net income, excluding $7,022 attributable to redeemable noncontrolling interests</w:t>
            </w: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8,032</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287,176</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295,208</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2,104</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297,312</w:t>
            </w:r>
          </w:p>
        </w:tc>
        <w:tc>
          <w:tcPr>
            <w:tcW w:w="0" w:type="dxa"/>
            <w:vAlign w:val="bottom"/>
          </w:tcPr>
          <w:p>
            <w:pPr>
              <w:spacing w:after="0"/>
              <w:rPr>
                <w:sz w:val="1"/>
                <w:szCs w:val="1"/>
                <w:color w:val="auto"/>
              </w:rPr>
            </w:pPr>
          </w:p>
        </w:tc>
      </w:tr>
      <w:tr>
        <w:trPr>
          <w:trHeight w:val="192"/>
        </w:trPr>
        <w:tc>
          <w:tcPr>
            <w:tcW w:w="5880" w:type="dxa"/>
            <w:vAlign w:val="bottom"/>
          </w:tcPr>
          <w:p>
            <w:pPr>
              <w:spacing w:after="0"/>
              <w:rPr>
                <w:sz w:val="20"/>
                <w:szCs w:val="20"/>
                <w:color w:val="auto"/>
              </w:rPr>
            </w:pPr>
            <w:r>
              <w:rPr>
                <w:rFonts w:ascii="Times New Roman" w:cs="Times New Roman" w:eastAsia="Times New Roman" w:hAnsi="Times New Roman"/>
                <w:sz w:val="14"/>
                <w:szCs w:val="14"/>
                <w:color w:val="231F20"/>
              </w:rPr>
              <w:t>Other comprehensive income - change in fair value of interest rate swaps, excluding $23 attributable</w:t>
            </w:r>
          </w:p>
        </w:tc>
        <w:tc>
          <w:tcPr>
            <w:tcW w:w="12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231F20"/>
              </w:rPr>
              <w:t>688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231F20"/>
              </w:rPr>
              <w:t>688</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231F20"/>
              </w:rPr>
              <w:t>688</w:t>
            </w:r>
          </w:p>
        </w:tc>
        <w:tc>
          <w:tcPr>
            <w:tcW w:w="0" w:type="dxa"/>
            <w:vAlign w:val="bottom"/>
          </w:tcPr>
          <w:p>
            <w:pPr>
              <w:spacing w:after="0"/>
              <w:rPr>
                <w:sz w:val="1"/>
                <w:szCs w:val="1"/>
                <w:color w:val="auto"/>
              </w:rPr>
            </w:pPr>
          </w:p>
        </w:tc>
      </w:tr>
      <w:tr>
        <w:trPr>
          <w:trHeight w:val="143"/>
        </w:trPr>
        <w:tc>
          <w:tcPr>
            <w:tcW w:w="5880" w:type="dxa"/>
            <w:vAlign w:val="bottom"/>
          </w:tcPr>
          <w:p>
            <w:pPr>
              <w:spacing w:after="0" w:line="143" w:lineRule="exact"/>
              <w:rPr>
                <w:sz w:val="20"/>
                <w:szCs w:val="20"/>
                <w:color w:val="auto"/>
              </w:rPr>
            </w:pPr>
            <w:r>
              <w:rPr>
                <w:rFonts w:ascii="Times New Roman" w:cs="Times New Roman" w:eastAsia="Times New Roman" w:hAnsi="Times New Roman"/>
                <w:sz w:val="14"/>
                <w:szCs w:val="14"/>
                <w:color w:val="231F20"/>
              </w:rPr>
              <w:t>to redeemable noncontrolling interest</w:t>
            </w:r>
          </w:p>
        </w:tc>
        <w:tc>
          <w:tcPr>
            <w:tcW w:w="12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880" w:type="dxa"/>
            <w:vAlign w:val="bottom"/>
          </w:tcPr>
          <w:p>
            <w:pPr>
              <w:spacing w:after="0"/>
              <w:rPr>
                <w:sz w:val="20"/>
                <w:szCs w:val="20"/>
                <w:color w:val="auto"/>
              </w:rPr>
            </w:pPr>
            <w:r>
              <w:rPr>
                <w:rFonts w:ascii="Times New Roman" w:cs="Times New Roman" w:eastAsia="Times New Roman" w:hAnsi="Times New Roman"/>
                <w:sz w:val="14"/>
                <w:szCs w:val="14"/>
                <w:color w:val="231F20"/>
              </w:rPr>
              <w:t>Distributions declared to common unit holders</w:t>
            </w: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(369,232)</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(369,232)</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(369,232)</w:t>
            </w:r>
          </w:p>
        </w:tc>
        <w:tc>
          <w:tcPr>
            <w:tcW w:w="0" w:type="dxa"/>
            <w:vAlign w:val="bottom"/>
          </w:tcPr>
          <w:p>
            <w:pPr>
              <w:spacing w:after="0"/>
              <w:rPr>
                <w:sz w:val="1"/>
                <w:szCs w:val="1"/>
                <w:color w:val="auto"/>
              </w:rPr>
            </w:pPr>
          </w:p>
        </w:tc>
      </w:tr>
      <w:tr>
        <w:trPr>
          <w:trHeight w:val="201"/>
        </w:trPr>
        <w:tc>
          <w:tcPr>
            <w:tcW w:w="5880" w:type="dxa"/>
            <w:vAlign w:val="bottom"/>
          </w:tcPr>
          <w:p>
            <w:pPr>
              <w:spacing w:after="0"/>
              <w:rPr>
                <w:sz w:val="20"/>
                <w:szCs w:val="20"/>
                <w:color w:val="auto"/>
              </w:rPr>
            </w:pPr>
            <w:r>
              <w:rPr>
                <w:rFonts w:ascii="Times New Roman" w:cs="Times New Roman" w:eastAsia="Times New Roman" w:hAnsi="Times New Roman"/>
                <w:sz w:val="14"/>
                <w:szCs w:val="14"/>
                <w:color w:val="231F20"/>
              </w:rPr>
              <w:t>Distributions declared to preferred unit holders</w:t>
            </w: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(8,032)</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(8,032)</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(8,032)</w:t>
            </w:r>
          </w:p>
        </w:tc>
        <w:tc>
          <w:tcPr>
            <w:tcW w:w="0" w:type="dxa"/>
            <w:vAlign w:val="bottom"/>
          </w:tcPr>
          <w:p>
            <w:pPr>
              <w:spacing w:after="0"/>
              <w:rPr>
                <w:sz w:val="1"/>
                <w:szCs w:val="1"/>
                <w:color w:val="auto"/>
              </w:rPr>
            </w:pPr>
          </w:p>
        </w:tc>
      </w:tr>
      <w:tr>
        <w:trPr>
          <w:trHeight w:val="191"/>
        </w:trPr>
        <w:tc>
          <w:tcPr>
            <w:tcW w:w="5880" w:type="dxa"/>
            <w:vAlign w:val="bottom"/>
          </w:tcPr>
          <w:p>
            <w:pPr>
              <w:spacing w:after="0"/>
              <w:rPr>
                <w:sz w:val="20"/>
                <w:szCs w:val="20"/>
                <w:color w:val="auto"/>
              </w:rPr>
            </w:pPr>
            <w:r>
              <w:rPr>
                <w:rFonts w:ascii="Times New Roman" w:cs="Times New Roman" w:eastAsia="Times New Roman" w:hAnsi="Times New Roman"/>
                <w:sz w:val="14"/>
                <w:szCs w:val="14"/>
                <w:color w:val="231F20"/>
              </w:rPr>
              <w:t>Distribution equivalent rights</w:t>
            </w: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(124)</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(124)</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(124)</w:t>
            </w:r>
          </w:p>
        </w:tc>
        <w:tc>
          <w:tcPr>
            <w:tcW w:w="0" w:type="dxa"/>
            <w:vAlign w:val="bottom"/>
          </w:tcPr>
          <w:p>
            <w:pPr>
              <w:spacing w:after="0"/>
              <w:rPr>
                <w:sz w:val="1"/>
                <w:szCs w:val="1"/>
                <w:color w:val="auto"/>
              </w:rPr>
            </w:pPr>
          </w:p>
        </w:tc>
      </w:tr>
      <w:tr>
        <w:trPr>
          <w:trHeight w:val="192"/>
        </w:trPr>
        <w:tc>
          <w:tcPr>
            <w:tcW w:w="5880" w:type="dxa"/>
            <w:vAlign w:val="bottom"/>
          </w:tcPr>
          <w:p>
            <w:pPr>
              <w:spacing w:after="0"/>
              <w:rPr>
                <w:sz w:val="20"/>
                <w:szCs w:val="20"/>
                <w:color w:val="auto"/>
              </w:rPr>
            </w:pPr>
            <w:r>
              <w:rPr>
                <w:rFonts w:ascii="Times New Roman" w:cs="Times New Roman" w:eastAsia="Times New Roman" w:hAnsi="Times New Roman"/>
                <w:sz w:val="14"/>
                <w:szCs w:val="14"/>
                <w:color w:val="231F20"/>
              </w:rPr>
              <w:t>Distributions declared to noncontrolling interests in consolidated partnerships, excluding $8,854</w:t>
            </w:r>
          </w:p>
        </w:tc>
        <w:tc>
          <w:tcPr>
            <w:tcW w:w="12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231F20"/>
              </w:rPr>
              <w:t>(4,239)</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231F20"/>
              </w:rPr>
              <w:t>(4,239)</w:t>
            </w:r>
          </w:p>
        </w:tc>
        <w:tc>
          <w:tcPr>
            <w:tcW w:w="0" w:type="dxa"/>
            <w:vAlign w:val="bottom"/>
          </w:tcPr>
          <w:p>
            <w:pPr>
              <w:spacing w:after="0"/>
              <w:rPr>
                <w:sz w:val="1"/>
                <w:szCs w:val="1"/>
                <w:color w:val="auto"/>
              </w:rPr>
            </w:pPr>
          </w:p>
        </w:tc>
      </w:tr>
      <w:tr>
        <w:trPr>
          <w:trHeight w:val="143"/>
        </w:trPr>
        <w:tc>
          <w:tcPr>
            <w:tcW w:w="5880" w:type="dxa"/>
            <w:vAlign w:val="bottom"/>
          </w:tcPr>
          <w:p>
            <w:pPr>
              <w:spacing w:after="0" w:line="143" w:lineRule="exact"/>
              <w:rPr>
                <w:sz w:val="20"/>
                <w:szCs w:val="20"/>
                <w:color w:val="auto"/>
              </w:rPr>
            </w:pPr>
            <w:r>
              <w:rPr>
                <w:rFonts w:ascii="Times New Roman" w:cs="Times New Roman" w:eastAsia="Times New Roman" w:hAnsi="Times New Roman"/>
                <w:sz w:val="14"/>
                <w:szCs w:val="14"/>
                <w:color w:val="231F20"/>
              </w:rPr>
              <w:t>attributable to redeemable noncontrolling interests</w:t>
            </w:r>
          </w:p>
        </w:tc>
        <w:tc>
          <w:tcPr>
            <w:tcW w:w="12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880" w:type="dxa"/>
            <w:vAlign w:val="bottom"/>
          </w:tcPr>
          <w:p>
            <w:pPr>
              <w:spacing w:after="0"/>
              <w:rPr>
                <w:sz w:val="20"/>
                <w:szCs w:val="20"/>
                <w:color w:val="auto"/>
              </w:rPr>
            </w:pPr>
            <w:r>
              <w:rPr>
                <w:rFonts w:ascii="Times New Roman" w:cs="Times New Roman" w:eastAsia="Times New Roman" w:hAnsi="Times New Roman"/>
                <w:sz w:val="14"/>
                <w:szCs w:val="14"/>
                <w:color w:val="231F20"/>
              </w:rPr>
              <w:t>Common units issued as a result of common stock issued by Parent Company, net of issuance costs</w:t>
            </w: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231F20"/>
              </w:rPr>
              <w:t>303,931</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303,931</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303,931</w:t>
            </w:r>
          </w:p>
        </w:tc>
        <w:tc>
          <w:tcPr>
            <w:tcW w:w="0" w:type="dxa"/>
            <w:vAlign w:val="bottom"/>
          </w:tcPr>
          <w:p>
            <w:pPr>
              <w:spacing w:after="0"/>
              <w:rPr>
                <w:sz w:val="1"/>
                <w:szCs w:val="1"/>
                <w:color w:val="auto"/>
              </w:rPr>
            </w:pPr>
          </w:p>
        </w:tc>
      </w:tr>
      <w:tr>
        <w:trPr>
          <w:trHeight w:val="201"/>
        </w:trPr>
        <w:tc>
          <w:tcPr>
            <w:tcW w:w="5880" w:type="dxa"/>
            <w:vAlign w:val="bottom"/>
          </w:tcPr>
          <w:p>
            <w:pPr>
              <w:spacing w:after="0"/>
              <w:rPr>
                <w:sz w:val="20"/>
                <w:szCs w:val="20"/>
                <w:color w:val="auto"/>
              </w:rPr>
            </w:pPr>
            <w:r>
              <w:rPr>
                <w:rFonts w:ascii="Times New Roman" w:cs="Times New Roman" w:eastAsia="Times New Roman" w:hAnsi="Times New Roman"/>
                <w:sz w:val="14"/>
                <w:szCs w:val="14"/>
                <w:color w:val="231F20"/>
              </w:rPr>
              <w:t>Common units issued under dividend reinvestment plan</w:t>
            </w: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231F20"/>
              </w:rPr>
              <w:t>1,784</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1,784</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1,784</w:t>
            </w:r>
          </w:p>
        </w:tc>
        <w:tc>
          <w:tcPr>
            <w:tcW w:w="0" w:type="dxa"/>
            <w:vAlign w:val="bottom"/>
          </w:tcPr>
          <w:p>
            <w:pPr>
              <w:spacing w:after="0"/>
              <w:rPr>
                <w:sz w:val="1"/>
                <w:szCs w:val="1"/>
                <w:color w:val="auto"/>
              </w:rPr>
            </w:pPr>
          </w:p>
        </w:tc>
      </w:tr>
      <w:tr>
        <w:trPr>
          <w:trHeight w:val="191"/>
        </w:trPr>
        <w:tc>
          <w:tcPr>
            <w:tcW w:w="5880" w:type="dxa"/>
            <w:vAlign w:val="bottom"/>
          </w:tcPr>
          <w:p>
            <w:pPr>
              <w:spacing w:after="0"/>
              <w:rPr>
                <w:sz w:val="20"/>
                <w:szCs w:val="20"/>
                <w:color w:val="auto"/>
              </w:rPr>
            </w:pPr>
            <w:r>
              <w:rPr>
                <w:rFonts w:ascii="Times New Roman" w:cs="Times New Roman" w:eastAsia="Times New Roman" w:hAnsi="Times New Roman"/>
                <w:sz w:val="14"/>
                <w:szCs w:val="14"/>
                <w:color w:val="231F20"/>
              </w:rPr>
              <w:t>Share-based compensation expense, net of forfeitures</w:t>
            </w: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231F20"/>
              </w:rPr>
              <w:t>17,379</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17,379</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17,379</w:t>
            </w:r>
          </w:p>
        </w:tc>
        <w:tc>
          <w:tcPr>
            <w:tcW w:w="0" w:type="dxa"/>
            <w:vAlign w:val="bottom"/>
          </w:tcPr>
          <w:p>
            <w:pPr>
              <w:spacing w:after="0"/>
              <w:rPr>
                <w:sz w:val="1"/>
                <w:szCs w:val="1"/>
                <w:color w:val="auto"/>
              </w:rPr>
            </w:pPr>
          </w:p>
        </w:tc>
      </w:tr>
      <w:tr>
        <w:trPr>
          <w:trHeight w:val="192"/>
        </w:trPr>
        <w:tc>
          <w:tcPr>
            <w:tcW w:w="5880" w:type="dxa"/>
            <w:vAlign w:val="bottom"/>
          </w:tcPr>
          <w:p>
            <w:pPr>
              <w:spacing w:after="0"/>
              <w:rPr>
                <w:sz w:val="20"/>
                <w:szCs w:val="20"/>
                <w:color w:val="auto"/>
              </w:rPr>
            </w:pPr>
            <w:r>
              <w:rPr>
                <w:rFonts w:ascii="Times New Roman" w:cs="Times New Roman" w:eastAsia="Times New Roman" w:hAnsi="Times New Roman"/>
                <w:sz w:val="14"/>
                <w:szCs w:val="14"/>
                <w:color w:val="231F20"/>
              </w:rPr>
              <w:t>Common units withheld for employee taxes</w:t>
            </w: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(6,709)</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(6,709)</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(6,709)</w:t>
            </w:r>
          </w:p>
        </w:tc>
        <w:tc>
          <w:tcPr>
            <w:tcW w:w="0" w:type="dxa"/>
            <w:vAlign w:val="bottom"/>
          </w:tcPr>
          <w:p>
            <w:pPr>
              <w:spacing w:after="0"/>
              <w:rPr>
                <w:sz w:val="1"/>
                <w:szCs w:val="1"/>
                <w:color w:val="auto"/>
              </w:rPr>
            </w:pPr>
          </w:p>
        </w:tc>
      </w:tr>
      <w:tr>
        <w:trPr>
          <w:trHeight w:val="201"/>
        </w:trPr>
        <w:tc>
          <w:tcPr>
            <w:tcW w:w="5880" w:type="dxa"/>
            <w:vAlign w:val="bottom"/>
          </w:tcPr>
          <w:p>
            <w:pPr>
              <w:spacing w:after="0"/>
              <w:rPr>
                <w:sz w:val="20"/>
                <w:szCs w:val="20"/>
                <w:color w:val="auto"/>
              </w:rPr>
            </w:pPr>
            <w:r>
              <w:rPr>
                <w:rFonts w:ascii="Times New Roman" w:cs="Times New Roman" w:eastAsia="Times New Roman" w:hAnsi="Times New Roman"/>
                <w:sz w:val="14"/>
                <w:szCs w:val="14"/>
                <w:color w:val="231F20"/>
              </w:rPr>
              <w:t>Conversion and redemption of downREIT OP units</w:t>
            </w: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231F20"/>
              </w:rPr>
              <w:t>1,636</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1,636</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(2,596)</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(960)</w:t>
            </w:r>
          </w:p>
        </w:tc>
        <w:tc>
          <w:tcPr>
            <w:tcW w:w="0" w:type="dxa"/>
            <w:vAlign w:val="bottom"/>
          </w:tcPr>
          <w:p>
            <w:pPr>
              <w:spacing w:after="0"/>
              <w:rPr>
                <w:sz w:val="1"/>
                <w:szCs w:val="1"/>
                <w:color w:val="auto"/>
              </w:rPr>
            </w:pPr>
          </w:p>
        </w:tc>
      </w:tr>
      <w:tr>
        <w:trPr>
          <w:trHeight w:val="191"/>
        </w:trPr>
        <w:tc>
          <w:tcPr>
            <w:tcW w:w="5880" w:type="dxa"/>
            <w:vAlign w:val="bottom"/>
          </w:tcPr>
          <w:p>
            <w:pPr>
              <w:spacing w:after="0"/>
              <w:rPr>
                <w:sz w:val="20"/>
                <w:szCs w:val="20"/>
                <w:color w:val="auto"/>
              </w:rPr>
            </w:pPr>
            <w:r>
              <w:rPr>
                <w:rFonts w:ascii="Times New Roman" w:cs="Times New Roman" w:eastAsia="Times New Roman" w:hAnsi="Times New Roman"/>
                <w:sz w:val="14"/>
                <w:szCs w:val="14"/>
                <w:color w:val="231F20"/>
              </w:rPr>
              <w:t>Purchase of capped calls</w:t>
            </w: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(19,448)</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(19,448)</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(19,448)</w:t>
            </w:r>
          </w:p>
        </w:tc>
        <w:tc>
          <w:tcPr>
            <w:tcW w:w="0" w:type="dxa"/>
            <w:vAlign w:val="bottom"/>
          </w:tcPr>
          <w:p>
            <w:pPr>
              <w:spacing w:after="0"/>
              <w:rPr>
                <w:sz w:val="1"/>
                <w:szCs w:val="1"/>
                <w:color w:val="auto"/>
              </w:rPr>
            </w:pPr>
          </w:p>
        </w:tc>
      </w:tr>
      <w:tr>
        <w:trPr>
          <w:trHeight w:val="214"/>
        </w:trPr>
        <w:tc>
          <w:tcPr>
            <w:tcW w:w="5880" w:type="dxa"/>
            <w:vAlign w:val="bottom"/>
          </w:tcPr>
          <w:p>
            <w:pPr>
              <w:spacing w:after="0"/>
              <w:rPr>
                <w:sz w:val="20"/>
                <w:szCs w:val="20"/>
                <w:color w:val="auto"/>
              </w:rPr>
            </w:pPr>
            <w:r>
              <w:rPr>
                <w:rFonts w:ascii="Times New Roman" w:cs="Times New Roman" w:eastAsia="Times New Roman" w:hAnsi="Times New Roman"/>
                <w:sz w:val="14"/>
                <w:szCs w:val="14"/>
                <w:color w:val="231F20"/>
              </w:rPr>
              <w:t>Purchase of noncontrolling interest</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(10,264)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(10,264)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(2,094)</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(12,358)</w:t>
            </w:r>
          </w:p>
        </w:tc>
        <w:tc>
          <w:tcPr>
            <w:tcW w:w="0" w:type="dxa"/>
            <w:vAlign w:val="bottom"/>
          </w:tcPr>
          <w:p>
            <w:pPr>
              <w:spacing w:after="0"/>
              <w:rPr>
                <w:sz w:val="1"/>
                <w:szCs w:val="1"/>
                <w:color w:val="auto"/>
              </w:rPr>
            </w:pPr>
          </w:p>
        </w:tc>
      </w:tr>
      <w:tr>
        <w:trPr>
          <w:trHeight w:val="214"/>
        </w:trPr>
        <w:tc>
          <w:tcPr>
            <w:tcW w:w="5880" w:type="dxa"/>
            <w:vAlign w:val="bottom"/>
          </w:tcPr>
          <w:p>
            <w:pPr>
              <w:spacing w:after="0"/>
              <w:rPr>
                <w:sz w:val="20"/>
                <w:szCs w:val="20"/>
                <w:color w:val="auto"/>
              </w:rPr>
            </w:pPr>
            <w:r>
              <w:rPr>
                <w:rFonts w:ascii="Times New Roman" w:cs="Times New Roman" w:eastAsia="Times New Roman" w:hAnsi="Times New Roman"/>
                <w:sz w:val="14"/>
                <w:szCs w:val="14"/>
                <w:color w:val="231F20"/>
              </w:rPr>
              <w:t>Contributions from noncontrolling interests</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725</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725</w:t>
            </w:r>
          </w:p>
        </w:tc>
        <w:tc>
          <w:tcPr>
            <w:tcW w:w="0" w:type="dxa"/>
            <w:vAlign w:val="bottom"/>
          </w:tcPr>
          <w:p>
            <w:pPr>
              <w:spacing w:after="0"/>
              <w:rPr>
                <w:sz w:val="1"/>
                <w:szCs w:val="1"/>
                <w:color w:val="auto"/>
              </w:rPr>
            </w:pPr>
          </w:p>
        </w:tc>
      </w:tr>
      <w:tr>
        <w:trPr>
          <w:trHeight w:val="218"/>
        </w:trPr>
        <w:tc>
          <w:tcPr>
            <w:tcW w:w="5880" w:type="dxa"/>
            <w:vAlign w:val="bottom"/>
          </w:tcPr>
          <w:p>
            <w:pPr>
              <w:spacing w:after="0"/>
              <w:rPr>
                <w:sz w:val="20"/>
                <w:szCs w:val="20"/>
                <w:color w:val="auto"/>
              </w:rPr>
            </w:pPr>
            <w:r>
              <w:rPr>
                <w:rFonts w:ascii="Times New Roman" w:cs="Times New Roman" w:eastAsia="Times New Roman" w:hAnsi="Times New Roman"/>
                <w:sz w:val="14"/>
                <w:szCs w:val="14"/>
                <w:color w:val="231F20"/>
              </w:rPr>
              <w:t>Adjustment to redeemable noncontrolling interests</w:t>
            </w:r>
          </w:p>
        </w:tc>
        <w:tc>
          <w:tcPr>
            <w:tcW w:w="120" w:type="dxa"/>
            <w:vAlign w:val="bottom"/>
            <w:tcBorders>
              <w:bottom w:val="single" w:sz="8" w:color="231F20"/>
            </w:tcBorders>
          </w:tcPr>
          <w:p>
            <w:pPr>
              <w:spacing w:after="0"/>
              <w:rPr>
                <w:sz w:val="18"/>
                <w:szCs w:val="18"/>
                <w:color w:val="auto"/>
              </w:rPr>
            </w:pPr>
          </w:p>
        </w:tc>
        <w:tc>
          <w:tcPr>
            <w:tcW w:w="11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8"/>
                <w:szCs w:val="18"/>
                <w:color w:val="auto"/>
              </w:rPr>
            </w:pPr>
          </w:p>
        </w:tc>
        <w:tc>
          <w:tcPr>
            <w:tcW w:w="140" w:type="dxa"/>
            <w:vAlign w:val="bottom"/>
            <w:tcBorders>
              <w:bottom w:val="single" w:sz="8" w:color="231F20"/>
            </w:tcBorders>
          </w:tcPr>
          <w:p>
            <w:pPr>
              <w:spacing w:after="0"/>
              <w:rPr>
                <w:sz w:val="18"/>
                <w:szCs w:val="18"/>
                <w:color w:val="auto"/>
              </w:rPr>
            </w:pPr>
          </w:p>
        </w:tc>
        <w:tc>
          <w:tcPr>
            <w:tcW w:w="11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4"/>
                <w:szCs w:val="14"/>
                <w:color w:val="231F20"/>
              </w:rPr>
              <w:t>1,268</w:t>
            </w:r>
          </w:p>
        </w:tc>
        <w:tc>
          <w:tcPr>
            <w:tcW w:w="60" w:type="dxa"/>
            <w:vAlign w:val="bottom"/>
          </w:tcPr>
          <w:p>
            <w:pPr>
              <w:spacing w:after="0"/>
              <w:rPr>
                <w:sz w:val="18"/>
                <w:szCs w:val="18"/>
                <w:color w:val="auto"/>
              </w:rPr>
            </w:pPr>
          </w:p>
        </w:tc>
        <w:tc>
          <w:tcPr>
            <w:tcW w:w="140" w:type="dxa"/>
            <w:vAlign w:val="bottom"/>
            <w:tcBorders>
              <w:bottom w:val="single" w:sz="8" w:color="231F20"/>
            </w:tcBorders>
          </w:tcPr>
          <w:p>
            <w:pPr>
              <w:spacing w:after="0"/>
              <w:rPr>
                <w:sz w:val="18"/>
                <w:szCs w:val="18"/>
                <w:color w:val="auto"/>
              </w:rPr>
            </w:pPr>
          </w:p>
        </w:tc>
        <w:tc>
          <w:tcPr>
            <w:tcW w:w="11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8"/>
                <w:szCs w:val="18"/>
                <w:color w:val="auto"/>
              </w:rPr>
            </w:pPr>
          </w:p>
        </w:tc>
        <w:tc>
          <w:tcPr>
            <w:tcW w:w="160" w:type="dxa"/>
            <w:vAlign w:val="bottom"/>
            <w:tcBorders>
              <w:bottom w:val="single" w:sz="8" w:color="231F20"/>
            </w:tcBorders>
          </w:tcPr>
          <w:p>
            <w:pPr>
              <w:spacing w:after="0"/>
              <w:rPr>
                <w:sz w:val="18"/>
                <w:szCs w:val="18"/>
                <w:color w:val="auto"/>
              </w:rPr>
            </w:pPr>
          </w:p>
        </w:tc>
        <w:tc>
          <w:tcPr>
            <w:tcW w:w="10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4"/>
                <w:szCs w:val="14"/>
                <w:color w:val="231F20"/>
              </w:rPr>
              <w:t>1,268</w:t>
            </w:r>
          </w:p>
        </w:tc>
        <w:tc>
          <w:tcPr>
            <w:tcW w:w="60" w:type="dxa"/>
            <w:vAlign w:val="bottom"/>
          </w:tcPr>
          <w:p>
            <w:pPr>
              <w:spacing w:after="0"/>
              <w:rPr>
                <w:sz w:val="18"/>
                <w:szCs w:val="18"/>
                <w:color w:val="auto"/>
              </w:rPr>
            </w:pPr>
          </w:p>
        </w:tc>
        <w:tc>
          <w:tcPr>
            <w:tcW w:w="140" w:type="dxa"/>
            <w:vAlign w:val="bottom"/>
            <w:tcBorders>
              <w:bottom w:val="single" w:sz="8" w:color="231F20"/>
            </w:tcBorders>
          </w:tcPr>
          <w:p>
            <w:pPr>
              <w:spacing w:after="0"/>
              <w:rPr>
                <w:sz w:val="18"/>
                <w:szCs w:val="18"/>
                <w:color w:val="auto"/>
              </w:rPr>
            </w:pPr>
          </w:p>
        </w:tc>
        <w:tc>
          <w:tcPr>
            <w:tcW w:w="11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8"/>
                <w:szCs w:val="18"/>
                <w:color w:val="auto"/>
              </w:rPr>
            </w:pPr>
          </w:p>
        </w:tc>
        <w:tc>
          <w:tcPr>
            <w:tcW w:w="180" w:type="dxa"/>
            <w:vAlign w:val="bottom"/>
            <w:tcBorders>
              <w:bottom w:val="single" w:sz="8" w:color="231F20"/>
            </w:tcBorders>
          </w:tcPr>
          <w:p>
            <w:pPr>
              <w:spacing w:after="0"/>
              <w:rPr>
                <w:sz w:val="18"/>
                <w:szCs w:val="18"/>
                <w:color w:val="auto"/>
              </w:rPr>
            </w:pPr>
          </w:p>
        </w:tc>
        <w:tc>
          <w:tcPr>
            <w:tcW w:w="10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4"/>
                <w:szCs w:val="14"/>
                <w:color w:val="231F20"/>
              </w:rPr>
              <w:t>1,268</w:t>
            </w:r>
          </w:p>
        </w:tc>
        <w:tc>
          <w:tcPr>
            <w:tcW w:w="0" w:type="dxa"/>
            <w:vAlign w:val="bottom"/>
          </w:tcPr>
          <w:p>
            <w:pPr>
              <w:spacing w:after="0"/>
              <w:rPr>
                <w:sz w:val="1"/>
                <w:szCs w:val="1"/>
                <w:color w:val="auto"/>
              </w:rPr>
            </w:pPr>
          </w:p>
        </w:tc>
      </w:tr>
      <w:tr>
        <w:trPr>
          <w:trHeight w:val="156"/>
        </w:trPr>
        <w:tc>
          <w:tcPr>
            <w:tcW w:w="5880" w:type="dxa"/>
            <w:vAlign w:val="bottom"/>
          </w:tcPr>
          <w:p>
            <w:pPr>
              <w:spacing w:after="0" w:line="155" w:lineRule="exact"/>
              <w:rPr>
                <w:sz w:val="20"/>
                <w:szCs w:val="20"/>
                <w:color w:val="auto"/>
              </w:rPr>
            </w:pPr>
            <w:r>
              <w:rPr>
                <w:rFonts w:ascii="Times New Roman" w:cs="Times New Roman" w:eastAsia="Times New Roman" w:hAnsi="Times New Roman"/>
                <w:sz w:val="14"/>
                <w:szCs w:val="14"/>
                <w:color w:val="231F20"/>
              </w:rPr>
              <w:t>BALANCE AT DECEMBER 31, 2024</w:t>
            </w:r>
          </w:p>
        </w:tc>
        <w:tc>
          <w:tcPr>
            <w:tcW w:w="12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231F20"/>
              </w:rPr>
              <w:t>$</w:t>
            </w:r>
          </w:p>
        </w:tc>
        <w:tc>
          <w:tcPr>
            <w:tcW w:w="112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231F20"/>
              </w:rPr>
              <w:t>154,788</w:t>
            </w:r>
          </w:p>
        </w:tc>
        <w:tc>
          <w:tcPr>
            <w:tcW w:w="60" w:type="dxa"/>
            <w:vAlign w:val="bottom"/>
          </w:tcPr>
          <w:p>
            <w:pPr>
              <w:spacing w:after="0"/>
              <w:rPr>
                <w:sz w:val="13"/>
                <w:szCs w:val="13"/>
                <w:color w:val="auto"/>
              </w:rPr>
            </w:pPr>
          </w:p>
        </w:tc>
        <w:tc>
          <w:tcPr>
            <w:tcW w:w="14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231F20"/>
              </w:rPr>
              <w:t>$</w:t>
            </w:r>
          </w:p>
        </w:tc>
        <w:tc>
          <w:tcPr>
            <w:tcW w:w="1100" w:type="dxa"/>
            <w:vAlign w:val="bottom"/>
          </w:tcPr>
          <w:p>
            <w:pPr>
              <w:jc w:val="right"/>
              <w:ind w:right="9"/>
              <w:spacing w:after="0" w:line="156" w:lineRule="exact"/>
              <w:rPr>
                <w:sz w:val="20"/>
                <w:szCs w:val="20"/>
                <w:color w:val="auto"/>
              </w:rPr>
            </w:pPr>
            <w:r>
              <w:rPr>
                <w:rFonts w:ascii="Times New Roman" w:cs="Times New Roman" w:eastAsia="Times New Roman" w:hAnsi="Times New Roman"/>
                <w:sz w:val="14"/>
                <w:szCs w:val="14"/>
                <w:color w:val="231F20"/>
              </w:rPr>
              <w:t>3,012,066</w:t>
            </w:r>
          </w:p>
        </w:tc>
        <w:tc>
          <w:tcPr>
            <w:tcW w:w="60" w:type="dxa"/>
            <w:vAlign w:val="bottom"/>
          </w:tcPr>
          <w:p>
            <w:pPr>
              <w:spacing w:after="0"/>
              <w:rPr>
                <w:sz w:val="13"/>
                <w:szCs w:val="13"/>
                <w:color w:val="auto"/>
              </w:rPr>
            </w:pPr>
          </w:p>
        </w:tc>
        <w:tc>
          <w:tcPr>
            <w:tcW w:w="14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231F20"/>
              </w:rPr>
              <w:t>$</w:t>
            </w:r>
          </w:p>
        </w:tc>
        <w:tc>
          <w:tcPr>
            <w:tcW w:w="110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231F20"/>
              </w:rPr>
              <w:t>4,740</w:t>
            </w:r>
          </w:p>
        </w:tc>
        <w:tc>
          <w:tcPr>
            <w:tcW w:w="80" w:type="dxa"/>
            <w:vAlign w:val="bottom"/>
          </w:tcPr>
          <w:p>
            <w:pPr>
              <w:spacing w:after="0"/>
              <w:rPr>
                <w:sz w:val="13"/>
                <w:szCs w:val="13"/>
                <w:color w:val="auto"/>
              </w:rPr>
            </w:pPr>
          </w:p>
        </w:tc>
        <w:tc>
          <w:tcPr>
            <w:tcW w:w="16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231F20"/>
              </w:rPr>
              <w:t>$</w:t>
            </w:r>
          </w:p>
        </w:tc>
        <w:tc>
          <w:tcPr>
            <w:tcW w:w="108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231F20"/>
              </w:rPr>
              <w:t>3,171,594</w:t>
            </w:r>
          </w:p>
        </w:tc>
        <w:tc>
          <w:tcPr>
            <w:tcW w:w="60" w:type="dxa"/>
            <w:vAlign w:val="bottom"/>
          </w:tcPr>
          <w:p>
            <w:pPr>
              <w:spacing w:after="0"/>
              <w:rPr>
                <w:sz w:val="13"/>
                <w:szCs w:val="13"/>
                <w:color w:val="auto"/>
              </w:rPr>
            </w:pPr>
          </w:p>
        </w:tc>
        <w:tc>
          <w:tcPr>
            <w:tcW w:w="14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231F20"/>
              </w:rPr>
              <w:t>$</w:t>
            </w:r>
          </w:p>
        </w:tc>
        <w:tc>
          <w:tcPr>
            <w:tcW w:w="110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231F20"/>
              </w:rPr>
              <w:t>72,550</w:t>
            </w:r>
          </w:p>
        </w:tc>
        <w:tc>
          <w:tcPr>
            <w:tcW w:w="60" w:type="dxa"/>
            <w:vAlign w:val="bottom"/>
          </w:tcPr>
          <w:p>
            <w:pPr>
              <w:spacing w:after="0"/>
              <w:rPr>
                <w:sz w:val="13"/>
                <w:szCs w:val="13"/>
                <w:color w:val="auto"/>
              </w:rPr>
            </w:pPr>
          </w:p>
        </w:tc>
        <w:tc>
          <w:tcPr>
            <w:tcW w:w="18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231F20"/>
              </w:rPr>
              <w:t>$</w:t>
            </w:r>
          </w:p>
        </w:tc>
        <w:tc>
          <w:tcPr>
            <w:tcW w:w="106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231F20"/>
              </w:rPr>
              <w:t>3,244,144</w:t>
            </w:r>
          </w:p>
        </w:tc>
        <w:tc>
          <w:tcPr>
            <w:tcW w:w="0" w:type="dxa"/>
            <w:vAlign w:val="bottom"/>
          </w:tcPr>
          <w:p>
            <w:pPr>
              <w:spacing w:after="0"/>
              <w:rPr>
                <w:sz w:val="1"/>
                <w:szCs w:val="1"/>
                <w:color w:val="auto"/>
              </w:rPr>
            </w:pPr>
          </w:p>
        </w:tc>
      </w:tr>
      <w:tr>
        <w:trPr>
          <w:trHeight w:val="191"/>
        </w:trPr>
        <w:tc>
          <w:tcPr>
            <w:tcW w:w="5880" w:type="dxa"/>
            <w:vAlign w:val="bottom"/>
          </w:tcPr>
          <w:p>
            <w:pPr>
              <w:spacing w:after="0"/>
              <w:rPr>
                <w:sz w:val="20"/>
                <w:szCs w:val="20"/>
                <w:color w:val="auto"/>
              </w:rPr>
            </w:pPr>
            <w:r>
              <w:rPr>
                <w:rFonts w:ascii="Times New Roman" w:cs="Times New Roman" w:eastAsia="Times New Roman" w:hAnsi="Times New Roman"/>
                <w:sz w:val="14"/>
                <w:szCs w:val="14"/>
                <w:color w:val="231F20"/>
              </w:rPr>
              <w:t>Net income, excluding $8,138 attributable to redeemable noncontrolling interests</w:t>
            </w: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8,032</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231F20"/>
              </w:rPr>
              <w:t>403,045</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411,077</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4,433</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415,510</w:t>
            </w:r>
          </w:p>
        </w:tc>
        <w:tc>
          <w:tcPr>
            <w:tcW w:w="0" w:type="dxa"/>
            <w:vAlign w:val="bottom"/>
          </w:tcPr>
          <w:p>
            <w:pPr>
              <w:spacing w:after="0"/>
              <w:rPr>
                <w:sz w:val="1"/>
                <w:szCs w:val="1"/>
                <w:color w:val="auto"/>
              </w:rPr>
            </w:pPr>
          </w:p>
        </w:tc>
      </w:tr>
      <w:tr>
        <w:trPr>
          <w:trHeight w:val="192"/>
        </w:trPr>
        <w:tc>
          <w:tcPr>
            <w:tcW w:w="5880" w:type="dxa"/>
            <w:vAlign w:val="bottom"/>
          </w:tcPr>
          <w:p>
            <w:pPr>
              <w:spacing w:after="0"/>
              <w:rPr>
                <w:sz w:val="20"/>
                <w:szCs w:val="20"/>
                <w:color w:val="auto"/>
              </w:rPr>
            </w:pPr>
            <w:r>
              <w:rPr>
                <w:rFonts w:ascii="Times New Roman" w:cs="Times New Roman" w:eastAsia="Times New Roman" w:hAnsi="Times New Roman"/>
                <w:sz w:val="14"/>
                <w:szCs w:val="14"/>
                <w:color w:val="231F20"/>
              </w:rPr>
              <w:t>Other comprehensive loss - change in fair value of interest rate swaps, excluding $210 attributable</w:t>
            </w: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5880" w:type="dxa"/>
            <w:vAlign w:val="bottom"/>
          </w:tcPr>
          <w:p>
            <w:pPr>
              <w:spacing w:after="0"/>
              <w:rPr>
                <w:sz w:val="20"/>
                <w:szCs w:val="20"/>
                <w:color w:val="auto"/>
              </w:rPr>
            </w:pPr>
            <w:r>
              <w:rPr>
                <w:rFonts w:ascii="Times New Roman" w:cs="Times New Roman" w:eastAsia="Times New Roman" w:hAnsi="Times New Roman"/>
                <w:sz w:val="14"/>
                <w:szCs w:val="14"/>
                <w:color w:val="231F20"/>
              </w:rPr>
              <w:t>to redeemable noncontrolling interest</w:t>
            </w:r>
          </w:p>
        </w:tc>
        <w:tc>
          <w:tcPr>
            <w:tcW w:w="1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(2,693)</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(2,693)</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(2,693)</w:t>
            </w:r>
          </w:p>
        </w:tc>
        <w:tc>
          <w:tcPr>
            <w:tcW w:w="0" w:type="dxa"/>
            <w:vAlign w:val="bottom"/>
          </w:tcPr>
          <w:p>
            <w:pPr>
              <w:spacing w:after="0"/>
              <w:rPr>
                <w:sz w:val="1"/>
                <w:szCs w:val="1"/>
                <w:color w:val="auto"/>
              </w:rPr>
            </w:pPr>
          </w:p>
        </w:tc>
      </w:tr>
      <w:tr>
        <w:trPr>
          <w:trHeight w:val="192"/>
        </w:trPr>
        <w:tc>
          <w:tcPr>
            <w:tcW w:w="5880" w:type="dxa"/>
            <w:vAlign w:val="bottom"/>
          </w:tcPr>
          <w:p>
            <w:pPr>
              <w:spacing w:after="0"/>
              <w:rPr>
                <w:sz w:val="20"/>
                <w:szCs w:val="20"/>
                <w:color w:val="auto"/>
              </w:rPr>
            </w:pPr>
            <w:r>
              <w:rPr>
                <w:rFonts w:ascii="Times New Roman" w:cs="Times New Roman" w:eastAsia="Times New Roman" w:hAnsi="Times New Roman"/>
                <w:sz w:val="14"/>
                <w:szCs w:val="14"/>
                <w:color w:val="231F20"/>
              </w:rPr>
              <w:t>Distributions declared to common unit holders</w:t>
            </w: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(384,763)</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(384,763)</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(384,763)</w:t>
            </w:r>
          </w:p>
        </w:tc>
        <w:tc>
          <w:tcPr>
            <w:tcW w:w="0" w:type="dxa"/>
            <w:vAlign w:val="bottom"/>
          </w:tcPr>
          <w:p>
            <w:pPr>
              <w:spacing w:after="0"/>
              <w:rPr>
                <w:sz w:val="1"/>
                <w:szCs w:val="1"/>
                <w:color w:val="auto"/>
              </w:rPr>
            </w:pPr>
          </w:p>
        </w:tc>
      </w:tr>
      <w:tr>
        <w:trPr>
          <w:trHeight w:val="201"/>
        </w:trPr>
        <w:tc>
          <w:tcPr>
            <w:tcW w:w="5880" w:type="dxa"/>
            <w:vAlign w:val="bottom"/>
          </w:tcPr>
          <w:p>
            <w:pPr>
              <w:spacing w:after="0"/>
              <w:rPr>
                <w:sz w:val="20"/>
                <w:szCs w:val="20"/>
                <w:color w:val="auto"/>
              </w:rPr>
            </w:pPr>
            <w:r>
              <w:rPr>
                <w:rFonts w:ascii="Times New Roman" w:cs="Times New Roman" w:eastAsia="Times New Roman" w:hAnsi="Times New Roman"/>
                <w:sz w:val="14"/>
                <w:szCs w:val="14"/>
                <w:color w:val="231F20"/>
              </w:rPr>
              <w:t>Distributions declared to preferred unit holders</w:t>
            </w: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(8,032)</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(8,032)</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(8,032)</w:t>
            </w:r>
          </w:p>
        </w:tc>
        <w:tc>
          <w:tcPr>
            <w:tcW w:w="0" w:type="dxa"/>
            <w:vAlign w:val="bottom"/>
          </w:tcPr>
          <w:p>
            <w:pPr>
              <w:spacing w:after="0"/>
              <w:rPr>
                <w:sz w:val="1"/>
                <w:szCs w:val="1"/>
                <w:color w:val="auto"/>
              </w:rPr>
            </w:pPr>
          </w:p>
        </w:tc>
      </w:tr>
      <w:tr>
        <w:trPr>
          <w:trHeight w:val="169"/>
        </w:trPr>
        <w:tc>
          <w:tcPr>
            <w:tcW w:w="5880" w:type="dxa"/>
            <w:vAlign w:val="bottom"/>
          </w:tcPr>
          <w:p>
            <w:pPr>
              <w:spacing w:after="0"/>
              <w:rPr>
                <w:sz w:val="20"/>
                <w:szCs w:val="20"/>
                <w:color w:val="auto"/>
              </w:rPr>
            </w:pPr>
            <w:r>
              <w:rPr>
                <w:rFonts w:ascii="Times New Roman" w:cs="Times New Roman" w:eastAsia="Times New Roman" w:hAnsi="Times New Roman"/>
                <w:sz w:val="14"/>
                <w:szCs w:val="14"/>
                <w:color w:val="231F20"/>
              </w:rPr>
              <w:t>Distributions declared to noncontrolling interests in consolidated partnerships, excluding $8,459</w:t>
            </w: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5880" w:type="dxa"/>
            <w:vAlign w:val="bottom"/>
          </w:tcPr>
          <w:p>
            <w:pPr>
              <w:spacing w:after="0"/>
              <w:rPr>
                <w:sz w:val="20"/>
                <w:szCs w:val="20"/>
                <w:color w:val="auto"/>
              </w:rPr>
            </w:pPr>
            <w:r>
              <w:rPr>
                <w:rFonts w:ascii="Times New Roman" w:cs="Times New Roman" w:eastAsia="Times New Roman" w:hAnsi="Times New Roman"/>
                <w:sz w:val="14"/>
                <w:szCs w:val="14"/>
                <w:color w:val="231F20"/>
              </w:rPr>
              <w:t>attributable to redeemable noncontrolling interests</w:t>
            </w:r>
          </w:p>
        </w:tc>
        <w:tc>
          <w:tcPr>
            <w:tcW w:w="1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(5,345)</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(5,345)</w:t>
            </w:r>
          </w:p>
        </w:tc>
        <w:tc>
          <w:tcPr>
            <w:tcW w:w="0" w:type="dxa"/>
            <w:vAlign w:val="bottom"/>
          </w:tcPr>
          <w:p>
            <w:pPr>
              <w:spacing w:after="0"/>
              <w:rPr>
                <w:sz w:val="1"/>
                <w:szCs w:val="1"/>
                <w:color w:val="auto"/>
              </w:rPr>
            </w:pPr>
          </w:p>
        </w:tc>
      </w:tr>
      <w:tr>
        <w:trPr>
          <w:trHeight w:val="192"/>
        </w:trPr>
        <w:tc>
          <w:tcPr>
            <w:tcW w:w="5880" w:type="dxa"/>
            <w:vAlign w:val="bottom"/>
          </w:tcPr>
          <w:p>
            <w:pPr>
              <w:spacing w:after="0"/>
              <w:rPr>
                <w:sz w:val="20"/>
                <w:szCs w:val="20"/>
                <w:color w:val="auto"/>
              </w:rPr>
            </w:pPr>
            <w:r>
              <w:rPr>
                <w:rFonts w:ascii="Times New Roman" w:cs="Times New Roman" w:eastAsia="Times New Roman" w:hAnsi="Times New Roman"/>
                <w:sz w:val="14"/>
                <w:szCs w:val="14"/>
                <w:color w:val="231F20"/>
              </w:rPr>
              <w:t>Common units issued as a result of common stock issued by Parent Company, net of issuance costs</w:t>
            </w: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231F20"/>
              </w:rPr>
              <w:t>54,240</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54,240</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54,240</w:t>
            </w:r>
          </w:p>
        </w:tc>
        <w:tc>
          <w:tcPr>
            <w:tcW w:w="0" w:type="dxa"/>
            <w:vAlign w:val="bottom"/>
          </w:tcPr>
          <w:p>
            <w:pPr>
              <w:spacing w:after="0"/>
              <w:rPr>
                <w:sz w:val="1"/>
                <w:szCs w:val="1"/>
                <w:color w:val="auto"/>
              </w:rPr>
            </w:pPr>
          </w:p>
        </w:tc>
      </w:tr>
      <w:tr>
        <w:trPr>
          <w:trHeight w:val="185"/>
        </w:trPr>
        <w:tc>
          <w:tcPr>
            <w:tcW w:w="5880" w:type="dxa"/>
            <w:vAlign w:val="bottom"/>
          </w:tcPr>
          <w:p>
            <w:pPr>
              <w:spacing w:after="0"/>
              <w:rPr>
                <w:sz w:val="20"/>
                <w:szCs w:val="20"/>
                <w:color w:val="auto"/>
              </w:rPr>
            </w:pPr>
            <w:r>
              <w:rPr>
                <w:rFonts w:ascii="Times New Roman" w:cs="Times New Roman" w:eastAsia="Times New Roman" w:hAnsi="Times New Roman"/>
                <w:sz w:val="14"/>
                <w:szCs w:val="14"/>
                <w:color w:val="231F20"/>
              </w:rPr>
              <w:t>Common units issued under dividend reinvestment plan</w:t>
            </w: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231F20"/>
              </w:rPr>
              <w:t>1,840</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1,840</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1,840</w:t>
            </w:r>
          </w:p>
        </w:tc>
        <w:tc>
          <w:tcPr>
            <w:tcW w:w="0" w:type="dxa"/>
            <w:vAlign w:val="bottom"/>
          </w:tcPr>
          <w:p>
            <w:pPr>
              <w:spacing w:after="0"/>
              <w:rPr>
                <w:sz w:val="1"/>
                <w:szCs w:val="1"/>
                <w:color w:val="auto"/>
              </w:rPr>
            </w:pPr>
          </w:p>
        </w:tc>
      </w:tr>
      <w:tr>
        <w:trPr>
          <w:trHeight w:val="185"/>
        </w:trPr>
        <w:tc>
          <w:tcPr>
            <w:tcW w:w="5880" w:type="dxa"/>
            <w:vAlign w:val="bottom"/>
          </w:tcPr>
          <w:p>
            <w:pPr>
              <w:spacing w:after="0"/>
              <w:rPr>
                <w:sz w:val="20"/>
                <w:szCs w:val="20"/>
                <w:color w:val="auto"/>
              </w:rPr>
            </w:pPr>
            <w:r>
              <w:rPr>
                <w:rFonts w:ascii="Times New Roman" w:cs="Times New Roman" w:eastAsia="Times New Roman" w:hAnsi="Times New Roman"/>
                <w:sz w:val="14"/>
                <w:szCs w:val="14"/>
                <w:color w:val="231F20"/>
              </w:rPr>
              <w:t>Share-based compensation expense, net of forfeitures</w:t>
            </w: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231F20"/>
              </w:rPr>
              <w:t>15,561</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15,561</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15,561</w:t>
            </w:r>
          </w:p>
        </w:tc>
        <w:tc>
          <w:tcPr>
            <w:tcW w:w="0" w:type="dxa"/>
            <w:vAlign w:val="bottom"/>
          </w:tcPr>
          <w:p>
            <w:pPr>
              <w:spacing w:after="0"/>
              <w:rPr>
                <w:sz w:val="1"/>
                <w:szCs w:val="1"/>
                <w:color w:val="auto"/>
              </w:rPr>
            </w:pPr>
          </w:p>
        </w:tc>
      </w:tr>
      <w:tr>
        <w:trPr>
          <w:trHeight w:val="185"/>
        </w:trPr>
        <w:tc>
          <w:tcPr>
            <w:tcW w:w="5880" w:type="dxa"/>
            <w:vAlign w:val="bottom"/>
          </w:tcPr>
          <w:p>
            <w:pPr>
              <w:spacing w:after="0"/>
              <w:rPr>
                <w:sz w:val="20"/>
                <w:szCs w:val="20"/>
                <w:color w:val="auto"/>
              </w:rPr>
            </w:pPr>
            <w:r>
              <w:rPr>
                <w:rFonts w:ascii="Times New Roman" w:cs="Times New Roman" w:eastAsia="Times New Roman" w:hAnsi="Times New Roman"/>
                <w:sz w:val="14"/>
                <w:szCs w:val="14"/>
                <w:color w:val="231F20"/>
              </w:rPr>
              <w:t>Common units withheld for employee taxes</w:t>
            </w: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(4,911)</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(4,911)</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(4,911)</w:t>
            </w:r>
          </w:p>
        </w:tc>
        <w:tc>
          <w:tcPr>
            <w:tcW w:w="0" w:type="dxa"/>
            <w:vAlign w:val="bottom"/>
          </w:tcPr>
          <w:p>
            <w:pPr>
              <w:spacing w:after="0"/>
              <w:rPr>
                <w:sz w:val="1"/>
                <w:szCs w:val="1"/>
                <w:color w:val="auto"/>
              </w:rPr>
            </w:pPr>
          </w:p>
        </w:tc>
      </w:tr>
      <w:tr>
        <w:trPr>
          <w:trHeight w:val="185"/>
        </w:trPr>
        <w:tc>
          <w:tcPr>
            <w:tcW w:w="5880" w:type="dxa"/>
            <w:vAlign w:val="bottom"/>
          </w:tcPr>
          <w:p>
            <w:pPr>
              <w:spacing w:after="0"/>
              <w:rPr>
                <w:sz w:val="20"/>
                <w:szCs w:val="20"/>
                <w:color w:val="auto"/>
              </w:rPr>
            </w:pPr>
            <w:r>
              <w:rPr>
                <w:rFonts w:ascii="Times New Roman" w:cs="Times New Roman" w:eastAsia="Times New Roman" w:hAnsi="Times New Roman"/>
                <w:sz w:val="14"/>
                <w:szCs w:val="14"/>
                <w:color w:val="231F20"/>
              </w:rPr>
              <w:t>Conversion and redemption of downREIT OP units</w:t>
            </w: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(5,007)</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(5,007)</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(2,327)</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(7,334)</w:t>
            </w:r>
          </w:p>
        </w:tc>
        <w:tc>
          <w:tcPr>
            <w:tcW w:w="0" w:type="dxa"/>
            <w:vAlign w:val="bottom"/>
          </w:tcPr>
          <w:p>
            <w:pPr>
              <w:spacing w:after="0"/>
              <w:rPr>
                <w:sz w:val="1"/>
                <w:szCs w:val="1"/>
                <w:color w:val="auto"/>
              </w:rPr>
            </w:pPr>
          </w:p>
        </w:tc>
      </w:tr>
      <w:tr>
        <w:trPr>
          <w:trHeight w:val="185"/>
        </w:trPr>
        <w:tc>
          <w:tcPr>
            <w:tcW w:w="5880" w:type="dxa"/>
            <w:vAlign w:val="bottom"/>
          </w:tcPr>
          <w:p>
            <w:pPr>
              <w:spacing w:after="0"/>
              <w:rPr>
                <w:sz w:val="20"/>
                <w:szCs w:val="20"/>
                <w:color w:val="auto"/>
              </w:rPr>
            </w:pPr>
            <w:r>
              <w:rPr>
                <w:rFonts w:ascii="Times New Roman" w:cs="Times New Roman" w:eastAsia="Times New Roman" w:hAnsi="Times New Roman"/>
                <w:sz w:val="14"/>
                <w:szCs w:val="14"/>
                <w:color w:val="231F20"/>
              </w:rPr>
              <w:t>Contributions from noncontrolling interests</w:t>
            </w: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944</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944</w:t>
            </w:r>
          </w:p>
        </w:tc>
        <w:tc>
          <w:tcPr>
            <w:tcW w:w="0" w:type="dxa"/>
            <w:vAlign w:val="bottom"/>
          </w:tcPr>
          <w:p>
            <w:pPr>
              <w:spacing w:after="0"/>
              <w:rPr>
                <w:sz w:val="1"/>
                <w:szCs w:val="1"/>
                <w:color w:val="auto"/>
              </w:rPr>
            </w:pPr>
          </w:p>
        </w:tc>
      </w:tr>
      <w:tr>
        <w:trPr>
          <w:trHeight w:val="211"/>
        </w:trPr>
        <w:tc>
          <w:tcPr>
            <w:tcW w:w="5880" w:type="dxa"/>
            <w:vAlign w:val="bottom"/>
          </w:tcPr>
          <w:p>
            <w:pPr>
              <w:spacing w:after="0"/>
              <w:rPr>
                <w:sz w:val="20"/>
                <w:szCs w:val="20"/>
                <w:color w:val="auto"/>
              </w:rPr>
            </w:pPr>
            <w:r>
              <w:rPr>
                <w:rFonts w:ascii="Times New Roman" w:cs="Times New Roman" w:eastAsia="Times New Roman" w:hAnsi="Times New Roman"/>
                <w:sz w:val="14"/>
                <w:szCs w:val="14"/>
                <w:color w:val="231F20"/>
              </w:rPr>
              <w:t>Adjustment to redeemable noncontrolling interests</w:t>
            </w:r>
          </w:p>
        </w:tc>
        <w:tc>
          <w:tcPr>
            <w:tcW w:w="120" w:type="dxa"/>
            <w:vAlign w:val="bottom"/>
            <w:tcBorders>
              <w:bottom w:val="single" w:sz="8" w:color="231F20"/>
            </w:tcBorders>
          </w:tcPr>
          <w:p>
            <w:pPr>
              <w:spacing w:after="0"/>
              <w:rPr>
                <w:sz w:val="18"/>
                <w:szCs w:val="18"/>
                <w:color w:val="auto"/>
              </w:rPr>
            </w:pPr>
          </w:p>
        </w:tc>
        <w:tc>
          <w:tcPr>
            <w:tcW w:w="11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8"/>
                <w:szCs w:val="18"/>
                <w:color w:val="auto"/>
              </w:rPr>
            </w:pPr>
          </w:p>
        </w:tc>
        <w:tc>
          <w:tcPr>
            <w:tcW w:w="140" w:type="dxa"/>
            <w:vAlign w:val="bottom"/>
            <w:tcBorders>
              <w:bottom w:val="single" w:sz="8" w:color="231F20"/>
            </w:tcBorders>
          </w:tcPr>
          <w:p>
            <w:pPr>
              <w:spacing w:after="0"/>
              <w:rPr>
                <w:sz w:val="18"/>
                <w:szCs w:val="18"/>
                <w:color w:val="auto"/>
              </w:rPr>
            </w:pPr>
          </w:p>
        </w:tc>
        <w:tc>
          <w:tcPr>
            <w:tcW w:w="11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4"/>
                <w:szCs w:val="14"/>
                <w:color w:val="231F20"/>
              </w:rPr>
              <w:t>(175)</w:t>
            </w:r>
          </w:p>
        </w:tc>
        <w:tc>
          <w:tcPr>
            <w:tcW w:w="60" w:type="dxa"/>
            <w:vAlign w:val="bottom"/>
          </w:tcPr>
          <w:p>
            <w:pPr>
              <w:spacing w:after="0"/>
              <w:rPr>
                <w:sz w:val="18"/>
                <w:szCs w:val="18"/>
                <w:color w:val="auto"/>
              </w:rPr>
            </w:pPr>
          </w:p>
        </w:tc>
        <w:tc>
          <w:tcPr>
            <w:tcW w:w="140" w:type="dxa"/>
            <w:vAlign w:val="bottom"/>
            <w:tcBorders>
              <w:bottom w:val="single" w:sz="8" w:color="231F20"/>
            </w:tcBorders>
          </w:tcPr>
          <w:p>
            <w:pPr>
              <w:spacing w:after="0"/>
              <w:rPr>
                <w:sz w:val="18"/>
                <w:szCs w:val="18"/>
                <w:color w:val="auto"/>
              </w:rPr>
            </w:pPr>
          </w:p>
        </w:tc>
        <w:tc>
          <w:tcPr>
            <w:tcW w:w="11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8"/>
                <w:szCs w:val="18"/>
                <w:color w:val="auto"/>
              </w:rPr>
            </w:pPr>
          </w:p>
        </w:tc>
        <w:tc>
          <w:tcPr>
            <w:tcW w:w="160" w:type="dxa"/>
            <w:vAlign w:val="bottom"/>
            <w:tcBorders>
              <w:bottom w:val="single" w:sz="8" w:color="231F20"/>
            </w:tcBorders>
          </w:tcPr>
          <w:p>
            <w:pPr>
              <w:spacing w:after="0"/>
              <w:rPr>
                <w:sz w:val="18"/>
                <w:szCs w:val="18"/>
                <w:color w:val="auto"/>
              </w:rPr>
            </w:pPr>
          </w:p>
        </w:tc>
        <w:tc>
          <w:tcPr>
            <w:tcW w:w="10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4"/>
                <w:szCs w:val="14"/>
                <w:color w:val="231F20"/>
              </w:rPr>
              <w:t>(175)</w:t>
            </w:r>
          </w:p>
        </w:tc>
        <w:tc>
          <w:tcPr>
            <w:tcW w:w="60" w:type="dxa"/>
            <w:vAlign w:val="bottom"/>
          </w:tcPr>
          <w:p>
            <w:pPr>
              <w:spacing w:after="0"/>
              <w:rPr>
                <w:sz w:val="18"/>
                <w:szCs w:val="18"/>
                <w:color w:val="auto"/>
              </w:rPr>
            </w:pPr>
          </w:p>
        </w:tc>
        <w:tc>
          <w:tcPr>
            <w:tcW w:w="140" w:type="dxa"/>
            <w:vAlign w:val="bottom"/>
            <w:tcBorders>
              <w:bottom w:val="single" w:sz="8" w:color="231F20"/>
            </w:tcBorders>
          </w:tcPr>
          <w:p>
            <w:pPr>
              <w:spacing w:after="0"/>
              <w:rPr>
                <w:sz w:val="18"/>
                <w:szCs w:val="18"/>
                <w:color w:val="auto"/>
              </w:rPr>
            </w:pPr>
          </w:p>
        </w:tc>
        <w:tc>
          <w:tcPr>
            <w:tcW w:w="11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tcPr>
          <w:p>
            <w:pPr>
              <w:spacing w:after="0"/>
              <w:rPr>
                <w:sz w:val="18"/>
                <w:szCs w:val="18"/>
                <w:color w:val="auto"/>
              </w:rPr>
            </w:pPr>
          </w:p>
        </w:tc>
        <w:tc>
          <w:tcPr>
            <w:tcW w:w="180" w:type="dxa"/>
            <w:vAlign w:val="bottom"/>
            <w:tcBorders>
              <w:bottom w:val="single" w:sz="8" w:color="231F20"/>
            </w:tcBorders>
          </w:tcPr>
          <w:p>
            <w:pPr>
              <w:spacing w:after="0"/>
              <w:rPr>
                <w:sz w:val="18"/>
                <w:szCs w:val="18"/>
                <w:color w:val="auto"/>
              </w:rPr>
            </w:pPr>
          </w:p>
        </w:tc>
        <w:tc>
          <w:tcPr>
            <w:tcW w:w="10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4"/>
                <w:szCs w:val="14"/>
                <w:color w:val="231F20"/>
              </w:rPr>
              <w:t>(175)</w:t>
            </w:r>
          </w:p>
        </w:tc>
        <w:tc>
          <w:tcPr>
            <w:tcW w:w="0" w:type="dxa"/>
            <w:vAlign w:val="bottom"/>
          </w:tcPr>
          <w:p>
            <w:pPr>
              <w:spacing w:after="0"/>
              <w:rPr>
                <w:sz w:val="1"/>
                <w:szCs w:val="1"/>
                <w:color w:val="auto"/>
              </w:rPr>
            </w:pPr>
          </w:p>
        </w:tc>
      </w:tr>
      <w:tr>
        <w:trPr>
          <w:trHeight w:val="185"/>
        </w:trPr>
        <w:tc>
          <w:tcPr>
            <w:tcW w:w="5880" w:type="dxa"/>
            <w:vAlign w:val="bottom"/>
          </w:tcPr>
          <w:p>
            <w:pPr>
              <w:spacing w:after="0" w:line="155" w:lineRule="exact"/>
              <w:rPr>
                <w:sz w:val="20"/>
                <w:szCs w:val="20"/>
                <w:color w:val="auto"/>
              </w:rPr>
            </w:pPr>
            <w:r>
              <w:rPr>
                <w:rFonts w:ascii="Times New Roman" w:cs="Times New Roman" w:eastAsia="Times New Roman" w:hAnsi="Times New Roman"/>
                <w:sz w:val="14"/>
                <w:szCs w:val="14"/>
                <w:color w:val="231F20"/>
              </w:rPr>
              <w:t>BALANCE AT DECEMBER 31, 2025</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154,788</w:t>
            </w:r>
          </w:p>
        </w:tc>
        <w:tc>
          <w:tcPr>
            <w:tcW w:w="6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11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231F20"/>
              </w:rPr>
              <w:t>3,091,896</w:t>
            </w:r>
          </w:p>
        </w:tc>
        <w:tc>
          <w:tcPr>
            <w:tcW w:w="6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2,047</w:t>
            </w:r>
          </w:p>
        </w:tc>
        <w:tc>
          <w:tcPr>
            <w:tcW w:w="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3,248,731</w:t>
            </w:r>
          </w:p>
        </w:tc>
        <w:tc>
          <w:tcPr>
            <w:tcW w:w="6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70,255</w:t>
            </w:r>
          </w:p>
        </w:tc>
        <w:tc>
          <w:tcPr>
            <w:tcW w:w="6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3,318,986</w:t>
            </w:r>
          </w:p>
        </w:tc>
        <w:tc>
          <w:tcPr>
            <w:tcW w:w="0" w:type="dxa"/>
            <w:vAlign w:val="bottom"/>
          </w:tcPr>
          <w:p>
            <w:pPr>
              <w:spacing w:after="0"/>
              <w:rPr>
                <w:sz w:val="1"/>
                <w:szCs w:val="1"/>
                <w:color w:val="auto"/>
              </w:rPr>
            </w:pPr>
          </w:p>
        </w:tc>
      </w:tr>
    </w:tbl>
    <w:p>
      <w:pPr>
        <w:jc w:val="center"/>
        <w:ind w:right="40"/>
        <w:spacing w:after="0"/>
        <w:rPr>
          <w:sz w:val="20"/>
          <w:szCs w:val="20"/>
          <w:color w:val="auto"/>
        </w:rPr>
      </w:pPr>
      <w:r>
        <w:rPr>
          <w:rFonts w:ascii="Times New Roman" w:cs="Times New Roman" w:eastAsia="Times New Roman" w:hAnsi="Times New Roman"/>
          <w:sz w:val="17"/>
          <w:szCs w:val="17"/>
          <w:color w:val="231F20"/>
        </w:rPr>
        <w:t>The accompanying notes are an integral part of these consolidated statements.</w:t>
      </w:r>
    </w:p>
    <w:p>
      <w:pPr>
        <w:sectPr>
          <w:pgSz w:w="15480" w:h="11880" w:orient="landscape"/>
          <w:cols w:equalWidth="0" w:num="1">
            <w:col w:w="13640"/>
          </w:cols>
          <w:pgMar w:left="940" w:top="295" w:right="900" w:bottom="0" w:gutter="0" w:footer="0" w:header="0"/>
        </w:sectPr>
      </w:pPr>
    </w:p>
    <w:p>
      <w:pPr>
        <w:spacing w:after="0" w:line="35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231F20"/>
        </w:rPr>
        <w:t>F-14</w:t>
      </w:r>
    </w:p>
    <w:p>
      <w:pPr>
        <w:sectPr>
          <w:pgSz w:w="15480" w:h="11880" w:orient="landscape"/>
          <w:cols w:equalWidth="0" w:num="1">
            <w:col w:w="13640"/>
          </w:cols>
          <w:pgMar w:left="940" w:top="295" w:right="900" w:bottom="0" w:gutter="0" w:footer="0" w:header="0"/>
          <w:type w:val="continuous"/>
        </w:sectPr>
      </w:pPr>
    </w:p>
    <w:bookmarkStart w:id="78" w:name="page79"/>
    <w:bookmarkEnd w:id="78"/>
    <w:p>
      <w:pPr>
        <w:jc w:val="center"/>
        <w:ind w:right="40"/>
        <w:spacing w:after="0"/>
        <w:rPr>
          <w:sz w:val="20"/>
          <w:szCs w:val="20"/>
          <w:color w:val="auto"/>
        </w:rPr>
      </w:pPr>
      <w:r>
        <w:rPr>
          <w:rFonts w:ascii="Times New Roman" w:cs="Times New Roman" w:eastAsia="Times New Roman" w:hAnsi="Times New Roman"/>
          <w:sz w:val="19"/>
          <w:szCs w:val="19"/>
          <w:b w:val="1"/>
          <w:bCs w:val="1"/>
          <w:color w:val="231F20"/>
        </w:rPr>
        <w:t>Federal Realty OP LP</w:t>
      </w:r>
    </w:p>
    <w:p>
      <w:pPr>
        <w:spacing w:after="0" w:line="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b w:val="1"/>
          <w:bCs w:val="1"/>
          <w:color w:val="231F20"/>
        </w:rPr>
        <w:t>Consolidated Statements of Cash Flows</w:t>
      </w:r>
    </w:p>
    <w:p>
      <w:pPr>
        <w:sectPr>
          <w:pgSz w:w="11880" w:h="15480" w:orient="portrait"/>
          <w:cols w:equalWidth="0" w:num="1">
            <w:col w:w="9680"/>
          </w:cols>
          <w:pgMar w:left="1120" w:top="958"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OPERATING ACTIVITIES</w:t>
      </w:r>
    </w:p>
    <w:p>
      <w:pPr>
        <w:spacing w:after="0" w:line="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color w:val="231F20"/>
        </w:rPr>
        <w:t>Net income</w:t>
      </w:r>
    </w:p>
    <w:p>
      <w:pPr>
        <w:spacing w:after="0" w:line="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color w:val="231F20"/>
        </w:rPr>
        <w:t>Adjustments to reconcile net income to net cash provided by operating activities:</w:t>
      </w:r>
    </w:p>
    <w:p>
      <w:pPr>
        <w:spacing w:after="0" w:line="4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9"/>
          <w:szCs w:val="19"/>
          <w:color w:val="231F20"/>
        </w:rPr>
        <w:t>Depreciation and amortization</w:t>
      </w:r>
    </w:p>
    <w:p>
      <w:pPr>
        <w:spacing w:after="0" w:line="3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9"/>
          <w:szCs w:val="19"/>
          <w:color w:val="231F20"/>
        </w:rPr>
        <w:t>Gain on sale of real estate</w:t>
      </w:r>
    </w:p>
    <w:p>
      <w:pPr>
        <w:spacing w:after="0" w:line="2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9"/>
          <w:szCs w:val="19"/>
          <w:color w:val="231F20"/>
        </w:rPr>
        <w:t>Income from partnerships</w:t>
      </w:r>
    </w:p>
    <w:p>
      <w:pPr>
        <w:spacing w:after="0" w:line="4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9"/>
          <w:szCs w:val="19"/>
          <w:color w:val="231F20"/>
        </w:rPr>
        <w:t>New market tax credit transaction income</w:t>
      </w:r>
    </w:p>
    <w:p>
      <w:pPr>
        <w:spacing w:after="0" w:line="5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9"/>
          <w:szCs w:val="19"/>
          <w:color w:val="231F20"/>
        </w:rPr>
        <w:t>Straight-line rent</w:t>
      </w:r>
    </w:p>
    <w:p>
      <w:pPr>
        <w:spacing w:after="0" w:line="5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9"/>
          <w:szCs w:val="19"/>
          <w:color w:val="231F20"/>
        </w:rPr>
        <w:t>Share-based compensation expense</w:t>
      </w:r>
    </w:p>
    <w:p>
      <w:pPr>
        <w:spacing w:after="0" w:line="5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9"/>
          <w:szCs w:val="19"/>
          <w:color w:val="231F20"/>
        </w:rPr>
        <w:t>Impairment charge</w:t>
      </w:r>
    </w:p>
    <w:p>
      <w:pPr>
        <w:spacing w:after="0" w:line="5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9"/>
          <w:szCs w:val="19"/>
          <w:color w:val="231F20"/>
        </w:rPr>
        <w:t>Other, net</w:t>
      </w:r>
    </w:p>
    <w:p>
      <w:pPr>
        <w:spacing w:after="0" w:line="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color w:val="231F20"/>
        </w:rPr>
        <w:t>Changes in assets and liabilities, net of effects of acquisitions and dispositions:</w:t>
      </w:r>
    </w:p>
    <w:p>
      <w:pPr>
        <w:spacing w:after="0" w:line="20" w:lineRule="exact"/>
        <w:rPr>
          <w:sz w:val="20"/>
          <w:szCs w:val="20"/>
          <w:color w:val="auto"/>
        </w:rPr>
      </w:pPr>
      <w:r>
        <w:rPr>
          <w:sz w:val="20"/>
          <w:szCs w:val="20"/>
          <w:color w:val="auto"/>
        </w:rPr>
        <w:br w:type="column"/>
      </w:r>
    </w:p>
    <w:p>
      <w:pPr>
        <w:spacing w:after="0" w:line="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5"/>
          <w:szCs w:val="15"/>
          <w:b w:val="1"/>
          <w:bCs w:val="1"/>
          <w:color w:val="231F20"/>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22225</wp:posOffset>
            </wp:positionV>
            <wp:extent cx="1910715" cy="120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6">
                      <a:extLst>
                        <a:ext uri="{28A0092B-C50C-407E-A947-70E740481C1C}"/>
                      </a:extLst>
                    </a:blip>
                    <a:srcRect/>
                    <a:stretch>
                      <a:fillRect/>
                    </a:stretch>
                  </pic:blipFill>
                  <pic:spPr bwMode="auto">
                    <a:xfrm>
                      <a:off x="0" y="0"/>
                      <a:ext cx="1910715" cy="12065"/>
                    </a:xfrm>
                    <a:prstGeom prst="rect">
                      <a:avLst/>
                    </a:prstGeom>
                    <a:noFill/>
                  </pic:spPr>
                </pic:pic>
              </a:graphicData>
            </a:graphic>
          </wp:anchor>
        </w:drawing>
      </w:r>
    </w:p>
    <w:p>
      <w:pPr>
        <w:spacing w:after="0" w:line="36" w:lineRule="exact"/>
        <w:rPr>
          <w:sz w:val="20"/>
          <w:szCs w:val="20"/>
          <w:color w:val="auto"/>
        </w:rPr>
      </w:pPr>
    </w:p>
    <w:p>
      <w:pPr>
        <w:ind w:left="260"/>
        <w:spacing w:after="0"/>
        <w:tabs>
          <w:tab w:leader="none" w:pos="1280" w:val="left"/>
          <w:tab w:leader="none" w:pos="2300" w:val="left"/>
        </w:tabs>
        <w:rPr>
          <w:sz w:val="20"/>
          <w:szCs w:val="20"/>
          <w:color w:val="auto"/>
        </w:rPr>
      </w:pPr>
      <w:r>
        <w:rPr>
          <w:rFonts w:ascii="Times New Roman" w:cs="Times New Roman" w:eastAsia="Times New Roman" w:hAnsi="Times New Roman"/>
          <w:sz w:val="15"/>
          <w:szCs w:val="15"/>
          <w:b w:val="1"/>
          <w:bCs w:val="1"/>
          <w:color w:val="231F20"/>
        </w:rPr>
        <w:t>2025</w:t>
      </w:r>
      <w:r>
        <w:rPr>
          <w:sz w:val="20"/>
          <w:szCs w:val="20"/>
          <w:color w:val="auto"/>
        </w:rPr>
        <w:tab/>
      </w:r>
      <w:r>
        <w:rPr>
          <w:rFonts w:ascii="Times New Roman" w:cs="Times New Roman" w:eastAsia="Times New Roman" w:hAnsi="Times New Roman"/>
          <w:sz w:val="15"/>
          <w:szCs w:val="15"/>
          <w:b w:val="1"/>
          <w:bCs w:val="1"/>
          <w:color w:val="231F20"/>
        </w:rPr>
        <w:t>2024</w:t>
      </w:r>
      <w:r>
        <w:rPr>
          <w:sz w:val="20"/>
          <w:szCs w:val="20"/>
          <w:color w:val="auto"/>
        </w:rPr>
        <w:tab/>
      </w:r>
      <w:r>
        <w:rPr>
          <w:rFonts w:ascii="Times New Roman" w:cs="Times New Roman" w:eastAsia="Times New Roman" w:hAnsi="Times New Roman"/>
          <w:sz w:val="15"/>
          <w:szCs w:val="15"/>
          <w:b w:val="1"/>
          <w:bCs w:val="1"/>
          <w:color w:val="231F20"/>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22225</wp:posOffset>
            </wp:positionV>
            <wp:extent cx="1910715" cy="120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7">
                      <a:extLst>
                        <a:ext uri="{28A0092B-C50C-407E-A947-70E740481C1C}"/>
                      </a:extLst>
                    </a:blip>
                    <a:srcRect/>
                    <a:stretch>
                      <a:fillRect/>
                    </a:stretch>
                  </pic:blipFill>
                  <pic:spPr bwMode="auto">
                    <a:xfrm>
                      <a:off x="0" y="0"/>
                      <a:ext cx="1910715" cy="12065"/>
                    </a:xfrm>
                    <a:prstGeom prst="rect">
                      <a:avLst/>
                    </a:prstGeom>
                    <a:noFill/>
                  </pic:spPr>
                </pic:pic>
              </a:graphicData>
            </a:graphic>
          </wp:anchor>
        </w:drawing>
      </w:r>
    </w:p>
    <w:p>
      <w:pPr>
        <w:spacing w:after="0" w:line="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5"/>
          <w:szCs w:val="15"/>
          <w:b w:val="1"/>
          <w:bCs w:val="1"/>
          <w:color w:val="231F20"/>
        </w:rPr>
        <w:t>(In thousands)</w:t>
      </w:r>
    </w:p>
    <w:p>
      <w:pPr>
        <w:spacing w:after="0" w:line="268" w:lineRule="exact"/>
        <w:rPr>
          <w:sz w:val="20"/>
          <w:szCs w:val="20"/>
          <w:color w:val="auto"/>
        </w:rPr>
      </w:pPr>
    </w:p>
    <w:p>
      <w:pPr>
        <w:spacing w:after="0"/>
        <w:tabs>
          <w:tab w:leader="none" w:pos="1000" w:val="left"/>
          <w:tab w:leader="none" w:pos="2020" w:val="left"/>
        </w:tabs>
        <w:rPr>
          <w:sz w:val="20"/>
          <w:szCs w:val="20"/>
          <w:color w:val="auto"/>
        </w:rPr>
      </w:pPr>
      <w:r>
        <w:rPr>
          <w:rFonts w:ascii="Times New Roman" w:cs="Times New Roman" w:eastAsia="Times New Roman" w:hAnsi="Times New Roman"/>
          <w:sz w:val="19"/>
          <w:szCs w:val="19"/>
          <w:color w:val="231F20"/>
        </w:rPr>
        <w:t>$ 423,648</w:t>
        <w:tab/>
        <w:t>$ 304,334</w:t>
        <w:tab/>
        <w:t>$ 247,217</w:t>
      </w:r>
    </w:p>
    <w:p>
      <w:pPr>
        <w:spacing w:after="0" w:line="295" w:lineRule="exact"/>
        <w:rPr>
          <w:sz w:val="20"/>
          <w:szCs w:val="20"/>
          <w:color w:val="auto"/>
        </w:rPr>
      </w:pPr>
    </w:p>
    <w:p>
      <w:pPr>
        <w:ind w:left="200"/>
        <w:spacing w:after="0"/>
        <w:tabs>
          <w:tab w:leader="none" w:pos="1200" w:val="left"/>
          <w:tab w:leader="none" w:pos="2240" w:val="left"/>
        </w:tabs>
        <w:rPr>
          <w:sz w:val="20"/>
          <w:szCs w:val="20"/>
          <w:color w:val="auto"/>
        </w:rPr>
      </w:pPr>
      <w:r>
        <w:rPr>
          <w:rFonts w:ascii="Times New Roman" w:cs="Times New Roman" w:eastAsia="Times New Roman" w:hAnsi="Times New Roman"/>
          <w:sz w:val="19"/>
          <w:szCs w:val="19"/>
          <w:color w:val="231F20"/>
        </w:rPr>
        <w:t>367,842</w:t>
      </w:r>
      <w:r>
        <w:rPr>
          <w:sz w:val="20"/>
          <w:szCs w:val="20"/>
          <w:color w:val="auto"/>
        </w:rPr>
        <w:tab/>
      </w:r>
      <w:r>
        <w:rPr>
          <w:rFonts w:ascii="Times New Roman" w:cs="Times New Roman" w:eastAsia="Times New Roman" w:hAnsi="Times New Roman"/>
          <w:sz w:val="19"/>
          <w:szCs w:val="19"/>
          <w:color w:val="231F20"/>
        </w:rPr>
        <w:t>342,598</w:t>
      </w:r>
      <w:r>
        <w:rPr>
          <w:sz w:val="20"/>
          <w:szCs w:val="20"/>
          <w:color w:val="auto"/>
        </w:rPr>
        <w:tab/>
      </w:r>
      <w:r>
        <w:rPr>
          <w:rFonts w:ascii="Times New Roman" w:cs="Times New Roman" w:eastAsia="Times New Roman" w:hAnsi="Times New Roman"/>
          <w:sz w:val="19"/>
          <w:szCs w:val="19"/>
          <w:color w:val="231F20"/>
        </w:rPr>
        <w:t>321,763</w:t>
      </w:r>
    </w:p>
    <w:p>
      <w:pPr>
        <w:spacing w:after="0" w:line="31" w:lineRule="exact"/>
        <w:rPr>
          <w:sz w:val="20"/>
          <w:szCs w:val="20"/>
          <w:color w:val="auto"/>
        </w:rPr>
      </w:pPr>
    </w:p>
    <w:p>
      <w:pPr>
        <w:ind w:left="140"/>
        <w:spacing w:after="0"/>
        <w:tabs>
          <w:tab w:leader="none" w:pos="1240" w:val="left"/>
          <w:tab w:leader="none" w:pos="2360" w:val="left"/>
        </w:tabs>
        <w:rPr>
          <w:sz w:val="20"/>
          <w:szCs w:val="20"/>
          <w:color w:val="auto"/>
        </w:rPr>
      </w:pPr>
      <w:r>
        <w:rPr>
          <w:rFonts w:ascii="Times New Roman" w:cs="Times New Roman" w:eastAsia="Times New Roman" w:hAnsi="Times New Roman"/>
          <w:sz w:val="19"/>
          <w:szCs w:val="19"/>
          <w:color w:val="231F20"/>
        </w:rPr>
        <w:t>(150,111)</w:t>
      </w:r>
      <w:r>
        <w:rPr>
          <w:sz w:val="20"/>
          <w:szCs w:val="20"/>
          <w:color w:val="auto"/>
        </w:rPr>
        <w:tab/>
      </w:r>
      <w:r>
        <w:rPr>
          <w:rFonts w:ascii="Times New Roman" w:cs="Times New Roman" w:eastAsia="Times New Roman" w:hAnsi="Times New Roman"/>
          <w:sz w:val="19"/>
          <w:szCs w:val="19"/>
          <w:color w:val="231F20"/>
        </w:rPr>
        <w:t>(54,040)</w:t>
      </w:r>
      <w:r>
        <w:rPr>
          <w:sz w:val="20"/>
          <w:szCs w:val="20"/>
          <w:color w:val="auto"/>
        </w:rPr>
        <w:tab/>
      </w:r>
      <w:r>
        <w:rPr>
          <w:rFonts w:ascii="Times New Roman" w:cs="Times New Roman" w:eastAsia="Times New Roman" w:hAnsi="Times New Roman"/>
          <w:sz w:val="19"/>
          <w:szCs w:val="19"/>
          <w:color w:val="231F20"/>
        </w:rPr>
        <w:t>(9,881)</w:t>
      </w:r>
    </w:p>
    <w:p>
      <w:pPr>
        <w:spacing w:after="0" w:line="45" w:lineRule="exact"/>
        <w:rPr>
          <w:sz w:val="20"/>
          <w:szCs w:val="20"/>
          <w:color w:val="auto"/>
        </w:rPr>
      </w:pPr>
    </w:p>
    <w:p>
      <w:pPr>
        <w:jc w:val="both"/>
        <w:ind w:left="320"/>
        <w:spacing w:after="0"/>
        <w:tabs>
          <w:tab w:leader="none" w:pos="1340" w:val="left"/>
          <w:tab w:leader="none" w:pos="2360" w:val="left"/>
        </w:tabs>
        <w:rPr>
          <w:sz w:val="20"/>
          <w:szCs w:val="20"/>
          <w:color w:val="auto"/>
        </w:rPr>
      </w:pPr>
      <w:r>
        <w:rPr>
          <w:rFonts w:ascii="Times New Roman" w:cs="Times New Roman" w:eastAsia="Times New Roman" w:hAnsi="Times New Roman"/>
          <w:sz w:val="19"/>
          <w:szCs w:val="19"/>
          <w:color w:val="231F20"/>
        </w:rPr>
        <w:t>(1,920)</w:t>
      </w:r>
      <w:r>
        <w:rPr>
          <w:sz w:val="20"/>
          <w:szCs w:val="20"/>
          <w:color w:val="auto"/>
        </w:rPr>
        <w:tab/>
      </w:r>
      <w:r>
        <w:rPr>
          <w:rFonts w:ascii="Times New Roman" w:cs="Times New Roman" w:eastAsia="Times New Roman" w:hAnsi="Times New Roman"/>
          <w:sz w:val="19"/>
          <w:szCs w:val="19"/>
          <w:color w:val="231F20"/>
        </w:rPr>
        <w:t>(3,160)</w:t>
      </w:r>
      <w:r>
        <w:rPr>
          <w:sz w:val="20"/>
          <w:szCs w:val="20"/>
          <w:color w:val="auto"/>
        </w:rPr>
        <w:tab/>
      </w:r>
      <w:r>
        <w:rPr>
          <w:rFonts w:ascii="Times New Roman" w:cs="Times New Roman" w:eastAsia="Times New Roman" w:hAnsi="Times New Roman"/>
          <w:sz w:val="19"/>
          <w:szCs w:val="19"/>
          <w:color w:val="231F20"/>
        </w:rPr>
        <w:t>(3,869)</w:t>
      </w:r>
    </w:p>
    <w:p>
      <w:pPr>
        <w:spacing w:after="0" w:line="52" w:lineRule="exact"/>
        <w:rPr>
          <w:sz w:val="20"/>
          <w:szCs w:val="20"/>
          <w:color w:val="auto"/>
        </w:rPr>
      </w:pPr>
    </w:p>
    <w:p>
      <w:pPr>
        <w:ind w:left="240"/>
        <w:spacing w:after="0"/>
        <w:tabs>
          <w:tab w:leader="none" w:pos="1640" w:val="left"/>
          <w:tab w:leader="none" w:pos="2660" w:val="left"/>
        </w:tabs>
        <w:rPr>
          <w:sz w:val="20"/>
          <w:szCs w:val="20"/>
          <w:color w:val="auto"/>
        </w:rPr>
      </w:pPr>
      <w:r>
        <w:rPr>
          <w:rFonts w:ascii="Times New Roman" w:cs="Times New Roman" w:eastAsia="Times New Roman" w:hAnsi="Times New Roman"/>
          <w:sz w:val="19"/>
          <w:szCs w:val="19"/>
          <w:color w:val="231F20"/>
        </w:rPr>
        <w:t>(14,176)</w:t>
      </w:r>
      <w:r>
        <w:rPr>
          <w:sz w:val="20"/>
          <w:szCs w:val="20"/>
          <w:color w:val="auto"/>
        </w:rPr>
        <w:tab/>
      </w:r>
      <w:r>
        <w:rPr>
          <w:rFonts w:ascii="Times New Roman" w:cs="Times New Roman" w:eastAsia="Times New Roman" w:hAnsi="Times New Roman"/>
          <w:sz w:val="19"/>
          <w:szCs w:val="19"/>
          <w:color w:val="231F20"/>
        </w:rPr>
        <w:t>—</w:t>
      </w:r>
      <w:r>
        <w:rPr>
          <w:sz w:val="20"/>
          <w:szCs w:val="20"/>
          <w:color w:val="auto"/>
        </w:rPr>
        <w:tab/>
      </w:r>
      <w:r>
        <w:rPr>
          <w:rFonts w:ascii="Times New Roman" w:cs="Times New Roman" w:eastAsia="Times New Roman" w:hAnsi="Times New Roman"/>
          <w:sz w:val="19"/>
          <w:szCs w:val="19"/>
          <w:color w:val="231F20"/>
        </w:rPr>
        <w:t>—</w:t>
      </w:r>
    </w:p>
    <w:p>
      <w:pPr>
        <w:spacing w:after="0" w:line="52" w:lineRule="exact"/>
        <w:rPr>
          <w:sz w:val="20"/>
          <w:szCs w:val="20"/>
          <w:color w:val="auto"/>
        </w:rPr>
      </w:pPr>
    </w:p>
    <w:p>
      <w:pPr>
        <w:ind w:left="240"/>
        <w:spacing w:after="0"/>
        <w:tabs>
          <w:tab w:leader="none" w:pos="1240" w:val="left"/>
          <w:tab w:leader="none" w:pos="2260" w:val="left"/>
        </w:tabs>
        <w:rPr>
          <w:sz w:val="20"/>
          <w:szCs w:val="20"/>
          <w:color w:val="auto"/>
        </w:rPr>
      </w:pPr>
      <w:r>
        <w:rPr>
          <w:rFonts w:ascii="Times New Roman" w:cs="Times New Roman" w:eastAsia="Times New Roman" w:hAnsi="Times New Roman"/>
          <w:sz w:val="19"/>
          <w:szCs w:val="19"/>
          <w:color w:val="231F20"/>
        </w:rPr>
        <w:t>(27,976)</w:t>
      </w:r>
      <w:r>
        <w:rPr>
          <w:sz w:val="20"/>
          <w:szCs w:val="20"/>
          <w:color w:val="auto"/>
        </w:rPr>
        <w:tab/>
      </w:r>
      <w:r>
        <w:rPr>
          <w:rFonts w:ascii="Times New Roman" w:cs="Times New Roman" w:eastAsia="Times New Roman" w:hAnsi="Times New Roman"/>
          <w:sz w:val="19"/>
          <w:szCs w:val="19"/>
          <w:color w:val="231F20"/>
        </w:rPr>
        <w:t>(26,833)</w:t>
      </w:r>
      <w:r>
        <w:rPr>
          <w:sz w:val="20"/>
          <w:szCs w:val="20"/>
          <w:color w:val="auto"/>
        </w:rPr>
        <w:tab/>
      </w:r>
      <w:r>
        <w:rPr>
          <w:rFonts w:ascii="Times New Roman" w:cs="Times New Roman" w:eastAsia="Times New Roman" w:hAnsi="Times New Roman"/>
          <w:sz w:val="19"/>
          <w:szCs w:val="19"/>
          <w:color w:val="231F20"/>
        </w:rPr>
        <w:t>(11,576)</w:t>
      </w:r>
    </w:p>
    <w:p>
      <w:pPr>
        <w:spacing w:after="0" w:line="52" w:lineRule="exact"/>
        <w:rPr>
          <w:sz w:val="20"/>
          <w:szCs w:val="20"/>
          <w:color w:val="auto"/>
        </w:rPr>
      </w:pPr>
    </w:p>
    <w:p>
      <w:pPr>
        <w:ind w:left="300"/>
        <w:spacing w:after="0"/>
        <w:tabs>
          <w:tab w:leader="none" w:pos="1300" w:val="left"/>
          <w:tab w:leader="none" w:pos="2320" w:val="left"/>
        </w:tabs>
        <w:rPr>
          <w:sz w:val="20"/>
          <w:szCs w:val="20"/>
          <w:color w:val="auto"/>
        </w:rPr>
      </w:pPr>
      <w:r>
        <w:rPr>
          <w:rFonts w:ascii="Times New Roman" w:cs="Times New Roman" w:eastAsia="Times New Roman" w:hAnsi="Times New Roman"/>
          <w:sz w:val="19"/>
          <w:szCs w:val="19"/>
          <w:color w:val="231F20"/>
        </w:rPr>
        <w:t>14,608</w:t>
      </w:r>
      <w:r>
        <w:rPr>
          <w:sz w:val="20"/>
          <w:szCs w:val="20"/>
          <w:color w:val="auto"/>
        </w:rPr>
        <w:tab/>
      </w:r>
      <w:r>
        <w:rPr>
          <w:rFonts w:ascii="Times New Roman" w:cs="Times New Roman" w:eastAsia="Times New Roman" w:hAnsi="Times New Roman"/>
          <w:sz w:val="19"/>
          <w:szCs w:val="19"/>
          <w:color w:val="231F20"/>
        </w:rPr>
        <w:t>16,357</w:t>
      </w:r>
      <w:r>
        <w:rPr>
          <w:sz w:val="20"/>
          <w:szCs w:val="20"/>
          <w:color w:val="auto"/>
        </w:rPr>
        <w:tab/>
      </w:r>
      <w:r>
        <w:rPr>
          <w:rFonts w:ascii="Times New Roman" w:cs="Times New Roman" w:eastAsia="Times New Roman" w:hAnsi="Times New Roman"/>
          <w:sz w:val="19"/>
          <w:szCs w:val="19"/>
          <w:color w:val="231F20"/>
        </w:rPr>
        <w:t>14,308</w:t>
      </w:r>
    </w:p>
    <w:p>
      <w:pPr>
        <w:spacing w:after="0" w:line="52" w:lineRule="exact"/>
        <w:rPr>
          <w:sz w:val="20"/>
          <w:szCs w:val="20"/>
          <w:color w:val="auto"/>
        </w:rPr>
      </w:pPr>
    </w:p>
    <w:p>
      <w:pPr>
        <w:ind w:left="400"/>
        <w:spacing w:after="0"/>
        <w:tabs>
          <w:tab w:leader="none" w:pos="1640" w:val="left"/>
          <w:tab w:leader="none" w:pos="2660" w:val="left"/>
        </w:tabs>
        <w:rPr>
          <w:sz w:val="20"/>
          <w:szCs w:val="20"/>
          <w:color w:val="auto"/>
        </w:rPr>
      </w:pPr>
      <w:r>
        <w:rPr>
          <w:rFonts w:ascii="Times New Roman" w:cs="Times New Roman" w:eastAsia="Times New Roman" w:hAnsi="Times New Roman"/>
          <w:sz w:val="19"/>
          <w:szCs w:val="19"/>
          <w:color w:val="231F20"/>
        </w:rPr>
        <w:t>7,425</w:t>
      </w:r>
      <w:r>
        <w:rPr>
          <w:sz w:val="20"/>
          <w:szCs w:val="20"/>
          <w:color w:val="auto"/>
        </w:rPr>
        <w:tab/>
      </w:r>
      <w:r>
        <w:rPr>
          <w:rFonts w:ascii="Times New Roman" w:cs="Times New Roman" w:eastAsia="Times New Roman" w:hAnsi="Times New Roman"/>
          <w:sz w:val="19"/>
          <w:szCs w:val="19"/>
          <w:color w:val="231F20"/>
        </w:rPr>
        <w:t>—</w:t>
      </w:r>
      <w:r>
        <w:rPr>
          <w:sz w:val="20"/>
          <w:szCs w:val="20"/>
          <w:color w:val="auto"/>
        </w:rPr>
        <w:tab/>
      </w:r>
      <w:r>
        <w:rPr>
          <w:rFonts w:ascii="Times New Roman" w:cs="Times New Roman" w:eastAsia="Times New Roman" w:hAnsi="Times New Roman"/>
          <w:sz w:val="19"/>
          <w:szCs w:val="19"/>
          <w:color w:val="231F20"/>
        </w:rPr>
        <w:t>—</w:t>
      </w:r>
    </w:p>
    <w:p>
      <w:pPr>
        <w:spacing w:after="0" w:line="52" w:lineRule="exact"/>
        <w:rPr>
          <w:sz w:val="20"/>
          <w:szCs w:val="20"/>
          <w:color w:val="auto"/>
        </w:rPr>
      </w:pPr>
    </w:p>
    <w:p>
      <w:pPr>
        <w:jc w:val="both"/>
        <w:ind w:left="320"/>
        <w:spacing w:after="0"/>
        <w:tabs>
          <w:tab w:leader="none" w:pos="1340" w:val="left"/>
          <w:tab w:leader="none" w:pos="2360" w:val="left"/>
        </w:tabs>
        <w:rPr>
          <w:sz w:val="20"/>
          <w:szCs w:val="20"/>
          <w:color w:val="auto"/>
        </w:rPr>
      </w:pPr>
      <w:r>
        <w:rPr>
          <w:rFonts w:ascii="Times New Roman" w:cs="Times New Roman" w:eastAsia="Times New Roman" w:hAnsi="Times New Roman"/>
          <w:sz w:val="19"/>
          <w:szCs w:val="19"/>
          <w:color w:val="231F20"/>
        </w:rPr>
        <w:t>(3,114)</w:t>
      </w:r>
      <w:r>
        <w:rPr>
          <w:sz w:val="20"/>
          <w:szCs w:val="20"/>
          <w:color w:val="auto"/>
        </w:rPr>
        <w:tab/>
      </w:r>
      <w:r>
        <w:rPr>
          <w:rFonts w:ascii="Times New Roman" w:cs="Times New Roman" w:eastAsia="Times New Roman" w:hAnsi="Times New Roman"/>
          <w:sz w:val="19"/>
          <w:szCs w:val="19"/>
          <w:color w:val="231F20"/>
        </w:rPr>
        <w:t>(2,158)</w:t>
      </w:r>
      <w:r>
        <w:rPr>
          <w:sz w:val="20"/>
          <w:szCs w:val="20"/>
          <w:color w:val="auto"/>
        </w:rPr>
        <w:tab/>
      </w:r>
      <w:r>
        <w:rPr>
          <w:rFonts w:ascii="Times New Roman" w:cs="Times New Roman" w:eastAsia="Times New Roman" w:hAnsi="Times New Roman"/>
          <w:sz w:val="19"/>
          <w:szCs w:val="19"/>
          <w:color w:val="231F20"/>
        </w:rPr>
        <w:t>(4,959)</w:t>
      </w:r>
    </w:p>
    <w:p>
      <w:pPr>
        <w:spacing w:after="0" w:line="318" w:lineRule="exact"/>
        <w:rPr>
          <w:sz w:val="20"/>
          <w:szCs w:val="20"/>
          <w:color w:val="auto"/>
        </w:rPr>
      </w:pPr>
    </w:p>
    <w:p>
      <w:pPr>
        <w:sectPr>
          <w:pgSz w:w="11880" w:h="15480" w:orient="portrait"/>
          <w:cols w:equalWidth="0" w:num="2">
            <w:col w:w="6500" w:space="240"/>
            <w:col w:w="2940"/>
          </w:cols>
          <w:pgMar w:left="1120" w:top="958" w:right="1080" w:bottom="0" w:gutter="0" w:footer="0" w:header="0"/>
          <w:type w:val="continuous"/>
        </w:sectPr>
      </w:pPr>
    </w:p>
    <w:tbl>
      <w:tblPr>
        <w:tblLayout w:type="fixed"/>
        <w:tblInd w:w="0" w:type="dxa"/>
        <w:tblCellMar>
          <w:top w:w="0" w:type="dxa"/>
          <w:left w:w="0" w:type="dxa"/>
          <w:bottom w:w="0" w:type="dxa"/>
          <w:right w:w="0" w:type="dxa"/>
        </w:tblCellMar>
      </w:tblPr>
      <w:tr>
        <w:trPr>
          <w:trHeight w:val="269"/>
        </w:trPr>
        <w:tc>
          <w:tcPr>
            <w:tcW w:w="6680" w:type="dxa"/>
            <w:vAlign w:val="bottom"/>
          </w:tcPr>
          <w:p>
            <w:pPr>
              <w:ind w:left="680"/>
              <w:spacing w:after="0"/>
              <w:rPr>
                <w:sz w:val="20"/>
                <w:szCs w:val="20"/>
                <w:color w:val="auto"/>
              </w:rPr>
            </w:pPr>
            <w:r>
              <w:rPr>
                <w:rFonts w:ascii="Times New Roman" w:cs="Times New Roman" w:eastAsia="Times New Roman" w:hAnsi="Times New Roman"/>
                <w:sz w:val="19"/>
                <w:szCs w:val="19"/>
                <w:color w:val="231F20"/>
              </w:rPr>
              <w:t>Decrease (increase) in accounts receivable, net</w:t>
            </w: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2,417</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(796)</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3,468</w:t>
            </w:r>
          </w:p>
        </w:tc>
        <w:tc>
          <w:tcPr>
            <w:tcW w:w="0" w:type="dxa"/>
            <w:vAlign w:val="bottom"/>
          </w:tcPr>
          <w:p>
            <w:pPr>
              <w:spacing w:after="0"/>
              <w:rPr>
                <w:sz w:val="1"/>
                <w:szCs w:val="1"/>
                <w:color w:val="auto"/>
              </w:rPr>
            </w:pPr>
          </w:p>
        </w:tc>
      </w:tr>
      <w:tr>
        <w:trPr>
          <w:trHeight w:val="271"/>
        </w:trPr>
        <w:tc>
          <w:tcPr>
            <w:tcW w:w="6680" w:type="dxa"/>
            <w:vAlign w:val="bottom"/>
          </w:tcPr>
          <w:p>
            <w:pPr>
              <w:ind w:left="680"/>
              <w:spacing w:after="0"/>
              <w:rPr>
                <w:sz w:val="20"/>
                <w:szCs w:val="20"/>
                <w:color w:val="auto"/>
              </w:rPr>
            </w:pPr>
            <w:r>
              <w:rPr>
                <w:rFonts w:ascii="Times New Roman" w:cs="Times New Roman" w:eastAsia="Times New Roman" w:hAnsi="Times New Roman"/>
                <w:sz w:val="19"/>
                <w:szCs w:val="19"/>
                <w:color w:val="231F20"/>
              </w:rPr>
              <w:t>Increase in prepaid expenses and other assets</w:t>
            </w: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(4,766)</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(5,030)</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(6,881)</w:t>
            </w:r>
          </w:p>
        </w:tc>
        <w:tc>
          <w:tcPr>
            <w:tcW w:w="0" w:type="dxa"/>
            <w:vAlign w:val="bottom"/>
          </w:tcPr>
          <w:p>
            <w:pPr>
              <w:spacing w:after="0"/>
              <w:rPr>
                <w:sz w:val="1"/>
                <w:szCs w:val="1"/>
                <w:color w:val="auto"/>
              </w:rPr>
            </w:pPr>
          </w:p>
        </w:tc>
      </w:tr>
      <w:tr>
        <w:trPr>
          <w:trHeight w:val="271"/>
        </w:trPr>
        <w:tc>
          <w:tcPr>
            <w:tcW w:w="6680" w:type="dxa"/>
            <w:vAlign w:val="bottom"/>
          </w:tcPr>
          <w:p>
            <w:pPr>
              <w:ind w:left="680"/>
              <w:spacing w:after="0"/>
              <w:rPr>
                <w:sz w:val="20"/>
                <w:szCs w:val="20"/>
                <w:color w:val="auto"/>
              </w:rPr>
            </w:pPr>
            <w:r>
              <w:rPr>
                <w:rFonts w:ascii="Times New Roman" w:cs="Times New Roman" w:eastAsia="Times New Roman" w:hAnsi="Times New Roman"/>
                <w:sz w:val="19"/>
                <w:szCs w:val="19"/>
                <w:color w:val="231F20"/>
              </w:rPr>
              <w:t>Increase in accounts payable and accrued expenses</w:t>
            </w: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5,588</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1,550</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6,005</w:t>
            </w:r>
          </w:p>
        </w:tc>
        <w:tc>
          <w:tcPr>
            <w:tcW w:w="0" w:type="dxa"/>
            <w:vAlign w:val="bottom"/>
          </w:tcPr>
          <w:p>
            <w:pPr>
              <w:spacing w:after="0"/>
              <w:rPr>
                <w:sz w:val="1"/>
                <w:szCs w:val="1"/>
                <w:color w:val="auto"/>
              </w:rPr>
            </w:pPr>
          </w:p>
        </w:tc>
      </w:tr>
      <w:tr>
        <w:trPr>
          <w:trHeight w:val="272"/>
        </w:trPr>
        <w:tc>
          <w:tcPr>
            <w:tcW w:w="6680" w:type="dxa"/>
            <w:vAlign w:val="bottom"/>
          </w:tcPr>
          <w:p>
            <w:pPr>
              <w:ind w:left="680"/>
              <w:spacing w:after="0"/>
              <w:rPr>
                <w:sz w:val="20"/>
                <w:szCs w:val="20"/>
                <w:color w:val="auto"/>
              </w:rPr>
            </w:pPr>
            <w:r>
              <w:rPr>
                <w:rFonts w:ascii="Times New Roman" w:cs="Times New Roman" w:eastAsia="Times New Roman" w:hAnsi="Times New Roman"/>
                <w:sz w:val="19"/>
                <w:szCs w:val="19"/>
                <w:color w:val="231F20"/>
              </w:rPr>
              <w:t>Increase in security deposits and other liabilities</w:t>
            </w:r>
          </w:p>
        </w:tc>
        <w:tc>
          <w:tcPr>
            <w:tcW w:w="9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2,913</w:t>
            </w:r>
          </w:p>
        </w:tc>
        <w:tc>
          <w:tcPr>
            <w:tcW w:w="60" w:type="dxa"/>
            <w:vAlign w:val="bottom"/>
          </w:tcPr>
          <w:p>
            <w:pPr>
              <w:spacing w:after="0"/>
              <w:rPr>
                <w:sz w:val="23"/>
                <w:szCs w:val="23"/>
                <w:color w:val="auto"/>
              </w:rPr>
            </w:pPr>
          </w:p>
        </w:tc>
        <w:tc>
          <w:tcPr>
            <w:tcW w:w="9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1,741</w:t>
            </w:r>
          </w:p>
        </w:tc>
        <w:tc>
          <w:tcPr>
            <w:tcW w:w="80" w:type="dxa"/>
            <w:vAlign w:val="bottom"/>
          </w:tcPr>
          <w:p>
            <w:pPr>
              <w:spacing w:after="0"/>
              <w:rPr>
                <w:sz w:val="23"/>
                <w:szCs w:val="23"/>
                <w:color w:val="auto"/>
              </w:rPr>
            </w:pPr>
          </w:p>
        </w:tc>
        <w:tc>
          <w:tcPr>
            <w:tcW w:w="9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235</w:t>
            </w:r>
          </w:p>
        </w:tc>
        <w:tc>
          <w:tcPr>
            <w:tcW w:w="0" w:type="dxa"/>
            <w:vAlign w:val="bottom"/>
          </w:tcPr>
          <w:p>
            <w:pPr>
              <w:spacing w:after="0"/>
              <w:rPr>
                <w:sz w:val="1"/>
                <w:szCs w:val="1"/>
                <w:color w:val="auto"/>
              </w:rPr>
            </w:pPr>
          </w:p>
        </w:tc>
      </w:tr>
      <w:tr>
        <w:trPr>
          <w:trHeight w:val="250"/>
        </w:trPr>
        <w:tc>
          <w:tcPr>
            <w:tcW w:w="6680" w:type="dxa"/>
            <w:vAlign w:val="bottom"/>
          </w:tcPr>
          <w:p>
            <w:pPr>
              <w:ind w:left="340"/>
              <w:spacing w:after="0"/>
              <w:rPr>
                <w:sz w:val="20"/>
                <w:szCs w:val="20"/>
                <w:color w:val="auto"/>
              </w:rPr>
            </w:pPr>
            <w:r>
              <w:rPr>
                <w:rFonts w:ascii="Times New Roman" w:cs="Times New Roman" w:eastAsia="Times New Roman" w:hAnsi="Times New Roman"/>
                <w:sz w:val="19"/>
                <w:szCs w:val="19"/>
                <w:color w:val="231F20"/>
              </w:rPr>
              <w:t>Net cash provided by operating activities</w:t>
            </w: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622,378</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574,563</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555,830</w:t>
            </w:r>
          </w:p>
        </w:tc>
        <w:tc>
          <w:tcPr>
            <w:tcW w:w="0" w:type="dxa"/>
            <w:vAlign w:val="bottom"/>
          </w:tcPr>
          <w:p>
            <w:pPr>
              <w:spacing w:after="0"/>
              <w:rPr>
                <w:sz w:val="1"/>
                <w:szCs w:val="1"/>
                <w:color w:val="auto"/>
              </w:rPr>
            </w:pPr>
          </w:p>
        </w:tc>
      </w:tr>
      <w:tr>
        <w:trPr>
          <w:trHeight w:val="244"/>
        </w:trPr>
        <w:tc>
          <w:tcPr>
            <w:tcW w:w="6680" w:type="dxa"/>
            <w:vAlign w:val="bottom"/>
          </w:tcPr>
          <w:p>
            <w:pPr>
              <w:spacing w:after="0"/>
              <w:rPr>
                <w:sz w:val="20"/>
                <w:szCs w:val="20"/>
                <w:color w:val="auto"/>
              </w:rPr>
            </w:pPr>
            <w:r>
              <w:rPr>
                <w:rFonts w:ascii="Times New Roman" w:cs="Times New Roman" w:eastAsia="Times New Roman" w:hAnsi="Times New Roman"/>
                <w:sz w:val="19"/>
                <w:szCs w:val="19"/>
                <w:color w:val="231F20"/>
              </w:rPr>
              <w:t>INVESTING ACTIVITIES</w:t>
            </w: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6680" w:type="dxa"/>
            <w:vAlign w:val="bottom"/>
          </w:tcPr>
          <w:p>
            <w:pPr>
              <w:ind w:left="340"/>
              <w:spacing w:after="0"/>
              <w:rPr>
                <w:sz w:val="20"/>
                <w:szCs w:val="20"/>
                <w:color w:val="auto"/>
              </w:rPr>
            </w:pPr>
            <w:r>
              <w:rPr>
                <w:rFonts w:ascii="Times New Roman" w:cs="Times New Roman" w:eastAsia="Times New Roman" w:hAnsi="Times New Roman"/>
                <w:sz w:val="19"/>
                <w:szCs w:val="19"/>
                <w:color w:val="231F20"/>
              </w:rPr>
              <w:t>Acquisition of real estate</w:t>
            </w: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(735,274)</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(273,927)</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(60,628)</w:t>
            </w:r>
          </w:p>
        </w:tc>
        <w:tc>
          <w:tcPr>
            <w:tcW w:w="0" w:type="dxa"/>
            <w:vAlign w:val="bottom"/>
          </w:tcPr>
          <w:p>
            <w:pPr>
              <w:spacing w:after="0"/>
              <w:rPr>
                <w:sz w:val="1"/>
                <w:szCs w:val="1"/>
                <w:color w:val="auto"/>
              </w:rPr>
            </w:pPr>
          </w:p>
        </w:tc>
      </w:tr>
      <w:tr>
        <w:trPr>
          <w:trHeight w:val="271"/>
        </w:trPr>
        <w:tc>
          <w:tcPr>
            <w:tcW w:w="6680" w:type="dxa"/>
            <w:vAlign w:val="bottom"/>
          </w:tcPr>
          <w:p>
            <w:pPr>
              <w:ind w:left="340"/>
              <w:spacing w:after="0"/>
              <w:rPr>
                <w:sz w:val="20"/>
                <w:szCs w:val="20"/>
                <w:color w:val="auto"/>
              </w:rPr>
            </w:pPr>
            <w:r>
              <w:rPr>
                <w:rFonts w:ascii="Times New Roman" w:cs="Times New Roman" w:eastAsia="Times New Roman" w:hAnsi="Times New Roman"/>
                <w:sz w:val="19"/>
                <w:szCs w:val="19"/>
                <w:color w:val="231F20"/>
              </w:rPr>
              <w:t>Capital expenditures - development and redevelopment</w:t>
            </w: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(179,086)</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(139,534)</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(214,062)</w:t>
            </w:r>
          </w:p>
        </w:tc>
        <w:tc>
          <w:tcPr>
            <w:tcW w:w="0" w:type="dxa"/>
            <w:vAlign w:val="bottom"/>
          </w:tcPr>
          <w:p>
            <w:pPr>
              <w:spacing w:after="0"/>
              <w:rPr>
                <w:sz w:val="1"/>
                <w:szCs w:val="1"/>
                <w:color w:val="auto"/>
              </w:rPr>
            </w:pPr>
          </w:p>
        </w:tc>
      </w:tr>
      <w:tr>
        <w:trPr>
          <w:trHeight w:val="271"/>
        </w:trPr>
        <w:tc>
          <w:tcPr>
            <w:tcW w:w="6680" w:type="dxa"/>
            <w:vAlign w:val="bottom"/>
          </w:tcPr>
          <w:p>
            <w:pPr>
              <w:ind w:left="340"/>
              <w:spacing w:after="0"/>
              <w:rPr>
                <w:sz w:val="20"/>
                <w:szCs w:val="20"/>
                <w:color w:val="auto"/>
              </w:rPr>
            </w:pPr>
            <w:r>
              <w:rPr>
                <w:rFonts w:ascii="Times New Roman" w:cs="Times New Roman" w:eastAsia="Times New Roman" w:hAnsi="Times New Roman"/>
                <w:sz w:val="19"/>
                <w:szCs w:val="19"/>
                <w:color w:val="231F20"/>
              </w:rPr>
              <w:t>Capital expenditures - other</w:t>
            </w: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(112,252)</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(107,226)</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(97,058)</w:t>
            </w:r>
          </w:p>
        </w:tc>
        <w:tc>
          <w:tcPr>
            <w:tcW w:w="0" w:type="dxa"/>
            <w:vAlign w:val="bottom"/>
          </w:tcPr>
          <w:p>
            <w:pPr>
              <w:spacing w:after="0"/>
              <w:rPr>
                <w:sz w:val="1"/>
                <w:szCs w:val="1"/>
                <w:color w:val="auto"/>
              </w:rPr>
            </w:pPr>
          </w:p>
        </w:tc>
      </w:tr>
      <w:tr>
        <w:trPr>
          <w:trHeight w:val="271"/>
        </w:trPr>
        <w:tc>
          <w:tcPr>
            <w:tcW w:w="6680" w:type="dxa"/>
            <w:vAlign w:val="bottom"/>
          </w:tcPr>
          <w:p>
            <w:pPr>
              <w:ind w:left="340"/>
              <w:spacing w:after="0"/>
              <w:rPr>
                <w:sz w:val="20"/>
                <w:szCs w:val="20"/>
                <w:color w:val="auto"/>
              </w:rPr>
            </w:pPr>
            <w:r>
              <w:rPr>
                <w:rFonts w:ascii="Times New Roman" w:cs="Times New Roman" w:eastAsia="Times New Roman" w:hAnsi="Times New Roman"/>
                <w:sz w:val="19"/>
                <w:szCs w:val="19"/>
                <w:color w:val="231F20"/>
              </w:rPr>
              <w:t>Costs associated with property sold under threat of condemnation</w:t>
            </w: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(134)</w:t>
            </w:r>
          </w:p>
        </w:tc>
        <w:tc>
          <w:tcPr>
            <w:tcW w:w="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(1,378)</w:t>
            </w:r>
          </w:p>
        </w:tc>
        <w:tc>
          <w:tcPr>
            <w:tcW w:w="0" w:type="dxa"/>
            <w:vAlign w:val="bottom"/>
          </w:tcPr>
          <w:p>
            <w:pPr>
              <w:spacing w:after="0"/>
              <w:rPr>
                <w:sz w:val="1"/>
                <w:szCs w:val="1"/>
                <w:color w:val="auto"/>
              </w:rPr>
            </w:pPr>
          </w:p>
        </w:tc>
      </w:tr>
      <w:tr>
        <w:trPr>
          <w:trHeight w:val="271"/>
        </w:trPr>
        <w:tc>
          <w:tcPr>
            <w:tcW w:w="6680" w:type="dxa"/>
            <w:vAlign w:val="bottom"/>
          </w:tcPr>
          <w:p>
            <w:pPr>
              <w:ind w:left="340"/>
              <w:spacing w:after="0"/>
              <w:rPr>
                <w:sz w:val="20"/>
                <w:szCs w:val="20"/>
                <w:color w:val="auto"/>
              </w:rPr>
            </w:pPr>
            <w:r>
              <w:rPr>
                <w:rFonts w:ascii="Times New Roman" w:cs="Times New Roman" w:eastAsia="Times New Roman" w:hAnsi="Times New Roman"/>
                <w:sz w:val="19"/>
                <w:szCs w:val="19"/>
                <w:color w:val="231F20"/>
              </w:rPr>
              <w:t>Proceeds from sale of real estate</w:t>
            </w: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305,628</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99,928</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28,451</w:t>
            </w:r>
          </w:p>
        </w:tc>
        <w:tc>
          <w:tcPr>
            <w:tcW w:w="0" w:type="dxa"/>
            <w:vAlign w:val="bottom"/>
          </w:tcPr>
          <w:p>
            <w:pPr>
              <w:spacing w:after="0"/>
              <w:rPr>
                <w:sz w:val="1"/>
                <w:szCs w:val="1"/>
                <w:color w:val="auto"/>
              </w:rPr>
            </w:pPr>
          </w:p>
        </w:tc>
      </w:tr>
      <w:tr>
        <w:trPr>
          <w:trHeight w:val="271"/>
        </w:trPr>
        <w:tc>
          <w:tcPr>
            <w:tcW w:w="6680" w:type="dxa"/>
            <w:vAlign w:val="bottom"/>
          </w:tcPr>
          <w:p>
            <w:pPr>
              <w:ind w:left="340"/>
              <w:spacing w:after="0"/>
              <w:rPr>
                <w:sz w:val="20"/>
                <w:szCs w:val="20"/>
                <w:color w:val="auto"/>
              </w:rPr>
            </w:pPr>
            <w:r>
              <w:rPr>
                <w:rFonts w:ascii="Times New Roman" w:cs="Times New Roman" w:eastAsia="Times New Roman" w:hAnsi="Times New Roman"/>
                <w:sz w:val="19"/>
                <w:szCs w:val="19"/>
                <w:color w:val="231F20"/>
              </w:rPr>
              <w:t>Investment in partnerships</w:t>
            </w: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(698)</w:t>
            </w:r>
          </w:p>
        </w:tc>
        <w:tc>
          <w:tcPr>
            <w:tcW w:w="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0" w:type="dxa"/>
            <w:vAlign w:val="bottom"/>
          </w:tcPr>
          <w:p>
            <w:pPr>
              <w:spacing w:after="0"/>
              <w:rPr>
                <w:sz w:val="1"/>
                <w:szCs w:val="1"/>
                <w:color w:val="auto"/>
              </w:rPr>
            </w:pPr>
          </w:p>
        </w:tc>
      </w:tr>
      <w:tr>
        <w:trPr>
          <w:trHeight w:val="271"/>
        </w:trPr>
        <w:tc>
          <w:tcPr>
            <w:tcW w:w="6680" w:type="dxa"/>
            <w:vAlign w:val="bottom"/>
          </w:tcPr>
          <w:p>
            <w:pPr>
              <w:ind w:left="340"/>
              <w:spacing w:after="0"/>
              <w:rPr>
                <w:sz w:val="20"/>
                <w:szCs w:val="20"/>
                <w:color w:val="auto"/>
              </w:rPr>
            </w:pPr>
            <w:r>
              <w:rPr>
                <w:rFonts w:ascii="Times New Roman" w:cs="Times New Roman" w:eastAsia="Times New Roman" w:hAnsi="Times New Roman"/>
                <w:sz w:val="19"/>
                <w:szCs w:val="19"/>
                <w:color w:val="231F20"/>
              </w:rPr>
              <w:t>Distribution from partnerships in excess of earnings</w:t>
            </w: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4,109</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4,742</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9,860</w:t>
            </w:r>
          </w:p>
        </w:tc>
        <w:tc>
          <w:tcPr>
            <w:tcW w:w="0" w:type="dxa"/>
            <w:vAlign w:val="bottom"/>
          </w:tcPr>
          <w:p>
            <w:pPr>
              <w:spacing w:after="0"/>
              <w:rPr>
                <w:sz w:val="1"/>
                <w:szCs w:val="1"/>
                <w:color w:val="auto"/>
              </w:rPr>
            </w:pPr>
          </w:p>
        </w:tc>
      </w:tr>
      <w:tr>
        <w:trPr>
          <w:trHeight w:val="272"/>
        </w:trPr>
        <w:tc>
          <w:tcPr>
            <w:tcW w:w="6680" w:type="dxa"/>
            <w:vAlign w:val="bottom"/>
          </w:tcPr>
          <w:p>
            <w:pPr>
              <w:ind w:left="340"/>
              <w:spacing w:after="0"/>
              <w:rPr>
                <w:sz w:val="20"/>
                <w:szCs w:val="20"/>
                <w:color w:val="auto"/>
              </w:rPr>
            </w:pPr>
            <w:r>
              <w:rPr>
                <w:rFonts w:ascii="Times New Roman" w:cs="Times New Roman" w:eastAsia="Times New Roman" w:hAnsi="Times New Roman"/>
                <w:sz w:val="19"/>
                <w:szCs w:val="19"/>
                <w:color w:val="231F20"/>
              </w:rPr>
              <w:t>Leasing costs</w:t>
            </w:r>
          </w:p>
        </w:tc>
        <w:tc>
          <w:tcPr>
            <w:tcW w:w="9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(25,361)</w:t>
            </w:r>
          </w:p>
        </w:tc>
        <w:tc>
          <w:tcPr>
            <w:tcW w:w="60" w:type="dxa"/>
            <w:vAlign w:val="bottom"/>
          </w:tcPr>
          <w:p>
            <w:pPr>
              <w:spacing w:after="0"/>
              <w:rPr>
                <w:sz w:val="23"/>
                <w:szCs w:val="23"/>
                <w:color w:val="auto"/>
              </w:rPr>
            </w:pPr>
          </w:p>
        </w:tc>
        <w:tc>
          <w:tcPr>
            <w:tcW w:w="9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(30,809)</w:t>
            </w:r>
          </w:p>
        </w:tc>
        <w:tc>
          <w:tcPr>
            <w:tcW w:w="80" w:type="dxa"/>
            <w:vAlign w:val="bottom"/>
          </w:tcPr>
          <w:p>
            <w:pPr>
              <w:spacing w:after="0"/>
              <w:rPr>
                <w:sz w:val="23"/>
                <w:szCs w:val="23"/>
                <w:color w:val="auto"/>
              </w:rPr>
            </w:pPr>
          </w:p>
        </w:tc>
        <w:tc>
          <w:tcPr>
            <w:tcW w:w="9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(23,510)</w:t>
            </w:r>
          </w:p>
        </w:tc>
        <w:tc>
          <w:tcPr>
            <w:tcW w:w="0" w:type="dxa"/>
            <w:vAlign w:val="bottom"/>
          </w:tcPr>
          <w:p>
            <w:pPr>
              <w:spacing w:after="0"/>
              <w:rPr>
                <w:sz w:val="1"/>
                <w:szCs w:val="1"/>
                <w:color w:val="auto"/>
              </w:rPr>
            </w:pPr>
          </w:p>
        </w:tc>
      </w:tr>
      <w:tr>
        <w:trPr>
          <w:trHeight w:val="250"/>
        </w:trPr>
        <w:tc>
          <w:tcPr>
            <w:tcW w:w="6680" w:type="dxa"/>
            <w:vAlign w:val="bottom"/>
          </w:tcPr>
          <w:p>
            <w:pPr>
              <w:ind w:left="340"/>
              <w:spacing w:after="0"/>
              <w:rPr>
                <w:sz w:val="20"/>
                <w:szCs w:val="20"/>
                <w:color w:val="auto"/>
              </w:rPr>
            </w:pPr>
            <w:r>
              <w:rPr>
                <w:rFonts w:ascii="Times New Roman" w:cs="Times New Roman" w:eastAsia="Times New Roman" w:hAnsi="Times New Roman"/>
                <w:sz w:val="19"/>
                <w:szCs w:val="19"/>
                <w:color w:val="231F20"/>
              </w:rPr>
              <w:t>Net cash used in investing activities</w:t>
            </w: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(743,068)</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(446,826)</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(358,325)</w:t>
            </w:r>
          </w:p>
        </w:tc>
        <w:tc>
          <w:tcPr>
            <w:tcW w:w="0" w:type="dxa"/>
            <w:vAlign w:val="bottom"/>
          </w:tcPr>
          <w:p>
            <w:pPr>
              <w:spacing w:after="0"/>
              <w:rPr>
                <w:sz w:val="1"/>
                <w:szCs w:val="1"/>
                <w:color w:val="auto"/>
              </w:rPr>
            </w:pPr>
          </w:p>
        </w:tc>
      </w:tr>
      <w:tr>
        <w:trPr>
          <w:trHeight w:val="244"/>
        </w:trPr>
        <w:tc>
          <w:tcPr>
            <w:tcW w:w="6680" w:type="dxa"/>
            <w:vAlign w:val="bottom"/>
          </w:tcPr>
          <w:p>
            <w:pPr>
              <w:spacing w:after="0"/>
              <w:rPr>
                <w:sz w:val="20"/>
                <w:szCs w:val="20"/>
                <w:color w:val="auto"/>
              </w:rPr>
            </w:pPr>
            <w:r>
              <w:rPr>
                <w:rFonts w:ascii="Times New Roman" w:cs="Times New Roman" w:eastAsia="Times New Roman" w:hAnsi="Times New Roman"/>
                <w:sz w:val="19"/>
                <w:szCs w:val="19"/>
                <w:color w:val="231F20"/>
              </w:rPr>
              <w:t>FINANCING ACTIVITIES</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231F20"/>
              </w:rPr>
              <w:t>310,000</w:t>
            </w:r>
          </w:p>
        </w:tc>
        <w:tc>
          <w:tcPr>
            <w:tcW w:w="60" w:type="dxa"/>
            <w:vAlign w:val="bottom"/>
          </w:tcPr>
          <w:p>
            <w:pPr>
              <w:spacing w:after="0"/>
              <w:rPr>
                <w:sz w:val="21"/>
                <w:szCs w:val="21"/>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80" w:type="dxa"/>
            <w:vAlign w:val="bottom"/>
          </w:tcPr>
          <w:p>
            <w:pPr>
              <w:spacing w:after="0"/>
              <w:rPr>
                <w:sz w:val="21"/>
                <w:szCs w:val="21"/>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0" w:type="dxa"/>
            <w:vAlign w:val="bottom"/>
          </w:tcPr>
          <w:p>
            <w:pPr>
              <w:spacing w:after="0"/>
              <w:rPr>
                <w:sz w:val="1"/>
                <w:szCs w:val="1"/>
                <w:color w:val="auto"/>
              </w:rPr>
            </w:pPr>
          </w:p>
        </w:tc>
      </w:tr>
      <w:tr>
        <w:trPr>
          <w:trHeight w:val="234"/>
        </w:trPr>
        <w:tc>
          <w:tcPr>
            <w:tcW w:w="6680" w:type="dxa"/>
            <w:vAlign w:val="bottom"/>
          </w:tcPr>
          <w:p>
            <w:pPr>
              <w:ind w:left="340"/>
              <w:spacing w:after="0"/>
              <w:rPr>
                <w:sz w:val="20"/>
                <w:szCs w:val="20"/>
                <w:color w:val="auto"/>
              </w:rPr>
            </w:pPr>
            <w:r>
              <w:rPr>
                <w:rFonts w:ascii="Times New Roman" w:cs="Times New Roman" w:eastAsia="Times New Roman" w:hAnsi="Times New Roman"/>
                <w:sz w:val="19"/>
                <w:szCs w:val="19"/>
                <w:color w:val="231F20"/>
              </w:rPr>
              <w:t>Net borrowings under revolving credit facility</w:t>
            </w:r>
          </w:p>
        </w:tc>
        <w:tc>
          <w:tcPr>
            <w:tcW w:w="96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9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6680" w:type="dxa"/>
            <w:vAlign w:val="bottom"/>
          </w:tcPr>
          <w:p>
            <w:pPr>
              <w:ind w:left="340"/>
              <w:spacing w:after="0"/>
              <w:rPr>
                <w:sz w:val="20"/>
                <w:szCs w:val="20"/>
                <w:color w:val="auto"/>
              </w:rPr>
            </w:pPr>
            <w:r>
              <w:rPr>
                <w:rFonts w:ascii="Times New Roman" w:cs="Times New Roman" w:eastAsia="Times New Roman" w:hAnsi="Times New Roman"/>
                <w:sz w:val="19"/>
                <w:szCs w:val="19"/>
                <w:color w:val="231F20"/>
              </w:rPr>
              <w:t>Issuance of senior notes, net of costs</w:t>
            </w: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471,507</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345,698</w:t>
            </w:r>
          </w:p>
        </w:tc>
        <w:tc>
          <w:tcPr>
            <w:tcW w:w="0" w:type="dxa"/>
            <w:vAlign w:val="bottom"/>
          </w:tcPr>
          <w:p>
            <w:pPr>
              <w:spacing w:after="0"/>
              <w:rPr>
                <w:sz w:val="1"/>
                <w:szCs w:val="1"/>
                <w:color w:val="auto"/>
              </w:rPr>
            </w:pPr>
          </w:p>
        </w:tc>
      </w:tr>
      <w:tr>
        <w:trPr>
          <w:trHeight w:val="242"/>
        </w:trPr>
        <w:tc>
          <w:tcPr>
            <w:tcW w:w="6680" w:type="dxa"/>
            <w:vAlign w:val="bottom"/>
          </w:tcPr>
          <w:p>
            <w:pPr>
              <w:ind w:left="340"/>
              <w:spacing w:after="0"/>
              <w:rPr>
                <w:sz w:val="20"/>
                <w:szCs w:val="20"/>
                <w:color w:val="auto"/>
              </w:rPr>
            </w:pPr>
            <w:r>
              <w:rPr>
                <w:rFonts w:ascii="Times New Roman" w:cs="Times New Roman" w:eastAsia="Times New Roman" w:hAnsi="Times New Roman"/>
                <w:sz w:val="19"/>
                <w:szCs w:val="19"/>
                <w:color w:val="231F20"/>
              </w:rPr>
              <w:t>Repayment of senior notes</w:t>
            </w: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(600,000)</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(275,000)</w:t>
            </w:r>
          </w:p>
        </w:tc>
        <w:tc>
          <w:tcPr>
            <w:tcW w:w="0" w:type="dxa"/>
            <w:vAlign w:val="bottom"/>
          </w:tcPr>
          <w:p>
            <w:pPr>
              <w:spacing w:after="0"/>
              <w:rPr>
                <w:sz w:val="1"/>
                <w:szCs w:val="1"/>
                <w:color w:val="auto"/>
              </w:rPr>
            </w:pPr>
          </w:p>
        </w:tc>
      </w:tr>
      <w:tr>
        <w:trPr>
          <w:trHeight w:val="242"/>
        </w:trPr>
        <w:tc>
          <w:tcPr>
            <w:tcW w:w="6680" w:type="dxa"/>
            <w:vAlign w:val="bottom"/>
          </w:tcPr>
          <w:p>
            <w:pPr>
              <w:ind w:left="340"/>
              <w:spacing w:after="0"/>
              <w:rPr>
                <w:sz w:val="20"/>
                <w:szCs w:val="20"/>
                <w:color w:val="auto"/>
              </w:rPr>
            </w:pPr>
            <w:r>
              <w:rPr>
                <w:rFonts w:ascii="Times New Roman" w:cs="Times New Roman" w:eastAsia="Times New Roman" w:hAnsi="Times New Roman"/>
                <w:sz w:val="19"/>
                <w:szCs w:val="19"/>
                <w:color w:val="231F20"/>
              </w:rPr>
              <w:t>Issuance and extension of mortgages and notes payable, net of costs</w:t>
            </w: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157,661</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(902)</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199,237</w:t>
            </w:r>
          </w:p>
        </w:tc>
        <w:tc>
          <w:tcPr>
            <w:tcW w:w="0" w:type="dxa"/>
            <w:vAlign w:val="bottom"/>
          </w:tcPr>
          <w:p>
            <w:pPr>
              <w:spacing w:after="0"/>
              <w:rPr>
                <w:sz w:val="1"/>
                <w:szCs w:val="1"/>
                <w:color w:val="auto"/>
              </w:rPr>
            </w:pPr>
          </w:p>
        </w:tc>
      </w:tr>
      <w:tr>
        <w:trPr>
          <w:trHeight w:val="242"/>
        </w:trPr>
        <w:tc>
          <w:tcPr>
            <w:tcW w:w="6680" w:type="dxa"/>
            <w:vAlign w:val="bottom"/>
          </w:tcPr>
          <w:p>
            <w:pPr>
              <w:ind w:left="340"/>
              <w:spacing w:after="0"/>
              <w:rPr>
                <w:sz w:val="20"/>
                <w:szCs w:val="20"/>
                <w:color w:val="auto"/>
              </w:rPr>
            </w:pPr>
            <w:r>
              <w:rPr>
                <w:rFonts w:ascii="Times New Roman" w:cs="Times New Roman" w:eastAsia="Times New Roman" w:hAnsi="Times New Roman"/>
                <w:sz w:val="19"/>
                <w:szCs w:val="19"/>
                <w:color w:val="231F20"/>
              </w:rPr>
              <w:t>Repayment of mortgages, finance leases, and notes payable</w:t>
            </w: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(7,662)</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(3,496)</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(58,472)</w:t>
            </w:r>
          </w:p>
        </w:tc>
        <w:tc>
          <w:tcPr>
            <w:tcW w:w="0" w:type="dxa"/>
            <w:vAlign w:val="bottom"/>
          </w:tcPr>
          <w:p>
            <w:pPr>
              <w:spacing w:after="0"/>
              <w:rPr>
                <w:sz w:val="1"/>
                <w:szCs w:val="1"/>
                <w:color w:val="auto"/>
              </w:rPr>
            </w:pPr>
          </w:p>
        </w:tc>
      </w:tr>
      <w:tr>
        <w:trPr>
          <w:trHeight w:val="242"/>
        </w:trPr>
        <w:tc>
          <w:tcPr>
            <w:tcW w:w="6680" w:type="dxa"/>
            <w:vAlign w:val="bottom"/>
          </w:tcPr>
          <w:p>
            <w:pPr>
              <w:ind w:left="340"/>
              <w:spacing w:after="0"/>
              <w:rPr>
                <w:sz w:val="20"/>
                <w:szCs w:val="20"/>
                <w:color w:val="auto"/>
              </w:rPr>
            </w:pPr>
            <w:r>
              <w:rPr>
                <w:rFonts w:ascii="Times New Roman" w:cs="Times New Roman" w:eastAsia="Times New Roman" w:hAnsi="Times New Roman"/>
                <w:sz w:val="19"/>
                <w:szCs w:val="19"/>
                <w:color w:val="231F20"/>
              </w:rPr>
              <w:t>Purchase of capped calls</w:t>
            </w: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(19,448)</w:t>
            </w:r>
          </w:p>
        </w:tc>
        <w:tc>
          <w:tcPr>
            <w:tcW w:w="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0" w:type="dxa"/>
            <w:vAlign w:val="bottom"/>
          </w:tcPr>
          <w:p>
            <w:pPr>
              <w:spacing w:after="0"/>
              <w:rPr>
                <w:sz w:val="1"/>
                <w:szCs w:val="1"/>
                <w:color w:val="auto"/>
              </w:rPr>
            </w:pPr>
          </w:p>
        </w:tc>
      </w:tr>
      <w:tr>
        <w:trPr>
          <w:trHeight w:val="242"/>
        </w:trPr>
        <w:tc>
          <w:tcPr>
            <w:tcW w:w="6680" w:type="dxa"/>
            <w:vAlign w:val="bottom"/>
          </w:tcPr>
          <w:p>
            <w:pPr>
              <w:ind w:left="340"/>
              <w:spacing w:after="0"/>
              <w:rPr>
                <w:sz w:val="20"/>
                <w:szCs w:val="20"/>
                <w:color w:val="auto"/>
              </w:rPr>
            </w:pPr>
            <w:r>
              <w:rPr>
                <w:rFonts w:ascii="Times New Roman" w:cs="Times New Roman" w:eastAsia="Times New Roman" w:hAnsi="Times New Roman"/>
                <w:sz w:val="19"/>
                <w:szCs w:val="19"/>
                <w:color w:val="231F20"/>
              </w:rPr>
              <w:t>Issuance of common units, net of costs</w:t>
            </w: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54,466</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304,045</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131,895</w:t>
            </w:r>
          </w:p>
        </w:tc>
        <w:tc>
          <w:tcPr>
            <w:tcW w:w="0" w:type="dxa"/>
            <w:vAlign w:val="bottom"/>
          </w:tcPr>
          <w:p>
            <w:pPr>
              <w:spacing w:after="0"/>
              <w:rPr>
                <w:sz w:val="1"/>
                <w:szCs w:val="1"/>
                <w:color w:val="auto"/>
              </w:rPr>
            </w:pPr>
          </w:p>
        </w:tc>
      </w:tr>
      <w:tr>
        <w:trPr>
          <w:trHeight w:val="242"/>
        </w:trPr>
        <w:tc>
          <w:tcPr>
            <w:tcW w:w="6680" w:type="dxa"/>
            <w:vAlign w:val="bottom"/>
          </w:tcPr>
          <w:p>
            <w:pPr>
              <w:ind w:left="340"/>
              <w:spacing w:after="0"/>
              <w:rPr>
                <w:sz w:val="20"/>
                <w:szCs w:val="20"/>
                <w:color w:val="auto"/>
              </w:rPr>
            </w:pPr>
            <w:r>
              <w:rPr>
                <w:rFonts w:ascii="Times New Roman" w:cs="Times New Roman" w:eastAsia="Times New Roman" w:hAnsi="Times New Roman"/>
                <w:sz w:val="19"/>
                <w:szCs w:val="19"/>
                <w:color w:val="231F20"/>
              </w:rPr>
              <w:t>Dividends paid to common and preferred unit holders</w:t>
            </w: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(388,058)</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(371,586)</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(359,194)</w:t>
            </w:r>
          </w:p>
        </w:tc>
        <w:tc>
          <w:tcPr>
            <w:tcW w:w="0" w:type="dxa"/>
            <w:vAlign w:val="bottom"/>
          </w:tcPr>
          <w:p>
            <w:pPr>
              <w:spacing w:after="0"/>
              <w:rPr>
                <w:sz w:val="1"/>
                <w:szCs w:val="1"/>
                <w:color w:val="auto"/>
              </w:rPr>
            </w:pPr>
          </w:p>
        </w:tc>
      </w:tr>
      <w:tr>
        <w:trPr>
          <w:trHeight w:val="242"/>
        </w:trPr>
        <w:tc>
          <w:tcPr>
            <w:tcW w:w="6680" w:type="dxa"/>
            <w:vAlign w:val="bottom"/>
          </w:tcPr>
          <w:p>
            <w:pPr>
              <w:ind w:left="340"/>
              <w:spacing w:after="0"/>
              <w:rPr>
                <w:sz w:val="20"/>
                <w:szCs w:val="20"/>
                <w:color w:val="auto"/>
              </w:rPr>
            </w:pPr>
            <w:r>
              <w:rPr>
                <w:rFonts w:ascii="Times New Roman" w:cs="Times New Roman" w:eastAsia="Times New Roman" w:hAnsi="Times New Roman"/>
                <w:sz w:val="19"/>
                <w:szCs w:val="19"/>
                <w:color w:val="231F20"/>
              </w:rPr>
              <w:t>Common units withheld for employee taxes</w:t>
            </w: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(4,911)</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(6,709)</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(5,019)</w:t>
            </w:r>
          </w:p>
        </w:tc>
        <w:tc>
          <w:tcPr>
            <w:tcW w:w="0" w:type="dxa"/>
            <w:vAlign w:val="bottom"/>
          </w:tcPr>
          <w:p>
            <w:pPr>
              <w:spacing w:after="0"/>
              <w:rPr>
                <w:sz w:val="1"/>
                <w:szCs w:val="1"/>
                <w:color w:val="auto"/>
              </w:rPr>
            </w:pPr>
          </w:p>
        </w:tc>
      </w:tr>
      <w:tr>
        <w:trPr>
          <w:trHeight w:val="251"/>
        </w:trPr>
        <w:tc>
          <w:tcPr>
            <w:tcW w:w="6680" w:type="dxa"/>
            <w:vAlign w:val="bottom"/>
          </w:tcPr>
          <w:p>
            <w:pPr>
              <w:ind w:left="340"/>
              <w:spacing w:after="0"/>
              <w:rPr>
                <w:sz w:val="20"/>
                <w:szCs w:val="20"/>
                <w:color w:val="auto"/>
              </w:rPr>
            </w:pPr>
            <w:r>
              <w:rPr>
                <w:rFonts w:ascii="Times New Roman" w:cs="Times New Roman" w:eastAsia="Times New Roman" w:hAnsi="Times New Roman"/>
                <w:sz w:val="19"/>
                <w:szCs w:val="19"/>
                <w:color w:val="231F20"/>
              </w:rPr>
              <w:t>Contributions from noncontrolling interests</w:t>
            </w: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2,670</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725</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1,092</w:t>
            </w:r>
          </w:p>
        </w:tc>
        <w:tc>
          <w:tcPr>
            <w:tcW w:w="0" w:type="dxa"/>
            <w:vAlign w:val="bottom"/>
          </w:tcPr>
          <w:p>
            <w:pPr>
              <w:spacing w:after="0"/>
              <w:rPr>
                <w:sz w:val="1"/>
                <w:szCs w:val="1"/>
                <w:color w:val="auto"/>
              </w:rPr>
            </w:pPr>
          </w:p>
        </w:tc>
      </w:tr>
      <w:tr>
        <w:trPr>
          <w:trHeight w:val="271"/>
        </w:trPr>
        <w:tc>
          <w:tcPr>
            <w:tcW w:w="6680" w:type="dxa"/>
            <w:vAlign w:val="bottom"/>
          </w:tcPr>
          <w:p>
            <w:pPr>
              <w:ind w:left="340"/>
              <w:spacing w:after="0"/>
              <w:rPr>
                <w:sz w:val="20"/>
                <w:szCs w:val="20"/>
                <w:color w:val="auto"/>
              </w:rPr>
            </w:pPr>
            <w:r>
              <w:rPr>
                <w:rFonts w:ascii="Times New Roman" w:cs="Times New Roman" w:eastAsia="Times New Roman" w:hAnsi="Times New Roman"/>
                <w:sz w:val="19"/>
                <w:szCs w:val="19"/>
                <w:color w:val="231F20"/>
              </w:rPr>
              <w:t>Distributions to and acquisition/redemptions of noncontrolling interests</w:t>
            </w:r>
          </w:p>
        </w:tc>
        <w:tc>
          <w:tcPr>
            <w:tcW w:w="9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(21,213)</w:t>
            </w:r>
          </w:p>
        </w:tc>
        <w:tc>
          <w:tcPr>
            <w:tcW w:w="60" w:type="dxa"/>
            <w:vAlign w:val="bottom"/>
          </w:tcPr>
          <w:p>
            <w:pPr>
              <w:spacing w:after="0"/>
              <w:rPr>
                <w:sz w:val="23"/>
                <w:szCs w:val="23"/>
                <w:color w:val="auto"/>
              </w:rPr>
            </w:pPr>
          </w:p>
        </w:tc>
        <w:tc>
          <w:tcPr>
            <w:tcW w:w="9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(26,434)</w:t>
            </w:r>
          </w:p>
        </w:tc>
        <w:tc>
          <w:tcPr>
            <w:tcW w:w="80" w:type="dxa"/>
            <w:vAlign w:val="bottom"/>
          </w:tcPr>
          <w:p>
            <w:pPr>
              <w:spacing w:after="0"/>
              <w:rPr>
                <w:sz w:val="23"/>
                <w:szCs w:val="23"/>
                <w:color w:val="auto"/>
              </w:rPr>
            </w:pPr>
          </w:p>
        </w:tc>
        <w:tc>
          <w:tcPr>
            <w:tcW w:w="9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(14,086)</w:t>
            </w:r>
          </w:p>
        </w:tc>
        <w:tc>
          <w:tcPr>
            <w:tcW w:w="0" w:type="dxa"/>
            <w:vAlign w:val="bottom"/>
          </w:tcPr>
          <w:p>
            <w:pPr>
              <w:spacing w:after="0"/>
              <w:rPr>
                <w:sz w:val="1"/>
                <w:szCs w:val="1"/>
                <w:color w:val="auto"/>
              </w:rPr>
            </w:pPr>
          </w:p>
        </w:tc>
      </w:tr>
      <w:tr>
        <w:trPr>
          <w:trHeight w:val="251"/>
        </w:trPr>
        <w:tc>
          <w:tcPr>
            <w:tcW w:w="6680" w:type="dxa"/>
            <w:vAlign w:val="bottom"/>
          </w:tcPr>
          <w:p>
            <w:pPr>
              <w:ind w:left="340"/>
              <w:spacing w:after="0"/>
              <w:rPr>
                <w:sz w:val="20"/>
                <w:szCs w:val="20"/>
                <w:color w:val="auto"/>
              </w:rPr>
            </w:pPr>
            <w:r>
              <w:rPr>
                <w:rFonts w:ascii="Times New Roman" w:cs="Times New Roman" w:eastAsia="Times New Roman" w:hAnsi="Times New Roman"/>
                <w:sz w:val="19"/>
                <w:szCs w:val="19"/>
                <w:color w:val="231F20"/>
              </w:rPr>
              <w:t>Net cash provided by (used in) financing activities</w:t>
            </w: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102,953</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(252,298)</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(33,849)</w:t>
            </w:r>
          </w:p>
        </w:tc>
        <w:tc>
          <w:tcPr>
            <w:tcW w:w="0" w:type="dxa"/>
            <w:vAlign w:val="bottom"/>
          </w:tcPr>
          <w:p>
            <w:pPr>
              <w:spacing w:after="0"/>
              <w:rPr>
                <w:sz w:val="1"/>
                <w:szCs w:val="1"/>
                <w:color w:val="auto"/>
              </w:rPr>
            </w:pPr>
          </w:p>
        </w:tc>
      </w:tr>
      <w:tr>
        <w:trPr>
          <w:trHeight w:val="249"/>
        </w:trPr>
        <w:tc>
          <w:tcPr>
            <w:tcW w:w="6680" w:type="dxa"/>
            <w:vAlign w:val="bottom"/>
          </w:tcPr>
          <w:p>
            <w:pPr>
              <w:spacing w:after="0"/>
              <w:rPr>
                <w:sz w:val="20"/>
                <w:szCs w:val="20"/>
                <w:color w:val="auto"/>
              </w:rPr>
            </w:pPr>
            <w:r>
              <w:rPr>
                <w:rFonts w:ascii="Times New Roman" w:cs="Times New Roman" w:eastAsia="Times New Roman" w:hAnsi="Times New Roman"/>
                <w:sz w:val="19"/>
                <w:szCs w:val="19"/>
                <w:color w:val="231F20"/>
              </w:rPr>
              <w:t>(Decrease) increase in cash, cash equivalents, and restricted cash</w:t>
            </w:r>
          </w:p>
        </w:tc>
        <w:tc>
          <w:tcPr>
            <w:tcW w:w="96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(17,737)</w:t>
            </w:r>
          </w:p>
        </w:tc>
        <w:tc>
          <w:tcPr>
            <w:tcW w:w="60" w:type="dxa"/>
            <w:vAlign w:val="bottom"/>
          </w:tcPr>
          <w:p>
            <w:pPr>
              <w:spacing w:after="0"/>
              <w:rPr>
                <w:sz w:val="21"/>
                <w:szCs w:val="21"/>
                <w:color w:val="auto"/>
              </w:rPr>
            </w:pPr>
          </w:p>
        </w:tc>
        <w:tc>
          <w:tcPr>
            <w:tcW w:w="96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(124,561)</w:t>
            </w:r>
          </w:p>
        </w:tc>
        <w:tc>
          <w:tcPr>
            <w:tcW w:w="80" w:type="dxa"/>
            <w:vAlign w:val="bottom"/>
          </w:tcPr>
          <w:p>
            <w:pPr>
              <w:spacing w:after="0"/>
              <w:rPr>
                <w:sz w:val="21"/>
                <w:szCs w:val="21"/>
                <w:color w:val="auto"/>
              </w:rPr>
            </w:pPr>
          </w:p>
        </w:tc>
        <w:tc>
          <w:tcPr>
            <w:tcW w:w="94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163,656</w:t>
            </w:r>
          </w:p>
        </w:tc>
        <w:tc>
          <w:tcPr>
            <w:tcW w:w="0" w:type="dxa"/>
            <w:vAlign w:val="bottom"/>
          </w:tcPr>
          <w:p>
            <w:pPr>
              <w:spacing w:after="0"/>
              <w:rPr>
                <w:sz w:val="1"/>
                <w:szCs w:val="1"/>
                <w:color w:val="auto"/>
              </w:rPr>
            </w:pPr>
          </w:p>
        </w:tc>
      </w:tr>
      <w:tr>
        <w:trPr>
          <w:trHeight w:val="272"/>
        </w:trPr>
        <w:tc>
          <w:tcPr>
            <w:tcW w:w="6680" w:type="dxa"/>
            <w:vAlign w:val="bottom"/>
          </w:tcPr>
          <w:p>
            <w:pPr>
              <w:spacing w:after="0"/>
              <w:rPr>
                <w:sz w:val="20"/>
                <w:szCs w:val="20"/>
                <w:color w:val="auto"/>
              </w:rPr>
            </w:pPr>
            <w:r>
              <w:rPr>
                <w:rFonts w:ascii="Times New Roman" w:cs="Times New Roman" w:eastAsia="Times New Roman" w:hAnsi="Times New Roman"/>
                <w:sz w:val="19"/>
                <w:szCs w:val="19"/>
                <w:color w:val="231F20"/>
              </w:rPr>
              <w:t>Cash, cash equivalents, and restricted cash at beginning of year</w:t>
            </w: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135,443</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260,004</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96,348</w:t>
            </w:r>
          </w:p>
        </w:tc>
        <w:tc>
          <w:tcPr>
            <w:tcW w:w="0" w:type="dxa"/>
            <w:vAlign w:val="bottom"/>
          </w:tcPr>
          <w:p>
            <w:pPr>
              <w:spacing w:after="0"/>
              <w:rPr>
                <w:sz w:val="1"/>
                <w:szCs w:val="1"/>
                <w:color w:val="auto"/>
              </w:rPr>
            </w:pPr>
          </w:p>
        </w:tc>
      </w:tr>
      <w:tr>
        <w:trPr>
          <w:trHeight w:val="233"/>
        </w:trPr>
        <w:tc>
          <w:tcPr>
            <w:tcW w:w="6680" w:type="dxa"/>
            <w:vAlign w:val="bottom"/>
          </w:tcPr>
          <w:p>
            <w:pPr>
              <w:spacing w:after="0"/>
              <w:rPr>
                <w:sz w:val="20"/>
                <w:szCs w:val="20"/>
                <w:color w:val="auto"/>
              </w:rPr>
            </w:pPr>
            <w:r>
              <w:rPr>
                <w:rFonts w:ascii="Times New Roman" w:cs="Times New Roman" w:eastAsia="Times New Roman" w:hAnsi="Times New Roman"/>
                <w:sz w:val="19"/>
                <w:szCs w:val="19"/>
                <w:color w:val="231F20"/>
              </w:rPr>
              <w:t>Cash, cash equivalents, and restricted cash at end of year</w:t>
            </w:r>
          </w:p>
        </w:tc>
        <w:tc>
          <w:tcPr>
            <w:tcW w:w="96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$ 117,706</w:t>
            </w:r>
          </w:p>
        </w:tc>
        <w:tc>
          <w:tcPr>
            <w:tcW w:w="60" w:type="dxa"/>
            <w:vAlign w:val="bottom"/>
          </w:tcPr>
          <w:p>
            <w:pPr>
              <w:spacing w:after="0"/>
              <w:rPr>
                <w:sz w:val="20"/>
                <w:szCs w:val="20"/>
                <w:color w:val="auto"/>
              </w:rPr>
            </w:pPr>
          </w:p>
        </w:tc>
        <w:tc>
          <w:tcPr>
            <w:tcW w:w="96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$ 135,443</w:t>
            </w:r>
          </w:p>
        </w:tc>
        <w:tc>
          <w:tcPr>
            <w:tcW w:w="80" w:type="dxa"/>
            <w:vAlign w:val="bottom"/>
          </w:tcPr>
          <w:p>
            <w:pPr>
              <w:spacing w:after="0"/>
              <w:rPr>
                <w:sz w:val="20"/>
                <w:szCs w:val="20"/>
                <w:color w:val="auto"/>
              </w:rPr>
            </w:pPr>
          </w:p>
        </w:tc>
        <w:tc>
          <w:tcPr>
            <w:tcW w:w="94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$ 260,004</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96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231F20"/>
        </w:rPr>
        <w:t>The accompanying notes are an integral part of these consolidated statements.</w:t>
      </w:r>
    </w:p>
    <w:p>
      <w:pPr>
        <w:sectPr>
          <w:pgSz w:w="11880" w:h="15480" w:orient="portrait"/>
          <w:cols w:equalWidth="0" w:num="1">
            <w:col w:w="9680"/>
          </w:cols>
          <w:pgMar w:left="1120" w:top="958" w:right="108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231F20"/>
        </w:rPr>
        <w:t>F-15</w:t>
      </w:r>
    </w:p>
    <w:p>
      <w:pPr>
        <w:sectPr>
          <w:pgSz w:w="11880" w:h="15480" w:orient="portrait"/>
          <w:cols w:equalWidth="0" w:num="1">
            <w:col w:w="9680"/>
          </w:cols>
          <w:pgMar w:left="1120" w:top="958" w:right="1080" w:bottom="0" w:gutter="0" w:footer="0" w:header="0"/>
          <w:type w:val="continuous"/>
        </w:sectPr>
      </w:pPr>
    </w:p>
    <w:bookmarkStart w:id="79" w:name="page80"/>
    <w:bookmarkEnd w:id="79"/>
    <w:p>
      <w:pPr>
        <w:jc w:val="center"/>
        <w:spacing w:after="0"/>
        <w:rPr>
          <w:sz w:val="20"/>
          <w:szCs w:val="20"/>
          <w:color w:val="auto"/>
        </w:rPr>
      </w:pPr>
      <w:r>
        <w:rPr>
          <w:rFonts w:ascii="Times New Roman" w:cs="Times New Roman" w:eastAsia="Times New Roman" w:hAnsi="Times New Roman"/>
          <w:sz w:val="19"/>
          <w:szCs w:val="19"/>
          <w:b w:val="1"/>
          <w:bCs w:val="1"/>
          <w:color w:val="231F20"/>
        </w:rPr>
        <w:t>Federal Realty Investment Trust</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231F20"/>
        </w:rPr>
        <w:t>Federal Realty OP LP</w:t>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231F20"/>
        </w:rPr>
        <w:t>Notes to Consolidated Financial Statements</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231F20"/>
        </w:rPr>
        <w:t>December 31, 2025, 2024 and 2023</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NOTE 1—BUSINESS AND ORGANIZATION</w:t>
      </w:r>
    </w:p>
    <w:p>
      <w:pPr>
        <w:spacing w:after="0" w:line="11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9"/>
          <w:szCs w:val="19"/>
          <w:color w:val="231F20"/>
        </w:rPr>
        <w:t>Federal Realty Investment Trust (the “Parent Company” and "Trust") is an equity real estate investment trust (“REIT”). Federal Realty OP LP (the "Operating Partnership") is the entity through which the Parent Company conducts substantially all of its operating and owns all of its assets. The Parent Company owns 100% of the limited liability company interests of, is sole member of, and exercises control over Federal Realty GP LLC (the "General Partner"), which in turn, is the sole general partner of the Operating Partnership. The Parent Company specializes in the ownership, management, and redevelopment of retail and mixed-use properties through the Operating Partnership, and has no other substantial assets or liabilities other than through its investment in the Operating Partnership. Our properties are located in major coastal markets and select underserved markets that we believe have strong economic and demographic fundamentals. As of December 31, 2025, we owned or had a majority interest in community and neighborhood shopping centers and mixed-use properties which are operated as 104 predominantly retail real estate projects.</w:t>
      </w:r>
    </w:p>
    <w:p>
      <w:pPr>
        <w:spacing w:after="0" w:line="141"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9"/>
          <w:szCs w:val="19"/>
          <w:color w:val="231F20"/>
        </w:rPr>
        <w:t>We operate in a manner intended to enable the Trust to qualify as a REIT for federal income tax purposes. A REIT that distributes at least 90% of its taxable income to its shareholders each year and meets certain other conditions is not taxed on that portion of its taxable income which is distributed to its shareholders.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General Economic Conditions</w:t>
      </w:r>
    </w:p>
    <w:p>
      <w:pPr>
        <w:spacing w:after="0" w:line="110"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9"/>
          <w:szCs w:val="19"/>
          <w:color w:val="231F20"/>
        </w:rPr>
        <w:t>Significant uncertainty continues within the macro-economic environment including inflation risk, changes in interest rates, new or higher tariffs and their impact on trade and prices, increases or decreases in federal and government spending, and potentially worsening economic conditions, which presents risks for our business and tenants. We continue to monitor and address risks related to the general state of the economy. We believe the actions we have taken to maintain a strong financial position and reinforce our liquidity will continue to mitigate the negative short term impacts of the current economic environment. The extent of the future effects on our business, results of operations, cash flows, and growth strategies is highly uncertain and will ultimately depend on future developments, none of which can be predicted.</w:t>
      </w:r>
    </w:p>
    <w:p>
      <w:pPr>
        <w:spacing w:after="0" w:line="189" w:lineRule="exact"/>
        <w:rPr>
          <w:sz w:val="20"/>
          <w:szCs w:val="20"/>
          <w:color w:val="auto"/>
        </w:rPr>
      </w:pPr>
    </w:p>
    <w:p>
      <w:pPr>
        <w:ind w:right="3920"/>
        <w:spacing w:after="0" w:line="357" w:lineRule="auto"/>
        <w:rPr>
          <w:sz w:val="20"/>
          <w:szCs w:val="20"/>
          <w:color w:val="auto"/>
        </w:rPr>
      </w:pPr>
      <w:r>
        <w:rPr>
          <w:rFonts w:ascii="Times New Roman" w:cs="Times New Roman" w:eastAsia="Times New Roman" w:hAnsi="Times New Roman"/>
          <w:sz w:val="19"/>
          <w:szCs w:val="19"/>
          <w:b w:val="1"/>
          <w:bCs w:val="1"/>
          <w:color w:val="231F20"/>
        </w:rPr>
        <w:t>NOTE 2—SUMMARY OF SIGNIFICANT ACCOUNTING POLICIES Principles of Consolidation</w:t>
      </w:r>
    </w:p>
    <w:p>
      <w:pPr>
        <w:spacing w:after="0" w:line="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9"/>
          <w:szCs w:val="19"/>
          <w:color w:val="231F20"/>
        </w:rPr>
        <w:t>As discussed in the Explanatory Note, we have combined the Annual Reports on Form 10-K of the Parent Company and the Operating Partnership into this single report. As a result, we present two sets of consolidated financial statements. Both sets of consolidated financial statements include the accounts of the entity, its corporate subsidiaries, and all entities in which it has a controlling interest or has been determined to the primary beneficiary of a variable interest entity (“VIE”). The Parent Company's consolidated financial statements include the accounts of the Operating Partnership and its subsidiaries as the Parent, and through its ownership and control over the General Partner, exercises exclusive control over the Operating Partnership. The equity interests of other investors are reflected as noncontrolling interests or redeemable noncontrolling interests. All significant intercompany transactions and balances are eliminated in consolidation. We account for our interests in joint ventures, which we do not control, using the equity method of accounting.</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Use of Estimates</w:t>
      </w:r>
    </w:p>
    <w:p>
      <w:pPr>
        <w:spacing w:after="0" w:line="110"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9"/>
          <w:szCs w:val="19"/>
          <w:color w:val="231F20"/>
        </w:rPr>
        <w:t>The preparation of financial statements in conformity with accounting principles generally accepted in the United States of America, referred to as “GAAP,” requires management to make estimates and assumptions that in certain circumstances affect the reported amounts of assets and liabilities, disclosure of contingent assets and liabilities, and revenues and expenses. These estimates are prepared using management’s best judgment, after considering past, current and expected events and economic conditions. Actual results could differ from these estimates.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Revenue Recognition and Accounts Receivable</w:t>
      </w:r>
    </w:p>
    <w:p>
      <w:pPr>
        <w:spacing w:after="0" w:line="110"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8"/>
          <w:szCs w:val="18"/>
          <w:color w:val="231F20"/>
        </w:rPr>
        <w:t>Our leases with our tenants are classified as operating leases. When collection of substantially all lease payments during the lease term is considered probable, the lease qualifies for accrual accounting. Lease payments are recognized on a straight-line basis from the point in time when the tenant controls the space through the term of the related lease. Variable lease payments relating to percentage rent are recognized at the end of the lease year or earlier if we have determined the required sales level is achieved. Real estate tax and other cost reimbursements are recognized on an accrual basis over the periods in which the related expenditures are incurred. Many of our leases contain tenant options that enable the tenant to extend the term of the lease at</w:t>
      </w:r>
    </w:p>
    <w:p>
      <w:pPr>
        <w:sectPr>
          <w:pgSz w:w="11880" w:h="15480" w:orient="portrait"/>
          <w:cols w:equalWidth="0" w:num="1">
            <w:col w:w="9760"/>
          </w:cols>
          <w:pgMar w:left="1060" w:top="958" w:right="1060" w:bottom="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F-16</w:t>
      </w:r>
    </w:p>
    <w:p>
      <w:pPr>
        <w:sectPr>
          <w:pgSz w:w="11880" w:h="15480" w:orient="portrait"/>
          <w:cols w:equalWidth="0" w:num="1">
            <w:col w:w="9760"/>
          </w:cols>
          <w:pgMar w:left="1060" w:top="958" w:right="1060" w:bottom="0" w:gutter="0" w:footer="0" w:header="0"/>
          <w:type w:val="continuous"/>
        </w:sectPr>
      </w:pPr>
    </w:p>
    <w:bookmarkStart w:id="80" w:name="page81"/>
    <w:bookmarkEnd w:id="80"/>
    <w:p>
      <w:pPr>
        <w:ind w:right="60"/>
        <w:spacing w:after="0" w:line="254" w:lineRule="auto"/>
        <w:rPr>
          <w:sz w:val="20"/>
          <w:szCs w:val="20"/>
          <w:color w:val="auto"/>
        </w:rPr>
      </w:pPr>
      <w:r>
        <w:rPr>
          <w:rFonts w:ascii="Times New Roman" w:cs="Times New Roman" w:eastAsia="Times New Roman" w:hAnsi="Times New Roman"/>
          <w:sz w:val="19"/>
          <w:szCs w:val="19"/>
          <w:color w:val="231F20"/>
        </w:rPr>
        <w:t>expiration at pre-established rental rates that often include fixed rent increases, consumer price index adjustments or other market rate adjustments from the prior base rent. For a tenant to terminate its lease agreement prior to the end of the agreed term, we may require that they pay a fee to cancel the lease agreement. Lease termination fees are generally recognized on the termination date if the tenant has relinquished control of the space. When a lease is terminated early but the tenant continues to control the space under a modified lease agreement, the lease termination fee is generally recognized evenly over the remaining term of the modified lease agreement. Lease concessions are evaluated to determine whether the concession represents a modification of the original lease contract. Modifications generally result in a reassessment of the lease term and lease classification, and remeasurement of lease payments received. Remeasured lease payments are recognized on a straight-line basis over the remaining term of the modified lease contract.</w:t>
      </w:r>
    </w:p>
    <w:p>
      <w:pPr>
        <w:spacing w:after="0" w:line="14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9"/>
          <w:szCs w:val="19"/>
          <w:color w:val="231F20"/>
        </w:rPr>
        <w:t>When collection of substantially all lease payments during the lease term is not considered probable, total lease revenue is limited to the lesser of revenue recognized under accrual accounting or cash received. Determining the probability of collection of substantially all lease payments during a lease term requires significant judgment. This determination is impacted by numerous factors including our assessment of the tenant’s credit worthiness, economic conditions, tenant sales productivity in that location, historical experience with the tenant and tenants operating in the same industry, future prospects for the tenant and the industry in which it operates, and the length of the lease term. If leases currently classified as probable are subsequently reclassified as not probable, any outstanding lease receivables (including straight-line rent receivables) would be written-off with a corresponding decrease in rental income. If leases currently classified as not probable are subsequently changed to probable, any lease receivables (including straight-line rent receivables) are re-instated with a corresponding increase to rental income.</w:t>
      </w:r>
    </w:p>
    <w:p>
      <w:pPr>
        <w:spacing w:after="0" w:line="141" w:lineRule="exact"/>
        <w:rPr>
          <w:sz w:val="20"/>
          <w:szCs w:val="20"/>
          <w:color w:val="auto"/>
        </w:rPr>
      </w:pPr>
    </w:p>
    <w:p>
      <w:pPr>
        <w:ind w:right="820"/>
        <w:spacing w:after="0" w:line="284" w:lineRule="auto"/>
        <w:rPr>
          <w:sz w:val="20"/>
          <w:szCs w:val="20"/>
          <w:color w:val="auto"/>
        </w:rPr>
      </w:pPr>
      <w:r>
        <w:rPr>
          <w:rFonts w:ascii="Times New Roman" w:cs="Times New Roman" w:eastAsia="Times New Roman" w:hAnsi="Times New Roman"/>
          <w:sz w:val="19"/>
          <w:szCs w:val="19"/>
          <w:color w:val="231F20"/>
        </w:rPr>
        <w:t>As of December 31, 2025 and 2024, our straight-line rent receivables balance was $189.3 million and $164.6 million, respectively, and is included in "accounts and notes receivable, net" on our consolidated balance sheet.</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231F20"/>
        </w:rPr>
        <w:t>Other revenue recognition policies</w:t>
      </w:r>
    </w:p>
    <w:p>
      <w:pPr>
        <w:spacing w:after="0" w:line="107"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9"/>
          <w:szCs w:val="19"/>
          <w:color w:val="231F20"/>
        </w:rPr>
        <w:t>Sales of real estate are recognized upon the transfer of control, which usually occurs when the real estate is legally sold. When we enter into a transaction to sell a property or a portion of a property, we evaluate the recognition of the sale under ASC</w:t>
      </w:r>
    </w:p>
    <w:p>
      <w:pPr>
        <w:spacing w:after="0" w:line="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9"/>
          <w:szCs w:val="19"/>
          <w:color w:val="231F20"/>
        </w:rPr>
        <w:t>610-20, "Other Income - Gains and Losses from the Derecognition of Nonfinancial Assets." In accordance with ASC 610-20, we apply the guidance in ASC 606, "Revenue from Contracts with Customers," to determine whether and when control transfers and how to measure the associated gain or loss. We determine the transaction price based on the consideration we expect to receive. Variable consideration is included in the transaction price to the extent it is probable that a significant reversal of a gain recognized will not occur. We analyze the risk of a significant gain reversal and if necessary limit the amount of variable consideration recognized in order to mitigate this risk. The estimation of variable consideration requires us to make assumptions and apply significant judgment.</w:t>
      </w:r>
    </w:p>
    <w:p>
      <w:pPr>
        <w:spacing w:after="0" w:line="65" w:lineRule="exact"/>
        <w:rPr>
          <w:sz w:val="20"/>
          <w:szCs w:val="20"/>
          <w:color w:val="auto"/>
        </w:rPr>
      </w:pPr>
    </w:p>
    <w:p>
      <w:pPr>
        <w:ind w:right="540"/>
        <w:spacing w:after="0" w:line="284" w:lineRule="auto"/>
        <w:rPr>
          <w:sz w:val="20"/>
          <w:szCs w:val="20"/>
          <w:color w:val="auto"/>
        </w:rPr>
      </w:pPr>
      <w:r>
        <w:rPr>
          <w:rFonts w:ascii="Times New Roman" w:cs="Times New Roman" w:eastAsia="Times New Roman" w:hAnsi="Times New Roman"/>
          <w:sz w:val="19"/>
          <w:szCs w:val="19"/>
          <w:color w:val="231F20"/>
        </w:rPr>
        <w:t>Other property income includes revenue for our Pike &amp; Rose hotel, parking income and other incidental income from the properties and is generally recognized as the performance obligation is met.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Real Estate</w:t>
      </w:r>
    </w:p>
    <w:p>
      <w:pPr>
        <w:spacing w:after="0" w:line="110"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9"/>
          <w:szCs w:val="19"/>
          <w:color w:val="231F20"/>
        </w:rPr>
        <w:t>Land, buildings and improvements are recorded at cost. Depreciation is computed using the straight-line method. Estimated useful lives range generally from 35 years to a maximum of 50 years on buildings and major improvements. Minor improvements, furniture and equipment are capitalized and depreciated over useful lives ranging from 2 to 20 years. Maintenance and repairs that do not improve or extend the useful lives of the related assets are charged to operations as incurred. Tenant improvements are capitalized and depreciated over the life of the related lease or their estimated useful life, whichever is shorter. If a tenant vacates its space prior to contractual termination of its lease, the undepreciated balance of any tenant improvements are written off if they are replaced or have no future value. In 2025, 2024 and 2023, real estate depreciation expense was $319.6 million, $302.4 million and $282.0 million, respectively, including amounts from real estate sold.</w:t>
      </w:r>
    </w:p>
    <w:p>
      <w:pPr>
        <w:spacing w:after="0" w:line="14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9"/>
          <w:szCs w:val="19"/>
          <w:color w:val="231F20"/>
        </w:rPr>
        <w:t>Our methodology of allocating the cost of acquisitions to assets acquired and liabilities assumed is based on estimated fair values, replacement cost and/or appraised values. When we acquire operating real estate properties, the purchase price is allocated to land, building, improvements, leasing costs, intangibles such as acquired leases, assumed debt, if any, and to current assets acquired and current liabilities assumed, if any. The value allocated to acquired leases is amortized over the related lease term and reflected as rental income in the consolidated statements of comprehensive income. We consider qualitative and quantitative factors in evaluating the likelihood of a tenant exercising a below market renewal option and include such renewal options in the calculation of acquired lease value when we consider these to be bargain renewal options. If the value of below market lease intangibles includes renewal option periods, we include such renewal periods in the amortization period utilized. If a tenant vacates its space prior to contractual termination of its lease, the unamortized balance of any acquired lease value is written off to rental income.</w:t>
      </w:r>
    </w:p>
    <w:p>
      <w:pPr>
        <w:sectPr>
          <w:pgSz w:w="11880" w:h="15480" w:orient="portrait"/>
          <w:cols w:equalWidth="0" w:num="1">
            <w:col w:w="9760"/>
          </w:cols>
          <w:pgMar w:left="1060" w:top="963" w:right="1060" w:bottom="0" w:gutter="0" w:footer="0" w:header="0"/>
        </w:sect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F-17</w:t>
      </w:r>
    </w:p>
    <w:p>
      <w:pPr>
        <w:sectPr>
          <w:pgSz w:w="11880" w:h="15480" w:orient="portrait"/>
          <w:cols w:equalWidth="0" w:num="1">
            <w:col w:w="9760"/>
          </w:cols>
          <w:pgMar w:left="1060" w:top="963" w:right="1060" w:bottom="0" w:gutter="0" w:footer="0" w:header="0"/>
          <w:type w:val="continuous"/>
        </w:sectPr>
      </w:pPr>
    </w:p>
    <w:bookmarkStart w:id="81" w:name="page82"/>
    <w:bookmarkEnd w:id="81"/>
    <w:p>
      <w:pPr>
        <w:ind w:right="120"/>
        <w:spacing w:after="0" w:line="267" w:lineRule="auto"/>
        <w:rPr>
          <w:sz w:val="20"/>
          <w:szCs w:val="20"/>
          <w:color w:val="auto"/>
        </w:rPr>
      </w:pPr>
      <w:r>
        <w:rPr>
          <w:rFonts w:ascii="Times New Roman" w:cs="Times New Roman" w:eastAsia="Times New Roman" w:hAnsi="Times New Roman"/>
          <w:sz w:val="19"/>
          <w:szCs w:val="19"/>
          <w:color w:val="231F20"/>
        </w:rPr>
        <w:t>Transaction costs related to asset acquisitions, such as broker fees, transfer taxes, legal, accounting, valuation, and other professional and consulting fees, are capitalized as part of the acquisition cost. The acquisition of an operating shopping center typically qualifies as an asset acquisition.</w:t>
      </w:r>
    </w:p>
    <w:p>
      <w:pPr>
        <w:spacing w:after="0" w:line="12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9"/>
          <w:szCs w:val="19"/>
          <w:color w:val="231F20"/>
        </w:rPr>
        <w:t>We capitalize certain costs related to the development and redevelopment of real estate including pre-construction costs, real estate taxes, insurance, construction costs and salaries and related costs of personnel directly involved, are capitalized. Additionally, we capitalize interest costs related to development and redevelopment activities. Capitalization of these costs begin when the activities and related expenditures commence and cease when the project is substantially complete and ready for its intended use at which time the project is placed in service and depreciation commences. Additionally, we make estimates as to the probability of certain development and redevelopment projects being completed. If we determine the development or redevelopment is no longer probable of completion, we expense all capitalized costs which are not recoverable.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Long-Lived Assets and Impairment</w:t>
      </w:r>
    </w:p>
    <w:p>
      <w:pPr>
        <w:spacing w:after="0" w:line="110"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9"/>
          <w:szCs w:val="19"/>
          <w:color w:val="231F20"/>
        </w:rPr>
        <w:t>There are estimates and assumptions made by management in preparing the consolidated financial statements for which the actual results will be determined over long periods of time. This includes the recoverability of long-lived assets, including our properties that have been acquired or redeveloped and our investment in certain joint ventures. Management’s evaluation of impairment includes review for possible indicators of impairment as well as, in certain circumstances, undiscounted and discounted cash flow analysis. Since most of our investments in real estate are wholly-owned or controlled assets which are held for use, a property with impairment indicators is first tested for impairment by comparing the undiscounted cash flows, including residual value, to the current net book value of the property. If the undiscounted cash flows are less than the net book value, the property is written down to expected fair value.</w:t>
      </w:r>
    </w:p>
    <w:p>
      <w:pPr>
        <w:spacing w:after="0" w:line="6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9"/>
          <w:szCs w:val="19"/>
          <w:color w:val="231F20"/>
        </w:rPr>
        <w:t>The calculation of both discounted and undiscounted cash flows requires management to make estimates of future cash flows including revenues, operating expenses, required maintenance and development expenditures, market conditions, demand for space by tenants and rental rates over long periods. Because our properties typically have a long life, the assumptions used to estimate the future recoverability of book value requires significant management judgment. Actual results could be significantly different from the estimates. These estimates have a direct impact on net income, because recording an impairment charge results in a negative adjustment to net income. During the fourth quarter of 2025, we recognized a $7.4 million impairment charge related to our North Dartmouth property, as a result of an impairment analysis.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Cash and Cash Equivalents</w:t>
      </w:r>
    </w:p>
    <w:p>
      <w:pPr>
        <w:spacing w:after="0" w:line="110"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9"/>
          <w:szCs w:val="19"/>
          <w:color w:val="231F20"/>
        </w:rPr>
        <w:t>We define cash and cash equivalents as cash on hand, demand deposits with financial institutions and short term liquid investments with an initial maturity, when purchased, under three months. Cash balances in individual banks may exceed the federally insured limit by the Federal Deposit Insurance Corporation (the “FDIC”). At December 31, 2025, we had $111.9 million in excess of the FDIC insured limit.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Prepaid Expenses and Other Assets</w:t>
      </w:r>
    </w:p>
    <w:p>
      <w:pPr>
        <w:spacing w:after="0" w:line="11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9"/>
          <w:szCs w:val="19"/>
          <w:color w:val="231F20"/>
        </w:rPr>
        <w:t>Prepaid expenses and other assets consist primarily of lease costs, prepaid property taxes and acquired above market leases. Capitalized lease costs are incremental direct costs incurred which were essential to originate a successful leasing arrangement and would not have been incurred had the leasing transaction not taken place. These costs include third party commissions related to obtaining a lease. Capitalized lease costs are amortized over the initial life of the related lease which generally ranges from three to ten years. We view these lease costs as part of the up-front initial investment we made in order to generate a long-term cash inflow and therefore, we classify cash outflows related to leasing costs as an investing activity in our consolidated statements of cash flows. If a tenant vacates its space prior to the contractual termination of its lease, the unamortized balance of any previously capitalized lease costs are written off.</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Debt Issuance Costs</w:t>
      </w:r>
    </w:p>
    <w:p>
      <w:pPr>
        <w:spacing w:after="0" w:line="11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9"/>
          <w:szCs w:val="19"/>
          <w:color w:val="231F20"/>
        </w:rPr>
        <w:t>Costs related to the issuance of debt instruments are deferred and are amortized as interest expense over the estimated life of the related issue using the straight-line method which approximates the effective interest method. If a debt instrument is paid off prior to its original maturity date, the unamortized balance of debt issuance costs are written off to interest expense or, if significant, included in “early extinguishment of debt.” Debt issuance costs related to our revolving credit facility and our undrawn $250.0 million unsecured term loan are classified as an asset and are included in "prepaid expenses and other assets" in our consolidated balance sheets. All other debt issuance costs are presented as a direct deduction from the carrying amount of the debt liability.</w:t>
      </w:r>
    </w:p>
    <w:p>
      <w:pPr>
        <w:sectPr>
          <w:pgSz w:w="11880" w:h="15480" w:orient="portrait"/>
          <w:cols w:equalWidth="0" w:num="1">
            <w:col w:w="9760"/>
          </w:cols>
          <w:pgMar w:left="1060" w:top="963"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F-18</w:t>
      </w:r>
    </w:p>
    <w:p>
      <w:pPr>
        <w:sectPr>
          <w:pgSz w:w="11880" w:h="15480" w:orient="portrait"/>
          <w:cols w:equalWidth="0" w:num="1">
            <w:col w:w="9760"/>
          </w:cols>
          <w:pgMar w:left="1060" w:top="963" w:right="1060" w:bottom="0" w:gutter="0" w:footer="0" w:header="0"/>
          <w:type w:val="continuous"/>
        </w:sectPr>
      </w:pPr>
    </w:p>
    <w:bookmarkStart w:id="82" w:name="page83"/>
    <w:bookmarkEnd w:id="82"/>
    <w:p>
      <w:pPr>
        <w:spacing w:after="0"/>
        <w:rPr>
          <w:sz w:val="20"/>
          <w:szCs w:val="20"/>
          <w:color w:val="auto"/>
        </w:rPr>
      </w:pPr>
      <w:r>
        <w:rPr>
          <w:rFonts w:ascii="Times New Roman" w:cs="Times New Roman" w:eastAsia="Times New Roman" w:hAnsi="Times New Roman"/>
          <w:sz w:val="19"/>
          <w:szCs w:val="19"/>
          <w:b w:val="1"/>
          <w:bCs w:val="1"/>
          <w:color w:val="231F20"/>
        </w:rPr>
        <w:t>Derivative Instruments</w:t>
      </w:r>
    </w:p>
    <w:p>
      <w:pPr>
        <w:spacing w:after="0" w:line="11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9"/>
          <w:szCs w:val="19"/>
          <w:color w:val="231F20"/>
        </w:rPr>
        <w:t>We may use derivative instruments to manage exposure to variable interest rate risk. We generally enter into interest rate swaps to manage our exposure to variable interest rate risk and treasury locks to manage the risk of interest rates rising prior to the issuance of debt. We enter into derivative instruments that qualify as cash flow hedges and do not enter into derivative instruments for speculative purposes.</w:t>
      </w:r>
    </w:p>
    <w:p>
      <w:pPr>
        <w:spacing w:after="0" w:line="133"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9"/>
          <w:szCs w:val="19"/>
          <w:color w:val="231F20"/>
        </w:rPr>
        <w:t>Interest rate swaps associated with cash flow hedges are recorded at fair value on a recurring basis. Effectiveness of cash flow hedges is assessed both at inception and on an ongoing basis. The effective portion of changes in fair value of the interest rate swaps associated with cash flow hedges is recorded in other comprehensive income (loss) which is included in accumulated other comprehensive income (loss) on the balance sheet and statement of shareholders' equity. Cash flow hedges become ineffective if critical terms of the hedging instrument and the debt instrument do not perfectly match such as notional amounts, settlement dates, reset dates, calculation period and SOFR rate. In addition, the default risk of the counterparty is evaluated by monitoring the credit worthiness of the counterparty which includes reviewing debt ratings and financial performance. If a cash flow hedge is deemed ineffective, the ineffective portion of changes in fair value of the interest rate swaps associated with cash flow hedges is recognized in earnings in the period affected.</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At December 31, 2025, we have interest rate swap agreements that effectively fix the rate on the following debt instruments: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center"/>
              <w:ind w:right="49"/>
              <w:spacing w:after="0"/>
              <w:rPr>
                <w:sz w:val="20"/>
                <w:szCs w:val="20"/>
                <w:color w:val="auto"/>
              </w:rPr>
            </w:pPr>
            <w:r>
              <w:rPr>
                <w:rFonts w:ascii="Times New Roman" w:cs="Times New Roman" w:eastAsia="Times New Roman" w:hAnsi="Times New Roman"/>
                <w:sz w:val="17"/>
                <w:szCs w:val="17"/>
                <w:b w:val="1"/>
                <w:bCs w:val="1"/>
                <w:color w:val="231F20"/>
              </w:rPr>
              <w:t>Notional Amount of</w:t>
            </w:r>
          </w:p>
        </w:tc>
        <w:tc>
          <w:tcPr>
            <w:tcW w:w="60" w:type="dxa"/>
            <w:vAlign w:val="bottom"/>
          </w:tcPr>
          <w:p>
            <w:pPr>
              <w:spacing w:after="0"/>
              <w:rPr>
                <w:sz w:val="17"/>
                <w:szCs w:val="17"/>
                <w:color w:val="auto"/>
              </w:rPr>
            </w:pPr>
          </w:p>
        </w:tc>
        <w:tc>
          <w:tcPr>
            <w:tcW w:w="1760" w:type="dxa"/>
            <w:vAlign w:val="bottom"/>
            <w:vMerge w:val="restart"/>
          </w:tcPr>
          <w:p>
            <w:pPr>
              <w:jc w:val="right"/>
              <w:ind w:right="114"/>
              <w:spacing w:after="0"/>
              <w:rPr>
                <w:sz w:val="20"/>
                <w:szCs w:val="20"/>
                <w:color w:val="auto"/>
              </w:rPr>
            </w:pPr>
            <w:r>
              <w:rPr>
                <w:rFonts w:ascii="Times New Roman" w:cs="Times New Roman" w:eastAsia="Times New Roman" w:hAnsi="Times New Roman"/>
                <w:sz w:val="17"/>
                <w:szCs w:val="17"/>
                <w:b w:val="1"/>
                <w:bCs w:val="1"/>
                <w:color w:val="231F20"/>
              </w:rPr>
              <w:t>Weighted Average</w:t>
            </w:r>
          </w:p>
        </w:tc>
        <w:tc>
          <w:tcPr>
            <w:tcW w:w="40" w:type="dxa"/>
            <w:vAlign w:val="bottom"/>
          </w:tcPr>
          <w:p>
            <w:pPr>
              <w:spacing w:after="0"/>
              <w:rPr>
                <w:sz w:val="17"/>
                <w:szCs w:val="17"/>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231F20"/>
              </w:rPr>
              <w:t>Maturity Date of</w:t>
            </w:r>
          </w:p>
        </w:tc>
        <w:tc>
          <w:tcPr>
            <w:tcW w:w="0" w:type="dxa"/>
            <w:vAlign w:val="bottom"/>
          </w:tcPr>
          <w:p>
            <w:pPr>
              <w:spacing w:after="0"/>
              <w:rPr>
                <w:sz w:val="1"/>
                <w:szCs w:val="1"/>
                <w:color w:val="auto"/>
              </w:rPr>
            </w:pPr>
          </w:p>
        </w:tc>
      </w:tr>
      <w:tr>
        <w:trPr>
          <w:trHeight w:val="171"/>
        </w:trPr>
        <w:tc>
          <w:tcPr>
            <w:tcW w:w="3160" w:type="dxa"/>
            <w:vAlign w:val="bottom"/>
            <w:vMerge w:val="restart"/>
          </w:tcPr>
          <w:p>
            <w:pPr>
              <w:ind w:left="60"/>
              <w:spacing w:after="0"/>
              <w:rPr>
                <w:sz w:val="20"/>
                <w:szCs w:val="20"/>
                <w:color w:val="auto"/>
              </w:rPr>
            </w:pPr>
            <w:r>
              <w:rPr>
                <w:rFonts w:ascii="Times New Roman" w:cs="Times New Roman" w:eastAsia="Times New Roman" w:hAnsi="Times New Roman"/>
                <w:sz w:val="17"/>
                <w:szCs w:val="17"/>
                <w:b w:val="1"/>
                <w:bCs w:val="1"/>
                <w:color w:val="231F20"/>
              </w:rPr>
              <w:t>Debt</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tcPr>
          <w:p>
            <w:pPr>
              <w:jc w:val="center"/>
              <w:ind w:right="69"/>
              <w:spacing w:after="0" w:line="172" w:lineRule="exact"/>
              <w:rPr>
                <w:sz w:val="20"/>
                <w:szCs w:val="20"/>
                <w:color w:val="auto"/>
              </w:rPr>
            </w:pPr>
            <w:r>
              <w:rPr>
                <w:rFonts w:ascii="Times New Roman" w:cs="Times New Roman" w:eastAsia="Times New Roman" w:hAnsi="Times New Roman"/>
                <w:sz w:val="17"/>
                <w:szCs w:val="17"/>
                <w:b w:val="1"/>
                <w:bCs w:val="1"/>
                <w:color w:val="231F20"/>
              </w:rPr>
              <w:t>Related Swap</w:t>
            </w:r>
          </w:p>
        </w:tc>
        <w:tc>
          <w:tcPr>
            <w:tcW w:w="60" w:type="dxa"/>
            <w:vAlign w:val="bottom"/>
          </w:tcPr>
          <w:p>
            <w:pPr>
              <w:spacing w:after="0"/>
              <w:rPr>
                <w:sz w:val="14"/>
                <w:szCs w:val="14"/>
                <w:color w:val="auto"/>
              </w:rPr>
            </w:pPr>
          </w:p>
        </w:tc>
        <w:tc>
          <w:tcPr>
            <w:tcW w:w="17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760" w:type="dxa"/>
            <w:vAlign w:val="bottom"/>
          </w:tcPr>
          <w:p>
            <w:pPr>
              <w:jc w:val="center"/>
              <w:spacing w:after="0" w:line="172" w:lineRule="exact"/>
              <w:rPr>
                <w:sz w:val="20"/>
                <w:szCs w:val="20"/>
                <w:color w:val="auto"/>
              </w:rPr>
            </w:pPr>
            <w:r>
              <w:rPr>
                <w:rFonts w:ascii="Times New Roman" w:cs="Times New Roman" w:eastAsia="Times New Roman" w:hAnsi="Times New Roman"/>
                <w:sz w:val="17"/>
                <w:szCs w:val="17"/>
                <w:b w:val="1"/>
                <w:bCs w:val="1"/>
                <w:color w:val="231F20"/>
              </w:rPr>
              <w:t>Related Swap</w:t>
            </w:r>
          </w:p>
        </w:tc>
        <w:tc>
          <w:tcPr>
            <w:tcW w:w="0" w:type="dxa"/>
            <w:vAlign w:val="bottom"/>
          </w:tcPr>
          <w:p>
            <w:pPr>
              <w:spacing w:after="0"/>
              <w:rPr>
                <w:sz w:val="1"/>
                <w:szCs w:val="1"/>
                <w:color w:val="auto"/>
              </w:rPr>
            </w:pPr>
          </w:p>
        </w:tc>
      </w:tr>
      <w:tr>
        <w:trPr>
          <w:trHeight w:val="227"/>
        </w:trPr>
        <w:tc>
          <w:tcPr>
            <w:tcW w:w="3160" w:type="dxa"/>
            <w:vAlign w:val="bottom"/>
            <w:tcBorders>
              <w:bottom w:val="single" w:sz="8" w:color="231F20"/>
            </w:tcBorders>
            <w:vMerge w:val="continue"/>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bottom w:val="single" w:sz="8" w:color="231F20"/>
            </w:tcBorders>
          </w:tcPr>
          <w:p>
            <w:pPr>
              <w:spacing w:after="0"/>
              <w:rPr>
                <w:sz w:val="19"/>
                <w:szCs w:val="19"/>
                <w:color w:val="auto"/>
              </w:rPr>
            </w:pPr>
          </w:p>
        </w:tc>
        <w:tc>
          <w:tcPr>
            <w:tcW w:w="1600" w:type="dxa"/>
            <w:vAlign w:val="bottom"/>
            <w:tcBorders>
              <w:bottom w:val="single" w:sz="8" w:color="231F20"/>
            </w:tcBorders>
          </w:tcPr>
          <w:p>
            <w:pPr>
              <w:jc w:val="center"/>
              <w:ind w:right="69"/>
              <w:spacing w:after="0"/>
              <w:rPr>
                <w:sz w:val="20"/>
                <w:szCs w:val="20"/>
                <w:color w:val="auto"/>
              </w:rPr>
            </w:pPr>
            <w:r>
              <w:rPr>
                <w:rFonts w:ascii="Times New Roman" w:cs="Times New Roman" w:eastAsia="Times New Roman" w:hAnsi="Times New Roman"/>
                <w:sz w:val="17"/>
                <w:szCs w:val="17"/>
                <w:b w:val="1"/>
                <w:bCs w:val="1"/>
                <w:color w:val="231F20"/>
              </w:rPr>
              <w:t>Agreements</w:t>
            </w:r>
          </w:p>
        </w:tc>
        <w:tc>
          <w:tcPr>
            <w:tcW w:w="60" w:type="dxa"/>
            <w:vAlign w:val="bottom"/>
          </w:tcPr>
          <w:p>
            <w:pPr>
              <w:spacing w:after="0"/>
              <w:rPr>
                <w:sz w:val="19"/>
                <w:szCs w:val="19"/>
                <w:color w:val="auto"/>
              </w:rPr>
            </w:pPr>
          </w:p>
        </w:tc>
        <w:tc>
          <w:tcPr>
            <w:tcW w:w="1760" w:type="dxa"/>
            <w:vAlign w:val="bottom"/>
            <w:tcBorders>
              <w:bottom w:val="single" w:sz="8" w:color="231F20"/>
            </w:tcBorders>
          </w:tcPr>
          <w:p>
            <w:pPr>
              <w:jc w:val="right"/>
              <w:ind w:right="394"/>
              <w:spacing w:after="0"/>
              <w:rPr>
                <w:sz w:val="20"/>
                <w:szCs w:val="20"/>
                <w:color w:val="auto"/>
              </w:rPr>
            </w:pPr>
            <w:r>
              <w:rPr>
                <w:rFonts w:ascii="Times New Roman" w:cs="Times New Roman" w:eastAsia="Times New Roman" w:hAnsi="Times New Roman"/>
                <w:sz w:val="17"/>
                <w:szCs w:val="17"/>
                <w:b w:val="1"/>
                <w:bCs w:val="1"/>
                <w:color w:val="231F20"/>
              </w:rPr>
              <w:t>Fixed Rate</w:t>
            </w:r>
          </w:p>
        </w:tc>
        <w:tc>
          <w:tcPr>
            <w:tcW w:w="40" w:type="dxa"/>
            <w:vAlign w:val="bottom"/>
          </w:tcPr>
          <w:p>
            <w:pPr>
              <w:spacing w:after="0"/>
              <w:rPr>
                <w:sz w:val="19"/>
                <w:szCs w:val="19"/>
                <w:color w:val="auto"/>
              </w:rPr>
            </w:pPr>
          </w:p>
        </w:tc>
        <w:tc>
          <w:tcPr>
            <w:tcW w:w="176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7"/>
                <w:szCs w:val="17"/>
                <w:b w:val="1"/>
                <w:bCs w:val="1"/>
                <w:color w:val="231F20"/>
              </w:rPr>
              <w:t>Agreements</w:t>
            </w:r>
          </w:p>
        </w:tc>
        <w:tc>
          <w:tcPr>
            <w:tcW w:w="0" w:type="dxa"/>
            <w:vAlign w:val="bottom"/>
          </w:tcPr>
          <w:p>
            <w:pPr>
              <w:spacing w:after="0"/>
              <w:rPr>
                <w:sz w:val="1"/>
                <w:szCs w:val="1"/>
                <w:color w:val="auto"/>
              </w:rPr>
            </w:pPr>
          </w:p>
        </w:tc>
      </w:tr>
      <w:tr>
        <w:trPr>
          <w:trHeight w:val="222"/>
        </w:trPr>
        <w:tc>
          <w:tcPr>
            <w:tcW w:w="3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center"/>
              <w:ind w:right="69"/>
              <w:spacing w:after="0"/>
              <w:rPr>
                <w:sz w:val="20"/>
                <w:szCs w:val="20"/>
                <w:color w:val="auto"/>
              </w:rPr>
            </w:pPr>
            <w:r>
              <w:rPr>
                <w:rFonts w:ascii="Times New Roman" w:cs="Times New Roman" w:eastAsia="Times New Roman" w:hAnsi="Times New Roman"/>
                <w:sz w:val="17"/>
                <w:szCs w:val="17"/>
                <w:color w:val="231F20"/>
                <w:w w:val="99"/>
              </w:rPr>
              <w:t>(in millions)</w:t>
            </w:r>
          </w:p>
        </w:tc>
        <w:tc>
          <w:tcPr>
            <w:tcW w:w="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9"/>
        </w:trPr>
        <w:tc>
          <w:tcPr>
            <w:tcW w:w="3160" w:type="dxa"/>
            <w:vAlign w:val="bottom"/>
          </w:tcPr>
          <w:p>
            <w:pPr>
              <w:ind w:left="60"/>
              <w:spacing w:after="0"/>
              <w:rPr>
                <w:sz w:val="20"/>
                <w:szCs w:val="20"/>
                <w:color w:val="auto"/>
              </w:rPr>
            </w:pPr>
            <w:r>
              <w:rPr>
                <w:rFonts w:ascii="Times New Roman" w:cs="Times New Roman" w:eastAsia="Times New Roman" w:hAnsi="Times New Roman"/>
                <w:sz w:val="19"/>
                <w:szCs w:val="19"/>
                <w:b w:val="1"/>
                <w:bCs w:val="1"/>
                <w:i w:val="1"/>
                <w:iCs w:val="1"/>
                <w:color w:val="231F20"/>
              </w:rPr>
              <w:t>Consolidated Debt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3160" w:type="dxa"/>
            <w:vAlign w:val="bottom"/>
          </w:tcPr>
          <w:p>
            <w:pPr>
              <w:ind w:left="60"/>
              <w:spacing w:after="0"/>
              <w:rPr>
                <w:sz w:val="20"/>
                <w:szCs w:val="20"/>
                <w:color w:val="auto"/>
              </w:rPr>
            </w:pPr>
            <w:r>
              <w:rPr>
                <w:rFonts w:ascii="Times New Roman" w:cs="Times New Roman" w:eastAsia="Times New Roman" w:hAnsi="Times New Roman"/>
                <w:sz w:val="19"/>
                <w:szCs w:val="19"/>
                <w:color w:val="231F20"/>
              </w:rPr>
              <w:t>$750 million term loan</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450.0</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4.17 %</w:t>
            </w:r>
          </w:p>
        </w:tc>
        <w:tc>
          <w:tcPr>
            <w:tcW w:w="40" w:type="dxa"/>
            <w:vAlign w:val="bottom"/>
          </w:tcPr>
          <w:p>
            <w:pPr>
              <w:spacing w:after="0"/>
              <w:rPr>
                <w:sz w:val="24"/>
                <w:szCs w:val="24"/>
                <w:color w:val="auto"/>
              </w:rPr>
            </w:pPr>
          </w:p>
        </w:tc>
        <w:tc>
          <w:tcPr>
            <w:tcW w:w="1760" w:type="dxa"/>
            <w:vAlign w:val="bottom"/>
          </w:tcPr>
          <w:p>
            <w:pPr>
              <w:ind w:left="60"/>
              <w:spacing w:after="0"/>
              <w:rPr>
                <w:sz w:val="20"/>
                <w:szCs w:val="20"/>
                <w:color w:val="auto"/>
              </w:rPr>
            </w:pPr>
            <w:r>
              <w:rPr>
                <w:rFonts w:ascii="Times New Roman" w:cs="Times New Roman" w:eastAsia="Times New Roman" w:hAnsi="Times New Roman"/>
                <w:sz w:val="19"/>
                <w:szCs w:val="19"/>
                <w:color w:val="231F20"/>
              </w:rPr>
              <w:t>March 1, 2028</w:t>
            </w:r>
          </w:p>
        </w:tc>
        <w:tc>
          <w:tcPr>
            <w:tcW w:w="0" w:type="dxa"/>
            <w:vAlign w:val="bottom"/>
          </w:tcPr>
          <w:p>
            <w:pPr>
              <w:spacing w:after="0"/>
              <w:rPr>
                <w:sz w:val="1"/>
                <w:szCs w:val="1"/>
                <w:color w:val="auto"/>
              </w:rPr>
            </w:pPr>
          </w:p>
        </w:tc>
      </w:tr>
      <w:tr>
        <w:trPr>
          <w:trHeight w:val="299"/>
        </w:trPr>
        <w:tc>
          <w:tcPr>
            <w:tcW w:w="3160" w:type="dxa"/>
            <w:vAlign w:val="bottom"/>
          </w:tcPr>
          <w:p>
            <w:pPr>
              <w:ind w:left="60"/>
              <w:spacing w:after="0"/>
              <w:rPr>
                <w:sz w:val="20"/>
                <w:szCs w:val="20"/>
                <w:color w:val="auto"/>
              </w:rPr>
            </w:pPr>
            <w:r>
              <w:rPr>
                <w:rFonts w:ascii="Times New Roman" w:cs="Times New Roman" w:eastAsia="Times New Roman" w:hAnsi="Times New Roman"/>
                <w:sz w:val="19"/>
                <w:szCs w:val="19"/>
                <w:color w:val="231F20"/>
              </w:rPr>
              <w:t>Hoboken mortgage loan</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50.6</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3.67 %</w:t>
            </w:r>
          </w:p>
        </w:tc>
        <w:tc>
          <w:tcPr>
            <w:tcW w:w="40" w:type="dxa"/>
            <w:vAlign w:val="bottom"/>
          </w:tcPr>
          <w:p>
            <w:pPr>
              <w:spacing w:after="0"/>
              <w:rPr>
                <w:sz w:val="24"/>
                <w:szCs w:val="24"/>
                <w:color w:val="auto"/>
              </w:rPr>
            </w:pPr>
          </w:p>
        </w:tc>
        <w:tc>
          <w:tcPr>
            <w:tcW w:w="1760" w:type="dxa"/>
            <w:vAlign w:val="bottom"/>
          </w:tcPr>
          <w:p>
            <w:pPr>
              <w:ind w:left="60"/>
              <w:spacing w:after="0"/>
              <w:rPr>
                <w:sz w:val="20"/>
                <w:szCs w:val="20"/>
                <w:color w:val="auto"/>
              </w:rPr>
            </w:pPr>
            <w:r>
              <w:rPr>
                <w:rFonts w:ascii="Times New Roman" w:cs="Times New Roman" w:eastAsia="Times New Roman" w:hAnsi="Times New Roman"/>
                <w:sz w:val="19"/>
                <w:szCs w:val="19"/>
                <w:color w:val="231F20"/>
              </w:rPr>
              <w:t>December 15, 2029</w:t>
            </w:r>
          </w:p>
        </w:tc>
        <w:tc>
          <w:tcPr>
            <w:tcW w:w="0" w:type="dxa"/>
            <w:vAlign w:val="bottom"/>
          </w:tcPr>
          <w:p>
            <w:pPr>
              <w:spacing w:after="0"/>
              <w:rPr>
                <w:sz w:val="1"/>
                <w:szCs w:val="1"/>
                <w:color w:val="auto"/>
              </w:rPr>
            </w:pPr>
          </w:p>
        </w:tc>
      </w:tr>
      <w:tr>
        <w:trPr>
          <w:trHeight w:val="300"/>
        </w:trPr>
        <w:tc>
          <w:tcPr>
            <w:tcW w:w="3160" w:type="dxa"/>
            <w:vAlign w:val="bottom"/>
          </w:tcPr>
          <w:p>
            <w:pPr>
              <w:ind w:left="60"/>
              <w:spacing w:after="0"/>
              <w:rPr>
                <w:sz w:val="20"/>
                <w:szCs w:val="20"/>
                <w:color w:val="auto"/>
              </w:rPr>
            </w:pPr>
            <w:r>
              <w:rPr>
                <w:rFonts w:ascii="Times New Roman" w:cs="Times New Roman" w:eastAsia="Times New Roman" w:hAnsi="Times New Roman"/>
                <w:sz w:val="19"/>
                <w:szCs w:val="19"/>
                <w:b w:val="1"/>
                <w:bCs w:val="1"/>
                <w:i w:val="1"/>
                <w:iCs w:val="1"/>
                <w:color w:val="231F20"/>
              </w:rPr>
              <w:t>Unconsolidated Debt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3160" w:type="dxa"/>
            <w:vAlign w:val="bottom"/>
          </w:tcPr>
          <w:p>
            <w:pPr>
              <w:ind w:left="60"/>
              <w:spacing w:after="0"/>
              <w:rPr>
                <w:sz w:val="20"/>
                <w:szCs w:val="20"/>
                <w:color w:val="auto"/>
              </w:rPr>
            </w:pPr>
            <w:r>
              <w:rPr>
                <w:rFonts w:ascii="Times New Roman" w:cs="Times New Roman" w:eastAsia="Times New Roman" w:hAnsi="Times New Roman"/>
                <w:sz w:val="19"/>
                <w:szCs w:val="19"/>
                <w:color w:val="231F20"/>
              </w:rPr>
              <w:t>Assembly Row Hotel</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37.9</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6.11 %</w:t>
            </w:r>
          </w:p>
        </w:tc>
        <w:tc>
          <w:tcPr>
            <w:tcW w:w="40" w:type="dxa"/>
            <w:vAlign w:val="bottom"/>
          </w:tcPr>
          <w:p>
            <w:pPr>
              <w:spacing w:after="0"/>
              <w:rPr>
                <w:sz w:val="24"/>
                <w:szCs w:val="24"/>
                <w:color w:val="auto"/>
              </w:rPr>
            </w:pPr>
          </w:p>
        </w:tc>
        <w:tc>
          <w:tcPr>
            <w:tcW w:w="1760" w:type="dxa"/>
            <w:vAlign w:val="bottom"/>
          </w:tcPr>
          <w:p>
            <w:pPr>
              <w:ind w:left="60"/>
              <w:spacing w:after="0"/>
              <w:rPr>
                <w:sz w:val="20"/>
                <w:szCs w:val="20"/>
                <w:color w:val="auto"/>
              </w:rPr>
            </w:pPr>
            <w:r>
              <w:rPr>
                <w:rFonts w:ascii="Times New Roman" w:cs="Times New Roman" w:eastAsia="Times New Roman" w:hAnsi="Times New Roman"/>
                <w:sz w:val="19"/>
                <w:szCs w:val="19"/>
                <w:color w:val="231F20"/>
              </w:rPr>
              <w:t>May 30, 2028</w:t>
            </w:r>
          </w:p>
        </w:tc>
        <w:tc>
          <w:tcPr>
            <w:tcW w:w="0" w:type="dxa"/>
            <w:vAlign w:val="bottom"/>
          </w:tcPr>
          <w:p>
            <w:pPr>
              <w:spacing w:after="0"/>
              <w:rPr>
                <w:sz w:val="1"/>
                <w:szCs w:val="1"/>
                <w:color w:val="auto"/>
              </w:rPr>
            </w:pPr>
          </w:p>
        </w:tc>
      </w:tr>
      <w:tr>
        <w:trPr>
          <w:trHeight w:val="300"/>
        </w:trPr>
        <w:tc>
          <w:tcPr>
            <w:tcW w:w="3160" w:type="dxa"/>
            <w:vAlign w:val="bottom"/>
          </w:tcPr>
          <w:p>
            <w:pPr>
              <w:ind w:left="60"/>
              <w:spacing w:after="0"/>
              <w:rPr>
                <w:sz w:val="20"/>
                <w:szCs w:val="20"/>
                <w:color w:val="auto"/>
              </w:rPr>
            </w:pPr>
            <w:r>
              <w:rPr>
                <w:rFonts w:ascii="Times New Roman" w:cs="Times New Roman" w:eastAsia="Times New Roman" w:hAnsi="Times New Roman"/>
                <w:sz w:val="19"/>
                <w:szCs w:val="19"/>
                <w:color w:val="231F20"/>
              </w:rPr>
              <w:t>Chandler Festival</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51.0</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4.93 %</w:t>
            </w:r>
          </w:p>
        </w:tc>
        <w:tc>
          <w:tcPr>
            <w:tcW w:w="40" w:type="dxa"/>
            <w:vAlign w:val="bottom"/>
          </w:tcPr>
          <w:p>
            <w:pPr>
              <w:spacing w:after="0"/>
              <w:rPr>
                <w:sz w:val="24"/>
                <w:szCs w:val="24"/>
                <w:color w:val="auto"/>
              </w:rPr>
            </w:pPr>
          </w:p>
        </w:tc>
        <w:tc>
          <w:tcPr>
            <w:tcW w:w="1760" w:type="dxa"/>
            <w:vAlign w:val="bottom"/>
          </w:tcPr>
          <w:p>
            <w:pPr>
              <w:ind w:left="60"/>
              <w:spacing w:after="0"/>
              <w:rPr>
                <w:sz w:val="20"/>
                <w:szCs w:val="20"/>
                <w:color w:val="auto"/>
              </w:rPr>
            </w:pPr>
            <w:r>
              <w:rPr>
                <w:rFonts w:ascii="Times New Roman" w:cs="Times New Roman" w:eastAsia="Times New Roman" w:hAnsi="Times New Roman"/>
                <w:sz w:val="19"/>
                <w:szCs w:val="19"/>
                <w:color w:val="231F20"/>
              </w:rPr>
              <w:t>October 4, 2030</w:t>
            </w:r>
          </w:p>
        </w:tc>
        <w:tc>
          <w:tcPr>
            <w:tcW w:w="0" w:type="dxa"/>
            <w:vAlign w:val="bottom"/>
          </w:tcPr>
          <w:p>
            <w:pPr>
              <w:spacing w:after="0"/>
              <w:rPr>
                <w:sz w:val="1"/>
                <w:szCs w:val="1"/>
                <w:color w:val="auto"/>
              </w:rPr>
            </w:pPr>
          </w:p>
        </w:tc>
      </w:tr>
      <w:tr>
        <w:trPr>
          <w:trHeight w:val="299"/>
        </w:trPr>
        <w:tc>
          <w:tcPr>
            <w:tcW w:w="3160" w:type="dxa"/>
            <w:vAlign w:val="bottom"/>
          </w:tcPr>
          <w:p>
            <w:pPr>
              <w:ind w:left="60"/>
              <w:spacing w:after="0"/>
              <w:rPr>
                <w:sz w:val="20"/>
                <w:szCs w:val="20"/>
                <w:color w:val="auto"/>
              </w:rPr>
            </w:pPr>
            <w:r>
              <w:rPr>
                <w:rFonts w:ascii="Times New Roman" w:cs="Times New Roman" w:eastAsia="Times New Roman" w:hAnsi="Times New Roman"/>
                <w:sz w:val="19"/>
                <w:szCs w:val="19"/>
                <w:color w:val="231F20"/>
              </w:rPr>
              <w:t>Chandler Gateway</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22.3</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4.93 %</w:t>
            </w:r>
          </w:p>
        </w:tc>
        <w:tc>
          <w:tcPr>
            <w:tcW w:w="40" w:type="dxa"/>
            <w:vAlign w:val="bottom"/>
          </w:tcPr>
          <w:p>
            <w:pPr>
              <w:spacing w:after="0"/>
              <w:rPr>
                <w:sz w:val="24"/>
                <w:szCs w:val="24"/>
                <w:color w:val="auto"/>
              </w:rPr>
            </w:pPr>
          </w:p>
        </w:tc>
        <w:tc>
          <w:tcPr>
            <w:tcW w:w="1760" w:type="dxa"/>
            <w:vAlign w:val="bottom"/>
          </w:tcPr>
          <w:p>
            <w:pPr>
              <w:ind w:left="60"/>
              <w:spacing w:after="0"/>
              <w:rPr>
                <w:sz w:val="20"/>
                <w:szCs w:val="20"/>
                <w:color w:val="auto"/>
              </w:rPr>
            </w:pPr>
            <w:r>
              <w:rPr>
                <w:rFonts w:ascii="Times New Roman" w:cs="Times New Roman" w:eastAsia="Times New Roman" w:hAnsi="Times New Roman"/>
                <w:sz w:val="19"/>
                <w:szCs w:val="19"/>
                <w:color w:val="231F20"/>
              </w:rPr>
              <w:t>October 4, 2030</w:t>
            </w:r>
          </w:p>
        </w:tc>
        <w:tc>
          <w:tcPr>
            <w:tcW w:w="0" w:type="dxa"/>
            <w:vAlign w:val="bottom"/>
          </w:tcPr>
          <w:p>
            <w:pPr>
              <w:spacing w:after="0"/>
              <w:rPr>
                <w:sz w:val="1"/>
                <w:szCs w:val="1"/>
                <w:color w:val="auto"/>
              </w:rPr>
            </w:pPr>
          </w:p>
        </w:tc>
      </w:tr>
    </w:tbl>
    <w:p>
      <w:pPr>
        <w:spacing w:after="0" w:line="218"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9"/>
          <w:szCs w:val="19"/>
          <w:color w:val="231F20"/>
        </w:rPr>
        <w:t>All swaps were designated and qualify as cash flow hedges. Hedge ineffectiveness has not impacted earnings in 2025, 2024 and 2023.</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Mortgage Notes Receivable</w:t>
      </w:r>
    </w:p>
    <w:p>
      <w:pPr>
        <w:spacing w:after="0" w:line="110"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9"/>
          <w:szCs w:val="19"/>
          <w:color w:val="231F20"/>
        </w:rPr>
        <w:t>We have invested in certain mortgage loans that, because of their nature, qualify as loan receivables. At the time of investment, we did not intend for the arrangement to be anything other than a financing and did not contemplate a real estate investment. We evaluate each investment to determine whether the loan arrangement qualifies as a loan, joint venture or real estate investment and the appropriate accounting thereon. Such determination affects our balance sheet classification of these investments and the recognition of interest income derived therefrom.</w:t>
      </w:r>
    </w:p>
    <w:p>
      <w:pPr>
        <w:spacing w:after="0" w:line="133"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9"/>
          <w:szCs w:val="19"/>
          <w:color w:val="231F20"/>
        </w:rPr>
        <w:t>Mortgage notes receivable are recorded at cost, net of any valuation adjustments. We account for mortgage notes receivable using the "expected credit loss" model, and accordingly impairment losses are estimated and recorded for the entire life of the loan. Interest income is accrued as earned. Mortgage notes receivable are considered past due based on the contractual terms of the note agreement. On a quarterly basis, we evaluate the collectability of each mortgage note receivable and update our expected credit loss model based on various factors which may include payment history, expected fair value of the collateral securing the loan, internal and external credit information and/or economic trends. A loan is considered impaired when it is probable that we will be unable to collect all amounts due under the existing contractual terms. When a loan is considered impaired, the amount of the loss accrual is calculated by comparing the carrying amount of the mortgage note receivable to the present value of expected future cash flows. As our loans are collateralized by mortgages, these loans have risk characteristics similar to the risks in owning commercial real estate.</w:t>
      </w:r>
    </w:p>
    <w:p>
      <w:pPr>
        <w:spacing w:after="0" w:line="65"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9"/>
          <w:szCs w:val="19"/>
          <w:color w:val="231F20"/>
        </w:rPr>
        <w:t>At December 31, 2025, we had three mortgage notes receivable with an aggregate carrying amount, net of valuation adjustments, of $9.1 million, and a weighted average interest rate of 11.0%. The borrower on two of these mortgage notes receivable is in default. However, we believe the fair value of the property supports the $9.1 million carrying value of our notes.</w:t>
      </w:r>
    </w:p>
    <w:p>
      <w:pPr>
        <w:sectPr>
          <w:pgSz w:w="11880" w:h="15480" w:orient="portrait"/>
          <w:cols w:equalWidth="0" w:num="1">
            <w:col w:w="9760"/>
          </w:cols>
          <w:pgMar w:left="1060" w:top="958"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F-19</w:t>
      </w:r>
    </w:p>
    <w:p>
      <w:pPr>
        <w:sectPr>
          <w:pgSz w:w="11880" w:h="15480" w:orient="portrait"/>
          <w:cols w:equalWidth="0" w:num="1">
            <w:col w:w="9760"/>
          </w:cols>
          <w:pgMar w:left="1060" w:top="958" w:right="1060" w:bottom="0" w:gutter="0" w:footer="0" w:header="0"/>
          <w:type w:val="continuous"/>
        </w:sectPr>
      </w:pPr>
    </w:p>
    <w:bookmarkStart w:id="83" w:name="page84"/>
    <w:bookmarkEnd w:id="83"/>
    <w:p>
      <w:pPr>
        <w:spacing w:after="0"/>
        <w:rPr>
          <w:sz w:val="20"/>
          <w:szCs w:val="20"/>
          <w:color w:val="auto"/>
        </w:rPr>
      </w:pPr>
      <w:r>
        <w:rPr>
          <w:rFonts w:ascii="Times New Roman" w:cs="Times New Roman" w:eastAsia="Times New Roman" w:hAnsi="Times New Roman"/>
          <w:sz w:val="19"/>
          <w:szCs w:val="19"/>
          <w:b w:val="1"/>
          <w:bCs w:val="1"/>
          <w:color w:val="231F20"/>
        </w:rPr>
        <w:t>Share Based Compensation</w:t>
      </w:r>
    </w:p>
    <w:p>
      <w:pPr>
        <w:spacing w:after="0" w:line="110"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9"/>
          <w:szCs w:val="19"/>
          <w:color w:val="231F20"/>
        </w:rPr>
        <w:t>We grant share based compensation awards to employees and trustees typically in the form of restricted common shares, common shares, and options. We measure share based compensation expense based on the grant date fair value of the award and recognize the expense ratably over the requisite service period, which is typically the vesting period. See Note 12 to the consolidated financial statements for further discussion regarding our share based compensation plans and policies.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Variable Interest Entities</w:t>
      </w:r>
    </w:p>
    <w:p>
      <w:pPr>
        <w:spacing w:after="0" w:line="110"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9"/>
          <w:szCs w:val="19"/>
          <w:color w:val="231F20"/>
        </w:rPr>
        <w:t>Certain entities that do not have sufficient equity at risk for the entity to finance its activities without additional subordinated financial support from other parties or in which equity investors do not have the characteristics of a controlling financial interest qualify as VIEs. VIEs are required to be consolidated by their primary beneficiary. The primary beneficiary of a VIE has both the power to direct the activities that most significantly impact economic performance of the VIE and the obligation to absorb losses or the right to receive benefits that could potentially be significant to the VIE.</w:t>
      </w:r>
    </w:p>
    <w:p>
      <w:pPr>
        <w:spacing w:after="0" w:line="133"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9"/>
          <w:szCs w:val="19"/>
          <w:color w:val="231F20"/>
        </w:rPr>
        <w:t>Our equity method investments in the Assembly Row hotel joint venture, the La Alameda shopping center, the Chandler Festival and Chandler Gateway shopping centers, and our mortgage notes receivable are considered variable interests in a VIE. As we do not control the activities that most significantly impact the economic performance of our equity method joint ventures or the borrower entities related to our mortgage notes receivable, we are not the primary beneficiary and do not consolidate. As of December 31, 2025 and 2024, our investment in the equity method joint ventures and maximum exposure to loss was $27.9 million and $29.4 million, respectively. As of December 31, 2025 and 2024, our investment in mortgage notes receivable and maximum exposure to loss was $9.1 million.</w:t>
      </w:r>
    </w:p>
    <w:p>
      <w:pPr>
        <w:spacing w:after="0" w:line="137"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9"/>
          <w:szCs w:val="19"/>
          <w:color w:val="231F20"/>
        </w:rPr>
        <w:t>In addition, we have 18 entities that meet the criteria of a VIE in which we hold a variable interest. For each of these entities, we control the significant operating decisions and consequently have the power to direct the activities that most significantly impact the economic performance of the entities. As we also have the obligation to absorb the majority of the losses and/or the right to receive a majority of the benefits for each of these entities, all are consolidated in our financial statements. Net real estate assets related to VIEs included in our consolidated balance sheets were approximately $1.4 billion as of December 31, 2025 and 2024, and mortgages related to VIEs included in our consolidated balance sheets were approximately $194.2 million and $186.6 million, as of December 31, 2025 and 2024, respectively.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Redeemable Noncontrolling Interests</w:t>
      </w:r>
    </w:p>
    <w:p>
      <w:pPr>
        <w:spacing w:after="0" w:line="110" w:lineRule="exact"/>
        <w:rPr>
          <w:sz w:val="20"/>
          <w:szCs w:val="20"/>
          <w:color w:val="auto"/>
        </w:rPr>
      </w:pPr>
    </w:p>
    <w:p>
      <w:pPr>
        <w:ind w:right="200"/>
        <w:spacing w:after="0" w:line="259" w:lineRule="auto"/>
        <w:rPr>
          <w:sz w:val="20"/>
          <w:szCs w:val="20"/>
          <w:color w:val="auto"/>
        </w:rPr>
      </w:pPr>
      <w:r>
        <w:rPr>
          <w:rFonts w:ascii="Times New Roman" w:cs="Times New Roman" w:eastAsia="Times New Roman" w:hAnsi="Times New Roman"/>
          <w:sz w:val="19"/>
          <w:szCs w:val="19"/>
          <w:color w:val="231F20"/>
        </w:rPr>
        <w:t>We have certain noncontrolling interests that are redeemable for cash upon the occurrence of an event that is not solely in our control and therefore are classified outside of permanent equity. We adjust the carrying amounts of these noncontrolling interests that are currently redeemable to redemption value at the balance sheet date. Adjustments to the carrying amount to reflect changes in redemption value are recorded as adjustments to additional paid-in capital in shareholders' equity. These amounts are classified within the mezzanine section of the consolidated balance sheets.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The following table provides a rollforward of the redeemable noncontrolling interests:</w:t>
      </w:r>
    </w:p>
    <w:p>
      <w:pPr>
        <w:spacing w:after="0" w:line="200" w:lineRule="exact"/>
        <w:rPr>
          <w:sz w:val="20"/>
          <w:szCs w:val="20"/>
          <w:color w:val="auto"/>
        </w:rPr>
      </w:pPr>
    </w:p>
    <w:p>
      <w:pPr>
        <w:spacing w:after="0" w:line="256" w:lineRule="exact"/>
        <w:rPr>
          <w:sz w:val="20"/>
          <w:szCs w:val="20"/>
          <w:color w:val="auto"/>
        </w:rPr>
      </w:pPr>
    </w:p>
    <w:tbl>
      <w:tblPr>
        <w:tblLayout w:type="fixed"/>
        <w:tblInd w:w="60" w:type="dxa"/>
        <w:tblCellMar>
          <w:top w:w="0" w:type="dxa"/>
          <w:left w:w="0" w:type="dxa"/>
          <w:bottom w:w="0" w:type="dxa"/>
          <w:right w:w="0" w:type="dxa"/>
        </w:tblCellMar>
      </w:tblPr>
      <w:tr>
        <w:trPr>
          <w:trHeight w:val="202"/>
        </w:trPr>
        <w:tc>
          <w:tcPr>
            <w:tcW w:w="7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5"/>
                <w:szCs w:val="15"/>
                <w:b w:val="1"/>
                <w:bCs w:val="1"/>
                <w:color w:val="231F20"/>
              </w:rPr>
              <w:t>Year Ended</w:t>
            </w:r>
          </w:p>
        </w:tc>
        <w:tc>
          <w:tcPr>
            <w:tcW w:w="700" w:type="dxa"/>
            <w:vAlign w:val="bottom"/>
          </w:tcPr>
          <w:p>
            <w:pPr>
              <w:spacing w:after="0"/>
              <w:rPr>
                <w:sz w:val="17"/>
                <w:szCs w:val="17"/>
                <w:color w:val="auto"/>
              </w:rPr>
            </w:pPr>
          </w:p>
        </w:tc>
      </w:tr>
      <w:tr>
        <w:trPr>
          <w:trHeight w:val="247"/>
        </w:trPr>
        <w:tc>
          <w:tcPr>
            <w:tcW w:w="7480" w:type="dxa"/>
            <w:vAlign w:val="bottom"/>
          </w:tcPr>
          <w:p>
            <w:pPr>
              <w:spacing w:after="0"/>
              <w:rPr>
                <w:sz w:val="21"/>
                <w:szCs w:val="21"/>
                <w:color w:val="auto"/>
              </w:rPr>
            </w:pPr>
          </w:p>
        </w:tc>
        <w:tc>
          <w:tcPr>
            <w:tcW w:w="260" w:type="dxa"/>
            <w:vAlign w:val="bottom"/>
            <w:tcBorders>
              <w:bottom w:val="single" w:sz="8" w:color="231F20"/>
            </w:tcBorders>
          </w:tcPr>
          <w:p>
            <w:pPr>
              <w:spacing w:after="0"/>
              <w:rPr>
                <w:sz w:val="21"/>
                <w:szCs w:val="21"/>
                <w:color w:val="auto"/>
              </w:rPr>
            </w:pPr>
          </w:p>
        </w:tc>
        <w:tc>
          <w:tcPr>
            <w:tcW w:w="1940" w:type="dxa"/>
            <w:vAlign w:val="bottom"/>
            <w:tcBorders>
              <w:bottom w:val="single" w:sz="8" w:color="231F20"/>
            </w:tcBorders>
            <w:gridSpan w:val="4"/>
          </w:tcPr>
          <w:p>
            <w:pPr>
              <w:jc w:val="right"/>
              <w:ind w:right="567"/>
              <w:spacing w:after="0"/>
              <w:rPr>
                <w:sz w:val="20"/>
                <w:szCs w:val="20"/>
                <w:color w:val="auto"/>
              </w:rPr>
            </w:pPr>
            <w:r>
              <w:rPr>
                <w:rFonts w:ascii="Times New Roman" w:cs="Times New Roman" w:eastAsia="Times New Roman" w:hAnsi="Times New Roman"/>
                <w:sz w:val="15"/>
                <w:szCs w:val="15"/>
                <w:b w:val="1"/>
                <w:bCs w:val="1"/>
                <w:color w:val="231F20"/>
              </w:rPr>
              <w:t>December 31,</w:t>
            </w:r>
          </w:p>
        </w:tc>
      </w:tr>
      <w:tr>
        <w:trPr>
          <w:trHeight w:val="222"/>
        </w:trPr>
        <w:tc>
          <w:tcPr>
            <w:tcW w:w="7480" w:type="dxa"/>
            <w:vAlign w:val="bottom"/>
          </w:tcPr>
          <w:p>
            <w:pPr>
              <w:spacing w:after="0"/>
              <w:rPr>
                <w:sz w:val="19"/>
                <w:szCs w:val="19"/>
                <w:color w:val="auto"/>
              </w:rPr>
            </w:pPr>
          </w:p>
        </w:tc>
        <w:tc>
          <w:tcPr>
            <w:tcW w:w="260" w:type="dxa"/>
            <w:vAlign w:val="bottom"/>
            <w:tcBorders>
              <w:bottom w:val="single" w:sz="8" w:color="231F20"/>
            </w:tcBorders>
          </w:tcPr>
          <w:p>
            <w:pPr>
              <w:spacing w:after="0"/>
              <w:rPr>
                <w:sz w:val="19"/>
                <w:szCs w:val="19"/>
                <w:color w:val="auto"/>
              </w:rPr>
            </w:pPr>
          </w:p>
        </w:tc>
        <w:tc>
          <w:tcPr>
            <w:tcW w:w="800" w:type="dxa"/>
            <w:vAlign w:val="bottom"/>
            <w:tcBorders>
              <w:bottom w:val="single" w:sz="8" w:color="231F20"/>
            </w:tcBorders>
          </w:tcPr>
          <w:p>
            <w:pPr>
              <w:jc w:val="right"/>
              <w:ind w:right="292"/>
              <w:spacing w:after="0"/>
              <w:rPr>
                <w:sz w:val="20"/>
                <w:szCs w:val="20"/>
                <w:color w:val="auto"/>
              </w:rPr>
            </w:pPr>
            <w:r>
              <w:rPr>
                <w:rFonts w:ascii="Times New Roman" w:cs="Times New Roman" w:eastAsia="Times New Roman" w:hAnsi="Times New Roman"/>
                <w:sz w:val="15"/>
                <w:szCs w:val="15"/>
                <w:b w:val="1"/>
                <w:bCs w:val="1"/>
                <w:color w:val="231F20"/>
              </w:rPr>
              <w:t>2025</w:t>
            </w:r>
          </w:p>
        </w:tc>
        <w:tc>
          <w:tcPr>
            <w:tcW w:w="80" w:type="dxa"/>
            <w:vAlign w:val="bottom"/>
          </w:tcPr>
          <w:p>
            <w:pPr>
              <w:spacing w:after="0"/>
              <w:rPr>
                <w:sz w:val="19"/>
                <w:szCs w:val="19"/>
                <w:color w:val="auto"/>
              </w:rPr>
            </w:pPr>
          </w:p>
        </w:tc>
        <w:tc>
          <w:tcPr>
            <w:tcW w:w="360" w:type="dxa"/>
            <w:vAlign w:val="bottom"/>
            <w:tcBorders>
              <w:bottom w:val="single" w:sz="8" w:color="231F20"/>
            </w:tcBorders>
          </w:tcPr>
          <w:p>
            <w:pPr>
              <w:spacing w:after="0"/>
              <w:rPr>
                <w:sz w:val="19"/>
                <w:szCs w:val="19"/>
                <w:color w:val="auto"/>
              </w:rPr>
            </w:pPr>
          </w:p>
        </w:tc>
        <w:tc>
          <w:tcPr>
            <w:tcW w:w="700" w:type="dxa"/>
            <w:vAlign w:val="bottom"/>
            <w:tcBorders>
              <w:bottom w:val="single" w:sz="8" w:color="231F20"/>
            </w:tcBorders>
          </w:tcPr>
          <w:p>
            <w:pPr>
              <w:jc w:val="right"/>
              <w:ind w:right="287"/>
              <w:spacing w:after="0"/>
              <w:rPr>
                <w:sz w:val="20"/>
                <w:szCs w:val="20"/>
                <w:color w:val="auto"/>
              </w:rPr>
            </w:pPr>
            <w:r>
              <w:rPr>
                <w:rFonts w:ascii="Times New Roman" w:cs="Times New Roman" w:eastAsia="Times New Roman" w:hAnsi="Times New Roman"/>
                <w:sz w:val="15"/>
                <w:szCs w:val="15"/>
                <w:b w:val="1"/>
                <w:bCs w:val="1"/>
                <w:color w:val="231F20"/>
                <w:w w:val="99"/>
              </w:rPr>
              <w:t>2024</w:t>
            </w:r>
          </w:p>
        </w:tc>
      </w:tr>
      <w:tr>
        <w:trPr>
          <w:trHeight w:val="218"/>
        </w:trPr>
        <w:tc>
          <w:tcPr>
            <w:tcW w:w="7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40" w:type="dxa"/>
            <w:vAlign w:val="bottom"/>
            <w:gridSpan w:val="4"/>
          </w:tcPr>
          <w:p>
            <w:pPr>
              <w:jc w:val="right"/>
              <w:ind w:right="567"/>
              <w:spacing w:after="0"/>
              <w:rPr>
                <w:sz w:val="20"/>
                <w:szCs w:val="20"/>
                <w:color w:val="auto"/>
              </w:rPr>
            </w:pPr>
            <w:r>
              <w:rPr>
                <w:rFonts w:ascii="Times New Roman" w:cs="Times New Roman" w:eastAsia="Times New Roman" w:hAnsi="Times New Roman"/>
                <w:sz w:val="15"/>
                <w:szCs w:val="15"/>
                <w:color w:val="231F20"/>
              </w:rPr>
              <w:t>(In thousands)</w:t>
            </w:r>
          </w:p>
        </w:tc>
      </w:tr>
      <w:tr>
        <w:trPr>
          <w:trHeight w:val="289"/>
        </w:trPr>
        <w:tc>
          <w:tcPr>
            <w:tcW w:w="7480" w:type="dxa"/>
            <w:vAlign w:val="bottom"/>
          </w:tcPr>
          <w:p>
            <w:pPr>
              <w:jc w:val="right"/>
              <w:spacing w:after="0"/>
              <w:rPr>
                <w:sz w:val="20"/>
                <w:szCs w:val="20"/>
                <w:color w:val="auto"/>
              </w:rPr>
            </w:pPr>
            <w:r>
              <w:rPr>
                <w:rFonts w:ascii="Times New Roman" w:cs="Times New Roman" w:eastAsia="Times New Roman" w:hAnsi="Times New Roman"/>
                <w:sz w:val="19"/>
                <w:szCs w:val="19"/>
                <w:color w:val="231F20"/>
                <w:w w:val="99"/>
              </w:rPr>
              <w:t>Beginning balance</w:t>
            </w:r>
            <w:r>
              <w:rPr>
                <w:rFonts w:ascii="Times New Roman" w:cs="Times New Roman" w:eastAsia="Times New Roman" w:hAnsi="Times New Roman"/>
                <w:sz w:val="19"/>
                <w:szCs w:val="19"/>
                <w:color w:val="C3C5C7"/>
                <w:w w:val="99"/>
              </w:rPr>
              <w:t>..............................................................................................................................</w:t>
            </w:r>
          </w:p>
        </w:tc>
        <w:tc>
          <w:tcPr>
            <w:tcW w:w="260" w:type="dxa"/>
            <w:vAlign w:val="bottom"/>
          </w:tcPr>
          <w:p>
            <w:pPr>
              <w:jc w:val="right"/>
              <w:ind w:right="25"/>
              <w:spacing w:after="0"/>
              <w:rPr>
                <w:sz w:val="20"/>
                <w:szCs w:val="20"/>
                <w:color w:val="auto"/>
              </w:rPr>
            </w:pPr>
            <w:r>
              <w:rPr>
                <w:rFonts w:ascii="Times New Roman" w:cs="Times New Roman" w:eastAsia="Times New Roman" w:hAnsi="Times New Roman"/>
                <w:sz w:val="19"/>
                <w:szCs w:val="19"/>
                <w:color w:val="231F2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180,286</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9"/>
                <w:szCs w:val="19"/>
                <w:color w:val="231F2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183,363</w:t>
            </w:r>
          </w:p>
        </w:tc>
      </w:tr>
      <w:tr>
        <w:trPr>
          <w:trHeight w:val="285"/>
        </w:trPr>
        <w:tc>
          <w:tcPr>
            <w:tcW w:w="74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Net income</w:t>
            </w:r>
            <w:r>
              <w:rPr>
                <w:rFonts w:ascii="Times New Roman" w:cs="Times New Roman" w:eastAsia="Times New Roman" w:hAnsi="Times New Roman"/>
                <w:sz w:val="19"/>
                <w:szCs w:val="19"/>
                <w:color w:val="C3C5C7"/>
              </w:rPr>
              <w:t>.....................................................................................................................................</w:t>
            </w: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8,138</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7,022</w:t>
            </w:r>
          </w:p>
        </w:tc>
      </w:tr>
      <w:tr>
        <w:trPr>
          <w:trHeight w:val="285"/>
        </w:trPr>
        <w:tc>
          <w:tcPr>
            <w:tcW w:w="74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 xml:space="preserve">Contributions </w:t>
            </w:r>
            <w:r>
              <w:rPr>
                <w:rFonts w:ascii="Times New Roman" w:cs="Times New Roman" w:eastAsia="Times New Roman" w:hAnsi="Times New Roman"/>
                <w:sz w:val="19"/>
                <w:szCs w:val="19"/>
                <w:color w:val="C3C5C7"/>
              </w:rPr>
              <w:t>.................................................................................................................................</w:t>
            </w: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1,725</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w:t>
            </w:r>
          </w:p>
        </w:tc>
      </w:tr>
      <w:tr>
        <w:trPr>
          <w:trHeight w:val="285"/>
        </w:trPr>
        <w:tc>
          <w:tcPr>
            <w:tcW w:w="74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 xml:space="preserve">Other comprehensive (loss) income - change in value of interest rate swaps </w:t>
            </w:r>
            <w:r>
              <w:rPr>
                <w:rFonts w:ascii="Times New Roman" w:cs="Times New Roman" w:eastAsia="Times New Roman" w:hAnsi="Times New Roman"/>
                <w:sz w:val="19"/>
                <w:szCs w:val="19"/>
                <w:color w:val="C3C5C7"/>
              </w:rPr>
              <w:t>...............................</w:t>
            </w: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(210)</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23</w:t>
            </w:r>
          </w:p>
        </w:tc>
      </w:tr>
      <w:tr>
        <w:trPr>
          <w:trHeight w:val="285"/>
        </w:trPr>
        <w:tc>
          <w:tcPr>
            <w:tcW w:w="74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Distributions &amp; redemptions</w:t>
            </w:r>
            <w:r>
              <w:rPr>
                <w:rFonts w:ascii="Times New Roman" w:cs="Times New Roman" w:eastAsia="Times New Roman" w:hAnsi="Times New Roman"/>
                <w:sz w:val="19"/>
                <w:szCs w:val="19"/>
                <w:color w:val="C3C5C7"/>
              </w:rPr>
              <w:t>..........................................................................................................</w:t>
            </w: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(8,459)</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(8,854)</w:t>
            </w:r>
          </w:p>
        </w:tc>
      </w:tr>
      <w:tr>
        <w:trPr>
          <w:trHeight w:val="286"/>
        </w:trPr>
        <w:tc>
          <w:tcPr>
            <w:tcW w:w="74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 xml:space="preserve">Change in redemption value </w:t>
            </w:r>
            <w:r>
              <w:rPr>
                <w:rFonts w:ascii="Times New Roman" w:cs="Times New Roman" w:eastAsia="Times New Roman" w:hAnsi="Times New Roman"/>
                <w:sz w:val="19"/>
                <w:szCs w:val="19"/>
                <w:color w:val="C3C5C7"/>
              </w:rPr>
              <w:t>..........................................................................................................</w:t>
            </w:r>
          </w:p>
        </w:tc>
        <w:tc>
          <w:tcPr>
            <w:tcW w:w="260" w:type="dxa"/>
            <w:vAlign w:val="bottom"/>
            <w:tcBorders>
              <w:bottom w:val="single" w:sz="8" w:color="231F20"/>
            </w:tcBorders>
          </w:tcPr>
          <w:p>
            <w:pPr>
              <w:spacing w:after="0"/>
              <w:rPr>
                <w:sz w:val="24"/>
                <w:szCs w:val="24"/>
                <w:color w:val="auto"/>
              </w:rPr>
            </w:pPr>
          </w:p>
        </w:tc>
        <w:tc>
          <w:tcPr>
            <w:tcW w:w="8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175</w:t>
            </w:r>
          </w:p>
        </w:tc>
        <w:tc>
          <w:tcPr>
            <w:tcW w:w="80" w:type="dxa"/>
            <w:vAlign w:val="bottom"/>
          </w:tcPr>
          <w:p>
            <w:pPr>
              <w:spacing w:after="0"/>
              <w:rPr>
                <w:sz w:val="24"/>
                <w:szCs w:val="24"/>
                <w:color w:val="auto"/>
              </w:rPr>
            </w:pPr>
          </w:p>
        </w:tc>
        <w:tc>
          <w:tcPr>
            <w:tcW w:w="360" w:type="dxa"/>
            <w:vAlign w:val="bottom"/>
            <w:tcBorders>
              <w:bottom w:val="single" w:sz="8" w:color="231F20"/>
            </w:tcBorders>
          </w:tcPr>
          <w:p>
            <w:pPr>
              <w:spacing w:after="0"/>
              <w:rPr>
                <w:sz w:val="24"/>
                <w:szCs w:val="24"/>
                <w:color w:val="auto"/>
              </w:rPr>
            </w:pPr>
          </w:p>
        </w:tc>
        <w:tc>
          <w:tcPr>
            <w:tcW w:w="7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(1,268)</w:t>
            </w:r>
          </w:p>
        </w:tc>
      </w:tr>
      <w:tr>
        <w:trPr>
          <w:trHeight w:val="247"/>
        </w:trPr>
        <w:tc>
          <w:tcPr>
            <w:tcW w:w="7480" w:type="dxa"/>
            <w:vAlign w:val="bottom"/>
          </w:tcPr>
          <w:p>
            <w:pPr>
              <w:jc w:val="right"/>
              <w:spacing w:after="0"/>
              <w:rPr>
                <w:sz w:val="20"/>
                <w:szCs w:val="20"/>
                <w:color w:val="auto"/>
              </w:rPr>
            </w:pPr>
            <w:r>
              <w:rPr>
                <w:rFonts w:ascii="Times New Roman" w:cs="Times New Roman" w:eastAsia="Times New Roman" w:hAnsi="Times New Roman"/>
                <w:sz w:val="19"/>
                <w:szCs w:val="19"/>
                <w:color w:val="231F20"/>
                <w:w w:val="99"/>
              </w:rPr>
              <w:t xml:space="preserve">Ending balance </w:t>
            </w:r>
            <w:r>
              <w:rPr>
                <w:rFonts w:ascii="Times New Roman" w:cs="Times New Roman" w:eastAsia="Times New Roman" w:hAnsi="Times New Roman"/>
                <w:sz w:val="19"/>
                <w:szCs w:val="19"/>
                <w:color w:val="C3C5C7"/>
                <w:w w:val="99"/>
              </w:rPr>
              <w:t>...................................................................................................................................</w:t>
            </w:r>
          </w:p>
        </w:tc>
        <w:tc>
          <w:tcPr>
            <w:tcW w:w="260" w:type="dxa"/>
            <w:vAlign w:val="bottom"/>
          </w:tcPr>
          <w:p>
            <w:pPr>
              <w:jc w:val="right"/>
              <w:ind w:right="25"/>
              <w:spacing w:after="0"/>
              <w:rPr>
                <w:sz w:val="20"/>
                <w:szCs w:val="20"/>
                <w:color w:val="auto"/>
              </w:rPr>
            </w:pPr>
            <w:r>
              <w:rPr>
                <w:rFonts w:ascii="Times New Roman" w:cs="Times New Roman" w:eastAsia="Times New Roman" w:hAnsi="Times New Roman"/>
                <w:sz w:val="19"/>
                <w:szCs w:val="19"/>
                <w:color w:val="231F2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181,655</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9"/>
                <w:szCs w:val="19"/>
                <w:color w:val="231F2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180,286</w:t>
            </w:r>
          </w:p>
        </w:tc>
      </w:tr>
      <w:tr>
        <w:trPr>
          <w:trHeight w:val="20"/>
        </w:trPr>
        <w:tc>
          <w:tcPr>
            <w:tcW w:w="7480" w:type="dxa"/>
            <w:vAlign w:val="bottom"/>
          </w:tcPr>
          <w:p>
            <w:pPr>
              <w:spacing w:after="0" w:line="20" w:lineRule="exact"/>
              <w:rPr>
                <w:sz w:val="1"/>
                <w:szCs w:val="1"/>
                <w:color w:val="auto"/>
              </w:rPr>
            </w:pPr>
          </w:p>
        </w:tc>
        <w:tc>
          <w:tcPr>
            <w:tcW w:w="260" w:type="dxa"/>
            <w:vAlign w:val="bottom"/>
            <w:tcBorders>
              <w:top w:val="single" w:sz="8" w:color="231F20"/>
              <w:bottom w:val="single" w:sz="8" w:color="231F20"/>
            </w:tcBorders>
          </w:tcPr>
          <w:p>
            <w:pPr>
              <w:spacing w:after="0" w:line="20" w:lineRule="exact"/>
              <w:rPr>
                <w:sz w:val="1"/>
                <w:szCs w:val="1"/>
                <w:color w:val="auto"/>
              </w:rPr>
            </w:pPr>
          </w:p>
        </w:tc>
        <w:tc>
          <w:tcPr>
            <w:tcW w:w="80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231F20"/>
              <w:bottom w:val="single" w:sz="8" w:color="231F20"/>
            </w:tcBorders>
          </w:tcPr>
          <w:p>
            <w:pPr>
              <w:spacing w:after="0" w:line="20" w:lineRule="exact"/>
              <w:rPr>
                <w:sz w:val="1"/>
                <w:szCs w:val="1"/>
                <w:color w:val="auto"/>
              </w:rPr>
            </w:pPr>
          </w:p>
        </w:tc>
        <w:tc>
          <w:tcPr>
            <w:tcW w:w="700" w:type="dxa"/>
            <w:vAlign w:val="bottom"/>
            <w:tcBorders>
              <w:top w:val="single" w:sz="8" w:color="231F20"/>
              <w:bottom w:val="single" w:sz="8" w:color="231F20"/>
            </w:tcBorders>
          </w:tcPr>
          <w:p>
            <w:pPr>
              <w:spacing w:after="0" w:line="20" w:lineRule="exact"/>
              <w:rPr>
                <w:sz w:val="1"/>
                <w:szCs w:val="1"/>
                <w:color w:val="auto"/>
              </w:rPr>
            </w:pPr>
          </w:p>
        </w:tc>
      </w:tr>
    </w:tbl>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Leases</w:t>
      </w:r>
    </w:p>
    <w:p>
      <w:pPr>
        <w:spacing w:after="0" w:line="110"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9"/>
          <w:szCs w:val="19"/>
          <w:color w:val="231F20"/>
        </w:rPr>
        <w:t>For operating leases where we are the lessee, the related operating lease right of use ("ROU") assets and lease liabilities are shown separately on the face of our consolidated balance sheet and reflect the present value of the minimum lease payments. A key input in the calculation is the discount rate. As the rate implied in the lease agreements is not readily determinable, we</w:t>
      </w:r>
    </w:p>
    <w:p>
      <w:pPr>
        <w:sectPr>
          <w:pgSz w:w="11880" w:h="15480" w:orient="portrait"/>
          <w:cols w:equalWidth="0" w:num="1">
            <w:col w:w="9740"/>
          </w:cols>
          <w:pgMar w:left="1060" w:top="958" w:right="1080" w:bottom="0" w:gutter="0" w:footer="0" w:header="0"/>
        </w:sect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231F20"/>
        </w:rPr>
        <w:t>F-20</w:t>
      </w:r>
    </w:p>
    <w:p>
      <w:pPr>
        <w:sectPr>
          <w:pgSz w:w="11880" w:h="15480" w:orient="portrait"/>
          <w:cols w:equalWidth="0" w:num="1">
            <w:col w:w="9740"/>
          </w:cols>
          <w:pgMar w:left="1060" w:top="958" w:right="1080" w:bottom="0" w:gutter="0" w:footer="0" w:header="0"/>
          <w:type w:val="continuous"/>
        </w:sectPr>
      </w:pPr>
    </w:p>
    <w:bookmarkStart w:id="84" w:name="page85"/>
    <w:bookmarkEnd w:id="84"/>
    <w:p>
      <w:pPr>
        <w:ind w:right="120"/>
        <w:spacing w:after="0" w:line="256" w:lineRule="auto"/>
        <w:rPr>
          <w:sz w:val="20"/>
          <w:szCs w:val="20"/>
          <w:color w:val="auto"/>
        </w:rPr>
      </w:pPr>
      <w:r>
        <w:rPr>
          <w:rFonts w:ascii="Times New Roman" w:cs="Times New Roman" w:eastAsia="Times New Roman" w:hAnsi="Times New Roman"/>
          <w:sz w:val="19"/>
          <w:szCs w:val="19"/>
          <w:color w:val="231F20"/>
        </w:rPr>
        <w:t>utilize our incremental borrowing rate that corresponds to the remaining term of the lease, our credit spread, and an adjustment to reflect the collateralized payment terms present in the lease. Our operating lease agreements may include options to extend the lease term or terminate it early. We include options to extend or terminate leases in the ROU operating lease asset and liability when it is reasonably certain we will exercise these options. Operating lease expense is recognized on a straight-line basis over the non-cancellable lease term and is included in rental expenses in our consolidated statements of operations. We recognize variable lease payments as expense in the period in which they are incurred. We do not record a ROU asset or lease liability for leases with terms of less than 12 months.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Income Taxes</w:t>
      </w:r>
    </w:p>
    <w:p>
      <w:pPr>
        <w:spacing w:after="0" w:line="110"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9"/>
          <w:szCs w:val="19"/>
          <w:color w:val="231F20"/>
        </w:rPr>
        <w:t>We operate in a manner intended to enable us to qualify as a REIT for federal income tax purposes. A REIT that distributes at least 90% of its taxable income to its shareholders each year and meets certain other conditions is not taxed on that portion of its taxable income which is distributed to its shareholders. Therefore, federal income taxes on our taxable income have been and are generally expected to be immaterial. We are obligated to pay state taxes, generally consisting of franchise or gross receipts taxes in certain states. Such state taxes also have not been material.</w:t>
      </w:r>
    </w:p>
    <w:p>
      <w:pPr>
        <w:spacing w:after="0" w:line="133"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9"/>
          <w:szCs w:val="19"/>
          <w:color w:val="231F20"/>
        </w:rPr>
        <w:t>We have elected to treat certain of our subsidiaries as taxable REIT subsidiaries, which we refer to as a TRS. In general, a TRS may engage in any real estate business and certain non-real estate businesses, subject to certain limitations under the Internal Revenue Code of 1986, as amended (the “Code”). A TRS is subject to federal and state income taxes. Our TRS activities have not been material.</w:t>
      </w:r>
    </w:p>
    <w:p>
      <w:pPr>
        <w:spacing w:after="0" w:line="13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9"/>
          <w:szCs w:val="19"/>
          <w:color w:val="231F20"/>
        </w:rPr>
        <w:t>With few exceptions, we are no longer subject to U.S. federal, state, and local tax examinations by tax authorities for years before 2020. As of December 31, 2025 and 2024, we had no material unrecognized tax benefits. While we currently have no material unrecognized tax benefits, as a policy, we recognize penalties and interest accrued related to unrecognized tax benefits as income tax expense.</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Segment Information</w:t>
      </w:r>
    </w:p>
    <w:p>
      <w:pPr>
        <w:spacing w:after="0" w:line="110"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9"/>
          <w:szCs w:val="19"/>
          <w:color w:val="231F20"/>
        </w:rPr>
        <w:t>Our primary business is the ownership, management, and redevelopment of retail and mixed-use properties. Our chief executive officer is our chief operating decision maker ("CODM"), who regularly reviews operating and financial information for commercial and, as applicable, residential components for each property on an individual basis. As a result, each commercial and, as applicable, residential component for each property represents an individual operating segment. We evaluate financial performance using property operating income ("POI"), a non-GAAP measure which consists of rental income and mortgage interest income, less rental expenses and real estate taxes.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Reconciliation of property operating income to consolidated net income:</w:t>
      </w:r>
    </w:p>
    <w:p>
      <w:pPr>
        <w:spacing w:after="0" w:line="176" w:lineRule="exact"/>
        <w:rPr>
          <w:sz w:val="20"/>
          <w:szCs w:val="20"/>
          <w:color w:val="auto"/>
        </w:rPr>
      </w:pPr>
    </w:p>
    <w:tbl>
      <w:tblPr>
        <w:tblLayout w:type="fixed"/>
        <w:tblInd w:w="60" w:type="dxa"/>
        <w:tblCellMar>
          <w:top w:w="0" w:type="dxa"/>
          <w:left w:w="0" w:type="dxa"/>
          <w:bottom w:w="0" w:type="dxa"/>
          <w:right w:w="0" w:type="dxa"/>
        </w:tblCellMar>
      </w:tblPr>
      <w:tr>
        <w:trPr>
          <w:trHeight w:val="206"/>
        </w:trPr>
        <w:tc>
          <w:tcPr>
            <w:tcW w:w="6160" w:type="dxa"/>
            <w:vAlign w:val="bottom"/>
          </w:tcPr>
          <w:p>
            <w:pPr>
              <w:spacing w:after="0"/>
              <w:rPr>
                <w:sz w:val="17"/>
                <w:szCs w:val="17"/>
                <w:color w:val="auto"/>
              </w:rPr>
            </w:pPr>
          </w:p>
        </w:tc>
        <w:tc>
          <w:tcPr>
            <w:tcW w:w="260" w:type="dxa"/>
            <w:vAlign w:val="bottom"/>
            <w:tcBorders>
              <w:bottom w:val="single" w:sz="8" w:color="231F20"/>
            </w:tcBorders>
          </w:tcPr>
          <w:p>
            <w:pPr>
              <w:spacing w:after="0"/>
              <w:rPr>
                <w:sz w:val="17"/>
                <w:szCs w:val="17"/>
                <w:color w:val="auto"/>
              </w:rPr>
            </w:pPr>
          </w:p>
        </w:tc>
        <w:tc>
          <w:tcPr>
            <w:tcW w:w="2440" w:type="dxa"/>
            <w:vAlign w:val="bottom"/>
            <w:tcBorders>
              <w:bottom w:val="single" w:sz="8" w:color="231F20"/>
            </w:tcBorders>
            <w:gridSpan w:val="6"/>
          </w:tcPr>
          <w:p>
            <w:pPr>
              <w:jc w:val="center"/>
              <w:ind w:left="488"/>
              <w:spacing w:after="0"/>
              <w:rPr>
                <w:sz w:val="20"/>
                <w:szCs w:val="20"/>
                <w:color w:val="auto"/>
              </w:rPr>
            </w:pPr>
            <w:r>
              <w:rPr>
                <w:rFonts w:ascii="Times New Roman" w:cs="Times New Roman" w:eastAsia="Times New Roman" w:hAnsi="Times New Roman"/>
                <w:sz w:val="15"/>
                <w:szCs w:val="15"/>
                <w:b w:val="1"/>
                <w:bCs w:val="1"/>
                <w:color w:val="231F20"/>
              </w:rPr>
              <w:t>Year Ended December 31,</w:t>
            </w:r>
          </w:p>
        </w:tc>
        <w:tc>
          <w:tcPr>
            <w:tcW w:w="840" w:type="dxa"/>
            <w:vAlign w:val="bottom"/>
            <w:tcBorders>
              <w:bottom w:val="single" w:sz="8" w:color="231F20"/>
            </w:tcBorders>
          </w:tcPr>
          <w:p>
            <w:pPr>
              <w:spacing w:after="0"/>
              <w:rPr>
                <w:sz w:val="17"/>
                <w:szCs w:val="17"/>
                <w:color w:val="auto"/>
              </w:rPr>
            </w:pPr>
          </w:p>
        </w:tc>
      </w:tr>
      <w:tr>
        <w:trPr>
          <w:trHeight w:val="251"/>
        </w:trPr>
        <w:tc>
          <w:tcPr>
            <w:tcW w:w="6160" w:type="dxa"/>
            <w:vAlign w:val="bottom"/>
          </w:tcPr>
          <w:p>
            <w:pPr>
              <w:spacing w:after="0"/>
              <w:rPr>
                <w:sz w:val="21"/>
                <w:szCs w:val="21"/>
                <w:color w:val="auto"/>
              </w:rPr>
            </w:pPr>
          </w:p>
        </w:tc>
        <w:tc>
          <w:tcPr>
            <w:tcW w:w="260" w:type="dxa"/>
            <w:vAlign w:val="bottom"/>
            <w:tcBorders>
              <w:bottom w:val="single" w:sz="8" w:color="231F20"/>
            </w:tcBorders>
          </w:tcPr>
          <w:p>
            <w:pPr>
              <w:spacing w:after="0"/>
              <w:rPr>
                <w:sz w:val="21"/>
                <w:szCs w:val="21"/>
                <w:color w:val="auto"/>
              </w:rPr>
            </w:pPr>
          </w:p>
        </w:tc>
        <w:tc>
          <w:tcPr>
            <w:tcW w:w="880" w:type="dxa"/>
            <w:vAlign w:val="bottom"/>
            <w:tcBorders>
              <w:bottom w:val="single" w:sz="8" w:color="231F20"/>
            </w:tcBorders>
          </w:tcPr>
          <w:p>
            <w:pPr>
              <w:jc w:val="right"/>
              <w:ind w:right="328"/>
              <w:spacing w:after="0"/>
              <w:rPr>
                <w:sz w:val="20"/>
                <w:szCs w:val="20"/>
                <w:color w:val="auto"/>
              </w:rPr>
            </w:pPr>
            <w:r>
              <w:rPr>
                <w:rFonts w:ascii="Times New Roman" w:cs="Times New Roman" w:eastAsia="Times New Roman" w:hAnsi="Times New Roman"/>
                <w:sz w:val="15"/>
                <w:szCs w:val="15"/>
                <w:b w:val="1"/>
                <w:bCs w:val="1"/>
                <w:color w:val="231F20"/>
              </w:rPr>
              <w:t>2025</w:t>
            </w:r>
          </w:p>
        </w:tc>
        <w:tc>
          <w:tcPr>
            <w:tcW w:w="60" w:type="dxa"/>
            <w:vAlign w:val="bottom"/>
          </w:tcPr>
          <w:p>
            <w:pPr>
              <w:spacing w:after="0"/>
              <w:rPr>
                <w:sz w:val="21"/>
                <w:szCs w:val="21"/>
                <w:color w:val="auto"/>
              </w:rPr>
            </w:pPr>
          </w:p>
        </w:tc>
        <w:tc>
          <w:tcPr>
            <w:tcW w:w="260" w:type="dxa"/>
            <w:vAlign w:val="bottom"/>
            <w:tcBorders>
              <w:bottom w:val="single" w:sz="8" w:color="231F20"/>
            </w:tcBorders>
          </w:tcPr>
          <w:p>
            <w:pPr>
              <w:spacing w:after="0"/>
              <w:rPr>
                <w:sz w:val="21"/>
                <w:szCs w:val="21"/>
                <w:color w:val="auto"/>
              </w:rPr>
            </w:pPr>
          </w:p>
        </w:tc>
        <w:tc>
          <w:tcPr>
            <w:tcW w:w="880" w:type="dxa"/>
            <w:vAlign w:val="bottom"/>
            <w:tcBorders>
              <w:bottom w:val="single" w:sz="8" w:color="231F20"/>
            </w:tcBorders>
          </w:tcPr>
          <w:p>
            <w:pPr>
              <w:jc w:val="center"/>
              <w:ind w:right="166"/>
              <w:spacing w:after="0"/>
              <w:rPr>
                <w:sz w:val="20"/>
                <w:szCs w:val="20"/>
                <w:color w:val="auto"/>
              </w:rPr>
            </w:pPr>
            <w:r>
              <w:rPr>
                <w:rFonts w:ascii="Times New Roman" w:cs="Times New Roman" w:eastAsia="Times New Roman" w:hAnsi="Times New Roman"/>
                <w:sz w:val="15"/>
                <w:szCs w:val="15"/>
                <w:b w:val="1"/>
                <w:bCs w:val="1"/>
                <w:color w:val="231F20"/>
                <w:w w:val="99"/>
              </w:rPr>
              <w:t>2024</w:t>
            </w:r>
          </w:p>
        </w:tc>
        <w:tc>
          <w:tcPr>
            <w:tcW w:w="60" w:type="dxa"/>
            <w:vAlign w:val="bottom"/>
          </w:tcPr>
          <w:p>
            <w:pPr>
              <w:spacing w:after="0"/>
              <w:rPr>
                <w:sz w:val="21"/>
                <w:szCs w:val="21"/>
                <w:color w:val="auto"/>
              </w:rPr>
            </w:pPr>
          </w:p>
        </w:tc>
        <w:tc>
          <w:tcPr>
            <w:tcW w:w="300" w:type="dxa"/>
            <w:vAlign w:val="bottom"/>
            <w:tcBorders>
              <w:bottom w:val="single" w:sz="8" w:color="231F20"/>
            </w:tcBorders>
          </w:tcPr>
          <w:p>
            <w:pPr>
              <w:spacing w:after="0"/>
              <w:rPr>
                <w:sz w:val="21"/>
                <w:szCs w:val="21"/>
                <w:color w:val="auto"/>
              </w:rPr>
            </w:pPr>
          </w:p>
        </w:tc>
        <w:tc>
          <w:tcPr>
            <w:tcW w:w="840" w:type="dxa"/>
            <w:vAlign w:val="bottom"/>
            <w:tcBorders>
              <w:bottom w:val="single" w:sz="8" w:color="231F20"/>
            </w:tcBorders>
          </w:tcPr>
          <w:p>
            <w:pPr>
              <w:jc w:val="right"/>
              <w:ind w:right="326"/>
              <w:spacing w:after="0"/>
              <w:rPr>
                <w:sz w:val="20"/>
                <w:szCs w:val="20"/>
                <w:color w:val="auto"/>
              </w:rPr>
            </w:pPr>
            <w:r>
              <w:rPr>
                <w:rFonts w:ascii="Times New Roman" w:cs="Times New Roman" w:eastAsia="Times New Roman" w:hAnsi="Times New Roman"/>
                <w:sz w:val="15"/>
                <w:szCs w:val="15"/>
                <w:b w:val="1"/>
                <w:bCs w:val="1"/>
                <w:color w:val="231F20"/>
              </w:rPr>
              <w:t>2023</w:t>
            </w:r>
          </w:p>
        </w:tc>
      </w:tr>
      <w:tr>
        <w:trPr>
          <w:trHeight w:val="202"/>
        </w:trPr>
        <w:tc>
          <w:tcPr>
            <w:tcW w:w="6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5"/>
                <w:szCs w:val="15"/>
                <w:b w:val="1"/>
                <w:bCs w:val="1"/>
                <w:color w:val="231F20"/>
              </w:rPr>
              <w:t>(In thousands)</w:t>
            </w: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91"/>
        </w:trPr>
        <w:tc>
          <w:tcPr>
            <w:tcW w:w="6160" w:type="dxa"/>
            <w:vAlign w:val="bottom"/>
          </w:tcPr>
          <w:p>
            <w:pPr>
              <w:spacing w:after="0"/>
              <w:rPr>
                <w:sz w:val="20"/>
                <w:szCs w:val="20"/>
                <w:color w:val="auto"/>
              </w:rPr>
            </w:pPr>
            <w:r>
              <w:rPr>
                <w:rFonts w:ascii="Times New Roman" w:cs="Times New Roman" w:eastAsia="Times New Roman" w:hAnsi="Times New Roman"/>
                <w:sz w:val="19"/>
                <w:szCs w:val="19"/>
                <w:color w:val="231F20"/>
              </w:rPr>
              <w:t>Property operating income</w:t>
            </w:r>
          </w:p>
        </w:tc>
        <w:tc>
          <w:tcPr>
            <w:tcW w:w="260" w:type="dxa"/>
            <w:vAlign w:val="bottom"/>
          </w:tcPr>
          <w:p>
            <w:pPr>
              <w:jc w:val="right"/>
              <w:ind w:right="25"/>
              <w:spacing w:after="0"/>
              <w:rPr>
                <w:sz w:val="20"/>
                <w:szCs w:val="20"/>
                <w:color w:val="auto"/>
              </w:rPr>
            </w:pPr>
            <w:r>
              <w:rPr>
                <w:rFonts w:ascii="Times New Roman" w:cs="Times New Roman" w:eastAsia="Times New Roman" w:hAnsi="Times New Roman"/>
                <w:sz w:val="19"/>
                <w:szCs w:val="19"/>
                <w:color w:val="231F2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860,092</w:t>
            </w:r>
          </w:p>
        </w:tc>
        <w:tc>
          <w:tcPr>
            <w:tcW w:w="320" w:type="dxa"/>
            <w:vAlign w:val="bottom"/>
            <w:gridSpan w:val="2"/>
          </w:tcPr>
          <w:p>
            <w:pPr>
              <w:jc w:val="right"/>
              <w:ind w:right="44"/>
              <w:spacing w:after="0"/>
              <w:rPr>
                <w:sz w:val="20"/>
                <w:szCs w:val="20"/>
                <w:color w:val="auto"/>
              </w:rPr>
            </w:pPr>
            <w:r>
              <w:rPr>
                <w:rFonts w:ascii="Times New Roman" w:cs="Times New Roman" w:eastAsia="Times New Roman" w:hAnsi="Times New Roman"/>
                <w:sz w:val="19"/>
                <w:szCs w:val="19"/>
                <w:color w:val="231F2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810,653</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9"/>
                <w:szCs w:val="19"/>
                <w:color w:val="231F2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769,059</w:t>
            </w:r>
          </w:p>
        </w:tc>
      </w:tr>
      <w:tr>
        <w:trPr>
          <w:trHeight w:val="299"/>
        </w:trPr>
        <w:tc>
          <w:tcPr>
            <w:tcW w:w="6160" w:type="dxa"/>
            <w:vAlign w:val="bottom"/>
          </w:tcPr>
          <w:p>
            <w:pPr>
              <w:spacing w:after="0"/>
              <w:rPr>
                <w:sz w:val="20"/>
                <w:szCs w:val="20"/>
                <w:color w:val="auto"/>
              </w:rPr>
            </w:pPr>
            <w:r>
              <w:rPr>
                <w:rFonts w:ascii="Times New Roman" w:cs="Times New Roman" w:eastAsia="Times New Roman" w:hAnsi="Times New Roman"/>
                <w:sz w:val="19"/>
                <w:szCs w:val="19"/>
                <w:color w:val="231F20"/>
              </w:rPr>
              <w:t>General and administrative expense</w:t>
            </w: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(46,913)</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(49,739)</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(50,707)</w:t>
            </w:r>
          </w:p>
        </w:tc>
      </w:tr>
      <w:tr>
        <w:trPr>
          <w:trHeight w:val="299"/>
        </w:trPr>
        <w:tc>
          <w:tcPr>
            <w:tcW w:w="6160" w:type="dxa"/>
            <w:vAlign w:val="bottom"/>
          </w:tcPr>
          <w:p>
            <w:pPr>
              <w:spacing w:after="0"/>
              <w:rPr>
                <w:sz w:val="20"/>
                <w:szCs w:val="20"/>
                <w:color w:val="auto"/>
              </w:rPr>
            </w:pPr>
            <w:r>
              <w:rPr>
                <w:rFonts w:ascii="Times New Roman" w:cs="Times New Roman" w:eastAsia="Times New Roman" w:hAnsi="Times New Roman"/>
                <w:sz w:val="19"/>
                <w:szCs w:val="19"/>
                <w:color w:val="231F20"/>
              </w:rPr>
              <w:t>Depreciation and amortization</w:t>
            </w: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(367,842)</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(342,598)</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(321,763)</w:t>
            </w:r>
          </w:p>
        </w:tc>
      </w:tr>
      <w:tr>
        <w:trPr>
          <w:trHeight w:val="299"/>
        </w:trPr>
        <w:tc>
          <w:tcPr>
            <w:tcW w:w="6160" w:type="dxa"/>
            <w:vAlign w:val="bottom"/>
          </w:tcPr>
          <w:p>
            <w:pPr>
              <w:spacing w:after="0"/>
              <w:rPr>
                <w:sz w:val="20"/>
                <w:szCs w:val="20"/>
                <w:color w:val="auto"/>
              </w:rPr>
            </w:pPr>
            <w:r>
              <w:rPr>
                <w:rFonts w:ascii="Times New Roman" w:cs="Times New Roman" w:eastAsia="Times New Roman" w:hAnsi="Times New Roman"/>
                <w:sz w:val="19"/>
                <w:szCs w:val="19"/>
                <w:color w:val="231F20"/>
              </w:rPr>
              <w:t>New market tax credit transaction income</w:t>
            </w: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14,176</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w:t>
            </w:r>
          </w:p>
        </w:tc>
      </w:tr>
      <w:tr>
        <w:trPr>
          <w:trHeight w:val="299"/>
        </w:trPr>
        <w:tc>
          <w:tcPr>
            <w:tcW w:w="6160" w:type="dxa"/>
            <w:vAlign w:val="bottom"/>
          </w:tcPr>
          <w:p>
            <w:pPr>
              <w:spacing w:after="0"/>
              <w:rPr>
                <w:sz w:val="20"/>
                <w:szCs w:val="20"/>
                <w:color w:val="auto"/>
              </w:rPr>
            </w:pPr>
            <w:r>
              <w:rPr>
                <w:rFonts w:ascii="Times New Roman" w:cs="Times New Roman" w:eastAsia="Times New Roman" w:hAnsi="Times New Roman"/>
                <w:sz w:val="19"/>
                <w:szCs w:val="19"/>
                <w:color w:val="231F20"/>
              </w:rPr>
              <w:t>Gain on sale of real estate</w:t>
            </w: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150,111</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54,040</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9,881</w:t>
            </w:r>
          </w:p>
        </w:tc>
      </w:tr>
      <w:tr>
        <w:trPr>
          <w:trHeight w:val="299"/>
        </w:trPr>
        <w:tc>
          <w:tcPr>
            <w:tcW w:w="6160" w:type="dxa"/>
            <w:vAlign w:val="bottom"/>
          </w:tcPr>
          <w:p>
            <w:pPr>
              <w:spacing w:after="0"/>
              <w:rPr>
                <w:sz w:val="20"/>
                <w:szCs w:val="20"/>
                <w:color w:val="auto"/>
              </w:rPr>
            </w:pPr>
            <w:r>
              <w:rPr>
                <w:rFonts w:ascii="Times New Roman" w:cs="Times New Roman" w:eastAsia="Times New Roman" w:hAnsi="Times New Roman"/>
                <w:sz w:val="19"/>
                <w:szCs w:val="19"/>
                <w:color w:val="231F20"/>
              </w:rPr>
              <w:t>Impairment charge</w:t>
            </w: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(7,425)</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w:t>
            </w:r>
          </w:p>
        </w:tc>
      </w:tr>
      <w:tr>
        <w:trPr>
          <w:trHeight w:val="299"/>
        </w:trPr>
        <w:tc>
          <w:tcPr>
            <w:tcW w:w="6160" w:type="dxa"/>
            <w:vAlign w:val="bottom"/>
          </w:tcPr>
          <w:p>
            <w:pPr>
              <w:spacing w:after="0"/>
              <w:rPr>
                <w:sz w:val="20"/>
                <w:szCs w:val="20"/>
                <w:color w:val="auto"/>
              </w:rPr>
            </w:pPr>
            <w:r>
              <w:rPr>
                <w:rFonts w:ascii="Times New Roman" w:cs="Times New Roman" w:eastAsia="Times New Roman" w:hAnsi="Times New Roman"/>
                <w:sz w:val="19"/>
                <w:szCs w:val="19"/>
                <w:color w:val="231F20"/>
              </w:rPr>
              <w:t>Other interest income</w:t>
            </w: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3,143</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4,294</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4,687</w:t>
            </w:r>
          </w:p>
        </w:tc>
      </w:tr>
      <w:tr>
        <w:trPr>
          <w:trHeight w:val="299"/>
        </w:trPr>
        <w:tc>
          <w:tcPr>
            <w:tcW w:w="6160" w:type="dxa"/>
            <w:vAlign w:val="bottom"/>
          </w:tcPr>
          <w:p>
            <w:pPr>
              <w:spacing w:after="0"/>
              <w:rPr>
                <w:sz w:val="20"/>
                <w:szCs w:val="20"/>
                <w:color w:val="auto"/>
              </w:rPr>
            </w:pPr>
            <w:r>
              <w:rPr>
                <w:rFonts w:ascii="Times New Roman" w:cs="Times New Roman" w:eastAsia="Times New Roman" w:hAnsi="Times New Roman"/>
                <w:sz w:val="19"/>
                <w:szCs w:val="19"/>
                <w:color w:val="231F20"/>
              </w:rPr>
              <w:t>Interest expense</w:t>
            </w: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(183,614)</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(175,476)</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(167,809)</w:t>
            </w:r>
          </w:p>
        </w:tc>
      </w:tr>
      <w:tr>
        <w:trPr>
          <w:trHeight w:val="300"/>
        </w:trPr>
        <w:tc>
          <w:tcPr>
            <w:tcW w:w="6160" w:type="dxa"/>
            <w:vAlign w:val="bottom"/>
          </w:tcPr>
          <w:p>
            <w:pPr>
              <w:spacing w:after="0"/>
              <w:rPr>
                <w:sz w:val="20"/>
                <w:szCs w:val="20"/>
                <w:color w:val="auto"/>
              </w:rPr>
            </w:pPr>
            <w:r>
              <w:rPr>
                <w:rFonts w:ascii="Times New Roman" w:cs="Times New Roman" w:eastAsia="Times New Roman" w:hAnsi="Times New Roman"/>
                <w:sz w:val="19"/>
                <w:szCs w:val="19"/>
                <w:color w:val="231F20"/>
              </w:rPr>
              <w:t>Income from partnerships</w:t>
            </w:r>
          </w:p>
        </w:tc>
        <w:tc>
          <w:tcPr>
            <w:tcW w:w="260" w:type="dxa"/>
            <w:vAlign w:val="bottom"/>
            <w:tcBorders>
              <w:bottom w:val="single" w:sz="8" w:color="231F20"/>
            </w:tcBorders>
          </w:tcPr>
          <w:p>
            <w:pPr>
              <w:spacing w:after="0"/>
              <w:rPr>
                <w:sz w:val="24"/>
                <w:szCs w:val="24"/>
                <w:color w:val="auto"/>
              </w:rPr>
            </w:pPr>
          </w:p>
        </w:tc>
        <w:tc>
          <w:tcPr>
            <w:tcW w:w="8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1,920</w:t>
            </w:r>
          </w:p>
        </w:tc>
        <w:tc>
          <w:tcPr>
            <w:tcW w:w="60" w:type="dxa"/>
            <w:vAlign w:val="bottom"/>
          </w:tcPr>
          <w:p>
            <w:pPr>
              <w:spacing w:after="0"/>
              <w:rPr>
                <w:sz w:val="24"/>
                <w:szCs w:val="24"/>
                <w:color w:val="auto"/>
              </w:rPr>
            </w:pPr>
          </w:p>
        </w:tc>
        <w:tc>
          <w:tcPr>
            <w:tcW w:w="260" w:type="dxa"/>
            <w:vAlign w:val="bottom"/>
            <w:tcBorders>
              <w:bottom w:val="single" w:sz="8" w:color="231F20"/>
            </w:tcBorders>
          </w:tcPr>
          <w:p>
            <w:pPr>
              <w:spacing w:after="0"/>
              <w:rPr>
                <w:sz w:val="24"/>
                <w:szCs w:val="24"/>
                <w:color w:val="auto"/>
              </w:rPr>
            </w:pPr>
          </w:p>
        </w:tc>
        <w:tc>
          <w:tcPr>
            <w:tcW w:w="8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3,160</w:t>
            </w:r>
          </w:p>
        </w:tc>
        <w:tc>
          <w:tcPr>
            <w:tcW w:w="60" w:type="dxa"/>
            <w:vAlign w:val="bottom"/>
          </w:tcPr>
          <w:p>
            <w:pPr>
              <w:spacing w:after="0"/>
              <w:rPr>
                <w:sz w:val="24"/>
                <w:szCs w:val="24"/>
                <w:color w:val="auto"/>
              </w:rPr>
            </w:pPr>
          </w:p>
        </w:tc>
        <w:tc>
          <w:tcPr>
            <w:tcW w:w="300" w:type="dxa"/>
            <w:vAlign w:val="bottom"/>
            <w:tcBorders>
              <w:bottom w:val="single" w:sz="8" w:color="231F20"/>
            </w:tcBorders>
          </w:tcPr>
          <w:p>
            <w:pPr>
              <w:spacing w:after="0"/>
              <w:rPr>
                <w:sz w:val="24"/>
                <w:szCs w:val="24"/>
                <w:color w:val="auto"/>
              </w:rPr>
            </w:pPr>
          </w:p>
        </w:tc>
        <w:tc>
          <w:tcPr>
            <w:tcW w:w="8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3,869</w:t>
            </w:r>
          </w:p>
        </w:tc>
      </w:tr>
      <w:tr>
        <w:trPr>
          <w:trHeight w:val="278"/>
        </w:trPr>
        <w:tc>
          <w:tcPr>
            <w:tcW w:w="6160" w:type="dxa"/>
            <w:vAlign w:val="bottom"/>
          </w:tcPr>
          <w:p>
            <w:pPr>
              <w:spacing w:after="0"/>
              <w:rPr>
                <w:sz w:val="20"/>
                <w:szCs w:val="20"/>
                <w:color w:val="auto"/>
              </w:rPr>
            </w:pPr>
            <w:r>
              <w:rPr>
                <w:rFonts w:ascii="Times New Roman" w:cs="Times New Roman" w:eastAsia="Times New Roman" w:hAnsi="Times New Roman"/>
                <w:sz w:val="19"/>
                <w:szCs w:val="19"/>
                <w:color w:val="231F20"/>
              </w:rPr>
              <w:t>Net income</w:t>
            </w: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423,648</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304,334</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247,217</w:t>
            </w:r>
          </w:p>
        </w:tc>
      </w:tr>
      <w:tr>
        <w:trPr>
          <w:trHeight w:val="300"/>
        </w:trPr>
        <w:tc>
          <w:tcPr>
            <w:tcW w:w="6160" w:type="dxa"/>
            <w:vAlign w:val="bottom"/>
          </w:tcPr>
          <w:p>
            <w:pPr>
              <w:spacing w:after="0"/>
              <w:rPr>
                <w:sz w:val="20"/>
                <w:szCs w:val="20"/>
                <w:color w:val="auto"/>
              </w:rPr>
            </w:pPr>
            <w:r>
              <w:rPr>
                <w:rFonts w:ascii="Times New Roman" w:cs="Times New Roman" w:eastAsia="Times New Roman" w:hAnsi="Times New Roman"/>
                <w:sz w:val="19"/>
                <w:szCs w:val="19"/>
                <w:color w:val="231F20"/>
              </w:rPr>
              <w:t>Net income attributable to noncontrolling interests</w:t>
            </w:r>
          </w:p>
        </w:tc>
        <w:tc>
          <w:tcPr>
            <w:tcW w:w="260" w:type="dxa"/>
            <w:vAlign w:val="bottom"/>
            <w:tcBorders>
              <w:bottom w:val="single" w:sz="8" w:color="231F20"/>
            </w:tcBorders>
          </w:tcPr>
          <w:p>
            <w:pPr>
              <w:spacing w:after="0"/>
              <w:rPr>
                <w:sz w:val="24"/>
                <w:szCs w:val="24"/>
                <w:color w:val="auto"/>
              </w:rPr>
            </w:pPr>
          </w:p>
        </w:tc>
        <w:tc>
          <w:tcPr>
            <w:tcW w:w="8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(12,571)</w:t>
            </w:r>
          </w:p>
        </w:tc>
        <w:tc>
          <w:tcPr>
            <w:tcW w:w="60" w:type="dxa"/>
            <w:vAlign w:val="bottom"/>
            <w:tcBorders>
              <w:bottom w:val="single" w:sz="8" w:color="231F20"/>
            </w:tcBorders>
          </w:tcPr>
          <w:p>
            <w:pPr>
              <w:spacing w:after="0"/>
              <w:rPr>
                <w:sz w:val="24"/>
                <w:szCs w:val="24"/>
                <w:color w:val="auto"/>
              </w:rPr>
            </w:pPr>
          </w:p>
        </w:tc>
        <w:tc>
          <w:tcPr>
            <w:tcW w:w="260" w:type="dxa"/>
            <w:vAlign w:val="bottom"/>
            <w:tcBorders>
              <w:bottom w:val="single" w:sz="8" w:color="231F20"/>
            </w:tcBorders>
          </w:tcPr>
          <w:p>
            <w:pPr>
              <w:spacing w:after="0"/>
              <w:rPr>
                <w:sz w:val="24"/>
                <w:szCs w:val="24"/>
                <w:color w:val="auto"/>
              </w:rPr>
            </w:pPr>
          </w:p>
        </w:tc>
        <w:tc>
          <w:tcPr>
            <w:tcW w:w="8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(9,126)</w:t>
            </w:r>
          </w:p>
        </w:tc>
        <w:tc>
          <w:tcPr>
            <w:tcW w:w="60" w:type="dxa"/>
            <w:vAlign w:val="bottom"/>
            <w:tcBorders>
              <w:bottom w:val="single" w:sz="8" w:color="231F20"/>
            </w:tcBorders>
          </w:tcPr>
          <w:p>
            <w:pPr>
              <w:spacing w:after="0"/>
              <w:rPr>
                <w:sz w:val="24"/>
                <w:szCs w:val="24"/>
                <w:color w:val="auto"/>
              </w:rPr>
            </w:pPr>
          </w:p>
        </w:tc>
        <w:tc>
          <w:tcPr>
            <w:tcW w:w="300" w:type="dxa"/>
            <w:vAlign w:val="bottom"/>
            <w:tcBorders>
              <w:bottom w:val="single" w:sz="8" w:color="231F20"/>
            </w:tcBorders>
          </w:tcPr>
          <w:p>
            <w:pPr>
              <w:spacing w:after="0"/>
              <w:rPr>
                <w:sz w:val="24"/>
                <w:szCs w:val="24"/>
                <w:color w:val="auto"/>
              </w:rPr>
            </w:pPr>
          </w:p>
        </w:tc>
        <w:tc>
          <w:tcPr>
            <w:tcW w:w="8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(10,232)</w:t>
            </w:r>
          </w:p>
        </w:tc>
      </w:tr>
      <w:tr>
        <w:trPr>
          <w:trHeight w:val="278"/>
        </w:trPr>
        <w:tc>
          <w:tcPr>
            <w:tcW w:w="6160" w:type="dxa"/>
            <w:vAlign w:val="bottom"/>
          </w:tcPr>
          <w:p>
            <w:pPr>
              <w:spacing w:after="0"/>
              <w:rPr>
                <w:sz w:val="20"/>
                <w:szCs w:val="20"/>
                <w:color w:val="auto"/>
              </w:rPr>
            </w:pPr>
            <w:r>
              <w:rPr>
                <w:rFonts w:ascii="Times New Roman" w:cs="Times New Roman" w:eastAsia="Times New Roman" w:hAnsi="Times New Roman"/>
                <w:sz w:val="19"/>
                <w:szCs w:val="19"/>
                <w:color w:val="231F20"/>
              </w:rPr>
              <w:t>Net income attributable to the Trust</w:t>
            </w:r>
          </w:p>
        </w:tc>
        <w:tc>
          <w:tcPr>
            <w:tcW w:w="260" w:type="dxa"/>
            <w:vAlign w:val="bottom"/>
          </w:tcPr>
          <w:p>
            <w:pPr>
              <w:jc w:val="right"/>
              <w:ind w:right="25"/>
              <w:spacing w:after="0"/>
              <w:rPr>
                <w:sz w:val="20"/>
                <w:szCs w:val="20"/>
                <w:color w:val="auto"/>
              </w:rPr>
            </w:pPr>
            <w:r>
              <w:rPr>
                <w:rFonts w:ascii="Times New Roman" w:cs="Times New Roman" w:eastAsia="Times New Roman" w:hAnsi="Times New Roman"/>
                <w:sz w:val="19"/>
                <w:szCs w:val="19"/>
                <w:color w:val="231F2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411,077</w:t>
            </w:r>
          </w:p>
        </w:tc>
        <w:tc>
          <w:tcPr>
            <w:tcW w:w="320" w:type="dxa"/>
            <w:vAlign w:val="bottom"/>
            <w:gridSpan w:val="2"/>
          </w:tcPr>
          <w:p>
            <w:pPr>
              <w:jc w:val="right"/>
              <w:ind w:right="44"/>
              <w:spacing w:after="0"/>
              <w:rPr>
                <w:sz w:val="20"/>
                <w:szCs w:val="20"/>
                <w:color w:val="auto"/>
              </w:rPr>
            </w:pPr>
            <w:r>
              <w:rPr>
                <w:rFonts w:ascii="Times New Roman" w:cs="Times New Roman" w:eastAsia="Times New Roman" w:hAnsi="Times New Roman"/>
                <w:sz w:val="19"/>
                <w:szCs w:val="19"/>
                <w:color w:val="231F2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295,208</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9"/>
                <w:szCs w:val="19"/>
                <w:color w:val="231F2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236,985</w:t>
            </w:r>
          </w:p>
        </w:tc>
      </w:tr>
    </w:tbl>
    <w:p>
      <w:pPr>
        <w:spacing w:after="0" w:line="218" w:lineRule="exact"/>
        <w:rPr>
          <w:sz w:val="20"/>
          <w:szCs w:val="20"/>
          <w:color w:val="auto"/>
        </w:rPr>
      </w:pPr>
    </w:p>
    <w:p>
      <w:pPr>
        <w:ind w:right="140"/>
        <w:spacing w:after="0" w:line="267" w:lineRule="auto"/>
        <w:rPr>
          <w:sz w:val="20"/>
          <w:szCs w:val="20"/>
          <w:color w:val="auto"/>
        </w:rPr>
      </w:pPr>
      <w:r>
        <w:rPr>
          <w:rFonts w:ascii="Times New Roman" w:cs="Times New Roman" w:eastAsia="Times New Roman" w:hAnsi="Times New Roman"/>
          <w:sz w:val="19"/>
          <w:szCs w:val="19"/>
          <w:color w:val="231F20"/>
        </w:rPr>
        <w:t>No individual commercial or residential property constitutes more than 10% of our revenues or property operating income and we have no operations outside of the United States of America. We do not distinguish or group our operations on a geographical basis for purposes of allocation of resources or capital. Therefore, we have aggregated our properties into one</w:t>
      </w:r>
    </w:p>
    <w:p>
      <w:pPr>
        <w:sectPr>
          <w:pgSz w:w="11880" w:h="15480" w:orient="portrait"/>
          <w:cols w:equalWidth="0" w:num="1">
            <w:col w:w="9760"/>
          </w:cols>
          <w:pgMar w:left="1060" w:top="963"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F-21</w:t>
      </w:r>
    </w:p>
    <w:p>
      <w:pPr>
        <w:sectPr>
          <w:pgSz w:w="11880" w:h="15480" w:orient="portrait"/>
          <w:cols w:equalWidth="0" w:num="1">
            <w:col w:w="9760"/>
          </w:cols>
          <w:pgMar w:left="1060" w:top="963" w:right="1060" w:bottom="0" w:gutter="0" w:footer="0" w:header="0"/>
          <w:type w:val="continuous"/>
        </w:sectPr>
      </w:pPr>
    </w:p>
    <w:bookmarkStart w:id="85" w:name="page86"/>
    <w:bookmarkEnd w:id="85"/>
    <w:p>
      <w:pPr>
        <w:ind w:right="180"/>
        <w:spacing w:after="0" w:line="284" w:lineRule="auto"/>
        <w:rPr>
          <w:sz w:val="20"/>
          <w:szCs w:val="20"/>
          <w:color w:val="auto"/>
        </w:rPr>
      </w:pPr>
      <w:r>
        <w:rPr>
          <w:rFonts w:ascii="Times New Roman" w:cs="Times New Roman" w:eastAsia="Times New Roman" w:hAnsi="Times New Roman"/>
          <w:sz w:val="19"/>
          <w:szCs w:val="19"/>
          <w:color w:val="231F20"/>
        </w:rPr>
        <w:t>reportable segment as the properties share similar long-term economic characteristics and have other similarities including the fact that they are operated using consistent business strategies and are typically located in major metropolitan areas.</w:t>
      </w:r>
    </w:p>
    <w:p>
      <w:pPr>
        <w:spacing w:after="0" w:line="110"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9"/>
          <w:szCs w:val="19"/>
          <w:color w:val="231F20"/>
        </w:rPr>
        <w:t>We do not present significant expense disclosures for our reportable segment as operating segment level expenses are not regularly provided to our CODM. However, a breakout of the principal components of rental expense can be found in Note 11 to the consolidated financial statements and real estate tax expense is presented on the face of the consolidated statement of comprehensive income.</w:t>
      </w:r>
    </w:p>
    <w:p>
      <w:pPr>
        <w:spacing w:after="0" w:line="175" w:lineRule="exact"/>
        <w:rPr>
          <w:sz w:val="20"/>
          <w:szCs w:val="20"/>
          <w:color w:val="auto"/>
        </w:rPr>
      </w:pPr>
    </w:p>
    <w:p>
      <w:pPr>
        <w:ind w:right="240"/>
        <w:spacing w:after="0" w:line="267" w:lineRule="auto"/>
        <w:rPr>
          <w:sz w:val="20"/>
          <w:szCs w:val="20"/>
          <w:color w:val="auto"/>
        </w:rPr>
      </w:pPr>
      <w:r>
        <w:rPr>
          <w:rFonts w:ascii="Times New Roman" w:cs="Times New Roman" w:eastAsia="Times New Roman" w:hAnsi="Times New Roman"/>
          <w:sz w:val="19"/>
          <w:szCs w:val="19"/>
          <w:color w:val="231F20"/>
        </w:rPr>
        <w:t>We do not present a reconciliation of our reportable segment's assets to consolidated assets, as asset information by operating segment is not used by our CODM to allocate resources and capital or assess performance.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Forward Equity Sales</w:t>
      </w:r>
    </w:p>
    <w:p>
      <w:pPr>
        <w:spacing w:after="0" w:line="110"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9"/>
          <w:szCs w:val="19"/>
          <w:color w:val="231F20"/>
        </w:rPr>
        <w:t>Our at-the-market (“ATM”) equity program allows shares to be sold through forward sales contracts. Our forward sales contracts currently meet all the conditions for equity classification; and therefore, we record common stock on the settlement date at the purchase price contemplated by the contract. Furthermore, we consider the potential dilution resulting from forward sales contracts in our earnings per share calculations. We use the treasury stock method to determine the dilution, if any, from the forward sales contracts during the period of time prior to settlement. See Note 8 to the consolidated financial statements for details of our forward sales transactions.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Exchangeable Senior Notes</w:t>
      </w:r>
    </w:p>
    <w:p>
      <w:pPr>
        <w:spacing w:after="0" w:line="110"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19"/>
          <w:szCs w:val="19"/>
          <w:color w:val="231F20"/>
        </w:rPr>
        <w:t xml:space="preserve">On January 11, 2024, our Operating Partnership issued $485.0 million aggregate principal amount of 3.25% Exchangeable Senior Notes due 2029 (the "Notes") in a private placement (see Note 5 for additional information). We account for our Notes in accordance with ASC 470-20, </w:t>
      </w:r>
      <w:r>
        <w:rPr>
          <w:rFonts w:ascii="Times New Roman" w:cs="Times New Roman" w:eastAsia="Times New Roman" w:hAnsi="Times New Roman"/>
          <w:sz w:val="19"/>
          <w:szCs w:val="19"/>
          <w:i w:val="1"/>
          <w:iCs w:val="1"/>
          <w:color w:val="231F20"/>
        </w:rPr>
        <w:t>Debt with Conversion and Other Options</w:t>
      </w:r>
      <w:r>
        <w:rPr>
          <w:rFonts w:ascii="Times New Roman" w:cs="Times New Roman" w:eastAsia="Times New Roman" w:hAnsi="Times New Roman"/>
          <w:sz w:val="19"/>
          <w:szCs w:val="19"/>
          <w:color w:val="231F20"/>
        </w:rPr>
        <w:t xml:space="preserve"> (after the adoption of ASU 2020-06, </w:t>
      </w:r>
      <w:r>
        <w:rPr>
          <w:rFonts w:ascii="Times New Roman" w:cs="Times New Roman" w:eastAsia="Times New Roman" w:hAnsi="Times New Roman"/>
          <w:sz w:val="19"/>
          <w:szCs w:val="19"/>
          <w:i w:val="1"/>
          <w:iCs w:val="1"/>
          <w:color w:val="231F20"/>
        </w:rPr>
        <w:t>Debt - Debt</w:t>
      </w:r>
      <w:r>
        <w:rPr>
          <w:rFonts w:ascii="Times New Roman" w:cs="Times New Roman" w:eastAsia="Times New Roman" w:hAnsi="Times New Roman"/>
          <w:sz w:val="19"/>
          <w:szCs w:val="19"/>
          <w:color w:val="231F20"/>
        </w:rPr>
        <w:t xml:space="preserve"> </w:t>
      </w:r>
      <w:r>
        <w:rPr>
          <w:rFonts w:ascii="Times New Roman" w:cs="Times New Roman" w:eastAsia="Times New Roman" w:hAnsi="Times New Roman"/>
          <w:sz w:val="19"/>
          <w:szCs w:val="19"/>
          <w:i w:val="1"/>
          <w:iCs w:val="1"/>
          <w:color w:val="231F20"/>
        </w:rPr>
        <w:t xml:space="preserve">and Other Options </w:t>
      </w:r>
      <w:r>
        <w:rPr>
          <w:rFonts w:ascii="Times New Roman" w:cs="Times New Roman" w:eastAsia="Times New Roman" w:hAnsi="Times New Roman"/>
          <w:sz w:val="19"/>
          <w:szCs w:val="19"/>
          <w:color w:val="231F20"/>
        </w:rPr>
        <w:t>(Subtopic 470-20) and</w:t>
      </w:r>
      <w:r>
        <w:rPr>
          <w:rFonts w:ascii="Times New Roman" w:cs="Times New Roman" w:eastAsia="Times New Roman" w:hAnsi="Times New Roman"/>
          <w:sz w:val="19"/>
          <w:szCs w:val="19"/>
          <w:i w:val="1"/>
          <w:iCs w:val="1"/>
          <w:color w:val="231F20"/>
        </w:rPr>
        <w:t xml:space="preserve"> Derivatives and Hedging - Contracts in Entity's Own Equity </w:t>
      </w:r>
      <w:r>
        <w:rPr>
          <w:rFonts w:ascii="Times New Roman" w:cs="Times New Roman" w:eastAsia="Times New Roman" w:hAnsi="Times New Roman"/>
          <w:sz w:val="19"/>
          <w:szCs w:val="19"/>
          <w:color w:val="231F20"/>
        </w:rPr>
        <w:t>(Subtopic 815-40):</w:t>
      </w:r>
      <w:r>
        <w:rPr>
          <w:rFonts w:ascii="Times New Roman" w:cs="Times New Roman" w:eastAsia="Times New Roman" w:hAnsi="Times New Roman"/>
          <w:sz w:val="19"/>
          <w:szCs w:val="19"/>
          <w:i w:val="1"/>
          <w:iCs w:val="1"/>
          <w:color w:val="231F20"/>
        </w:rPr>
        <w:t xml:space="preserve"> Accounting for Contracts in an Entity's Own Equity </w:t>
      </w:r>
      <w:r>
        <w:rPr>
          <w:rFonts w:ascii="Times New Roman" w:cs="Times New Roman" w:eastAsia="Times New Roman" w:hAnsi="Times New Roman"/>
          <w:sz w:val="19"/>
          <w:szCs w:val="19"/>
          <w:color w:val="231F20"/>
        </w:rPr>
        <w:t>(ASU 2020-06)). The embedded exchange feature is eligible for an</w:t>
      </w:r>
      <w:r>
        <w:rPr>
          <w:rFonts w:ascii="Times New Roman" w:cs="Times New Roman" w:eastAsia="Times New Roman" w:hAnsi="Times New Roman"/>
          <w:sz w:val="19"/>
          <w:szCs w:val="19"/>
          <w:i w:val="1"/>
          <w:iCs w:val="1"/>
          <w:color w:val="231F20"/>
        </w:rPr>
        <w:t xml:space="preserve"> </w:t>
      </w:r>
      <w:r>
        <w:rPr>
          <w:rFonts w:ascii="Times New Roman" w:cs="Times New Roman" w:eastAsia="Times New Roman" w:hAnsi="Times New Roman"/>
          <w:sz w:val="19"/>
          <w:szCs w:val="19"/>
          <w:color w:val="231F20"/>
        </w:rPr>
        <w:t>exception from derivative accounting because it is indexed to our own stock and meets the equity classification under ASC 815-40; therefore, the exchange feature is not bifurcated. At each reporting period, we calculate the effect of the Notes on our dilutive earnings per common share and per common unit using the if-converted method. In connection with the Notes, we entered into privately negotiated capital call transactions with certain of the initial purchasers of the notes or their affiliates or other financial institutions. Similar to the exchange feature embedded in the Notes, the capped call transactions meet all the conditions for equity classification, and therefore, the related premiums paid are recorded in shareholders' equity for the Trust and capital for the Operating Partnership.</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Recent Accounting Pronouncements</w:t>
      </w:r>
    </w:p>
    <w:p>
      <w:pPr>
        <w:sectPr>
          <w:pgSz w:w="11880" w:h="15480" w:orient="portrait"/>
          <w:cols w:equalWidth="0" w:num="1">
            <w:col w:w="9760"/>
          </w:cols>
          <w:pgMar w:left="1060" w:top="963" w:right="1060" w:bottom="0" w:gutter="0" w:footer="0" w:header="0"/>
        </w:sectPr>
      </w:pPr>
    </w:p>
    <w:p>
      <w:pPr>
        <w:spacing w:after="0" w:line="200" w:lineRule="exact"/>
        <w:rPr>
          <w:sz w:val="20"/>
          <w:szCs w:val="20"/>
          <w:color w:val="auto"/>
        </w:rPr>
      </w:pPr>
    </w:p>
    <w:p>
      <w:pPr>
        <w:spacing w:after="0" w:line="39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b w:val="1"/>
          <w:bCs w:val="1"/>
          <w:color w:val="231F20"/>
        </w:rPr>
        <w:t>Standard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22225</wp:posOffset>
            </wp:positionV>
            <wp:extent cx="1449070" cy="120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8">
                      <a:extLst>
                        <a:ext uri="{28A0092B-C50C-407E-A947-70E740481C1C}"/>
                      </a:extLst>
                    </a:blip>
                    <a:srcRect/>
                    <a:stretch>
                      <a:fillRect/>
                    </a:stretch>
                  </pic:blipFill>
                  <pic:spPr bwMode="auto">
                    <a:xfrm>
                      <a:off x="0" y="0"/>
                      <a:ext cx="1449070" cy="12065"/>
                    </a:xfrm>
                    <a:prstGeom prst="rect">
                      <a:avLst/>
                    </a:prstGeom>
                    <a:noFill/>
                  </pic:spPr>
                </pic:pic>
              </a:graphicData>
            </a:graphic>
          </wp:anchor>
        </w:drawing>
      </w:r>
    </w:p>
    <w:p>
      <w:pPr>
        <w:spacing w:after="0" w:line="5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b w:val="1"/>
          <w:bCs w:val="1"/>
          <w:i w:val="1"/>
          <w:iCs w:val="1"/>
          <w:u w:val="single" w:color="auto"/>
          <w:color w:val="231F20"/>
        </w:rPr>
        <w:t>Issued in 2025:</w:t>
      </w:r>
    </w:p>
    <w:p>
      <w:pPr>
        <w:spacing w:after="0" w:line="98" w:lineRule="exact"/>
        <w:rPr>
          <w:sz w:val="20"/>
          <w:szCs w:val="20"/>
          <w:color w:val="auto"/>
        </w:rPr>
      </w:pPr>
    </w:p>
    <w:p>
      <w:pPr>
        <w:ind w:left="60"/>
        <w:spacing w:after="0" w:line="231" w:lineRule="auto"/>
        <w:rPr>
          <w:sz w:val="20"/>
          <w:szCs w:val="20"/>
          <w:color w:val="auto"/>
        </w:rPr>
      </w:pPr>
      <w:r>
        <w:rPr>
          <w:rFonts w:ascii="Times New Roman" w:cs="Times New Roman" w:eastAsia="Times New Roman" w:hAnsi="Times New Roman"/>
          <w:sz w:val="17"/>
          <w:szCs w:val="17"/>
          <w:color w:val="231F20"/>
        </w:rPr>
        <w:t xml:space="preserve">ASU 2025-01, January 2025, and ASU 2024-03, November 2024, </w:t>
      </w:r>
      <w:r>
        <w:rPr>
          <w:rFonts w:ascii="Times New Roman" w:cs="Times New Roman" w:eastAsia="Times New Roman" w:hAnsi="Times New Roman"/>
          <w:sz w:val="17"/>
          <w:szCs w:val="17"/>
          <w:i w:val="1"/>
          <w:iCs w:val="1"/>
          <w:color w:val="231F20"/>
        </w:rPr>
        <w:t>Income Statement—</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i w:val="1"/>
          <w:iCs w:val="1"/>
          <w:color w:val="231F20"/>
        </w:rPr>
        <w:t>Reporting Comprehensive Income — Expense Disaggregation Disclosures (Subtopic 220-40)</w:t>
      </w:r>
    </w:p>
    <w:p>
      <w:pPr>
        <w:spacing w:after="0" w:line="20" w:lineRule="exact"/>
        <w:rPr>
          <w:sz w:val="20"/>
          <w:szCs w:val="20"/>
          <w:color w:val="auto"/>
        </w:rPr>
      </w:pPr>
      <w:r>
        <w:rPr>
          <w:sz w:val="20"/>
          <w:szCs w:val="20"/>
          <w:color w:val="auto"/>
        </w:rPr>
        <w:br w:type="column"/>
      </w:r>
    </w:p>
    <w:p>
      <w:pPr>
        <w:spacing w:after="0" w:line="38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3980" w:type="dxa"/>
            <w:vAlign w:val="bottom"/>
            <w:vMerge w:val="restart"/>
          </w:tcPr>
          <w:p>
            <w:pPr>
              <w:ind w:left="40"/>
              <w:spacing w:after="0"/>
              <w:rPr>
                <w:sz w:val="20"/>
                <w:szCs w:val="20"/>
                <w:color w:val="auto"/>
              </w:rPr>
            </w:pPr>
            <w:r>
              <w:rPr>
                <w:rFonts w:ascii="Times New Roman" w:cs="Times New Roman" w:eastAsia="Times New Roman" w:hAnsi="Times New Roman"/>
                <w:sz w:val="17"/>
                <w:szCs w:val="17"/>
                <w:b w:val="1"/>
                <w:bCs w:val="1"/>
                <w:color w:val="231F20"/>
              </w:rPr>
              <w:t>Description</w:t>
            </w:r>
          </w:p>
        </w:tc>
        <w:tc>
          <w:tcPr>
            <w:tcW w:w="60" w:type="dxa"/>
            <w:vAlign w:val="bottom"/>
          </w:tcPr>
          <w:p>
            <w:pPr>
              <w:spacing w:after="0"/>
              <w:rPr>
                <w:sz w:val="16"/>
                <w:szCs w:val="16"/>
                <w:color w:val="auto"/>
              </w:rPr>
            </w:pPr>
          </w:p>
        </w:tc>
        <w:tc>
          <w:tcPr>
            <w:tcW w:w="3360" w:type="dxa"/>
            <w:vAlign w:val="bottom"/>
          </w:tcPr>
          <w:p>
            <w:pPr>
              <w:ind w:left="60"/>
              <w:spacing w:after="0"/>
              <w:rPr>
                <w:sz w:val="20"/>
                <w:szCs w:val="20"/>
                <w:color w:val="auto"/>
              </w:rPr>
            </w:pPr>
            <w:r>
              <w:rPr>
                <w:rFonts w:ascii="Times New Roman" w:cs="Times New Roman" w:eastAsia="Times New Roman" w:hAnsi="Times New Roman"/>
                <w:sz w:val="17"/>
                <w:szCs w:val="17"/>
                <w:b w:val="1"/>
                <w:bCs w:val="1"/>
                <w:color w:val="231F20"/>
              </w:rPr>
              <w:t>Effect on the financial statements or</w:t>
            </w:r>
          </w:p>
        </w:tc>
        <w:tc>
          <w:tcPr>
            <w:tcW w:w="0" w:type="dxa"/>
            <w:vAlign w:val="bottom"/>
          </w:tcPr>
          <w:p>
            <w:pPr>
              <w:spacing w:after="0"/>
              <w:rPr>
                <w:sz w:val="1"/>
                <w:szCs w:val="1"/>
                <w:color w:val="auto"/>
              </w:rPr>
            </w:pPr>
          </w:p>
        </w:tc>
      </w:tr>
      <w:tr>
        <w:trPr>
          <w:trHeight w:val="227"/>
        </w:trPr>
        <w:tc>
          <w:tcPr>
            <w:tcW w:w="3980" w:type="dxa"/>
            <w:vAlign w:val="bottom"/>
            <w:tcBorders>
              <w:bottom w:val="single" w:sz="8" w:color="231F20"/>
            </w:tcBorders>
            <w:vMerge w:val="continue"/>
          </w:tcPr>
          <w:p>
            <w:pPr>
              <w:spacing w:after="0"/>
              <w:rPr>
                <w:sz w:val="19"/>
                <w:szCs w:val="19"/>
                <w:color w:val="auto"/>
              </w:rPr>
            </w:pPr>
          </w:p>
        </w:tc>
        <w:tc>
          <w:tcPr>
            <w:tcW w:w="60" w:type="dxa"/>
            <w:vAlign w:val="bottom"/>
          </w:tcPr>
          <w:p>
            <w:pPr>
              <w:spacing w:after="0"/>
              <w:rPr>
                <w:sz w:val="19"/>
                <w:szCs w:val="19"/>
                <w:color w:val="auto"/>
              </w:rPr>
            </w:pPr>
          </w:p>
        </w:tc>
        <w:tc>
          <w:tcPr>
            <w:tcW w:w="3360" w:type="dxa"/>
            <w:vAlign w:val="bottom"/>
            <w:tcBorders>
              <w:bottom w:val="single" w:sz="8" w:color="231F20"/>
            </w:tcBorders>
          </w:tcPr>
          <w:p>
            <w:pPr>
              <w:ind w:left="60"/>
              <w:spacing w:after="0"/>
              <w:rPr>
                <w:sz w:val="20"/>
                <w:szCs w:val="20"/>
                <w:color w:val="auto"/>
              </w:rPr>
            </w:pPr>
            <w:r>
              <w:rPr>
                <w:rFonts w:ascii="Times New Roman" w:cs="Times New Roman" w:eastAsia="Times New Roman" w:hAnsi="Times New Roman"/>
                <w:sz w:val="17"/>
                <w:szCs w:val="17"/>
                <w:b w:val="1"/>
                <w:bCs w:val="1"/>
                <w:color w:val="231F20"/>
              </w:rPr>
              <w:t>significant matters</w:t>
            </w:r>
          </w:p>
        </w:tc>
        <w:tc>
          <w:tcPr>
            <w:tcW w:w="0" w:type="dxa"/>
            <w:vAlign w:val="bottom"/>
          </w:tcPr>
          <w:p>
            <w:pPr>
              <w:spacing w:after="0"/>
              <w:rPr>
                <w:sz w:val="1"/>
                <w:szCs w:val="1"/>
                <w:color w:val="auto"/>
              </w:rPr>
            </w:pPr>
          </w:p>
        </w:tc>
      </w:tr>
      <w:tr>
        <w:trPr>
          <w:trHeight w:val="487"/>
        </w:trPr>
        <w:tc>
          <w:tcPr>
            <w:tcW w:w="3980" w:type="dxa"/>
            <w:vAlign w:val="bottom"/>
          </w:tcPr>
          <w:p>
            <w:pPr>
              <w:ind w:left="40"/>
              <w:spacing w:after="0"/>
              <w:rPr>
                <w:sz w:val="20"/>
                <w:szCs w:val="20"/>
                <w:color w:val="auto"/>
              </w:rPr>
            </w:pPr>
            <w:r>
              <w:rPr>
                <w:rFonts w:ascii="Times New Roman" w:cs="Times New Roman" w:eastAsia="Times New Roman" w:hAnsi="Times New Roman"/>
                <w:sz w:val="17"/>
                <w:szCs w:val="17"/>
                <w:color w:val="231F20"/>
              </w:rPr>
              <w:t>This ASU requires the disaggregation of specific natural</w:t>
            </w:r>
          </w:p>
        </w:tc>
        <w:tc>
          <w:tcPr>
            <w:tcW w:w="60" w:type="dxa"/>
            <w:vAlign w:val="bottom"/>
          </w:tcPr>
          <w:p>
            <w:pPr>
              <w:spacing w:after="0"/>
              <w:rPr>
                <w:sz w:val="24"/>
                <w:szCs w:val="24"/>
                <w:color w:val="auto"/>
              </w:rPr>
            </w:pPr>
          </w:p>
        </w:tc>
        <w:tc>
          <w:tcPr>
            <w:tcW w:w="3360" w:type="dxa"/>
            <w:vAlign w:val="bottom"/>
          </w:tcPr>
          <w:p>
            <w:pPr>
              <w:ind w:left="60"/>
              <w:spacing w:after="0"/>
              <w:rPr>
                <w:sz w:val="20"/>
                <w:szCs w:val="20"/>
                <w:color w:val="auto"/>
              </w:rPr>
            </w:pPr>
            <w:r>
              <w:rPr>
                <w:rFonts w:ascii="Times New Roman" w:cs="Times New Roman" w:eastAsia="Times New Roman" w:hAnsi="Times New Roman"/>
                <w:sz w:val="17"/>
                <w:szCs w:val="17"/>
                <w:color w:val="231F20"/>
              </w:rPr>
              <w:t>We are assessing the impact of this ASU on</w:t>
            </w:r>
          </w:p>
        </w:tc>
        <w:tc>
          <w:tcPr>
            <w:tcW w:w="0" w:type="dxa"/>
            <w:vAlign w:val="bottom"/>
          </w:tcPr>
          <w:p>
            <w:pPr>
              <w:spacing w:after="0"/>
              <w:rPr>
                <w:sz w:val="1"/>
                <w:szCs w:val="1"/>
                <w:color w:val="auto"/>
              </w:rPr>
            </w:pPr>
          </w:p>
        </w:tc>
      </w:tr>
      <w:tr>
        <w:trPr>
          <w:trHeight w:val="171"/>
        </w:trPr>
        <w:tc>
          <w:tcPr>
            <w:tcW w:w="3980" w:type="dxa"/>
            <w:vAlign w:val="bottom"/>
          </w:tcPr>
          <w:p>
            <w:pPr>
              <w:ind w:left="40"/>
              <w:spacing w:after="0" w:line="172" w:lineRule="exact"/>
              <w:rPr>
                <w:sz w:val="20"/>
                <w:szCs w:val="20"/>
                <w:color w:val="auto"/>
              </w:rPr>
            </w:pPr>
            <w:r>
              <w:rPr>
                <w:rFonts w:ascii="Times New Roman" w:cs="Times New Roman" w:eastAsia="Times New Roman" w:hAnsi="Times New Roman"/>
                <w:sz w:val="17"/>
                <w:szCs w:val="17"/>
                <w:color w:val="231F20"/>
              </w:rPr>
              <w:t>expense categories within relevant income statement</w:t>
            </w:r>
          </w:p>
        </w:tc>
        <w:tc>
          <w:tcPr>
            <w:tcW w:w="60" w:type="dxa"/>
            <w:vAlign w:val="bottom"/>
          </w:tcPr>
          <w:p>
            <w:pPr>
              <w:spacing w:after="0"/>
              <w:rPr>
                <w:sz w:val="14"/>
                <w:szCs w:val="14"/>
                <w:color w:val="auto"/>
              </w:rPr>
            </w:pPr>
          </w:p>
        </w:tc>
        <w:tc>
          <w:tcPr>
            <w:tcW w:w="3360" w:type="dxa"/>
            <w:vAlign w:val="bottom"/>
          </w:tcPr>
          <w:p>
            <w:pPr>
              <w:ind w:left="60"/>
              <w:spacing w:after="0" w:line="172" w:lineRule="exact"/>
              <w:rPr>
                <w:sz w:val="20"/>
                <w:szCs w:val="20"/>
                <w:color w:val="auto"/>
              </w:rPr>
            </w:pPr>
            <w:r>
              <w:rPr>
                <w:rFonts w:ascii="Times New Roman" w:cs="Times New Roman" w:eastAsia="Times New Roman" w:hAnsi="Times New Roman"/>
                <w:sz w:val="17"/>
                <w:szCs w:val="17"/>
                <w:color w:val="231F20"/>
              </w:rPr>
              <w:t>our consolidated financial statements.</w:t>
            </w:r>
          </w:p>
        </w:tc>
        <w:tc>
          <w:tcPr>
            <w:tcW w:w="0" w:type="dxa"/>
            <w:vAlign w:val="bottom"/>
          </w:tcPr>
          <w:p>
            <w:pPr>
              <w:spacing w:after="0"/>
              <w:rPr>
                <w:sz w:val="1"/>
                <w:szCs w:val="1"/>
                <w:color w:val="auto"/>
              </w:rPr>
            </w:pPr>
          </w:p>
        </w:tc>
      </w:tr>
      <w:tr>
        <w:trPr>
          <w:trHeight w:val="171"/>
        </w:trPr>
        <w:tc>
          <w:tcPr>
            <w:tcW w:w="3980" w:type="dxa"/>
            <w:vAlign w:val="bottom"/>
          </w:tcPr>
          <w:p>
            <w:pPr>
              <w:ind w:left="40"/>
              <w:spacing w:after="0" w:line="172" w:lineRule="exact"/>
              <w:rPr>
                <w:sz w:val="20"/>
                <w:szCs w:val="20"/>
                <w:color w:val="auto"/>
              </w:rPr>
            </w:pPr>
            <w:r>
              <w:rPr>
                <w:rFonts w:ascii="Times New Roman" w:cs="Times New Roman" w:eastAsia="Times New Roman" w:hAnsi="Times New Roman"/>
                <w:sz w:val="17"/>
                <w:szCs w:val="17"/>
                <w:color w:val="231F20"/>
              </w:rPr>
              <w:t>captions. Public business entities are required to provide</w:t>
            </w:r>
          </w:p>
        </w:tc>
        <w:tc>
          <w:tcPr>
            <w:tcW w:w="6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980" w:type="dxa"/>
            <w:vAlign w:val="bottom"/>
          </w:tcPr>
          <w:p>
            <w:pPr>
              <w:ind w:left="40"/>
              <w:spacing w:after="0" w:line="172" w:lineRule="exact"/>
              <w:rPr>
                <w:sz w:val="20"/>
                <w:szCs w:val="20"/>
                <w:color w:val="auto"/>
              </w:rPr>
            </w:pPr>
            <w:r>
              <w:rPr>
                <w:rFonts w:ascii="Times New Roman" w:cs="Times New Roman" w:eastAsia="Times New Roman" w:hAnsi="Times New Roman"/>
                <w:sz w:val="17"/>
                <w:szCs w:val="17"/>
                <w:color w:val="231F20"/>
              </w:rPr>
              <w:t>tabular disclosures which disaggregate expenses such as</w:t>
            </w:r>
          </w:p>
        </w:tc>
        <w:tc>
          <w:tcPr>
            <w:tcW w:w="6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980" w:type="dxa"/>
            <w:vAlign w:val="bottom"/>
          </w:tcPr>
          <w:p>
            <w:pPr>
              <w:ind w:left="40"/>
              <w:spacing w:after="0" w:line="172" w:lineRule="exact"/>
              <w:rPr>
                <w:sz w:val="20"/>
                <w:szCs w:val="20"/>
                <w:color w:val="auto"/>
              </w:rPr>
            </w:pPr>
            <w:r>
              <w:rPr>
                <w:rFonts w:ascii="Times New Roman" w:cs="Times New Roman" w:eastAsia="Times New Roman" w:hAnsi="Times New Roman"/>
                <w:sz w:val="17"/>
                <w:szCs w:val="17"/>
                <w:color w:val="231F20"/>
              </w:rPr>
              <w:t>purchases of inventory, employee compensation,</w:t>
            </w:r>
          </w:p>
        </w:tc>
        <w:tc>
          <w:tcPr>
            <w:tcW w:w="6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980" w:type="dxa"/>
            <w:vAlign w:val="bottom"/>
          </w:tcPr>
          <w:p>
            <w:pPr>
              <w:ind w:left="40"/>
              <w:spacing w:after="0" w:line="172" w:lineRule="exact"/>
              <w:rPr>
                <w:sz w:val="20"/>
                <w:szCs w:val="20"/>
                <w:color w:val="auto"/>
              </w:rPr>
            </w:pPr>
            <w:r>
              <w:rPr>
                <w:rFonts w:ascii="Times New Roman" w:cs="Times New Roman" w:eastAsia="Times New Roman" w:hAnsi="Times New Roman"/>
                <w:sz w:val="17"/>
                <w:szCs w:val="17"/>
                <w:color w:val="231F20"/>
              </w:rPr>
              <w:t>depreciation and amortization. A separate total of an</w:t>
            </w:r>
          </w:p>
        </w:tc>
        <w:tc>
          <w:tcPr>
            <w:tcW w:w="6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980" w:type="dxa"/>
            <w:vAlign w:val="bottom"/>
          </w:tcPr>
          <w:p>
            <w:pPr>
              <w:ind w:left="40"/>
              <w:spacing w:after="0" w:line="172" w:lineRule="exact"/>
              <w:rPr>
                <w:sz w:val="20"/>
                <w:szCs w:val="20"/>
                <w:color w:val="auto"/>
              </w:rPr>
            </w:pPr>
            <w:r>
              <w:rPr>
                <w:rFonts w:ascii="Times New Roman" w:cs="Times New Roman" w:eastAsia="Times New Roman" w:hAnsi="Times New Roman"/>
                <w:sz w:val="17"/>
                <w:szCs w:val="17"/>
                <w:color w:val="231F20"/>
              </w:rPr>
              <w:t>entity's selling expenses is also required, along with the</w:t>
            </w:r>
          </w:p>
        </w:tc>
        <w:tc>
          <w:tcPr>
            <w:tcW w:w="6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3980" w:type="dxa"/>
            <w:vAlign w:val="bottom"/>
          </w:tcPr>
          <w:p>
            <w:pPr>
              <w:ind w:left="40"/>
              <w:spacing w:after="0"/>
              <w:rPr>
                <w:sz w:val="20"/>
                <w:szCs w:val="20"/>
                <w:color w:val="auto"/>
              </w:rPr>
            </w:pPr>
            <w:r>
              <w:rPr>
                <w:rFonts w:ascii="Times New Roman" w:cs="Times New Roman" w:eastAsia="Times New Roman" w:hAnsi="Times New Roman"/>
                <w:sz w:val="17"/>
                <w:szCs w:val="17"/>
                <w:color w:val="231F20"/>
              </w:rPr>
              <w:t>disclosure of how the company determines them.</w:t>
            </w:r>
          </w:p>
        </w:tc>
        <w:tc>
          <w:tcPr>
            <w:tcW w:w="6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1"/>
        </w:trPr>
        <w:tc>
          <w:tcPr>
            <w:tcW w:w="3980" w:type="dxa"/>
            <w:vAlign w:val="bottom"/>
          </w:tcPr>
          <w:p>
            <w:pPr>
              <w:ind w:left="40"/>
              <w:spacing w:after="0"/>
              <w:rPr>
                <w:sz w:val="20"/>
                <w:szCs w:val="20"/>
                <w:color w:val="auto"/>
              </w:rPr>
            </w:pPr>
            <w:r>
              <w:rPr>
                <w:rFonts w:ascii="Times New Roman" w:cs="Times New Roman" w:eastAsia="Times New Roman" w:hAnsi="Times New Roman"/>
                <w:sz w:val="17"/>
                <w:szCs w:val="17"/>
                <w:color w:val="231F20"/>
              </w:rPr>
              <w:t>The guidance is required to be applied prospectively,</w:t>
            </w:r>
          </w:p>
        </w:tc>
        <w:tc>
          <w:tcPr>
            <w:tcW w:w="6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3980" w:type="dxa"/>
            <w:vAlign w:val="bottom"/>
          </w:tcPr>
          <w:p>
            <w:pPr>
              <w:ind w:left="40"/>
              <w:spacing w:after="0" w:line="172" w:lineRule="exact"/>
              <w:rPr>
                <w:sz w:val="20"/>
                <w:szCs w:val="20"/>
                <w:color w:val="auto"/>
              </w:rPr>
            </w:pPr>
            <w:r>
              <w:rPr>
                <w:rFonts w:ascii="Times New Roman" w:cs="Times New Roman" w:eastAsia="Times New Roman" w:hAnsi="Times New Roman"/>
                <w:sz w:val="17"/>
                <w:szCs w:val="17"/>
                <w:color w:val="231F20"/>
              </w:rPr>
              <w:t>but may be applied retrospectively for annual reporting</w:t>
            </w:r>
          </w:p>
        </w:tc>
        <w:tc>
          <w:tcPr>
            <w:tcW w:w="6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980" w:type="dxa"/>
            <w:vAlign w:val="bottom"/>
          </w:tcPr>
          <w:p>
            <w:pPr>
              <w:ind w:left="40"/>
              <w:spacing w:after="0" w:line="172" w:lineRule="exact"/>
              <w:rPr>
                <w:sz w:val="20"/>
                <w:szCs w:val="20"/>
                <w:color w:val="auto"/>
              </w:rPr>
            </w:pPr>
            <w:r>
              <w:rPr>
                <w:rFonts w:ascii="Times New Roman" w:cs="Times New Roman" w:eastAsia="Times New Roman" w:hAnsi="Times New Roman"/>
                <w:sz w:val="17"/>
                <w:szCs w:val="17"/>
                <w:color w:val="231F20"/>
              </w:rPr>
              <w:t>periods beginning after December 15, 2026, and interim</w:t>
            </w:r>
          </w:p>
        </w:tc>
        <w:tc>
          <w:tcPr>
            <w:tcW w:w="6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980" w:type="dxa"/>
            <w:vAlign w:val="bottom"/>
          </w:tcPr>
          <w:p>
            <w:pPr>
              <w:ind w:left="40"/>
              <w:spacing w:after="0" w:line="172" w:lineRule="exact"/>
              <w:rPr>
                <w:sz w:val="20"/>
                <w:szCs w:val="20"/>
                <w:color w:val="auto"/>
              </w:rPr>
            </w:pPr>
            <w:r>
              <w:rPr>
                <w:rFonts w:ascii="Times New Roman" w:cs="Times New Roman" w:eastAsia="Times New Roman" w:hAnsi="Times New Roman"/>
                <w:sz w:val="17"/>
                <w:szCs w:val="17"/>
                <w:color w:val="231F20"/>
              </w:rPr>
              <w:t>periods within annual reporting periods beginning after</w:t>
            </w:r>
          </w:p>
        </w:tc>
        <w:tc>
          <w:tcPr>
            <w:tcW w:w="6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3980" w:type="dxa"/>
            <w:vAlign w:val="bottom"/>
          </w:tcPr>
          <w:p>
            <w:pPr>
              <w:ind w:left="40"/>
              <w:spacing w:after="0"/>
              <w:rPr>
                <w:sz w:val="20"/>
                <w:szCs w:val="20"/>
                <w:color w:val="auto"/>
              </w:rPr>
            </w:pPr>
            <w:r>
              <w:rPr>
                <w:rFonts w:ascii="Times New Roman" w:cs="Times New Roman" w:eastAsia="Times New Roman" w:hAnsi="Times New Roman"/>
                <w:sz w:val="17"/>
                <w:szCs w:val="17"/>
                <w:color w:val="231F20"/>
              </w:rPr>
              <w:t>December 15 2027. Early adoption is permitted.</w:t>
            </w:r>
          </w:p>
        </w:tc>
        <w:tc>
          <w:tcPr>
            <w:tcW w:w="6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2">
            <w:col w:w="2220" w:space="140"/>
            <w:col w:w="7400"/>
          </w:cols>
          <w:pgMar w:left="1060" w:top="963" w:right="106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F-22</w:t>
      </w:r>
    </w:p>
    <w:p>
      <w:pPr>
        <w:sectPr>
          <w:pgSz w:w="11880" w:h="15480" w:orient="portrait"/>
          <w:cols w:equalWidth="0" w:num="1">
            <w:col w:w="9760"/>
          </w:cols>
          <w:pgMar w:left="1060" w:top="963" w:right="1060" w:bottom="0" w:gutter="0" w:footer="0" w:header="0"/>
          <w:type w:val="continuous"/>
        </w:sectPr>
      </w:pPr>
    </w:p>
    <w:bookmarkStart w:id="86" w:name="page87"/>
    <w:bookmarkEnd w:id="86"/>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Standard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wp:posOffset>
            </wp:positionH>
            <wp:positionV relativeFrom="paragraph">
              <wp:posOffset>22225</wp:posOffset>
            </wp:positionV>
            <wp:extent cx="1449070" cy="120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9">
                      <a:extLst>
                        <a:ext uri="{28A0092B-C50C-407E-A947-70E740481C1C}"/>
                      </a:extLst>
                    </a:blip>
                    <a:srcRect/>
                    <a:stretch>
                      <a:fillRect/>
                    </a:stretch>
                  </pic:blipFill>
                  <pic:spPr bwMode="auto">
                    <a:xfrm>
                      <a:off x="0" y="0"/>
                      <a:ext cx="1449070" cy="12065"/>
                    </a:xfrm>
                    <a:prstGeom prst="rect">
                      <a:avLst/>
                    </a:prstGeom>
                    <a:noFill/>
                  </pic:spPr>
                </pic:pic>
              </a:graphicData>
            </a:graphic>
          </wp:anchor>
        </w:drawing>
      </w:r>
    </w:p>
    <w:p>
      <w:pPr>
        <w:spacing w:after="0" w:line="19" w:lineRule="exact"/>
        <w:rPr>
          <w:sz w:val="20"/>
          <w:szCs w:val="20"/>
          <w:color w:val="auto"/>
        </w:rPr>
      </w:pPr>
    </w:p>
    <w:p>
      <w:pPr>
        <w:ind w:right="80"/>
        <w:spacing w:after="0" w:line="238" w:lineRule="auto"/>
        <w:rPr>
          <w:sz w:val="20"/>
          <w:szCs w:val="20"/>
          <w:color w:val="auto"/>
        </w:rPr>
      </w:pPr>
      <w:r>
        <w:rPr>
          <w:rFonts w:ascii="Times New Roman" w:cs="Times New Roman" w:eastAsia="Times New Roman" w:hAnsi="Times New Roman"/>
          <w:sz w:val="17"/>
          <w:szCs w:val="17"/>
          <w:color w:val="231F20"/>
        </w:rPr>
        <w:t xml:space="preserve">ASU 2025-09, November 2025, </w:t>
      </w:r>
      <w:r>
        <w:rPr>
          <w:rFonts w:ascii="Times New Roman" w:cs="Times New Roman" w:eastAsia="Times New Roman" w:hAnsi="Times New Roman"/>
          <w:sz w:val="17"/>
          <w:szCs w:val="17"/>
          <w:i w:val="1"/>
          <w:iCs w:val="1"/>
          <w:color w:val="231F20"/>
        </w:rPr>
        <w:t>Derivatives and</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i w:val="1"/>
          <w:iCs w:val="1"/>
          <w:color w:val="231F20"/>
        </w:rPr>
        <w:t>Hedging (Topic 815), Hedge Accounting Improvements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line="222" w:lineRule="auto"/>
        <w:rPr>
          <w:sz w:val="20"/>
          <w:szCs w:val="20"/>
          <w:color w:val="auto"/>
        </w:rPr>
      </w:pPr>
      <w:r>
        <w:rPr>
          <w:rFonts w:ascii="Times New Roman" w:cs="Times New Roman" w:eastAsia="Times New Roman" w:hAnsi="Times New Roman"/>
          <w:sz w:val="18"/>
          <w:szCs w:val="18"/>
          <w:color w:val="231F20"/>
        </w:rPr>
        <w:t xml:space="preserve">ASU 2025-10, December 2025, </w:t>
      </w:r>
      <w:r>
        <w:rPr>
          <w:rFonts w:ascii="Times New Roman" w:cs="Times New Roman" w:eastAsia="Times New Roman" w:hAnsi="Times New Roman"/>
          <w:sz w:val="18"/>
          <w:szCs w:val="18"/>
          <w:i w:val="1"/>
          <w:iCs w:val="1"/>
          <w:color w:val="231F20"/>
        </w:rPr>
        <w:t>Government Grants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231F20"/>
        </w:rPr>
        <w:t>(Topic 832), Accounting for Government Grants Received by Business Entities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160"/>
        <w:spacing w:after="0" w:line="225" w:lineRule="auto"/>
        <w:rPr>
          <w:sz w:val="20"/>
          <w:szCs w:val="20"/>
          <w:color w:val="auto"/>
        </w:rPr>
      </w:pPr>
      <w:r>
        <w:rPr>
          <w:rFonts w:ascii="Times New Roman" w:cs="Times New Roman" w:eastAsia="Times New Roman" w:hAnsi="Times New Roman"/>
          <w:sz w:val="18"/>
          <w:szCs w:val="18"/>
          <w:color w:val="231F20"/>
        </w:rPr>
        <w:t xml:space="preserve">ASU 2025-11, December 2025, </w:t>
      </w:r>
      <w:r>
        <w:rPr>
          <w:rFonts w:ascii="Times New Roman" w:cs="Times New Roman" w:eastAsia="Times New Roman" w:hAnsi="Times New Roman"/>
          <w:sz w:val="18"/>
          <w:szCs w:val="18"/>
          <w:i w:val="1"/>
          <w:iCs w:val="1"/>
          <w:color w:val="231F20"/>
        </w:rPr>
        <w:t>Interim Reporting</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231F20"/>
        </w:rPr>
        <w:t>(Topic 270), Narrow-Scope Improvements</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22225</wp:posOffset>
            </wp:positionV>
            <wp:extent cx="2526665" cy="120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0">
                      <a:extLst>
                        <a:ext uri="{28A0092B-C50C-407E-A947-70E740481C1C}"/>
                      </a:extLst>
                    </a:blip>
                    <a:srcRect/>
                    <a:stretch>
                      <a:fillRect/>
                    </a:stretch>
                  </pic:blipFill>
                  <pic:spPr bwMode="auto">
                    <a:xfrm>
                      <a:off x="0" y="0"/>
                      <a:ext cx="2526665" cy="12065"/>
                    </a:xfrm>
                    <a:prstGeom prst="rect">
                      <a:avLst/>
                    </a:prstGeom>
                    <a:noFill/>
                  </pic:spPr>
                </pic:pic>
              </a:graphicData>
            </a:graphic>
          </wp:anchor>
        </w:drawing>
      </w:r>
    </w:p>
    <w:p>
      <w:pPr>
        <w:spacing w:after="0" w:line="19" w:lineRule="exact"/>
        <w:rPr>
          <w:sz w:val="20"/>
          <w:szCs w:val="20"/>
          <w:color w:val="auto"/>
        </w:rPr>
      </w:pPr>
    </w:p>
    <w:p>
      <w:pPr>
        <w:spacing w:after="0" w:line="212" w:lineRule="auto"/>
        <w:rPr>
          <w:sz w:val="20"/>
          <w:szCs w:val="20"/>
          <w:color w:val="auto"/>
        </w:rPr>
      </w:pPr>
      <w:r>
        <w:rPr>
          <w:rFonts w:ascii="Times New Roman" w:cs="Times New Roman" w:eastAsia="Times New Roman" w:hAnsi="Times New Roman"/>
          <w:sz w:val="18"/>
          <w:szCs w:val="18"/>
          <w:color w:val="231F20"/>
        </w:rPr>
        <w:t>This ASU amends certain aspects of hedge accounting in ASC 815. The main amendments relate to cash flow hedging, but some of the amendments affect certain fair value and net investment hedges. The key changes include: (1) Allows individual forecasted transactions to be hedged in a group if they have similar risk exposure for cash flow hedges.</w:t>
      </w:r>
    </w:p>
    <w:p>
      <w:pPr>
        <w:spacing w:after="0" w:line="5" w:lineRule="exact"/>
        <w:rPr>
          <w:sz w:val="20"/>
          <w:szCs w:val="20"/>
          <w:color w:val="auto"/>
        </w:rPr>
      </w:pPr>
    </w:p>
    <w:p>
      <w:pPr>
        <w:ind w:firstLine="6"/>
        <w:spacing w:after="0" w:line="212" w:lineRule="auto"/>
        <w:tabs>
          <w:tab w:leader="none" w:pos="256" w:val="left"/>
        </w:tabs>
        <w:numPr>
          <w:ilvl w:val="0"/>
          <w:numId w:val="6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Establishes a model borrowers can use in cash flow hedges of forecasted interest payments on choose-your-rate debt instruments. (3) Expands hedge accounting for forecasted purchases and sales of nonfinancial assets. (4) Eliminates the requirement for the net written option test in certain instances to accommodate differences in the loan and swap markets that resulted from reference rate reform. (5) Eliminates the recognition and presentation mismatch for foreign currency-denominated debt used as both a net investment hedge instrument and a hedged item for interest rate risk.</w:t>
      </w:r>
    </w:p>
    <w:p>
      <w:pPr>
        <w:spacing w:after="0" w:line="134" w:lineRule="exact"/>
        <w:rPr>
          <w:sz w:val="20"/>
          <w:szCs w:val="20"/>
          <w:color w:val="auto"/>
        </w:rPr>
      </w:pPr>
    </w:p>
    <w:p>
      <w:pPr>
        <w:spacing w:after="0" w:line="219" w:lineRule="auto"/>
        <w:rPr>
          <w:sz w:val="20"/>
          <w:szCs w:val="20"/>
          <w:color w:val="auto"/>
        </w:rPr>
      </w:pPr>
      <w:r>
        <w:rPr>
          <w:rFonts w:ascii="Times New Roman" w:cs="Times New Roman" w:eastAsia="Times New Roman" w:hAnsi="Times New Roman"/>
          <w:sz w:val="18"/>
          <w:szCs w:val="18"/>
          <w:color w:val="231F20"/>
        </w:rPr>
        <w:t>The guidance is applied prospectively for all hedging relationships as of the date of adoption. The guidance applies to all public entities and is effective for fiscal years beginning after December 15, 2026, and interim periods within those fiscal years. Early adoption is permitted.</w:t>
      </w:r>
    </w:p>
    <w:p>
      <w:pPr>
        <w:spacing w:after="0" w:line="103" w:lineRule="exact"/>
        <w:rPr>
          <w:sz w:val="20"/>
          <w:szCs w:val="20"/>
          <w:color w:val="auto"/>
        </w:rPr>
      </w:pPr>
    </w:p>
    <w:p>
      <w:pPr>
        <w:ind w:right="40"/>
        <w:spacing w:after="0" w:line="218" w:lineRule="auto"/>
        <w:rPr>
          <w:sz w:val="20"/>
          <w:szCs w:val="20"/>
          <w:color w:val="auto"/>
        </w:rPr>
      </w:pPr>
      <w:r>
        <w:rPr>
          <w:rFonts w:ascii="Times New Roman" w:cs="Times New Roman" w:eastAsia="Times New Roman" w:hAnsi="Times New Roman"/>
          <w:sz w:val="18"/>
          <w:szCs w:val="18"/>
          <w:color w:val="231F20"/>
        </w:rPr>
        <w:t>This ASU establishes guidance on the recognition, measurement, and presentation of government grants received by business entities. ASU 2025-10 introduces specific recognition thresholds (probability of compliance and receipt) and detailed disclosures, aiming to improve consistency and comparability in financial reporting for grants.</w:t>
      </w:r>
    </w:p>
    <w:p>
      <w:pPr>
        <w:spacing w:after="0" w:line="129" w:lineRule="exact"/>
        <w:rPr>
          <w:sz w:val="20"/>
          <w:szCs w:val="20"/>
          <w:color w:val="auto"/>
        </w:rPr>
      </w:pPr>
    </w:p>
    <w:p>
      <w:pPr>
        <w:ind w:right="140"/>
        <w:spacing w:after="0" w:line="216" w:lineRule="auto"/>
        <w:rPr>
          <w:sz w:val="20"/>
          <w:szCs w:val="20"/>
          <w:color w:val="auto"/>
        </w:rPr>
      </w:pPr>
      <w:r>
        <w:rPr>
          <w:rFonts w:ascii="Times New Roman" w:cs="Times New Roman" w:eastAsia="Times New Roman" w:hAnsi="Times New Roman"/>
          <w:sz w:val="18"/>
          <w:szCs w:val="18"/>
          <w:color w:val="231F20"/>
        </w:rPr>
        <w:t>The new guidance is effective for public business entities in annual periods beginning after December 15, 2028 (including interim periods within) and one year later for all other entities, with early adoption permitted in any period for which financial statements have not yet been issued. The guidance can be applied on a modified prospective basis, a modified retrospective basis, or a full retrospective basis</w:t>
      </w:r>
    </w:p>
    <w:p>
      <w:pPr>
        <w:spacing w:after="0" w:line="130" w:lineRule="exact"/>
        <w:rPr>
          <w:sz w:val="20"/>
          <w:szCs w:val="20"/>
          <w:color w:val="auto"/>
        </w:rPr>
      </w:pPr>
    </w:p>
    <w:p>
      <w:pPr>
        <w:ind w:right="120"/>
        <w:spacing w:after="0" w:line="215" w:lineRule="auto"/>
        <w:rPr>
          <w:sz w:val="20"/>
          <w:szCs w:val="20"/>
          <w:color w:val="auto"/>
        </w:rPr>
      </w:pPr>
      <w:r>
        <w:rPr>
          <w:rFonts w:ascii="Times New Roman" w:cs="Times New Roman" w:eastAsia="Times New Roman" w:hAnsi="Times New Roman"/>
          <w:sz w:val="18"/>
          <w:szCs w:val="18"/>
          <w:color w:val="231F20"/>
        </w:rPr>
        <w:t>This ASU clarifies that an entity is subject to ASC 270 if it provides interim financial statements and notes in accordance with GAAP. This ASU also addresses the form and content of such financial statements, adds a comprehensive list of mandatory interim disclosures pulled from other ASC topics, and establishes a principle under which an entity must disclose events since the end of the last annual reporting period that have a material impact on the entity.</w:t>
      </w:r>
    </w:p>
    <w:p>
      <w:pPr>
        <w:spacing w:after="0" w:line="133" w:lineRule="exact"/>
        <w:rPr>
          <w:sz w:val="20"/>
          <w:szCs w:val="20"/>
          <w:color w:val="auto"/>
        </w:rPr>
      </w:pPr>
    </w:p>
    <w:p>
      <w:pPr>
        <w:ind w:right="100"/>
        <w:spacing w:after="0" w:line="222" w:lineRule="auto"/>
        <w:rPr>
          <w:sz w:val="20"/>
          <w:szCs w:val="20"/>
          <w:color w:val="auto"/>
        </w:rPr>
      </w:pPr>
      <w:r>
        <w:rPr>
          <w:rFonts w:ascii="Times New Roman" w:cs="Times New Roman" w:eastAsia="Times New Roman" w:hAnsi="Times New Roman"/>
          <w:sz w:val="18"/>
          <w:szCs w:val="18"/>
          <w:color w:val="231F20"/>
        </w:rPr>
        <w:t>The guidance can be applied either prospectively or retrospectively. The guidance applies to all public entities and is effective for interim reporting periods with annual reporting periods after December 15, 2027. Early adoption is permitted.</w:t>
      </w:r>
    </w:p>
    <w:p>
      <w:pPr>
        <w:spacing w:after="0" w:line="20" w:lineRule="exact"/>
        <w:rPr>
          <w:sz w:val="20"/>
          <w:szCs w:val="20"/>
          <w:color w:val="auto"/>
        </w:rPr>
      </w:pPr>
      <w:r>
        <w:rPr>
          <w:sz w:val="20"/>
          <w:szCs w:val="20"/>
          <w:color w:val="auto"/>
        </w:rPr>
        <w:br w:type="column"/>
      </w:r>
    </w:p>
    <w:p>
      <w:pPr>
        <w:ind w:right="360"/>
        <w:spacing w:after="0" w:line="248" w:lineRule="auto"/>
        <w:rPr>
          <w:sz w:val="20"/>
          <w:szCs w:val="20"/>
          <w:color w:val="auto"/>
        </w:rPr>
      </w:pPr>
      <w:r>
        <w:rPr>
          <w:rFonts w:ascii="Times New Roman" w:cs="Times New Roman" w:eastAsia="Times New Roman" w:hAnsi="Times New Roman"/>
          <w:sz w:val="17"/>
          <w:szCs w:val="17"/>
          <w:b w:val="1"/>
          <w:bCs w:val="1"/>
          <w:color w:val="231F20"/>
        </w:rPr>
        <w:t>Effect on the financial statements or significant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-1270</wp:posOffset>
            </wp:positionV>
            <wp:extent cx="2127885" cy="120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1">
                      <a:extLst>
                        <a:ext uri="{28A0092B-C50C-407E-A947-70E740481C1C}"/>
                      </a:extLst>
                    </a:blip>
                    <a:srcRect/>
                    <a:stretch>
                      <a:fillRect/>
                    </a:stretch>
                  </pic:blipFill>
                  <pic:spPr bwMode="auto">
                    <a:xfrm>
                      <a:off x="0" y="0"/>
                      <a:ext cx="2127885" cy="12065"/>
                    </a:xfrm>
                    <a:prstGeom prst="rect">
                      <a:avLst/>
                    </a:prstGeom>
                    <a:noFill/>
                  </pic:spPr>
                </pic:pic>
              </a:graphicData>
            </a:graphic>
          </wp:anchor>
        </w:drawing>
      </w:r>
    </w:p>
    <w:p>
      <w:pPr>
        <w:spacing w:after="0" w:line="243" w:lineRule="auto"/>
        <w:rPr>
          <w:sz w:val="20"/>
          <w:szCs w:val="20"/>
          <w:color w:val="auto"/>
        </w:rPr>
      </w:pPr>
      <w:r>
        <w:rPr>
          <w:rFonts w:ascii="Times New Roman" w:cs="Times New Roman" w:eastAsia="Times New Roman" w:hAnsi="Times New Roman"/>
          <w:sz w:val="17"/>
          <w:szCs w:val="17"/>
          <w:color w:val="231F20"/>
        </w:rPr>
        <w:t>We are assessing the impact of this ASU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7"/>
          <w:szCs w:val="17"/>
          <w:color w:val="231F20"/>
        </w:rPr>
        <w:t>We are assessing the impact of this ASU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7"/>
          <w:szCs w:val="17"/>
          <w:color w:val="231F20"/>
        </w:rPr>
        <w:t>We are assessing the impact of this ASU on our consolidated financial statements.</w:t>
      </w:r>
    </w:p>
    <w:p>
      <w:pPr>
        <w:spacing w:after="0" w:line="2744" w:lineRule="exact"/>
        <w:rPr>
          <w:sz w:val="20"/>
          <w:szCs w:val="20"/>
          <w:color w:val="auto"/>
        </w:rPr>
      </w:pPr>
    </w:p>
    <w:p>
      <w:pPr>
        <w:sectPr>
          <w:pgSz w:w="11880" w:h="15480" w:orient="portrait"/>
          <w:cols w:equalWidth="0" w:num="3">
            <w:col w:w="2140" w:space="200"/>
            <w:col w:w="3880" w:space="180"/>
            <w:col w:w="3000"/>
          </w:cols>
          <w:pgMar w:left="1120" w:top="1011" w:right="13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9"/>
          <w:szCs w:val="19"/>
          <w:color w:val="231F20"/>
        </w:rPr>
        <w:t>F-23</w:t>
      </w:r>
    </w:p>
    <w:p>
      <w:pPr>
        <w:sectPr>
          <w:pgSz w:w="11880" w:h="15480" w:orient="portrait"/>
          <w:cols w:equalWidth="0" w:num="1">
            <w:col w:w="9400"/>
          </w:cols>
          <w:pgMar w:left="1120" w:top="1011" w:right="1360" w:bottom="0" w:gutter="0" w:footer="0" w:header="0"/>
          <w:type w:val="continuous"/>
        </w:sectPr>
      </w:pPr>
    </w:p>
    <w:bookmarkStart w:id="87" w:name="page88"/>
    <w:bookmarkEnd w:id="87"/>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280" w:type="dxa"/>
            <w:vAlign w:val="bottom"/>
            <w:tcBorders>
              <w:bottom w:val="single" w:sz="8" w:color="231F20"/>
            </w:tcBorders>
          </w:tcPr>
          <w:p>
            <w:pPr>
              <w:ind w:left="60"/>
              <w:spacing w:after="0"/>
              <w:rPr>
                <w:sz w:val="20"/>
                <w:szCs w:val="20"/>
                <w:color w:val="auto"/>
              </w:rPr>
            </w:pPr>
            <w:r>
              <w:rPr>
                <w:rFonts w:ascii="Times New Roman" w:cs="Times New Roman" w:eastAsia="Times New Roman" w:hAnsi="Times New Roman"/>
                <w:sz w:val="17"/>
                <w:szCs w:val="17"/>
                <w:b w:val="1"/>
                <w:bCs w:val="1"/>
                <w:color w:val="231F20"/>
              </w:rPr>
              <w:t>Standard</w:t>
            </w:r>
          </w:p>
        </w:tc>
        <w:tc>
          <w:tcPr>
            <w:tcW w:w="80" w:type="dxa"/>
            <w:vAlign w:val="bottom"/>
          </w:tcPr>
          <w:p>
            <w:pPr>
              <w:spacing w:after="0"/>
              <w:rPr>
                <w:sz w:val="19"/>
                <w:szCs w:val="19"/>
                <w:color w:val="auto"/>
              </w:rPr>
            </w:pPr>
          </w:p>
        </w:tc>
        <w:tc>
          <w:tcPr>
            <w:tcW w:w="3980" w:type="dxa"/>
            <w:vAlign w:val="bottom"/>
            <w:tcBorders>
              <w:bottom w:val="single" w:sz="8" w:color="231F20"/>
            </w:tcBorders>
          </w:tcPr>
          <w:p>
            <w:pPr>
              <w:ind w:left="40"/>
              <w:spacing w:after="0"/>
              <w:rPr>
                <w:sz w:val="20"/>
                <w:szCs w:val="20"/>
                <w:color w:val="auto"/>
              </w:rPr>
            </w:pPr>
            <w:r>
              <w:rPr>
                <w:rFonts w:ascii="Times New Roman" w:cs="Times New Roman" w:eastAsia="Times New Roman" w:hAnsi="Times New Roman"/>
                <w:sz w:val="17"/>
                <w:szCs w:val="17"/>
                <w:b w:val="1"/>
                <w:bCs w:val="1"/>
                <w:color w:val="231F20"/>
              </w:rPr>
              <w:t>Description</w:t>
            </w:r>
          </w:p>
        </w:tc>
      </w:tr>
      <w:tr>
        <w:trPr>
          <w:trHeight w:val="237"/>
        </w:trPr>
        <w:tc>
          <w:tcPr>
            <w:tcW w:w="2280" w:type="dxa"/>
            <w:vAlign w:val="bottom"/>
          </w:tcPr>
          <w:p>
            <w:pPr>
              <w:ind w:left="60"/>
              <w:spacing w:after="0"/>
              <w:rPr>
                <w:sz w:val="20"/>
                <w:szCs w:val="20"/>
                <w:color w:val="auto"/>
              </w:rPr>
            </w:pPr>
            <w:r>
              <w:rPr>
                <w:rFonts w:ascii="Times New Roman" w:cs="Times New Roman" w:eastAsia="Times New Roman" w:hAnsi="Times New Roman"/>
                <w:sz w:val="18"/>
                <w:szCs w:val="18"/>
                <w:color w:val="231F20"/>
              </w:rPr>
              <w:t>ASU 2025-12, December</w:t>
            </w:r>
          </w:p>
        </w:tc>
        <w:tc>
          <w:tcPr>
            <w:tcW w:w="80" w:type="dxa"/>
            <w:vAlign w:val="bottom"/>
          </w:tcPr>
          <w:p>
            <w:pPr>
              <w:spacing w:after="0"/>
              <w:rPr>
                <w:sz w:val="20"/>
                <w:szCs w:val="20"/>
                <w:color w:val="auto"/>
              </w:rPr>
            </w:pPr>
          </w:p>
        </w:tc>
        <w:tc>
          <w:tcPr>
            <w:tcW w:w="3980" w:type="dxa"/>
            <w:vAlign w:val="bottom"/>
          </w:tcPr>
          <w:p>
            <w:pPr>
              <w:ind w:left="40"/>
              <w:spacing w:after="0"/>
              <w:rPr>
                <w:sz w:val="20"/>
                <w:szCs w:val="20"/>
                <w:color w:val="auto"/>
              </w:rPr>
            </w:pPr>
            <w:r>
              <w:rPr>
                <w:rFonts w:ascii="Times New Roman" w:cs="Times New Roman" w:eastAsia="Times New Roman" w:hAnsi="Times New Roman"/>
                <w:sz w:val="18"/>
                <w:szCs w:val="18"/>
                <w:color w:val="231F20"/>
              </w:rPr>
              <w:t>This ASU clarifies, corrects errors in and makes</w:t>
            </w:r>
          </w:p>
        </w:tc>
      </w:tr>
      <w:tr>
        <w:trPr>
          <w:trHeight w:val="181"/>
        </w:trPr>
        <w:tc>
          <w:tcPr>
            <w:tcW w:w="2280" w:type="dxa"/>
            <w:vAlign w:val="bottom"/>
          </w:tcPr>
          <w:p>
            <w:pPr>
              <w:ind w:left="60"/>
              <w:spacing w:after="0" w:line="181" w:lineRule="exact"/>
              <w:rPr>
                <w:sz w:val="20"/>
                <w:szCs w:val="20"/>
                <w:color w:val="auto"/>
              </w:rPr>
            </w:pPr>
            <w:r>
              <w:rPr>
                <w:rFonts w:ascii="Times New Roman" w:cs="Times New Roman" w:eastAsia="Times New Roman" w:hAnsi="Times New Roman"/>
                <w:sz w:val="18"/>
                <w:szCs w:val="18"/>
                <w:color w:val="231F20"/>
              </w:rPr>
              <w:t xml:space="preserve">2025, </w:t>
            </w:r>
            <w:r>
              <w:rPr>
                <w:rFonts w:ascii="Times New Roman" w:cs="Times New Roman" w:eastAsia="Times New Roman" w:hAnsi="Times New Roman"/>
                <w:sz w:val="18"/>
                <w:szCs w:val="18"/>
                <w:i w:val="1"/>
                <w:iCs w:val="1"/>
                <w:color w:val="231F20"/>
              </w:rPr>
              <w:t>Codification</w:t>
            </w:r>
          </w:p>
        </w:tc>
        <w:tc>
          <w:tcPr>
            <w:tcW w:w="80" w:type="dxa"/>
            <w:vAlign w:val="bottom"/>
          </w:tcPr>
          <w:p>
            <w:pPr>
              <w:spacing w:after="0"/>
              <w:rPr>
                <w:sz w:val="15"/>
                <w:szCs w:val="15"/>
                <w:color w:val="auto"/>
              </w:rPr>
            </w:pPr>
          </w:p>
        </w:tc>
        <w:tc>
          <w:tcPr>
            <w:tcW w:w="3980" w:type="dxa"/>
            <w:vAlign w:val="bottom"/>
          </w:tcPr>
          <w:p>
            <w:pPr>
              <w:ind w:left="40"/>
              <w:spacing w:after="0" w:line="181" w:lineRule="exact"/>
              <w:rPr>
                <w:sz w:val="20"/>
                <w:szCs w:val="20"/>
                <w:color w:val="auto"/>
              </w:rPr>
            </w:pPr>
            <w:r>
              <w:rPr>
                <w:rFonts w:ascii="Times New Roman" w:cs="Times New Roman" w:eastAsia="Times New Roman" w:hAnsi="Times New Roman"/>
                <w:sz w:val="18"/>
                <w:szCs w:val="18"/>
                <w:color w:val="231F20"/>
              </w:rPr>
              <w:t>improvements to several topics within the FASB</w:t>
            </w:r>
          </w:p>
        </w:tc>
      </w:tr>
      <w:tr>
        <w:trPr>
          <w:trHeight w:val="181"/>
        </w:trPr>
        <w:tc>
          <w:tcPr>
            <w:tcW w:w="2280" w:type="dxa"/>
            <w:vAlign w:val="bottom"/>
          </w:tcPr>
          <w:p>
            <w:pPr>
              <w:ind w:left="60"/>
              <w:spacing w:after="0" w:line="181" w:lineRule="exact"/>
              <w:rPr>
                <w:sz w:val="20"/>
                <w:szCs w:val="20"/>
                <w:color w:val="auto"/>
              </w:rPr>
            </w:pPr>
            <w:r>
              <w:rPr>
                <w:rFonts w:ascii="Times New Roman" w:cs="Times New Roman" w:eastAsia="Times New Roman" w:hAnsi="Times New Roman"/>
                <w:sz w:val="18"/>
                <w:szCs w:val="18"/>
                <w:i w:val="1"/>
                <w:iCs w:val="1"/>
                <w:color w:val="231F20"/>
              </w:rPr>
              <w:t>Improvements</w:t>
            </w:r>
          </w:p>
        </w:tc>
        <w:tc>
          <w:tcPr>
            <w:tcW w:w="80" w:type="dxa"/>
            <w:vAlign w:val="bottom"/>
          </w:tcPr>
          <w:p>
            <w:pPr>
              <w:spacing w:after="0"/>
              <w:rPr>
                <w:sz w:val="15"/>
                <w:szCs w:val="15"/>
                <w:color w:val="auto"/>
              </w:rPr>
            </w:pPr>
          </w:p>
        </w:tc>
        <w:tc>
          <w:tcPr>
            <w:tcW w:w="3980" w:type="dxa"/>
            <w:vAlign w:val="bottom"/>
          </w:tcPr>
          <w:p>
            <w:pPr>
              <w:ind w:left="40"/>
              <w:spacing w:after="0" w:line="181" w:lineRule="exact"/>
              <w:rPr>
                <w:sz w:val="20"/>
                <w:szCs w:val="20"/>
                <w:color w:val="auto"/>
              </w:rPr>
            </w:pPr>
            <w:r>
              <w:rPr>
                <w:rFonts w:ascii="Times New Roman" w:cs="Times New Roman" w:eastAsia="Times New Roman" w:hAnsi="Times New Roman"/>
                <w:sz w:val="18"/>
                <w:szCs w:val="18"/>
                <w:color w:val="231F20"/>
              </w:rPr>
              <w:t>Codification. The amendments are part of an ongoing</w:t>
            </w:r>
          </w:p>
        </w:tc>
      </w:tr>
      <w:tr>
        <w:trPr>
          <w:trHeight w:val="180"/>
        </w:trPr>
        <w:tc>
          <w:tcPr>
            <w:tcW w:w="2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980" w:type="dxa"/>
            <w:vAlign w:val="bottom"/>
          </w:tcPr>
          <w:p>
            <w:pPr>
              <w:ind w:left="40"/>
              <w:spacing w:after="0" w:line="181" w:lineRule="exact"/>
              <w:rPr>
                <w:sz w:val="20"/>
                <w:szCs w:val="20"/>
                <w:color w:val="auto"/>
              </w:rPr>
            </w:pPr>
            <w:r>
              <w:rPr>
                <w:rFonts w:ascii="Times New Roman" w:cs="Times New Roman" w:eastAsia="Times New Roman" w:hAnsi="Times New Roman"/>
                <w:sz w:val="18"/>
                <w:szCs w:val="18"/>
                <w:color w:val="231F20"/>
              </w:rPr>
              <w:t>FASB project to make non-substantive technical</w:t>
            </w:r>
          </w:p>
        </w:tc>
      </w:tr>
      <w:tr>
        <w:trPr>
          <w:trHeight w:val="181"/>
        </w:trPr>
        <w:tc>
          <w:tcPr>
            <w:tcW w:w="2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980" w:type="dxa"/>
            <w:vAlign w:val="bottom"/>
          </w:tcPr>
          <w:p>
            <w:pPr>
              <w:ind w:left="40"/>
              <w:spacing w:after="0" w:line="181" w:lineRule="exact"/>
              <w:rPr>
                <w:sz w:val="20"/>
                <w:szCs w:val="20"/>
                <w:color w:val="auto"/>
              </w:rPr>
            </w:pPr>
            <w:r>
              <w:rPr>
                <w:rFonts w:ascii="Times New Roman" w:cs="Times New Roman" w:eastAsia="Times New Roman" w:hAnsi="Times New Roman"/>
                <w:sz w:val="18"/>
                <w:szCs w:val="18"/>
                <w:color w:val="231F20"/>
              </w:rPr>
              <w:t>corrections, clarifications, and improvements to</w:t>
            </w:r>
          </w:p>
        </w:tc>
      </w:tr>
      <w:tr>
        <w:trPr>
          <w:trHeight w:val="181"/>
        </w:trPr>
        <w:tc>
          <w:tcPr>
            <w:tcW w:w="2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980" w:type="dxa"/>
            <w:vAlign w:val="bottom"/>
          </w:tcPr>
          <w:p>
            <w:pPr>
              <w:ind w:left="40"/>
              <w:spacing w:after="0" w:line="181" w:lineRule="exact"/>
              <w:rPr>
                <w:sz w:val="20"/>
                <w:szCs w:val="20"/>
                <w:color w:val="auto"/>
              </w:rPr>
            </w:pPr>
            <w:r>
              <w:rPr>
                <w:rFonts w:ascii="Times New Roman" w:cs="Times New Roman" w:eastAsia="Times New Roman" w:hAnsi="Times New Roman"/>
                <w:sz w:val="18"/>
                <w:szCs w:val="18"/>
                <w:color w:val="231F20"/>
              </w:rPr>
              <w:t>make standards more consistent and easier to</w:t>
            </w:r>
          </w:p>
        </w:tc>
      </w:tr>
      <w:tr>
        <w:trPr>
          <w:trHeight w:val="235"/>
        </w:trPr>
        <w:tc>
          <w:tcPr>
            <w:tcW w:w="2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980" w:type="dxa"/>
            <w:vAlign w:val="bottom"/>
          </w:tcPr>
          <w:p>
            <w:pPr>
              <w:ind w:left="40"/>
              <w:spacing w:after="0"/>
              <w:rPr>
                <w:sz w:val="20"/>
                <w:szCs w:val="20"/>
                <w:color w:val="auto"/>
              </w:rPr>
            </w:pPr>
            <w:r>
              <w:rPr>
                <w:rFonts w:ascii="Times New Roman" w:cs="Times New Roman" w:eastAsia="Times New Roman" w:hAnsi="Times New Roman"/>
                <w:sz w:val="18"/>
                <w:szCs w:val="18"/>
                <w:color w:val="231F20"/>
              </w:rPr>
              <w:t>interpret for preparers and users.</w:t>
            </w:r>
          </w:p>
        </w:tc>
      </w:tr>
      <w:tr>
        <w:trPr>
          <w:trHeight w:val="307"/>
        </w:trPr>
        <w:tc>
          <w:tcPr>
            <w:tcW w:w="2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980" w:type="dxa"/>
            <w:vAlign w:val="bottom"/>
          </w:tcPr>
          <w:p>
            <w:pPr>
              <w:ind w:left="40"/>
              <w:spacing w:after="0"/>
              <w:rPr>
                <w:sz w:val="20"/>
                <w:szCs w:val="20"/>
                <w:color w:val="auto"/>
              </w:rPr>
            </w:pPr>
            <w:r>
              <w:rPr>
                <w:rFonts w:ascii="Times New Roman" w:cs="Times New Roman" w:eastAsia="Times New Roman" w:hAnsi="Times New Roman"/>
                <w:sz w:val="18"/>
                <w:szCs w:val="18"/>
                <w:color w:val="231F20"/>
              </w:rPr>
              <w:t>The guidance applies to all public entities and is</w:t>
            </w:r>
          </w:p>
        </w:tc>
      </w:tr>
      <w:tr>
        <w:trPr>
          <w:trHeight w:val="181"/>
        </w:trPr>
        <w:tc>
          <w:tcPr>
            <w:tcW w:w="2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980" w:type="dxa"/>
            <w:vAlign w:val="bottom"/>
          </w:tcPr>
          <w:p>
            <w:pPr>
              <w:ind w:left="40"/>
              <w:spacing w:after="0" w:line="181" w:lineRule="exact"/>
              <w:rPr>
                <w:sz w:val="20"/>
                <w:szCs w:val="20"/>
                <w:color w:val="auto"/>
              </w:rPr>
            </w:pPr>
            <w:r>
              <w:rPr>
                <w:rFonts w:ascii="Times New Roman" w:cs="Times New Roman" w:eastAsia="Times New Roman" w:hAnsi="Times New Roman"/>
                <w:sz w:val="18"/>
                <w:szCs w:val="18"/>
                <w:color w:val="231F20"/>
              </w:rPr>
              <w:t>effective for fiscal years beginning after December</w:t>
            </w:r>
          </w:p>
        </w:tc>
      </w:tr>
      <w:tr>
        <w:trPr>
          <w:trHeight w:val="181"/>
        </w:trPr>
        <w:tc>
          <w:tcPr>
            <w:tcW w:w="2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980" w:type="dxa"/>
            <w:vAlign w:val="bottom"/>
          </w:tcPr>
          <w:p>
            <w:pPr>
              <w:ind w:left="40"/>
              <w:spacing w:after="0" w:line="181" w:lineRule="exact"/>
              <w:rPr>
                <w:sz w:val="20"/>
                <w:szCs w:val="20"/>
                <w:color w:val="auto"/>
              </w:rPr>
            </w:pPr>
            <w:r>
              <w:rPr>
                <w:rFonts w:ascii="Times New Roman" w:cs="Times New Roman" w:eastAsia="Times New Roman" w:hAnsi="Times New Roman"/>
                <w:sz w:val="18"/>
                <w:szCs w:val="18"/>
                <w:color w:val="231F20"/>
              </w:rPr>
              <w:t>15, 2026, and interim periods within those fiscal</w:t>
            </w:r>
          </w:p>
        </w:tc>
      </w:tr>
      <w:tr>
        <w:trPr>
          <w:trHeight w:val="235"/>
        </w:trPr>
        <w:tc>
          <w:tcPr>
            <w:tcW w:w="2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980" w:type="dxa"/>
            <w:vAlign w:val="bottom"/>
          </w:tcPr>
          <w:p>
            <w:pPr>
              <w:ind w:left="40"/>
              <w:spacing w:after="0"/>
              <w:rPr>
                <w:sz w:val="20"/>
                <w:szCs w:val="20"/>
                <w:color w:val="auto"/>
              </w:rPr>
            </w:pPr>
            <w:r>
              <w:rPr>
                <w:rFonts w:ascii="Times New Roman" w:cs="Times New Roman" w:eastAsia="Times New Roman" w:hAnsi="Times New Roman"/>
                <w:sz w:val="18"/>
                <w:szCs w:val="18"/>
                <w:color w:val="231F20"/>
              </w:rPr>
              <w:t>years. Early adoption is permitted.</w:t>
            </w:r>
          </w:p>
        </w:tc>
      </w:tr>
    </w:tbl>
    <w:p>
      <w:pPr>
        <w:spacing w:after="0" w:line="20" w:lineRule="exact"/>
        <w:rPr>
          <w:sz w:val="20"/>
          <w:szCs w:val="20"/>
          <w:color w:val="auto"/>
        </w:rPr>
      </w:pPr>
      <w:r>
        <w:rPr>
          <w:sz w:val="20"/>
          <w:szCs w:val="20"/>
          <w:color w:val="auto"/>
        </w:rPr>
        <w:br w:type="column"/>
      </w:r>
    </w:p>
    <w:p>
      <w:pPr>
        <w:ind w:right="500"/>
        <w:spacing w:after="0" w:line="248" w:lineRule="auto"/>
        <w:rPr>
          <w:sz w:val="20"/>
          <w:szCs w:val="20"/>
          <w:color w:val="auto"/>
        </w:rPr>
      </w:pPr>
      <w:r>
        <w:rPr>
          <w:rFonts w:ascii="Times New Roman" w:cs="Times New Roman" w:eastAsia="Times New Roman" w:hAnsi="Times New Roman"/>
          <w:sz w:val="17"/>
          <w:szCs w:val="17"/>
          <w:b w:val="1"/>
          <w:bCs w:val="1"/>
          <w:color w:val="231F20"/>
        </w:rPr>
        <w:t>Effect on the financial statements or significant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-1270</wp:posOffset>
            </wp:positionV>
            <wp:extent cx="2127885" cy="120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2">
                      <a:extLst>
                        <a:ext uri="{28A0092B-C50C-407E-A947-70E740481C1C}"/>
                      </a:extLst>
                    </a:blip>
                    <a:srcRect/>
                    <a:stretch>
                      <a:fillRect/>
                    </a:stretch>
                  </pic:blipFill>
                  <pic:spPr bwMode="auto">
                    <a:xfrm>
                      <a:off x="0" y="0"/>
                      <a:ext cx="2127885" cy="12065"/>
                    </a:xfrm>
                    <a:prstGeom prst="rect">
                      <a:avLst/>
                    </a:prstGeom>
                    <a:noFill/>
                  </pic:spPr>
                </pic:pic>
              </a:graphicData>
            </a:graphic>
          </wp:anchor>
        </w:drawing>
      </w:r>
    </w:p>
    <w:p>
      <w:pPr>
        <w:spacing w:after="0" w:line="56" w:lineRule="exact"/>
        <w:rPr>
          <w:sz w:val="20"/>
          <w:szCs w:val="20"/>
          <w:color w:val="auto"/>
        </w:rPr>
      </w:pPr>
    </w:p>
    <w:p>
      <w:pPr>
        <w:spacing w:after="0" w:line="231" w:lineRule="auto"/>
        <w:rPr>
          <w:sz w:val="20"/>
          <w:szCs w:val="20"/>
          <w:color w:val="auto"/>
        </w:rPr>
      </w:pPr>
      <w:r>
        <w:rPr>
          <w:rFonts w:ascii="Times New Roman" w:cs="Times New Roman" w:eastAsia="Times New Roman" w:hAnsi="Times New Roman"/>
          <w:sz w:val="17"/>
          <w:szCs w:val="17"/>
          <w:color w:val="231F20"/>
        </w:rPr>
        <w:t>We do not expect this ASU to have a material impact on our consolidated financial statements.</w:t>
      </w:r>
    </w:p>
    <w:p>
      <w:pPr>
        <w:spacing w:after="0" w:line="1847" w:lineRule="exact"/>
        <w:rPr>
          <w:sz w:val="20"/>
          <w:szCs w:val="20"/>
          <w:color w:val="auto"/>
        </w:rPr>
      </w:pPr>
    </w:p>
    <w:p>
      <w:pPr>
        <w:sectPr>
          <w:pgSz w:w="11880" w:h="15480" w:orient="portrait"/>
          <w:cols w:equalWidth="0" w:num="2">
            <w:col w:w="6340" w:space="120"/>
            <w:col w:w="3140"/>
          </w:cols>
          <w:pgMar w:left="1060" w:top="1011" w:right="1220" w:bottom="0" w:gutter="0" w:footer="0" w:header="0"/>
        </w:sectPr>
      </w:pPr>
    </w:p>
    <w:p>
      <w:pPr>
        <w:ind w:left="60"/>
        <w:spacing w:after="0"/>
        <w:rPr>
          <w:sz w:val="20"/>
          <w:szCs w:val="20"/>
          <w:color w:val="auto"/>
        </w:rPr>
      </w:pPr>
      <w:r>
        <w:rPr>
          <w:rFonts w:ascii="Times New Roman" w:cs="Times New Roman" w:eastAsia="Times New Roman" w:hAnsi="Times New Roman"/>
          <w:sz w:val="17"/>
          <w:szCs w:val="17"/>
          <w:b w:val="1"/>
          <w:bCs w:val="1"/>
          <w:i w:val="1"/>
          <w:iCs w:val="1"/>
          <w:u w:val="single" w:color="auto"/>
          <w:color w:val="231F20"/>
        </w:rPr>
        <w:t>Issued in 2024:</w:t>
      </w:r>
    </w:p>
    <w:p>
      <w:pPr>
        <w:spacing w:after="0" w:line="98" w:lineRule="exact"/>
        <w:rPr>
          <w:sz w:val="20"/>
          <w:szCs w:val="20"/>
          <w:color w:val="auto"/>
        </w:rPr>
      </w:pPr>
    </w:p>
    <w:p>
      <w:pPr>
        <w:ind w:left="60"/>
        <w:spacing w:after="0" w:line="232" w:lineRule="auto"/>
        <w:rPr>
          <w:sz w:val="20"/>
          <w:szCs w:val="20"/>
          <w:color w:val="auto"/>
        </w:rPr>
      </w:pPr>
      <w:r>
        <w:rPr>
          <w:rFonts w:ascii="Times New Roman" w:cs="Times New Roman" w:eastAsia="Times New Roman" w:hAnsi="Times New Roman"/>
          <w:sz w:val="17"/>
          <w:szCs w:val="17"/>
          <w:color w:val="231F20"/>
        </w:rPr>
        <w:t xml:space="preserve">ASU 2024-04, November 2024, </w:t>
      </w:r>
      <w:r>
        <w:rPr>
          <w:rFonts w:ascii="Times New Roman" w:cs="Times New Roman" w:eastAsia="Times New Roman" w:hAnsi="Times New Roman"/>
          <w:sz w:val="17"/>
          <w:szCs w:val="17"/>
          <w:i w:val="1"/>
          <w:iCs w:val="1"/>
          <w:color w:val="231F20"/>
        </w:rPr>
        <w:t>Debt—Debt with</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i w:val="1"/>
          <w:iCs w:val="1"/>
          <w:color w:val="231F20"/>
        </w:rPr>
        <w:t>Conversion and Other Options (Subtopic 470-20), Induced Conversions of Convertible Debt Instruments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b w:val="1"/>
          <w:bCs w:val="1"/>
          <w:i w:val="1"/>
          <w:iCs w:val="1"/>
          <w:u w:val="single" w:color="auto"/>
          <w:color w:val="231F20"/>
        </w:rPr>
        <w:t>Issued in 2023:</w:t>
      </w:r>
    </w:p>
    <w:p>
      <w:pPr>
        <w:spacing w:after="0" w:line="97" w:lineRule="exact"/>
        <w:rPr>
          <w:sz w:val="20"/>
          <w:szCs w:val="20"/>
          <w:color w:val="auto"/>
        </w:rPr>
      </w:pPr>
    </w:p>
    <w:p>
      <w:pPr>
        <w:ind w:left="60" w:right="20"/>
        <w:spacing w:after="0" w:line="219" w:lineRule="auto"/>
        <w:rPr>
          <w:sz w:val="20"/>
          <w:szCs w:val="20"/>
          <w:color w:val="auto"/>
        </w:rPr>
      </w:pPr>
      <w:r>
        <w:rPr>
          <w:rFonts w:ascii="Times New Roman" w:cs="Times New Roman" w:eastAsia="Times New Roman" w:hAnsi="Times New Roman"/>
          <w:sz w:val="18"/>
          <w:szCs w:val="18"/>
          <w:color w:val="231F20"/>
        </w:rPr>
        <w:t xml:space="preserve">ASU 2023-06, October 2023, </w:t>
      </w:r>
      <w:r>
        <w:rPr>
          <w:rFonts w:ascii="Times New Roman" w:cs="Times New Roman" w:eastAsia="Times New Roman" w:hAnsi="Times New Roman"/>
          <w:sz w:val="18"/>
          <w:szCs w:val="18"/>
          <w:i w:val="1"/>
          <w:iCs w:val="1"/>
          <w:color w:val="231F20"/>
        </w:rPr>
        <w:t>Disclosure Improvements: Codification Amendments in Response to the SEC's Disclosure Update and Simplification Initiative</w:t>
      </w:r>
    </w:p>
    <w:p>
      <w:pPr>
        <w:spacing w:after="0" w:line="20" w:lineRule="exact"/>
        <w:rPr>
          <w:sz w:val="20"/>
          <w:szCs w:val="20"/>
          <w:color w:val="auto"/>
        </w:rPr>
      </w:pPr>
      <w:r>
        <w:rPr>
          <w:sz w:val="20"/>
          <w:szCs w:val="20"/>
          <w:color w:val="auto"/>
        </w:rPr>
        <w:br w:type="column"/>
      </w:r>
    </w:p>
    <w:p>
      <w:pPr>
        <w:spacing w:after="0" w:line="277" w:lineRule="exact"/>
        <w:rPr>
          <w:sz w:val="20"/>
          <w:szCs w:val="20"/>
          <w:color w:val="auto"/>
        </w:rPr>
      </w:pPr>
    </w:p>
    <w:p>
      <w:pPr>
        <w:spacing w:after="0" w:line="214" w:lineRule="auto"/>
        <w:rPr>
          <w:sz w:val="20"/>
          <w:szCs w:val="20"/>
          <w:color w:val="auto"/>
        </w:rPr>
      </w:pPr>
      <w:r>
        <w:rPr>
          <w:rFonts w:ascii="Times New Roman" w:cs="Times New Roman" w:eastAsia="Times New Roman" w:hAnsi="Times New Roman"/>
          <w:sz w:val="17"/>
          <w:szCs w:val="17"/>
          <w:color w:val="231F20"/>
        </w:rPr>
        <w:t>This ASU clarifies that to qualify for induced conversion accounting, an inducement offer must preserve the issuance of all of the consideration (in form and amount) issuable in accordance with the conversion privileges specified in the terms of the existing debt instrument. In addition, the ASU requires that to qualify for induced conversion accounting, an instrument must contain a substantive conversion feature as of the date on which both the issuance offer and the inducement offer are accepted by the convertible debt holder. An entity that doesn't meet all of the criteria for conversion accounting or induced conversion accounting applies extinguishment accounting and recognizes a gain or loss for the difference between the fair value of the entire consideration transferred and the net carrying amount of the debt.</w:t>
      </w:r>
    </w:p>
    <w:p>
      <w:pPr>
        <w:spacing w:after="0" w:line="120" w:lineRule="exact"/>
        <w:rPr>
          <w:sz w:val="20"/>
          <w:szCs w:val="20"/>
          <w:color w:val="auto"/>
        </w:rPr>
      </w:pPr>
    </w:p>
    <w:p>
      <w:pPr>
        <w:ind w:right="20"/>
        <w:spacing w:after="0" w:line="215" w:lineRule="auto"/>
        <w:rPr>
          <w:sz w:val="20"/>
          <w:szCs w:val="20"/>
          <w:color w:val="auto"/>
        </w:rPr>
      </w:pPr>
      <w:r>
        <w:rPr>
          <w:rFonts w:ascii="Times New Roman" w:cs="Times New Roman" w:eastAsia="Times New Roman" w:hAnsi="Times New Roman"/>
          <w:sz w:val="17"/>
          <w:szCs w:val="17"/>
          <w:color w:val="231F20"/>
        </w:rPr>
        <w:t>Entities have the option to apply the guidance either (1) prospectively to settlements of convertible debt instruments that occur during fiscal years (and interim periods within those fiscal years) beginning after the effective date or (2) retrospectively. Under the retrospective transition approach, the entity recasts prior periods and recognizes a cumulative-effect adjustment to equity as of the later of the beginning of the earliest period presented or the date the entity adopted ASU 2020-06. This is effective for all entities for fiscal years beginning after December 15, 2025, and interim periods within those fiscal years.</w:t>
      </w:r>
    </w:p>
    <w:p>
      <w:pPr>
        <w:spacing w:after="0" w:line="376" w:lineRule="exact"/>
        <w:rPr>
          <w:sz w:val="20"/>
          <w:szCs w:val="20"/>
          <w:color w:val="auto"/>
        </w:rPr>
      </w:pPr>
    </w:p>
    <w:p>
      <w:pPr>
        <w:ind w:right="160"/>
        <w:spacing w:after="0" w:line="216" w:lineRule="auto"/>
        <w:rPr>
          <w:sz w:val="20"/>
          <w:szCs w:val="20"/>
          <w:color w:val="auto"/>
        </w:rPr>
      </w:pPr>
      <w:r>
        <w:rPr>
          <w:rFonts w:ascii="Times New Roman" w:cs="Times New Roman" w:eastAsia="Times New Roman" w:hAnsi="Times New Roman"/>
          <w:sz w:val="18"/>
          <w:szCs w:val="18"/>
          <w:color w:val="231F20"/>
        </w:rPr>
        <w:t>This ASU amends the disclosure or presentation requirements related to various subtopics in the FASB Accounting Standard Codification (the "Codification"). The new guidance is intended to align U.S. GAAP requirements with those of the SEC and to facilitate the application of U.S. GAAP for all entities. These disclosure requirements are currently included in either SEC Regulation S-X or SEC Regulation S-K.</w:t>
      </w:r>
    </w:p>
    <w:p>
      <w:pPr>
        <w:spacing w:after="0" w:line="130" w:lineRule="exact"/>
        <w:rPr>
          <w:sz w:val="20"/>
          <w:szCs w:val="20"/>
          <w:color w:val="auto"/>
        </w:rPr>
      </w:pPr>
    </w:p>
    <w:p>
      <w:pPr>
        <w:ind w:right="60"/>
        <w:spacing w:after="0" w:line="216" w:lineRule="auto"/>
        <w:rPr>
          <w:sz w:val="20"/>
          <w:szCs w:val="20"/>
          <w:color w:val="auto"/>
        </w:rPr>
      </w:pPr>
      <w:r>
        <w:rPr>
          <w:rFonts w:ascii="Times New Roman" w:cs="Times New Roman" w:eastAsia="Times New Roman" w:hAnsi="Times New Roman"/>
          <w:sz w:val="18"/>
          <w:szCs w:val="18"/>
          <w:color w:val="231F20"/>
        </w:rPr>
        <w:t>The effective date for each amendment will be the date on which the SEC's removal of that related disclosure from Regulation S-X or Regulation S-K becomes effective. Early adoption is prohibited and the amendments should be applied prospectively. If the SEC has not removed the applicable requirement from Regulation S-X or Regulation S-K by June 30, 2027, the amendments will be removed from the Codification and will not be effective.</w:t>
      </w:r>
    </w:p>
    <w:p>
      <w:pPr>
        <w:spacing w:after="0" w:line="20" w:lineRule="exact"/>
        <w:rPr>
          <w:sz w:val="20"/>
          <w:szCs w:val="20"/>
          <w:color w:val="auto"/>
        </w:rPr>
      </w:pPr>
      <w:r>
        <w:rPr>
          <w:sz w:val="20"/>
          <w:szCs w:val="20"/>
          <w:color w:val="auto"/>
        </w:rPr>
        <w:br w:type="column"/>
      </w:r>
    </w:p>
    <w:p>
      <w:pPr>
        <w:spacing w:after="0" w:line="278" w:lineRule="exact"/>
        <w:rPr>
          <w:sz w:val="20"/>
          <w:szCs w:val="20"/>
          <w:color w:val="auto"/>
        </w:rPr>
      </w:pPr>
    </w:p>
    <w:p>
      <w:pPr>
        <w:spacing w:after="0" w:line="231" w:lineRule="auto"/>
        <w:rPr>
          <w:sz w:val="20"/>
          <w:szCs w:val="20"/>
          <w:color w:val="auto"/>
        </w:rPr>
      </w:pPr>
      <w:r>
        <w:rPr>
          <w:rFonts w:ascii="Times New Roman" w:cs="Times New Roman" w:eastAsia="Times New Roman" w:hAnsi="Times New Roman"/>
          <w:sz w:val="17"/>
          <w:szCs w:val="17"/>
          <w:color w:val="231F20"/>
        </w:rPr>
        <w:t>We do not expect this ASU to have a material impact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line="231" w:lineRule="auto"/>
        <w:rPr>
          <w:sz w:val="20"/>
          <w:szCs w:val="20"/>
          <w:color w:val="auto"/>
        </w:rPr>
      </w:pPr>
      <w:r>
        <w:rPr>
          <w:rFonts w:ascii="Times New Roman" w:cs="Times New Roman" w:eastAsia="Times New Roman" w:hAnsi="Times New Roman"/>
          <w:sz w:val="17"/>
          <w:szCs w:val="17"/>
          <w:color w:val="231F20"/>
        </w:rPr>
        <w:t>We do not expect this ASU to have a material impact on our consolidated financial statements.</w:t>
      </w:r>
    </w:p>
    <w:p>
      <w:pPr>
        <w:spacing w:after="0" w:line="3114" w:lineRule="exact"/>
        <w:rPr>
          <w:sz w:val="20"/>
          <w:szCs w:val="20"/>
          <w:color w:val="auto"/>
        </w:rPr>
      </w:pPr>
    </w:p>
    <w:p>
      <w:pPr>
        <w:sectPr>
          <w:pgSz w:w="11880" w:h="15480" w:orient="portrait"/>
          <w:cols w:equalWidth="0" w:num="3">
            <w:col w:w="2200" w:space="200"/>
            <w:col w:w="3880" w:space="180"/>
            <w:col w:w="3140"/>
          </w:cols>
          <w:pgMar w:left="1060" w:top="1011" w:right="122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9"/>
          <w:szCs w:val="19"/>
          <w:color w:val="231F20"/>
        </w:rPr>
        <w:t>F-24</w:t>
      </w:r>
    </w:p>
    <w:p>
      <w:pPr>
        <w:sectPr>
          <w:pgSz w:w="11880" w:h="15480" w:orient="portrait"/>
          <w:cols w:equalWidth="0" w:num="1">
            <w:col w:w="9600"/>
          </w:cols>
          <w:pgMar w:left="1060" w:top="1011" w:right="1220" w:bottom="0" w:gutter="0" w:footer="0" w:header="0"/>
          <w:type w:val="continuous"/>
        </w:sectPr>
      </w:pPr>
    </w:p>
    <w:bookmarkStart w:id="88" w:name="page89"/>
    <w:bookmarkEnd w:id="88"/>
    <w:p>
      <w:pPr>
        <w:spacing w:after="0"/>
        <w:rPr>
          <w:sz w:val="20"/>
          <w:szCs w:val="20"/>
          <w:color w:val="auto"/>
        </w:rPr>
      </w:pPr>
      <w:r>
        <w:rPr>
          <w:rFonts w:ascii="Times New Roman" w:cs="Times New Roman" w:eastAsia="Times New Roman" w:hAnsi="Times New Roman"/>
          <w:sz w:val="19"/>
          <w:szCs w:val="19"/>
          <w:b w:val="1"/>
          <w:bCs w:val="1"/>
          <w:color w:val="231F20"/>
        </w:rPr>
        <w:t>Consolidated Statements of Cash Flows—Supplemental Disclosures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The following table provides supplemental disclosures related to the Consolidated Statements of Cash Flows:</w:t>
      </w:r>
    </w:p>
    <w:p>
      <w:pPr>
        <w:spacing w:after="0" w:line="115" w:lineRule="exact"/>
        <w:rPr>
          <w:sz w:val="20"/>
          <w:szCs w:val="20"/>
          <w:color w:val="auto"/>
        </w:rPr>
      </w:pPr>
    </w:p>
    <w:tbl>
      <w:tblPr>
        <w:tblLayout w:type="fixed"/>
        <w:tblInd w:w="60" w:type="dxa"/>
        <w:tblCellMar>
          <w:top w:w="0" w:type="dxa"/>
          <w:left w:w="0" w:type="dxa"/>
          <w:bottom w:w="0" w:type="dxa"/>
          <w:right w:w="0" w:type="dxa"/>
        </w:tblCellMar>
      </w:tblPr>
      <w:tr>
        <w:trPr>
          <w:trHeight w:val="206"/>
        </w:trPr>
        <w:tc>
          <w:tcPr>
            <w:tcW w:w="6100" w:type="dxa"/>
            <w:vAlign w:val="bottom"/>
          </w:tcPr>
          <w:p>
            <w:pPr>
              <w:spacing w:after="0"/>
              <w:rPr>
                <w:sz w:val="17"/>
                <w:szCs w:val="17"/>
                <w:color w:val="auto"/>
              </w:rPr>
            </w:pPr>
          </w:p>
        </w:tc>
        <w:tc>
          <w:tcPr>
            <w:tcW w:w="280" w:type="dxa"/>
            <w:vAlign w:val="bottom"/>
            <w:tcBorders>
              <w:bottom w:val="single" w:sz="8" w:color="231F20"/>
            </w:tcBorders>
          </w:tcPr>
          <w:p>
            <w:pPr>
              <w:spacing w:after="0"/>
              <w:rPr>
                <w:sz w:val="17"/>
                <w:szCs w:val="17"/>
                <w:color w:val="auto"/>
              </w:rPr>
            </w:pPr>
          </w:p>
        </w:tc>
        <w:tc>
          <w:tcPr>
            <w:tcW w:w="2560" w:type="dxa"/>
            <w:vAlign w:val="bottom"/>
            <w:tcBorders>
              <w:bottom w:val="single" w:sz="8" w:color="231F20"/>
            </w:tcBorders>
            <w:gridSpan w:val="6"/>
          </w:tcPr>
          <w:p>
            <w:pPr>
              <w:jc w:val="center"/>
              <w:ind w:left="369"/>
              <w:spacing w:after="0"/>
              <w:rPr>
                <w:sz w:val="20"/>
                <w:szCs w:val="20"/>
                <w:color w:val="auto"/>
              </w:rPr>
            </w:pPr>
            <w:r>
              <w:rPr>
                <w:rFonts w:ascii="Times New Roman" w:cs="Times New Roman" w:eastAsia="Times New Roman" w:hAnsi="Times New Roman"/>
                <w:sz w:val="15"/>
                <w:szCs w:val="15"/>
                <w:b w:val="1"/>
                <w:bCs w:val="1"/>
                <w:color w:val="231F20"/>
              </w:rPr>
              <w:t>Year Ended December 31,</w:t>
            </w:r>
          </w:p>
        </w:tc>
        <w:tc>
          <w:tcPr>
            <w:tcW w:w="720" w:type="dxa"/>
            <w:vAlign w:val="bottom"/>
            <w:tcBorders>
              <w:bottom w:val="single" w:sz="8" w:color="231F20"/>
            </w:tcBorders>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6100" w:type="dxa"/>
            <w:vAlign w:val="bottom"/>
          </w:tcPr>
          <w:p>
            <w:pPr>
              <w:spacing w:after="0"/>
              <w:rPr>
                <w:sz w:val="19"/>
                <w:szCs w:val="19"/>
                <w:color w:val="auto"/>
              </w:rPr>
            </w:pPr>
          </w:p>
        </w:tc>
        <w:tc>
          <w:tcPr>
            <w:tcW w:w="280" w:type="dxa"/>
            <w:vAlign w:val="bottom"/>
            <w:tcBorders>
              <w:bottom w:val="single" w:sz="8" w:color="231F20"/>
            </w:tcBorders>
          </w:tcPr>
          <w:p>
            <w:pPr>
              <w:spacing w:after="0"/>
              <w:rPr>
                <w:sz w:val="19"/>
                <w:szCs w:val="19"/>
                <w:color w:val="auto"/>
              </w:rPr>
            </w:pPr>
          </w:p>
        </w:tc>
        <w:tc>
          <w:tcPr>
            <w:tcW w:w="860" w:type="dxa"/>
            <w:vAlign w:val="bottom"/>
            <w:tcBorders>
              <w:bottom w:val="single" w:sz="8" w:color="231F20"/>
            </w:tcBorders>
          </w:tcPr>
          <w:p>
            <w:pPr>
              <w:jc w:val="right"/>
              <w:ind w:right="329"/>
              <w:spacing w:after="0"/>
              <w:rPr>
                <w:sz w:val="20"/>
                <w:szCs w:val="20"/>
                <w:color w:val="auto"/>
              </w:rPr>
            </w:pPr>
            <w:r>
              <w:rPr>
                <w:rFonts w:ascii="Times New Roman" w:cs="Times New Roman" w:eastAsia="Times New Roman" w:hAnsi="Times New Roman"/>
                <w:sz w:val="15"/>
                <w:szCs w:val="15"/>
                <w:b w:val="1"/>
                <w:bCs w:val="1"/>
                <w:color w:val="231F20"/>
              </w:rPr>
              <w:t>2025</w:t>
            </w:r>
          </w:p>
        </w:tc>
        <w:tc>
          <w:tcPr>
            <w:tcW w:w="80" w:type="dxa"/>
            <w:vAlign w:val="bottom"/>
          </w:tcPr>
          <w:p>
            <w:pPr>
              <w:spacing w:after="0"/>
              <w:rPr>
                <w:sz w:val="19"/>
                <w:szCs w:val="19"/>
                <w:color w:val="auto"/>
              </w:rPr>
            </w:pPr>
          </w:p>
        </w:tc>
        <w:tc>
          <w:tcPr>
            <w:tcW w:w="280" w:type="dxa"/>
            <w:vAlign w:val="bottom"/>
            <w:tcBorders>
              <w:bottom w:val="single" w:sz="8" w:color="231F20"/>
            </w:tcBorders>
          </w:tcPr>
          <w:p>
            <w:pPr>
              <w:spacing w:after="0"/>
              <w:rPr>
                <w:sz w:val="19"/>
                <w:szCs w:val="19"/>
                <w:color w:val="auto"/>
              </w:rPr>
            </w:pPr>
          </w:p>
        </w:tc>
        <w:tc>
          <w:tcPr>
            <w:tcW w:w="860" w:type="dxa"/>
            <w:vAlign w:val="bottom"/>
            <w:tcBorders>
              <w:bottom w:val="single" w:sz="8" w:color="231F20"/>
            </w:tcBorders>
          </w:tcPr>
          <w:p>
            <w:pPr>
              <w:jc w:val="center"/>
              <w:ind w:right="190"/>
              <w:spacing w:after="0"/>
              <w:rPr>
                <w:sz w:val="20"/>
                <w:szCs w:val="20"/>
                <w:color w:val="auto"/>
              </w:rPr>
            </w:pPr>
            <w:r>
              <w:rPr>
                <w:rFonts w:ascii="Times New Roman" w:cs="Times New Roman" w:eastAsia="Times New Roman" w:hAnsi="Times New Roman"/>
                <w:sz w:val="15"/>
                <w:szCs w:val="15"/>
                <w:b w:val="1"/>
                <w:bCs w:val="1"/>
                <w:color w:val="231F20"/>
                <w:w w:val="99"/>
              </w:rPr>
              <w:t>2024</w:t>
            </w:r>
          </w:p>
        </w:tc>
        <w:tc>
          <w:tcPr>
            <w:tcW w:w="60" w:type="dxa"/>
            <w:vAlign w:val="bottom"/>
          </w:tcPr>
          <w:p>
            <w:pPr>
              <w:spacing w:after="0"/>
              <w:rPr>
                <w:sz w:val="19"/>
                <w:szCs w:val="19"/>
                <w:color w:val="auto"/>
              </w:rPr>
            </w:pPr>
          </w:p>
        </w:tc>
        <w:tc>
          <w:tcPr>
            <w:tcW w:w="420" w:type="dxa"/>
            <w:vAlign w:val="bottom"/>
            <w:tcBorders>
              <w:bottom w:val="single" w:sz="8" w:color="231F20"/>
            </w:tcBorders>
          </w:tcPr>
          <w:p>
            <w:pPr>
              <w:spacing w:after="0"/>
              <w:rPr>
                <w:sz w:val="19"/>
                <w:szCs w:val="19"/>
                <w:color w:val="auto"/>
              </w:rPr>
            </w:pPr>
          </w:p>
        </w:tc>
        <w:tc>
          <w:tcPr>
            <w:tcW w:w="720" w:type="dxa"/>
            <w:vAlign w:val="bottom"/>
            <w:tcBorders>
              <w:bottom w:val="single" w:sz="8" w:color="231F20"/>
            </w:tcBorders>
          </w:tcPr>
          <w:p>
            <w:pPr>
              <w:jc w:val="right"/>
              <w:ind w:right="308"/>
              <w:spacing w:after="0"/>
              <w:rPr>
                <w:sz w:val="20"/>
                <w:szCs w:val="20"/>
                <w:color w:val="auto"/>
              </w:rPr>
            </w:pPr>
            <w:r>
              <w:rPr>
                <w:rFonts w:ascii="Times New Roman" w:cs="Times New Roman" w:eastAsia="Times New Roman" w:hAnsi="Times New Roman"/>
                <w:sz w:val="15"/>
                <w:szCs w:val="15"/>
                <w:b w:val="1"/>
                <w:bCs w:val="1"/>
                <w:color w:val="231F20"/>
                <w:w w:val="99"/>
              </w:rPr>
              <w:t>2023</w:t>
            </w:r>
          </w:p>
        </w:tc>
        <w:tc>
          <w:tcPr>
            <w:tcW w:w="0" w:type="dxa"/>
            <w:vAlign w:val="bottom"/>
          </w:tcPr>
          <w:p>
            <w:pPr>
              <w:spacing w:after="0"/>
              <w:rPr>
                <w:sz w:val="1"/>
                <w:szCs w:val="1"/>
                <w:color w:val="auto"/>
              </w:rPr>
            </w:pPr>
          </w:p>
        </w:tc>
      </w:tr>
      <w:tr>
        <w:trPr>
          <w:trHeight w:val="218"/>
        </w:trPr>
        <w:tc>
          <w:tcPr>
            <w:tcW w:w="6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5"/>
                <w:szCs w:val="15"/>
                <w:b w:val="1"/>
                <w:bCs w:val="1"/>
                <w:color w:val="231F20"/>
              </w:rPr>
              <w:t>(In thousands)</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6100" w:type="dxa"/>
            <w:vAlign w:val="bottom"/>
          </w:tcPr>
          <w:p>
            <w:pPr>
              <w:spacing w:after="0"/>
              <w:rPr>
                <w:sz w:val="20"/>
                <w:szCs w:val="20"/>
                <w:color w:val="auto"/>
              </w:rPr>
            </w:pPr>
            <w:r>
              <w:rPr>
                <w:rFonts w:ascii="Times New Roman" w:cs="Times New Roman" w:eastAsia="Times New Roman" w:hAnsi="Times New Roman"/>
                <w:sz w:val="19"/>
                <w:szCs w:val="19"/>
                <w:color w:val="231F20"/>
              </w:rPr>
              <w:t>SUPPLEMENTAL DISCLOSURES:</w:t>
            </w: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19"/>
        </w:trPr>
        <w:tc>
          <w:tcPr>
            <w:tcW w:w="6100" w:type="dxa"/>
            <w:vAlign w:val="bottom"/>
          </w:tcPr>
          <w:p>
            <w:pPr>
              <w:ind w:left="340"/>
              <w:spacing w:after="0"/>
              <w:rPr>
                <w:sz w:val="20"/>
                <w:szCs w:val="20"/>
                <w:color w:val="auto"/>
              </w:rPr>
            </w:pPr>
            <w:r>
              <w:rPr>
                <w:rFonts w:ascii="Times New Roman" w:cs="Times New Roman" w:eastAsia="Times New Roman" w:hAnsi="Times New Roman"/>
                <w:sz w:val="19"/>
                <w:szCs w:val="19"/>
                <w:color w:val="231F20"/>
              </w:rPr>
              <w:t>Total interest costs incurred</w:t>
            </w:r>
          </w:p>
        </w:tc>
        <w:tc>
          <w:tcPr>
            <w:tcW w:w="280" w:type="dxa"/>
            <w:vAlign w:val="bottom"/>
          </w:tcPr>
          <w:p>
            <w:pPr>
              <w:jc w:val="right"/>
              <w:ind w:right="45"/>
              <w:spacing w:after="0"/>
              <w:rPr>
                <w:sz w:val="20"/>
                <w:szCs w:val="20"/>
                <w:color w:val="auto"/>
              </w:rPr>
            </w:pPr>
            <w:r>
              <w:rPr>
                <w:rFonts w:ascii="Times New Roman" w:cs="Times New Roman" w:eastAsia="Times New Roman" w:hAnsi="Times New Roman"/>
                <w:sz w:val="19"/>
                <w:szCs w:val="19"/>
                <w:color w:val="231F2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196,781</w:t>
            </w: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9"/>
                <w:szCs w:val="19"/>
                <w:color w:val="231F2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195,958</w:t>
            </w:r>
          </w:p>
        </w:tc>
        <w:tc>
          <w:tcPr>
            <w:tcW w:w="480" w:type="dxa"/>
            <w:vAlign w:val="bottom"/>
            <w:gridSpan w:val="2"/>
          </w:tcPr>
          <w:p>
            <w:pPr>
              <w:jc w:val="right"/>
              <w:ind w:right="165"/>
              <w:spacing w:after="0"/>
              <w:rPr>
                <w:sz w:val="20"/>
                <w:szCs w:val="20"/>
                <w:color w:val="auto"/>
              </w:rPr>
            </w:pPr>
            <w:r>
              <w:rPr>
                <w:rFonts w:ascii="Times New Roman" w:cs="Times New Roman" w:eastAsia="Times New Roman" w:hAnsi="Times New Roman"/>
                <w:sz w:val="19"/>
                <w:szCs w:val="19"/>
                <w:color w:val="231F2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190,409</w:t>
            </w:r>
          </w:p>
        </w:tc>
        <w:tc>
          <w:tcPr>
            <w:tcW w:w="0" w:type="dxa"/>
            <w:vAlign w:val="bottom"/>
          </w:tcPr>
          <w:p>
            <w:pPr>
              <w:spacing w:after="0"/>
              <w:rPr>
                <w:sz w:val="1"/>
                <w:szCs w:val="1"/>
                <w:color w:val="auto"/>
              </w:rPr>
            </w:pPr>
          </w:p>
        </w:tc>
      </w:tr>
      <w:tr>
        <w:trPr>
          <w:trHeight w:val="286"/>
        </w:trPr>
        <w:tc>
          <w:tcPr>
            <w:tcW w:w="6100" w:type="dxa"/>
            <w:vAlign w:val="bottom"/>
          </w:tcPr>
          <w:p>
            <w:pPr>
              <w:ind w:left="340"/>
              <w:spacing w:after="0"/>
              <w:rPr>
                <w:sz w:val="20"/>
                <w:szCs w:val="20"/>
                <w:color w:val="auto"/>
              </w:rPr>
            </w:pPr>
            <w:r>
              <w:rPr>
                <w:rFonts w:ascii="Times New Roman" w:cs="Times New Roman" w:eastAsia="Times New Roman" w:hAnsi="Times New Roman"/>
                <w:sz w:val="19"/>
                <w:szCs w:val="19"/>
                <w:color w:val="231F20"/>
              </w:rPr>
              <w:t>Interest capitalized</w:t>
            </w:r>
          </w:p>
        </w:tc>
        <w:tc>
          <w:tcPr>
            <w:tcW w:w="280" w:type="dxa"/>
            <w:vAlign w:val="bottom"/>
            <w:tcBorders>
              <w:bottom w:val="single" w:sz="8" w:color="231F20"/>
            </w:tcBorders>
          </w:tcPr>
          <w:p>
            <w:pPr>
              <w:spacing w:after="0"/>
              <w:rPr>
                <w:sz w:val="24"/>
                <w:szCs w:val="24"/>
                <w:color w:val="auto"/>
              </w:rPr>
            </w:pPr>
          </w:p>
        </w:tc>
        <w:tc>
          <w:tcPr>
            <w:tcW w:w="8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(13,167)</w:t>
            </w:r>
          </w:p>
        </w:tc>
        <w:tc>
          <w:tcPr>
            <w:tcW w:w="80" w:type="dxa"/>
            <w:vAlign w:val="bottom"/>
          </w:tcPr>
          <w:p>
            <w:pPr>
              <w:spacing w:after="0"/>
              <w:rPr>
                <w:sz w:val="24"/>
                <w:szCs w:val="24"/>
                <w:color w:val="auto"/>
              </w:rPr>
            </w:pPr>
          </w:p>
        </w:tc>
        <w:tc>
          <w:tcPr>
            <w:tcW w:w="280" w:type="dxa"/>
            <w:vAlign w:val="bottom"/>
            <w:tcBorders>
              <w:bottom w:val="single" w:sz="8" w:color="231F20"/>
            </w:tcBorders>
          </w:tcPr>
          <w:p>
            <w:pPr>
              <w:spacing w:after="0"/>
              <w:rPr>
                <w:sz w:val="24"/>
                <w:szCs w:val="24"/>
                <w:color w:val="auto"/>
              </w:rPr>
            </w:pPr>
          </w:p>
        </w:tc>
        <w:tc>
          <w:tcPr>
            <w:tcW w:w="8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(20,482)</w:t>
            </w:r>
          </w:p>
        </w:tc>
        <w:tc>
          <w:tcPr>
            <w:tcW w:w="60" w:type="dxa"/>
            <w:vAlign w:val="bottom"/>
          </w:tcPr>
          <w:p>
            <w:pPr>
              <w:spacing w:after="0"/>
              <w:rPr>
                <w:sz w:val="24"/>
                <w:szCs w:val="24"/>
                <w:color w:val="auto"/>
              </w:rPr>
            </w:pPr>
          </w:p>
        </w:tc>
        <w:tc>
          <w:tcPr>
            <w:tcW w:w="420" w:type="dxa"/>
            <w:vAlign w:val="bottom"/>
            <w:tcBorders>
              <w:bottom w:val="single" w:sz="8" w:color="231F20"/>
            </w:tcBorders>
          </w:tcPr>
          <w:p>
            <w:pPr>
              <w:spacing w:after="0"/>
              <w:rPr>
                <w:sz w:val="24"/>
                <w:szCs w:val="24"/>
                <w:color w:val="auto"/>
              </w:rPr>
            </w:pPr>
          </w:p>
        </w:tc>
        <w:tc>
          <w:tcPr>
            <w:tcW w:w="7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(22,600)</w:t>
            </w:r>
          </w:p>
        </w:tc>
        <w:tc>
          <w:tcPr>
            <w:tcW w:w="0" w:type="dxa"/>
            <w:vAlign w:val="bottom"/>
          </w:tcPr>
          <w:p>
            <w:pPr>
              <w:spacing w:after="0"/>
              <w:rPr>
                <w:sz w:val="1"/>
                <w:szCs w:val="1"/>
                <w:color w:val="auto"/>
              </w:rPr>
            </w:pPr>
          </w:p>
        </w:tc>
      </w:tr>
      <w:tr>
        <w:trPr>
          <w:trHeight w:val="247"/>
        </w:trPr>
        <w:tc>
          <w:tcPr>
            <w:tcW w:w="6100" w:type="dxa"/>
            <w:vAlign w:val="bottom"/>
          </w:tcPr>
          <w:p>
            <w:pPr>
              <w:ind w:left="680"/>
              <w:spacing w:after="0"/>
              <w:rPr>
                <w:sz w:val="20"/>
                <w:szCs w:val="20"/>
                <w:color w:val="auto"/>
              </w:rPr>
            </w:pPr>
            <w:r>
              <w:rPr>
                <w:rFonts w:ascii="Times New Roman" w:cs="Times New Roman" w:eastAsia="Times New Roman" w:hAnsi="Times New Roman"/>
                <w:sz w:val="19"/>
                <w:szCs w:val="19"/>
                <w:color w:val="231F20"/>
              </w:rPr>
              <w:t>Interest expense</w:t>
            </w:r>
          </w:p>
        </w:tc>
        <w:tc>
          <w:tcPr>
            <w:tcW w:w="280" w:type="dxa"/>
            <w:vAlign w:val="bottom"/>
            <w:tcBorders>
              <w:bottom w:val="single" w:sz="8" w:color="231F20"/>
            </w:tcBorders>
          </w:tcPr>
          <w:p>
            <w:pPr>
              <w:jc w:val="right"/>
              <w:ind w:right="45"/>
              <w:spacing w:after="0"/>
              <w:rPr>
                <w:sz w:val="20"/>
                <w:szCs w:val="20"/>
                <w:color w:val="auto"/>
              </w:rPr>
            </w:pPr>
            <w:r>
              <w:rPr>
                <w:rFonts w:ascii="Times New Roman" w:cs="Times New Roman" w:eastAsia="Times New Roman" w:hAnsi="Times New Roman"/>
                <w:sz w:val="19"/>
                <w:szCs w:val="19"/>
                <w:color w:val="231F20"/>
              </w:rPr>
              <w:t>$</w:t>
            </w:r>
          </w:p>
        </w:tc>
        <w:tc>
          <w:tcPr>
            <w:tcW w:w="8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183,614</w:t>
            </w:r>
          </w:p>
        </w:tc>
        <w:tc>
          <w:tcPr>
            <w:tcW w:w="80" w:type="dxa"/>
            <w:vAlign w:val="bottom"/>
          </w:tcPr>
          <w:p>
            <w:pPr>
              <w:spacing w:after="0"/>
              <w:rPr>
                <w:sz w:val="21"/>
                <w:szCs w:val="21"/>
                <w:color w:val="auto"/>
              </w:rPr>
            </w:pPr>
          </w:p>
        </w:tc>
        <w:tc>
          <w:tcPr>
            <w:tcW w:w="280" w:type="dxa"/>
            <w:vAlign w:val="bottom"/>
            <w:tcBorders>
              <w:bottom w:val="single" w:sz="8" w:color="231F20"/>
            </w:tcBorders>
          </w:tcPr>
          <w:p>
            <w:pPr>
              <w:jc w:val="right"/>
              <w:ind w:right="50"/>
              <w:spacing w:after="0"/>
              <w:rPr>
                <w:sz w:val="20"/>
                <w:szCs w:val="20"/>
                <w:color w:val="auto"/>
              </w:rPr>
            </w:pPr>
            <w:r>
              <w:rPr>
                <w:rFonts w:ascii="Times New Roman" w:cs="Times New Roman" w:eastAsia="Times New Roman" w:hAnsi="Times New Roman"/>
                <w:sz w:val="19"/>
                <w:szCs w:val="19"/>
                <w:color w:val="231F20"/>
              </w:rPr>
              <w:t>$</w:t>
            </w:r>
          </w:p>
        </w:tc>
        <w:tc>
          <w:tcPr>
            <w:tcW w:w="8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175,476</w:t>
            </w:r>
          </w:p>
        </w:tc>
        <w:tc>
          <w:tcPr>
            <w:tcW w:w="60" w:type="dxa"/>
            <w:vAlign w:val="bottom"/>
          </w:tcPr>
          <w:p>
            <w:pPr>
              <w:spacing w:after="0"/>
              <w:rPr>
                <w:sz w:val="21"/>
                <w:szCs w:val="21"/>
                <w:color w:val="auto"/>
              </w:rPr>
            </w:pPr>
          </w:p>
        </w:tc>
        <w:tc>
          <w:tcPr>
            <w:tcW w:w="420" w:type="dxa"/>
            <w:vAlign w:val="bottom"/>
            <w:tcBorders>
              <w:bottom w:val="single" w:sz="8" w:color="231F20"/>
            </w:tcBorders>
          </w:tcPr>
          <w:p>
            <w:pPr>
              <w:jc w:val="right"/>
              <w:ind w:right="165"/>
              <w:spacing w:after="0"/>
              <w:rPr>
                <w:sz w:val="20"/>
                <w:szCs w:val="20"/>
                <w:color w:val="auto"/>
              </w:rPr>
            </w:pPr>
            <w:r>
              <w:rPr>
                <w:rFonts w:ascii="Times New Roman" w:cs="Times New Roman" w:eastAsia="Times New Roman" w:hAnsi="Times New Roman"/>
                <w:sz w:val="19"/>
                <w:szCs w:val="19"/>
                <w:color w:val="231F20"/>
              </w:rPr>
              <w:t>$</w:t>
            </w:r>
          </w:p>
        </w:tc>
        <w:tc>
          <w:tcPr>
            <w:tcW w:w="7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167,809</w:t>
            </w:r>
          </w:p>
        </w:tc>
        <w:tc>
          <w:tcPr>
            <w:tcW w:w="0" w:type="dxa"/>
            <w:vAlign w:val="bottom"/>
          </w:tcPr>
          <w:p>
            <w:pPr>
              <w:spacing w:after="0"/>
              <w:rPr>
                <w:sz w:val="1"/>
                <w:szCs w:val="1"/>
                <w:color w:val="auto"/>
              </w:rPr>
            </w:pPr>
          </w:p>
        </w:tc>
      </w:tr>
      <w:tr>
        <w:trPr>
          <w:trHeight w:val="20"/>
        </w:trPr>
        <w:tc>
          <w:tcPr>
            <w:tcW w:w="6100" w:type="dxa"/>
            <w:vAlign w:val="bottom"/>
            <w:vMerge w:val="restart"/>
          </w:tcPr>
          <w:p>
            <w:pPr>
              <w:ind w:left="340"/>
              <w:spacing w:after="0"/>
              <w:rPr>
                <w:sz w:val="20"/>
                <w:szCs w:val="20"/>
                <w:color w:val="auto"/>
              </w:rPr>
            </w:pPr>
            <w:r>
              <w:rPr>
                <w:rFonts w:ascii="Times New Roman" w:cs="Times New Roman" w:eastAsia="Times New Roman" w:hAnsi="Times New Roman"/>
                <w:sz w:val="19"/>
                <w:szCs w:val="19"/>
                <w:color w:val="231F20"/>
              </w:rPr>
              <w:t>Cash paid for interest, net of amounts capitalized</w:t>
            </w: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6100" w:type="dxa"/>
            <w:vAlign w:val="bottom"/>
            <w:vMerge w:val="continue"/>
          </w:tcPr>
          <w:p>
            <w:pPr>
              <w:spacing w:after="0"/>
              <w:rPr>
                <w:sz w:val="19"/>
                <w:szCs w:val="19"/>
                <w:color w:val="auto"/>
              </w:rPr>
            </w:pPr>
          </w:p>
        </w:tc>
        <w:tc>
          <w:tcPr>
            <w:tcW w:w="280" w:type="dxa"/>
            <w:vAlign w:val="bottom"/>
            <w:tcBorders>
              <w:top w:val="single" w:sz="8" w:color="231F20"/>
              <w:bottom w:val="single" w:sz="8" w:color="231F20"/>
            </w:tcBorders>
          </w:tcPr>
          <w:p>
            <w:pPr>
              <w:jc w:val="right"/>
              <w:ind w:right="45"/>
              <w:spacing w:after="0"/>
              <w:rPr>
                <w:sz w:val="20"/>
                <w:szCs w:val="20"/>
                <w:color w:val="auto"/>
              </w:rPr>
            </w:pPr>
            <w:r>
              <w:rPr>
                <w:rFonts w:ascii="Times New Roman" w:cs="Times New Roman" w:eastAsia="Times New Roman" w:hAnsi="Times New Roman"/>
                <w:sz w:val="19"/>
                <w:szCs w:val="19"/>
                <w:color w:val="231F20"/>
              </w:rPr>
              <w:t>$</w:t>
            </w:r>
          </w:p>
        </w:tc>
        <w:tc>
          <w:tcPr>
            <w:tcW w:w="86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171,945</w:t>
            </w:r>
          </w:p>
        </w:tc>
        <w:tc>
          <w:tcPr>
            <w:tcW w:w="80" w:type="dxa"/>
            <w:vAlign w:val="bottom"/>
          </w:tcPr>
          <w:p>
            <w:pPr>
              <w:spacing w:after="0"/>
              <w:rPr>
                <w:sz w:val="19"/>
                <w:szCs w:val="19"/>
                <w:color w:val="auto"/>
              </w:rPr>
            </w:pPr>
          </w:p>
        </w:tc>
        <w:tc>
          <w:tcPr>
            <w:tcW w:w="280" w:type="dxa"/>
            <w:vAlign w:val="bottom"/>
            <w:tcBorders>
              <w:top w:val="single" w:sz="8" w:color="231F20"/>
              <w:bottom w:val="single" w:sz="8" w:color="231F20"/>
            </w:tcBorders>
          </w:tcPr>
          <w:p>
            <w:pPr>
              <w:jc w:val="right"/>
              <w:ind w:right="50"/>
              <w:spacing w:after="0"/>
              <w:rPr>
                <w:sz w:val="20"/>
                <w:szCs w:val="20"/>
                <w:color w:val="auto"/>
              </w:rPr>
            </w:pPr>
            <w:r>
              <w:rPr>
                <w:rFonts w:ascii="Times New Roman" w:cs="Times New Roman" w:eastAsia="Times New Roman" w:hAnsi="Times New Roman"/>
                <w:sz w:val="19"/>
                <w:szCs w:val="19"/>
                <w:color w:val="231F20"/>
              </w:rPr>
              <w:t>$</w:t>
            </w:r>
          </w:p>
        </w:tc>
        <w:tc>
          <w:tcPr>
            <w:tcW w:w="86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169,333</w:t>
            </w:r>
          </w:p>
        </w:tc>
        <w:tc>
          <w:tcPr>
            <w:tcW w:w="60" w:type="dxa"/>
            <w:vAlign w:val="bottom"/>
          </w:tcPr>
          <w:p>
            <w:pPr>
              <w:spacing w:after="0"/>
              <w:rPr>
                <w:sz w:val="19"/>
                <w:szCs w:val="19"/>
                <w:color w:val="auto"/>
              </w:rPr>
            </w:pPr>
          </w:p>
        </w:tc>
        <w:tc>
          <w:tcPr>
            <w:tcW w:w="420" w:type="dxa"/>
            <w:vAlign w:val="bottom"/>
            <w:tcBorders>
              <w:top w:val="single" w:sz="8" w:color="231F20"/>
              <w:bottom w:val="single" w:sz="8" w:color="231F20"/>
            </w:tcBorders>
          </w:tcPr>
          <w:p>
            <w:pPr>
              <w:jc w:val="right"/>
              <w:ind w:right="165"/>
              <w:spacing w:after="0"/>
              <w:rPr>
                <w:sz w:val="20"/>
                <w:szCs w:val="20"/>
                <w:color w:val="auto"/>
              </w:rPr>
            </w:pPr>
            <w:r>
              <w:rPr>
                <w:rFonts w:ascii="Times New Roman" w:cs="Times New Roman" w:eastAsia="Times New Roman" w:hAnsi="Times New Roman"/>
                <w:sz w:val="19"/>
                <w:szCs w:val="19"/>
                <w:color w:val="231F20"/>
              </w:rPr>
              <w:t>$</w:t>
            </w:r>
          </w:p>
        </w:tc>
        <w:tc>
          <w:tcPr>
            <w:tcW w:w="72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158,796</w:t>
            </w:r>
          </w:p>
        </w:tc>
        <w:tc>
          <w:tcPr>
            <w:tcW w:w="0" w:type="dxa"/>
            <w:vAlign w:val="bottom"/>
          </w:tcPr>
          <w:p>
            <w:pPr>
              <w:spacing w:after="0"/>
              <w:rPr>
                <w:sz w:val="1"/>
                <w:szCs w:val="1"/>
                <w:color w:val="auto"/>
              </w:rPr>
            </w:pPr>
          </w:p>
        </w:tc>
      </w:tr>
      <w:tr>
        <w:trPr>
          <w:trHeight w:val="20"/>
        </w:trPr>
        <w:tc>
          <w:tcPr>
            <w:tcW w:w="6100" w:type="dxa"/>
            <w:vAlign w:val="bottom"/>
            <w:vMerge w:val="restart"/>
          </w:tcPr>
          <w:p>
            <w:pPr>
              <w:ind w:left="340"/>
              <w:spacing w:after="0"/>
              <w:rPr>
                <w:sz w:val="20"/>
                <w:szCs w:val="20"/>
                <w:color w:val="auto"/>
              </w:rPr>
            </w:pPr>
            <w:r>
              <w:rPr>
                <w:rFonts w:ascii="Times New Roman" w:cs="Times New Roman" w:eastAsia="Times New Roman" w:hAnsi="Times New Roman"/>
                <w:sz w:val="19"/>
                <w:szCs w:val="19"/>
                <w:color w:val="231F20"/>
              </w:rPr>
              <w:t>Cash paid for income taxes</w:t>
            </w: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6100" w:type="dxa"/>
            <w:vAlign w:val="bottom"/>
            <w:vMerge w:val="continue"/>
          </w:tcPr>
          <w:p>
            <w:pPr>
              <w:spacing w:after="0"/>
              <w:rPr>
                <w:sz w:val="19"/>
                <w:szCs w:val="19"/>
                <w:color w:val="auto"/>
              </w:rPr>
            </w:pPr>
          </w:p>
        </w:tc>
        <w:tc>
          <w:tcPr>
            <w:tcW w:w="280" w:type="dxa"/>
            <w:vAlign w:val="bottom"/>
            <w:tcBorders>
              <w:top w:val="single" w:sz="8" w:color="231F20"/>
              <w:bottom w:val="single" w:sz="8" w:color="231F20"/>
            </w:tcBorders>
          </w:tcPr>
          <w:p>
            <w:pPr>
              <w:jc w:val="right"/>
              <w:ind w:right="45"/>
              <w:spacing w:after="0"/>
              <w:rPr>
                <w:sz w:val="20"/>
                <w:szCs w:val="20"/>
                <w:color w:val="auto"/>
              </w:rPr>
            </w:pPr>
            <w:r>
              <w:rPr>
                <w:rFonts w:ascii="Times New Roman" w:cs="Times New Roman" w:eastAsia="Times New Roman" w:hAnsi="Times New Roman"/>
                <w:sz w:val="19"/>
                <w:szCs w:val="19"/>
                <w:color w:val="231F20"/>
              </w:rPr>
              <w:t>$</w:t>
            </w:r>
          </w:p>
        </w:tc>
        <w:tc>
          <w:tcPr>
            <w:tcW w:w="86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369</w:t>
            </w:r>
          </w:p>
        </w:tc>
        <w:tc>
          <w:tcPr>
            <w:tcW w:w="80" w:type="dxa"/>
            <w:vAlign w:val="bottom"/>
          </w:tcPr>
          <w:p>
            <w:pPr>
              <w:spacing w:after="0"/>
              <w:rPr>
                <w:sz w:val="19"/>
                <w:szCs w:val="19"/>
                <w:color w:val="auto"/>
              </w:rPr>
            </w:pPr>
          </w:p>
        </w:tc>
        <w:tc>
          <w:tcPr>
            <w:tcW w:w="280" w:type="dxa"/>
            <w:vAlign w:val="bottom"/>
            <w:tcBorders>
              <w:top w:val="single" w:sz="8" w:color="231F20"/>
              <w:bottom w:val="single" w:sz="8" w:color="231F20"/>
            </w:tcBorders>
          </w:tcPr>
          <w:p>
            <w:pPr>
              <w:jc w:val="right"/>
              <w:ind w:right="50"/>
              <w:spacing w:after="0"/>
              <w:rPr>
                <w:sz w:val="20"/>
                <w:szCs w:val="20"/>
                <w:color w:val="auto"/>
              </w:rPr>
            </w:pPr>
            <w:r>
              <w:rPr>
                <w:rFonts w:ascii="Times New Roman" w:cs="Times New Roman" w:eastAsia="Times New Roman" w:hAnsi="Times New Roman"/>
                <w:sz w:val="19"/>
                <w:szCs w:val="19"/>
                <w:color w:val="231F20"/>
              </w:rPr>
              <w:t>$</w:t>
            </w:r>
          </w:p>
        </w:tc>
        <w:tc>
          <w:tcPr>
            <w:tcW w:w="86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177</w:t>
            </w:r>
          </w:p>
        </w:tc>
        <w:tc>
          <w:tcPr>
            <w:tcW w:w="60" w:type="dxa"/>
            <w:vAlign w:val="bottom"/>
          </w:tcPr>
          <w:p>
            <w:pPr>
              <w:spacing w:after="0"/>
              <w:rPr>
                <w:sz w:val="19"/>
                <w:szCs w:val="19"/>
                <w:color w:val="auto"/>
              </w:rPr>
            </w:pPr>
          </w:p>
        </w:tc>
        <w:tc>
          <w:tcPr>
            <w:tcW w:w="420" w:type="dxa"/>
            <w:vAlign w:val="bottom"/>
            <w:tcBorders>
              <w:top w:val="single" w:sz="8" w:color="231F20"/>
              <w:bottom w:val="single" w:sz="8" w:color="231F20"/>
            </w:tcBorders>
          </w:tcPr>
          <w:p>
            <w:pPr>
              <w:jc w:val="right"/>
              <w:ind w:right="165"/>
              <w:spacing w:after="0"/>
              <w:rPr>
                <w:sz w:val="20"/>
                <w:szCs w:val="20"/>
                <w:color w:val="auto"/>
              </w:rPr>
            </w:pPr>
            <w:r>
              <w:rPr>
                <w:rFonts w:ascii="Times New Roman" w:cs="Times New Roman" w:eastAsia="Times New Roman" w:hAnsi="Times New Roman"/>
                <w:sz w:val="19"/>
                <w:szCs w:val="19"/>
                <w:color w:val="231F20"/>
              </w:rPr>
              <w:t>$</w:t>
            </w:r>
          </w:p>
        </w:tc>
        <w:tc>
          <w:tcPr>
            <w:tcW w:w="72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284</w:t>
            </w:r>
          </w:p>
        </w:tc>
        <w:tc>
          <w:tcPr>
            <w:tcW w:w="0" w:type="dxa"/>
            <w:vAlign w:val="bottom"/>
          </w:tcPr>
          <w:p>
            <w:pPr>
              <w:spacing w:after="0"/>
              <w:rPr>
                <w:sz w:val="1"/>
                <w:szCs w:val="1"/>
                <w:color w:val="auto"/>
              </w:rPr>
            </w:pPr>
          </w:p>
        </w:tc>
      </w:tr>
      <w:tr>
        <w:trPr>
          <w:trHeight w:val="20"/>
        </w:trPr>
        <w:tc>
          <w:tcPr>
            <w:tcW w:w="6100" w:type="dxa"/>
            <w:vAlign w:val="bottom"/>
            <w:vMerge w:val="restart"/>
          </w:tcPr>
          <w:p>
            <w:pPr>
              <w:spacing w:after="0"/>
              <w:rPr>
                <w:sz w:val="20"/>
                <w:szCs w:val="20"/>
                <w:color w:val="auto"/>
              </w:rPr>
            </w:pPr>
            <w:r>
              <w:rPr>
                <w:rFonts w:ascii="Times New Roman" w:cs="Times New Roman" w:eastAsia="Times New Roman" w:hAnsi="Times New Roman"/>
                <w:sz w:val="19"/>
                <w:szCs w:val="19"/>
                <w:color w:val="231F20"/>
              </w:rPr>
              <w:t>NON-CASH INVESTING AND FINANCING TRANSACTIONS:</w:t>
            </w:r>
          </w:p>
        </w:tc>
        <w:tc>
          <w:tcPr>
            <w:tcW w:w="280" w:type="dxa"/>
            <w:vAlign w:val="bottom"/>
            <w:tcBorders>
              <w:bottom w:val="single" w:sz="8" w:color="231F20"/>
            </w:tcBorders>
          </w:tcPr>
          <w:p>
            <w:pPr>
              <w:spacing w:after="0" w:line="20" w:lineRule="exact"/>
              <w:rPr>
                <w:sz w:val="1"/>
                <w:szCs w:val="1"/>
                <w:color w:val="auto"/>
              </w:rPr>
            </w:pPr>
          </w:p>
        </w:tc>
        <w:tc>
          <w:tcPr>
            <w:tcW w:w="86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231F20"/>
            </w:tcBorders>
          </w:tcPr>
          <w:p>
            <w:pPr>
              <w:spacing w:after="0" w:line="20" w:lineRule="exact"/>
              <w:rPr>
                <w:sz w:val="1"/>
                <w:szCs w:val="1"/>
                <w:color w:val="auto"/>
              </w:rPr>
            </w:pPr>
          </w:p>
        </w:tc>
        <w:tc>
          <w:tcPr>
            <w:tcW w:w="86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bottom w:val="single" w:sz="8" w:color="231F20"/>
            </w:tcBorders>
          </w:tcPr>
          <w:p>
            <w:pPr>
              <w:spacing w:after="0" w:line="20" w:lineRule="exact"/>
              <w:rPr>
                <w:sz w:val="1"/>
                <w:szCs w:val="1"/>
                <w:color w:val="auto"/>
              </w:rPr>
            </w:pPr>
          </w:p>
        </w:tc>
        <w:tc>
          <w:tcPr>
            <w:tcW w:w="72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10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9"/>
        </w:trPr>
        <w:tc>
          <w:tcPr>
            <w:tcW w:w="6100" w:type="dxa"/>
            <w:vAlign w:val="bottom"/>
          </w:tcPr>
          <w:p>
            <w:pPr>
              <w:ind w:left="340"/>
              <w:spacing w:after="0"/>
              <w:rPr>
                <w:sz w:val="20"/>
                <w:szCs w:val="20"/>
                <w:color w:val="auto"/>
              </w:rPr>
            </w:pPr>
            <w:r>
              <w:rPr>
                <w:rFonts w:ascii="Times New Roman" w:cs="Times New Roman" w:eastAsia="Times New Roman" w:hAnsi="Times New Roman"/>
                <w:sz w:val="19"/>
                <w:szCs w:val="19"/>
                <w:color w:val="231F20"/>
              </w:rPr>
              <w:t>Mortgage loans refinanced</w:t>
            </w:r>
          </w:p>
        </w:tc>
        <w:tc>
          <w:tcPr>
            <w:tcW w:w="280" w:type="dxa"/>
            <w:vAlign w:val="bottom"/>
          </w:tcPr>
          <w:p>
            <w:pPr>
              <w:jc w:val="right"/>
              <w:ind w:right="45"/>
              <w:spacing w:after="0"/>
              <w:rPr>
                <w:sz w:val="20"/>
                <w:szCs w:val="20"/>
                <w:color w:val="auto"/>
              </w:rPr>
            </w:pPr>
            <w:r>
              <w:rPr>
                <w:rFonts w:ascii="Times New Roman" w:cs="Times New Roman" w:eastAsia="Times New Roman" w:hAnsi="Times New Roman"/>
                <w:sz w:val="19"/>
                <w:szCs w:val="19"/>
                <w:color w:val="231F2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40,000</w:t>
            </w: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9"/>
                <w:szCs w:val="19"/>
                <w:color w:val="231F2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480" w:type="dxa"/>
            <w:vAlign w:val="bottom"/>
            <w:gridSpan w:val="2"/>
          </w:tcPr>
          <w:p>
            <w:pPr>
              <w:jc w:val="right"/>
              <w:ind w:right="165"/>
              <w:spacing w:after="0"/>
              <w:rPr>
                <w:sz w:val="20"/>
                <w:szCs w:val="20"/>
                <w:color w:val="auto"/>
              </w:rPr>
            </w:pPr>
            <w:r>
              <w:rPr>
                <w:rFonts w:ascii="Times New Roman" w:cs="Times New Roman" w:eastAsia="Times New Roman" w:hAnsi="Times New Roman"/>
                <w:sz w:val="19"/>
                <w:szCs w:val="19"/>
                <w:color w:val="231F2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0" w:type="dxa"/>
            <w:vAlign w:val="bottom"/>
          </w:tcPr>
          <w:p>
            <w:pPr>
              <w:spacing w:after="0"/>
              <w:rPr>
                <w:sz w:val="1"/>
                <w:szCs w:val="1"/>
                <w:color w:val="auto"/>
              </w:rPr>
            </w:pPr>
          </w:p>
        </w:tc>
      </w:tr>
      <w:tr>
        <w:trPr>
          <w:trHeight w:val="285"/>
        </w:trPr>
        <w:tc>
          <w:tcPr>
            <w:tcW w:w="6100" w:type="dxa"/>
            <w:vAlign w:val="bottom"/>
          </w:tcPr>
          <w:p>
            <w:pPr>
              <w:ind w:left="340"/>
              <w:spacing w:after="0"/>
              <w:rPr>
                <w:sz w:val="20"/>
                <w:szCs w:val="20"/>
                <w:color w:val="auto"/>
              </w:rPr>
            </w:pPr>
            <w:r>
              <w:rPr>
                <w:rFonts w:ascii="Times New Roman" w:cs="Times New Roman" w:eastAsia="Times New Roman" w:hAnsi="Times New Roman"/>
                <w:sz w:val="19"/>
                <w:szCs w:val="19"/>
                <w:color w:val="231F20"/>
              </w:rPr>
              <w:t>Shares issued under dividend reinvestment plan</w:t>
            </w:r>
          </w:p>
        </w:tc>
        <w:tc>
          <w:tcPr>
            <w:tcW w:w="280" w:type="dxa"/>
            <w:vAlign w:val="bottom"/>
          </w:tcPr>
          <w:p>
            <w:pPr>
              <w:jc w:val="right"/>
              <w:ind w:right="45"/>
              <w:spacing w:after="0"/>
              <w:rPr>
                <w:sz w:val="20"/>
                <w:szCs w:val="20"/>
                <w:color w:val="auto"/>
              </w:rPr>
            </w:pPr>
            <w:r>
              <w:rPr>
                <w:rFonts w:ascii="Times New Roman" w:cs="Times New Roman" w:eastAsia="Times New Roman" w:hAnsi="Times New Roman"/>
                <w:sz w:val="19"/>
                <w:szCs w:val="19"/>
                <w:color w:val="231F2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1,614</w:t>
            </w: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9"/>
                <w:szCs w:val="19"/>
                <w:color w:val="231F2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1,670</w:t>
            </w:r>
          </w:p>
        </w:tc>
        <w:tc>
          <w:tcPr>
            <w:tcW w:w="480" w:type="dxa"/>
            <w:vAlign w:val="bottom"/>
            <w:gridSpan w:val="2"/>
          </w:tcPr>
          <w:p>
            <w:pPr>
              <w:jc w:val="right"/>
              <w:ind w:right="165"/>
              <w:spacing w:after="0"/>
              <w:rPr>
                <w:sz w:val="20"/>
                <w:szCs w:val="20"/>
                <w:color w:val="auto"/>
              </w:rPr>
            </w:pPr>
            <w:r>
              <w:rPr>
                <w:rFonts w:ascii="Times New Roman" w:cs="Times New Roman" w:eastAsia="Times New Roman" w:hAnsi="Times New Roman"/>
                <w:sz w:val="19"/>
                <w:szCs w:val="19"/>
                <w:color w:val="231F2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1,704</w:t>
            </w:r>
          </w:p>
        </w:tc>
        <w:tc>
          <w:tcPr>
            <w:tcW w:w="0" w:type="dxa"/>
            <w:vAlign w:val="bottom"/>
          </w:tcPr>
          <w:p>
            <w:pPr>
              <w:spacing w:after="0"/>
              <w:rPr>
                <w:sz w:val="1"/>
                <w:szCs w:val="1"/>
                <w:color w:val="auto"/>
              </w:rPr>
            </w:pPr>
          </w:p>
        </w:tc>
      </w:tr>
      <w:tr>
        <w:trPr>
          <w:trHeight w:val="285"/>
        </w:trPr>
        <w:tc>
          <w:tcPr>
            <w:tcW w:w="6100" w:type="dxa"/>
            <w:vAlign w:val="bottom"/>
          </w:tcPr>
          <w:p>
            <w:pPr>
              <w:ind w:left="340"/>
              <w:spacing w:after="0"/>
              <w:rPr>
                <w:sz w:val="20"/>
                <w:szCs w:val="20"/>
                <w:color w:val="auto"/>
              </w:rPr>
            </w:pPr>
            <w:r>
              <w:rPr>
                <w:rFonts w:ascii="Times New Roman" w:cs="Times New Roman" w:eastAsia="Times New Roman" w:hAnsi="Times New Roman"/>
                <w:sz w:val="19"/>
                <w:szCs w:val="19"/>
                <w:color w:val="231F20"/>
              </w:rPr>
              <w:t>DownREIT operating partnership units redeemed for common shares</w:t>
            </w:r>
          </w:p>
        </w:tc>
        <w:tc>
          <w:tcPr>
            <w:tcW w:w="280" w:type="dxa"/>
            <w:vAlign w:val="bottom"/>
          </w:tcPr>
          <w:p>
            <w:pPr>
              <w:jc w:val="right"/>
              <w:ind w:right="45"/>
              <w:spacing w:after="0"/>
              <w:rPr>
                <w:sz w:val="20"/>
                <w:szCs w:val="20"/>
                <w:color w:val="auto"/>
              </w:rPr>
            </w:pPr>
            <w:r>
              <w:rPr>
                <w:rFonts w:ascii="Times New Roman" w:cs="Times New Roman" w:eastAsia="Times New Roman" w:hAnsi="Times New Roman"/>
                <w:sz w:val="19"/>
                <w:szCs w:val="19"/>
                <w:color w:val="231F2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103</w:t>
            </w: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9"/>
                <w:szCs w:val="19"/>
                <w:color w:val="231F2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1,715</w:t>
            </w:r>
          </w:p>
        </w:tc>
        <w:tc>
          <w:tcPr>
            <w:tcW w:w="480" w:type="dxa"/>
            <w:vAlign w:val="bottom"/>
            <w:gridSpan w:val="2"/>
          </w:tcPr>
          <w:p>
            <w:pPr>
              <w:jc w:val="right"/>
              <w:ind w:right="165"/>
              <w:spacing w:after="0"/>
              <w:rPr>
                <w:sz w:val="20"/>
                <w:szCs w:val="20"/>
                <w:color w:val="auto"/>
              </w:rPr>
            </w:pPr>
            <w:r>
              <w:rPr>
                <w:rFonts w:ascii="Times New Roman" w:cs="Times New Roman" w:eastAsia="Times New Roman" w:hAnsi="Times New Roman"/>
                <w:sz w:val="19"/>
                <w:szCs w:val="19"/>
                <w:color w:val="231F2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883</w:t>
            </w:r>
          </w:p>
        </w:tc>
        <w:tc>
          <w:tcPr>
            <w:tcW w:w="0" w:type="dxa"/>
            <w:vAlign w:val="bottom"/>
          </w:tcPr>
          <w:p>
            <w:pPr>
              <w:spacing w:after="0"/>
              <w:rPr>
                <w:sz w:val="1"/>
                <w:szCs w:val="1"/>
                <w:color w:val="auto"/>
              </w:rPr>
            </w:pPr>
          </w:p>
        </w:tc>
      </w:tr>
      <w:tr>
        <w:trPr>
          <w:trHeight w:val="505"/>
        </w:trPr>
        <w:tc>
          <w:tcPr>
            <w:tcW w:w="6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5"/>
                <w:szCs w:val="15"/>
                <w:b w:val="1"/>
                <w:bCs w:val="1"/>
                <w:color w:val="231F20"/>
              </w:rPr>
              <w:t>December 31,</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6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Borders>
              <w:bottom w:val="single" w:sz="8" w:color="231F20"/>
            </w:tcBorders>
          </w:tcPr>
          <w:p>
            <w:pPr>
              <w:spacing w:after="0"/>
              <w:rPr>
                <w:sz w:val="21"/>
                <w:szCs w:val="21"/>
                <w:color w:val="auto"/>
              </w:rPr>
            </w:pPr>
          </w:p>
        </w:tc>
        <w:tc>
          <w:tcPr>
            <w:tcW w:w="860" w:type="dxa"/>
            <w:vAlign w:val="bottom"/>
            <w:tcBorders>
              <w:bottom w:val="single" w:sz="8" w:color="231F20"/>
            </w:tcBorders>
          </w:tcPr>
          <w:p>
            <w:pPr>
              <w:jc w:val="center"/>
              <w:ind w:right="190"/>
              <w:spacing w:after="0"/>
              <w:rPr>
                <w:sz w:val="20"/>
                <w:szCs w:val="20"/>
                <w:color w:val="auto"/>
              </w:rPr>
            </w:pPr>
            <w:r>
              <w:rPr>
                <w:rFonts w:ascii="Times New Roman" w:cs="Times New Roman" w:eastAsia="Times New Roman" w:hAnsi="Times New Roman"/>
                <w:sz w:val="15"/>
                <w:szCs w:val="15"/>
                <w:b w:val="1"/>
                <w:bCs w:val="1"/>
                <w:color w:val="231F20"/>
                <w:w w:val="99"/>
              </w:rPr>
              <w:t>2025</w:t>
            </w:r>
          </w:p>
        </w:tc>
        <w:tc>
          <w:tcPr>
            <w:tcW w:w="60" w:type="dxa"/>
            <w:vAlign w:val="bottom"/>
          </w:tcPr>
          <w:p>
            <w:pPr>
              <w:spacing w:after="0"/>
              <w:rPr>
                <w:sz w:val="21"/>
                <w:szCs w:val="21"/>
                <w:color w:val="auto"/>
              </w:rPr>
            </w:pPr>
          </w:p>
        </w:tc>
        <w:tc>
          <w:tcPr>
            <w:tcW w:w="420" w:type="dxa"/>
            <w:vAlign w:val="bottom"/>
            <w:tcBorders>
              <w:bottom w:val="single" w:sz="8" w:color="231F20"/>
            </w:tcBorders>
          </w:tcPr>
          <w:p>
            <w:pPr>
              <w:spacing w:after="0"/>
              <w:rPr>
                <w:sz w:val="21"/>
                <w:szCs w:val="21"/>
                <w:color w:val="auto"/>
              </w:rPr>
            </w:pPr>
          </w:p>
        </w:tc>
        <w:tc>
          <w:tcPr>
            <w:tcW w:w="720" w:type="dxa"/>
            <w:vAlign w:val="bottom"/>
            <w:tcBorders>
              <w:bottom w:val="single" w:sz="8" w:color="231F20"/>
            </w:tcBorders>
          </w:tcPr>
          <w:p>
            <w:pPr>
              <w:jc w:val="right"/>
              <w:ind w:right="308"/>
              <w:spacing w:after="0"/>
              <w:rPr>
                <w:sz w:val="20"/>
                <w:szCs w:val="20"/>
                <w:color w:val="auto"/>
              </w:rPr>
            </w:pPr>
            <w:r>
              <w:rPr>
                <w:rFonts w:ascii="Times New Roman" w:cs="Times New Roman" w:eastAsia="Times New Roman" w:hAnsi="Times New Roman"/>
                <w:sz w:val="15"/>
                <w:szCs w:val="15"/>
                <w:b w:val="1"/>
                <w:bCs w:val="1"/>
                <w:color w:val="231F20"/>
                <w:w w:val="99"/>
              </w:rPr>
              <w:t>2024</w:t>
            </w:r>
          </w:p>
        </w:tc>
        <w:tc>
          <w:tcPr>
            <w:tcW w:w="0" w:type="dxa"/>
            <w:vAlign w:val="bottom"/>
          </w:tcPr>
          <w:p>
            <w:pPr>
              <w:spacing w:after="0"/>
              <w:rPr>
                <w:sz w:val="1"/>
                <w:szCs w:val="1"/>
                <w:color w:val="auto"/>
              </w:rPr>
            </w:pPr>
          </w:p>
        </w:tc>
      </w:tr>
      <w:tr>
        <w:trPr>
          <w:trHeight w:val="218"/>
        </w:trPr>
        <w:tc>
          <w:tcPr>
            <w:tcW w:w="6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60" w:type="dxa"/>
            <w:vAlign w:val="bottom"/>
            <w:gridSpan w:val="4"/>
          </w:tcPr>
          <w:p>
            <w:pPr>
              <w:jc w:val="right"/>
              <w:ind w:right="608"/>
              <w:spacing w:after="0"/>
              <w:rPr>
                <w:sz w:val="20"/>
                <w:szCs w:val="20"/>
                <w:color w:val="auto"/>
              </w:rPr>
            </w:pPr>
            <w:r>
              <w:rPr>
                <w:rFonts w:ascii="Times New Roman" w:cs="Times New Roman" w:eastAsia="Times New Roman" w:hAnsi="Times New Roman"/>
                <w:sz w:val="15"/>
                <w:szCs w:val="15"/>
                <w:b w:val="1"/>
                <w:bCs w:val="1"/>
                <w:color w:val="231F20"/>
              </w:rPr>
              <w:t>(In thousands)</w:t>
            </w:r>
          </w:p>
        </w:tc>
        <w:tc>
          <w:tcPr>
            <w:tcW w:w="0" w:type="dxa"/>
            <w:vAlign w:val="bottom"/>
          </w:tcPr>
          <w:p>
            <w:pPr>
              <w:spacing w:after="0"/>
              <w:rPr>
                <w:sz w:val="1"/>
                <w:szCs w:val="1"/>
                <w:color w:val="auto"/>
              </w:rPr>
            </w:pPr>
          </w:p>
        </w:tc>
      </w:tr>
      <w:tr>
        <w:trPr>
          <w:trHeight w:val="248"/>
        </w:trPr>
        <w:tc>
          <w:tcPr>
            <w:tcW w:w="7240" w:type="dxa"/>
            <w:vAlign w:val="bottom"/>
            <w:gridSpan w:val="3"/>
          </w:tcPr>
          <w:p>
            <w:pPr>
              <w:spacing w:after="0"/>
              <w:rPr>
                <w:sz w:val="20"/>
                <w:szCs w:val="20"/>
                <w:color w:val="auto"/>
              </w:rPr>
            </w:pPr>
            <w:r>
              <w:rPr>
                <w:rFonts w:ascii="Times New Roman" w:cs="Times New Roman" w:eastAsia="Times New Roman" w:hAnsi="Times New Roman"/>
                <w:sz w:val="19"/>
                <w:szCs w:val="19"/>
                <w:color w:val="231F20"/>
              </w:rPr>
              <w:t>RECONCILIATION OF CASH, CASH EQUIVALENTS, AND RESTRICTED CASH:</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6380" w:type="dxa"/>
            <w:vAlign w:val="bottom"/>
            <w:gridSpan w:val="2"/>
          </w:tcPr>
          <w:p>
            <w:pPr>
              <w:ind w:left="340"/>
              <w:spacing w:after="0"/>
              <w:rPr>
                <w:sz w:val="20"/>
                <w:szCs w:val="20"/>
                <w:color w:val="auto"/>
              </w:rPr>
            </w:pPr>
            <w:r>
              <w:rPr>
                <w:rFonts w:ascii="Times New Roman" w:cs="Times New Roman" w:eastAsia="Times New Roman" w:hAnsi="Times New Roman"/>
                <w:sz w:val="19"/>
                <w:szCs w:val="19"/>
                <w:color w:val="231F20"/>
                <w:w w:val="86"/>
              </w:rPr>
              <w:t xml:space="preserve">Cash and cash equivalents </w:t>
            </w:r>
            <w:r>
              <w:rPr>
                <w:rFonts w:ascii="Times New Roman" w:cs="Times New Roman" w:eastAsia="Times New Roman" w:hAnsi="Times New Roman"/>
                <w:sz w:val="19"/>
                <w:szCs w:val="19"/>
                <w:color w:val="C3C5C7"/>
                <w:w w:val="86"/>
              </w:rPr>
              <w:t>.......................................................................................................</w:t>
            </w:r>
          </w:p>
        </w:tc>
        <w:tc>
          <w:tcPr>
            <w:tcW w:w="860" w:type="dxa"/>
            <w:vAlign w:val="bottom"/>
          </w:tcPr>
          <w:p>
            <w:pPr>
              <w:spacing w:after="0"/>
              <w:rPr>
                <w:sz w:val="24"/>
                <w:szCs w:val="24"/>
                <w:color w:val="auto"/>
              </w:rPr>
            </w:pP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9"/>
                <w:szCs w:val="19"/>
                <w:color w:val="231F2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107,415</w:t>
            </w:r>
          </w:p>
        </w:tc>
        <w:tc>
          <w:tcPr>
            <w:tcW w:w="480" w:type="dxa"/>
            <w:vAlign w:val="bottom"/>
            <w:gridSpan w:val="2"/>
          </w:tcPr>
          <w:p>
            <w:pPr>
              <w:jc w:val="right"/>
              <w:ind w:right="165"/>
              <w:spacing w:after="0"/>
              <w:rPr>
                <w:sz w:val="20"/>
                <w:szCs w:val="20"/>
                <w:color w:val="auto"/>
              </w:rPr>
            </w:pPr>
            <w:r>
              <w:rPr>
                <w:rFonts w:ascii="Times New Roman" w:cs="Times New Roman" w:eastAsia="Times New Roman" w:hAnsi="Times New Roman"/>
                <w:sz w:val="19"/>
                <w:szCs w:val="19"/>
                <w:color w:val="231F2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123,409</w:t>
            </w:r>
          </w:p>
        </w:tc>
        <w:tc>
          <w:tcPr>
            <w:tcW w:w="0" w:type="dxa"/>
            <w:vAlign w:val="bottom"/>
          </w:tcPr>
          <w:p>
            <w:pPr>
              <w:spacing w:after="0"/>
              <w:rPr>
                <w:sz w:val="1"/>
                <w:szCs w:val="1"/>
                <w:color w:val="auto"/>
              </w:rPr>
            </w:pPr>
          </w:p>
        </w:tc>
      </w:tr>
      <w:tr>
        <w:trPr>
          <w:trHeight w:val="286"/>
        </w:trPr>
        <w:tc>
          <w:tcPr>
            <w:tcW w:w="6380" w:type="dxa"/>
            <w:vAlign w:val="bottom"/>
            <w:gridSpan w:val="2"/>
          </w:tcPr>
          <w:p>
            <w:pPr>
              <w:ind w:left="340"/>
              <w:spacing w:after="0"/>
              <w:rPr>
                <w:sz w:val="20"/>
                <w:szCs w:val="20"/>
                <w:color w:val="auto"/>
              </w:rPr>
            </w:pPr>
            <w:r>
              <w:rPr>
                <w:rFonts w:ascii="Times New Roman" w:cs="Times New Roman" w:eastAsia="Times New Roman" w:hAnsi="Times New Roman"/>
                <w:sz w:val="19"/>
                <w:szCs w:val="19"/>
                <w:color w:val="231F20"/>
                <w:w w:val="86"/>
              </w:rPr>
              <w:t xml:space="preserve">Restricted cash (1) </w:t>
            </w:r>
            <w:r>
              <w:rPr>
                <w:rFonts w:ascii="Times New Roman" w:cs="Times New Roman" w:eastAsia="Times New Roman" w:hAnsi="Times New Roman"/>
                <w:sz w:val="19"/>
                <w:szCs w:val="19"/>
                <w:color w:val="C3C5C7"/>
                <w:w w:val="86"/>
              </w:rPr>
              <w:t>...................................................................................................................</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Borders>
              <w:bottom w:val="single" w:sz="8" w:color="231F20"/>
            </w:tcBorders>
          </w:tcPr>
          <w:p>
            <w:pPr>
              <w:spacing w:after="0"/>
              <w:rPr>
                <w:sz w:val="24"/>
                <w:szCs w:val="24"/>
                <w:color w:val="auto"/>
              </w:rPr>
            </w:pPr>
          </w:p>
        </w:tc>
        <w:tc>
          <w:tcPr>
            <w:tcW w:w="8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10,291</w:t>
            </w:r>
          </w:p>
        </w:tc>
        <w:tc>
          <w:tcPr>
            <w:tcW w:w="60" w:type="dxa"/>
            <w:vAlign w:val="bottom"/>
          </w:tcPr>
          <w:p>
            <w:pPr>
              <w:spacing w:after="0"/>
              <w:rPr>
                <w:sz w:val="24"/>
                <w:szCs w:val="24"/>
                <w:color w:val="auto"/>
              </w:rPr>
            </w:pPr>
          </w:p>
        </w:tc>
        <w:tc>
          <w:tcPr>
            <w:tcW w:w="420" w:type="dxa"/>
            <w:vAlign w:val="bottom"/>
            <w:tcBorders>
              <w:bottom w:val="single" w:sz="8" w:color="231F20"/>
            </w:tcBorders>
          </w:tcPr>
          <w:p>
            <w:pPr>
              <w:spacing w:after="0"/>
              <w:rPr>
                <w:sz w:val="24"/>
                <w:szCs w:val="24"/>
                <w:color w:val="auto"/>
              </w:rPr>
            </w:pPr>
          </w:p>
        </w:tc>
        <w:tc>
          <w:tcPr>
            <w:tcW w:w="7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12,034</w:t>
            </w:r>
          </w:p>
        </w:tc>
        <w:tc>
          <w:tcPr>
            <w:tcW w:w="0" w:type="dxa"/>
            <w:vAlign w:val="bottom"/>
          </w:tcPr>
          <w:p>
            <w:pPr>
              <w:spacing w:after="0"/>
              <w:rPr>
                <w:sz w:val="1"/>
                <w:szCs w:val="1"/>
                <w:color w:val="auto"/>
              </w:rPr>
            </w:pPr>
          </w:p>
        </w:tc>
      </w:tr>
      <w:tr>
        <w:trPr>
          <w:trHeight w:val="247"/>
        </w:trPr>
        <w:tc>
          <w:tcPr>
            <w:tcW w:w="6380" w:type="dxa"/>
            <w:vAlign w:val="bottom"/>
            <w:gridSpan w:val="2"/>
          </w:tcPr>
          <w:p>
            <w:pPr>
              <w:ind w:left="340"/>
              <w:spacing w:after="0"/>
              <w:rPr>
                <w:sz w:val="20"/>
                <w:szCs w:val="20"/>
                <w:color w:val="auto"/>
              </w:rPr>
            </w:pPr>
            <w:r>
              <w:rPr>
                <w:rFonts w:ascii="Times New Roman" w:cs="Times New Roman" w:eastAsia="Times New Roman" w:hAnsi="Times New Roman"/>
                <w:sz w:val="19"/>
                <w:szCs w:val="19"/>
                <w:color w:val="C3C5C7"/>
                <w:w w:val="90"/>
              </w:rPr>
              <w:t>.....................................................................</w:t>
            </w:r>
            <w:r>
              <w:rPr>
                <w:rFonts w:ascii="Times New Roman" w:cs="Times New Roman" w:eastAsia="Times New Roman" w:hAnsi="Times New Roman"/>
                <w:sz w:val="19"/>
                <w:szCs w:val="19"/>
                <w:color w:val="231F20"/>
                <w:w w:val="90"/>
              </w:rPr>
              <w:t>Totalcash,cashequivalents,andrestrictedcash</w:t>
            </w:r>
          </w:p>
        </w:tc>
        <w:tc>
          <w:tcPr>
            <w:tcW w:w="860" w:type="dxa"/>
            <w:vAlign w:val="bottom"/>
          </w:tcPr>
          <w:p>
            <w:pPr>
              <w:spacing w:after="0"/>
              <w:rPr>
                <w:sz w:val="21"/>
                <w:szCs w:val="21"/>
                <w:color w:val="auto"/>
              </w:rPr>
            </w:pP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9"/>
                <w:szCs w:val="19"/>
                <w:color w:val="231F2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117,706</w:t>
            </w:r>
          </w:p>
        </w:tc>
        <w:tc>
          <w:tcPr>
            <w:tcW w:w="480" w:type="dxa"/>
            <w:vAlign w:val="bottom"/>
            <w:gridSpan w:val="2"/>
          </w:tcPr>
          <w:p>
            <w:pPr>
              <w:jc w:val="right"/>
              <w:ind w:right="165"/>
              <w:spacing w:after="0"/>
              <w:rPr>
                <w:sz w:val="20"/>
                <w:szCs w:val="20"/>
                <w:color w:val="auto"/>
              </w:rPr>
            </w:pPr>
            <w:r>
              <w:rPr>
                <w:rFonts w:ascii="Times New Roman" w:cs="Times New Roman" w:eastAsia="Times New Roman" w:hAnsi="Times New Roman"/>
                <w:sz w:val="19"/>
                <w:szCs w:val="19"/>
                <w:color w:val="231F2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135,443</w:t>
            </w: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231F20"/>
              <w:bottom w:val="single" w:sz="8" w:color="231F20"/>
            </w:tcBorders>
          </w:tcPr>
          <w:p>
            <w:pPr>
              <w:spacing w:after="0" w:line="20" w:lineRule="exact"/>
              <w:rPr>
                <w:sz w:val="1"/>
                <w:szCs w:val="1"/>
                <w:color w:val="auto"/>
              </w:rPr>
            </w:pPr>
          </w:p>
        </w:tc>
        <w:tc>
          <w:tcPr>
            <w:tcW w:w="86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231F20"/>
              <w:bottom w:val="single" w:sz="8" w:color="231F20"/>
            </w:tcBorders>
          </w:tcPr>
          <w:p>
            <w:pPr>
              <w:spacing w:after="0" w:line="20" w:lineRule="exact"/>
              <w:rPr>
                <w:sz w:val="1"/>
                <w:szCs w:val="1"/>
                <w:color w:val="auto"/>
              </w:rPr>
            </w:pPr>
          </w:p>
        </w:tc>
        <w:tc>
          <w:tcPr>
            <w:tcW w:w="720" w:type="dxa"/>
            <w:vAlign w:val="bottom"/>
            <w:tcBorders>
              <w:top w:val="single" w:sz="8" w:color="231F20"/>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 w:lineRule="exact"/>
        <w:rPr>
          <w:sz w:val="20"/>
          <w:szCs w:val="20"/>
          <w:color w:val="auto"/>
        </w:rPr>
      </w:pPr>
    </w:p>
    <w:p>
      <w:pPr>
        <w:ind w:left="340" w:right="400" w:hanging="337"/>
        <w:spacing w:after="0" w:line="284" w:lineRule="auto"/>
        <w:tabs>
          <w:tab w:leader="none" w:pos="340" w:val="left"/>
        </w:tabs>
        <w:numPr>
          <w:ilvl w:val="0"/>
          <w:numId w:val="66"/>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Restricted cash balances are included in "prepaid expenses and other assets" on our consolidated balance sheets, and is primarily related to escrow accounts.</w:t>
      </w:r>
    </w:p>
    <w:p>
      <w:pPr>
        <w:sectPr>
          <w:pgSz w:w="11880" w:h="15480" w:orient="portrait"/>
          <w:cols w:equalWidth="0" w:num="1">
            <w:col w:w="9760"/>
          </w:cols>
          <w:pgMar w:left="1060" w:top="938" w:right="1060" w:bottom="0" w:gutter="0" w:footer="0" w:header="0"/>
        </w:sect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NOTE 3—REAL ESTATE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2025 Property Acquisitions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During the year ended December 31, 2025, we acquired the following properties:</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2020" w:type="dxa"/>
            <w:vAlign w:val="bottom"/>
            <w:tcBorders>
              <w:bottom w:val="single" w:sz="8" w:color="231F20"/>
            </w:tcBorders>
          </w:tcPr>
          <w:p>
            <w:pPr>
              <w:ind w:left="60"/>
              <w:spacing w:after="0"/>
              <w:rPr>
                <w:sz w:val="20"/>
                <w:szCs w:val="20"/>
                <w:color w:val="auto"/>
              </w:rPr>
            </w:pPr>
            <w:r>
              <w:rPr>
                <w:rFonts w:ascii="Times New Roman" w:cs="Times New Roman" w:eastAsia="Times New Roman" w:hAnsi="Times New Roman"/>
                <w:sz w:val="19"/>
                <w:szCs w:val="19"/>
                <w:b w:val="1"/>
                <w:bCs w:val="1"/>
                <w:color w:val="231F20"/>
              </w:rPr>
              <w:t>Date Acquired</w:t>
            </w:r>
          </w:p>
        </w:tc>
        <w:tc>
          <w:tcPr>
            <w:tcW w:w="60" w:type="dxa"/>
            <w:vAlign w:val="bottom"/>
          </w:tcPr>
          <w:p>
            <w:pPr>
              <w:spacing w:after="0"/>
              <w:rPr>
                <w:sz w:val="21"/>
                <w:szCs w:val="21"/>
                <w:color w:val="auto"/>
              </w:rPr>
            </w:pPr>
          </w:p>
        </w:tc>
        <w:tc>
          <w:tcPr>
            <w:tcW w:w="2580" w:type="dxa"/>
            <w:vAlign w:val="bottom"/>
            <w:tcBorders>
              <w:bottom w:val="single" w:sz="8" w:color="231F20"/>
            </w:tcBorders>
          </w:tcPr>
          <w:p>
            <w:pPr>
              <w:ind w:left="40"/>
              <w:spacing w:after="0"/>
              <w:rPr>
                <w:sz w:val="20"/>
                <w:szCs w:val="20"/>
                <w:color w:val="auto"/>
              </w:rPr>
            </w:pPr>
            <w:r>
              <w:rPr>
                <w:rFonts w:ascii="Times New Roman" w:cs="Times New Roman" w:eastAsia="Times New Roman" w:hAnsi="Times New Roman"/>
                <w:sz w:val="19"/>
                <w:szCs w:val="19"/>
                <w:b w:val="1"/>
                <w:bCs w:val="1"/>
                <w:color w:val="231F20"/>
              </w:rPr>
              <w:t>Property</w:t>
            </w:r>
          </w:p>
        </w:tc>
        <w:tc>
          <w:tcPr>
            <w:tcW w:w="40" w:type="dxa"/>
            <w:vAlign w:val="bottom"/>
          </w:tcPr>
          <w:p>
            <w:pPr>
              <w:spacing w:after="0"/>
              <w:rPr>
                <w:sz w:val="21"/>
                <w:szCs w:val="21"/>
                <w:color w:val="auto"/>
              </w:rPr>
            </w:pPr>
          </w:p>
        </w:tc>
        <w:tc>
          <w:tcPr>
            <w:tcW w:w="2020" w:type="dxa"/>
            <w:vAlign w:val="bottom"/>
            <w:tcBorders>
              <w:bottom w:val="single" w:sz="8" w:color="231F20"/>
            </w:tcBorders>
          </w:tcPr>
          <w:p>
            <w:pPr>
              <w:ind w:left="60"/>
              <w:spacing w:after="0"/>
              <w:rPr>
                <w:sz w:val="20"/>
                <w:szCs w:val="20"/>
                <w:color w:val="auto"/>
              </w:rPr>
            </w:pPr>
            <w:r>
              <w:rPr>
                <w:rFonts w:ascii="Times New Roman" w:cs="Times New Roman" w:eastAsia="Times New Roman" w:hAnsi="Times New Roman"/>
                <w:sz w:val="19"/>
                <w:szCs w:val="19"/>
                <w:b w:val="1"/>
                <w:bCs w:val="1"/>
                <w:color w:val="231F20"/>
              </w:rPr>
              <w:t>City/State</w:t>
            </w:r>
          </w:p>
        </w:tc>
      </w:tr>
      <w:tr>
        <w:trPr>
          <w:trHeight w:val="530"/>
        </w:trPr>
        <w:tc>
          <w:tcPr>
            <w:tcW w:w="2020" w:type="dxa"/>
            <w:vAlign w:val="bottom"/>
          </w:tcPr>
          <w:p>
            <w:pPr>
              <w:ind w:left="60"/>
              <w:spacing w:after="0"/>
              <w:rPr>
                <w:sz w:val="20"/>
                <w:szCs w:val="20"/>
                <w:color w:val="auto"/>
              </w:rPr>
            </w:pPr>
            <w:r>
              <w:rPr>
                <w:rFonts w:ascii="Times New Roman" w:cs="Times New Roman" w:eastAsia="Times New Roman" w:hAnsi="Times New Roman"/>
                <w:sz w:val="19"/>
                <w:szCs w:val="19"/>
                <w:color w:val="231F20"/>
              </w:rPr>
              <w:t>February 25, 2025</w:t>
            </w:r>
          </w:p>
        </w:tc>
        <w:tc>
          <w:tcPr>
            <w:tcW w:w="60" w:type="dxa"/>
            <w:vAlign w:val="bottom"/>
          </w:tcPr>
          <w:p>
            <w:pPr>
              <w:spacing w:after="0"/>
              <w:rPr>
                <w:sz w:val="24"/>
                <w:szCs w:val="24"/>
                <w:color w:val="auto"/>
              </w:rPr>
            </w:pPr>
          </w:p>
        </w:tc>
        <w:tc>
          <w:tcPr>
            <w:tcW w:w="2580" w:type="dxa"/>
            <w:vAlign w:val="bottom"/>
          </w:tcPr>
          <w:p>
            <w:pPr>
              <w:ind w:left="40"/>
              <w:spacing w:after="0"/>
              <w:rPr>
                <w:sz w:val="20"/>
                <w:szCs w:val="20"/>
                <w:color w:val="auto"/>
              </w:rPr>
            </w:pPr>
            <w:r>
              <w:rPr>
                <w:rFonts w:ascii="Times New Roman" w:cs="Times New Roman" w:eastAsia="Times New Roman" w:hAnsi="Times New Roman"/>
                <w:sz w:val="19"/>
                <w:szCs w:val="19"/>
                <w:color w:val="231F20"/>
              </w:rPr>
              <w:t>Del Monte Shopping Center</w:t>
            </w:r>
          </w:p>
        </w:tc>
        <w:tc>
          <w:tcPr>
            <w:tcW w:w="40" w:type="dxa"/>
            <w:vAlign w:val="bottom"/>
          </w:tcPr>
          <w:p>
            <w:pPr>
              <w:spacing w:after="0"/>
              <w:rPr>
                <w:sz w:val="24"/>
                <w:szCs w:val="24"/>
                <w:color w:val="auto"/>
              </w:rPr>
            </w:pPr>
          </w:p>
        </w:tc>
        <w:tc>
          <w:tcPr>
            <w:tcW w:w="2020" w:type="dxa"/>
            <w:vAlign w:val="bottom"/>
          </w:tcPr>
          <w:p>
            <w:pPr>
              <w:ind w:left="60"/>
              <w:spacing w:after="0"/>
              <w:rPr>
                <w:sz w:val="20"/>
                <w:szCs w:val="20"/>
                <w:color w:val="auto"/>
              </w:rPr>
            </w:pPr>
            <w:r>
              <w:rPr>
                <w:rFonts w:ascii="Times New Roman" w:cs="Times New Roman" w:eastAsia="Times New Roman" w:hAnsi="Times New Roman"/>
                <w:sz w:val="19"/>
                <w:szCs w:val="19"/>
                <w:color w:val="231F20"/>
              </w:rPr>
              <w:t>Monterey, California</w:t>
            </w:r>
          </w:p>
        </w:tc>
      </w:tr>
      <w:tr>
        <w:trPr>
          <w:trHeight w:val="384"/>
        </w:trPr>
        <w:tc>
          <w:tcPr>
            <w:tcW w:w="2020" w:type="dxa"/>
            <w:vAlign w:val="bottom"/>
          </w:tcPr>
          <w:p>
            <w:pPr>
              <w:ind w:left="60"/>
              <w:spacing w:after="0"/>
              <w:rPr>
                <w:sz w:val="20"/>
                <w:szCs w:val="20"/>
                <w:color w:val="auto"/>
              </w:rPr>
            </w:pPr>
            <w:r>
              <w:rPr>
                <w:rFonts w:ascii="Times New Roman" w:cs="Times New Roman" w:eastAsia="Times New Roman" w:hAnsi="Times New Roman"/>
                <w:sz w:val="19"/>
                <w:szCs w:val="19"/>
                <w:color w:val="231F20"/>
              </w:rPr>
              <w:t>July 1, 2025</w:t>
            </w:r>
          </w:p>
        </w:tc>
        <w:tc>
          <w:tcPr>
            <w:tcW w:w="60" w:type="dxa"/>
            <w:vAlign w:val="bottom"/>
          </w:tcPr>
          <w:p>
            <w:pPr>
              <w:spacing w:after="0"/>
              <w:rPr>
                <w:sz w:val="24"/>
                <w:szCs w:val="24"/>
                <w:color w:val="auto"/>
              </w:rPr>
            </w:pPr>
          </w:p>
        </w:tc>
        <w:tc>
          <w:tcPr>
            <w:tcW w:w="2580" w:type="dxa"/>
            <w:vAlign w:val="bottom"/>
          </w:tcPr>
          <w:p>
            <w:pPr>
              <w:ind w:left="40"/>
              <w:spacing w:after="0"/>
              <w:rPr>
                <w:sz w:val="20"/>
                <w:szCs w:val="20"/>
                <w:color w:val="auto"/>
              </w:rPr>
            </w:pPr>
            <w:r>
              <w:rPr>
                <w:rFonts w:ascii="Times New Roman" w:cs="Times New Roman" w:eastAsia="Times New Roman" w:hAnsi="Times New Roman"/>
                <w:sz w:val="19"/>
                <w:szCs w:val="19"/>
                <w:color w:val="231F20"/>
              </w:rPr>
              <w:t>Town Center Crossing and</w:t>
            </w:r>
          </w:p>
        </w:tc>
        <w:tc>
          <w:tcPr>
            <w:tcW w:w="40" w:type="dxa"/>
            <w:vAlign w:val="bottom"/>
          </w:tcPr>
          <w:p>
            <w:pPr>
              <w:spacing w:after="0"/>
              <w:rPr>
                <w:sz w:val="24"/>
                <w:szCs w:val="24"/>
                <w:color w:val="auto"/>
              </w:rPr>
            </w:pPr>
          </w:p>
        </w:tc>
        <w:tc>
          <w:tcPr>
            <w:tcW w:w="2020" w:type="dxa"/>
            <w:vAlign w:val="bottom"/>
          </w:tcPr>
          <w:p>
            <w:pPr>
              <w:ind w:left="60"/>
              <w:spacing w:after="0"/>
              <w:rPr>
                <w:sz w:val="20"/>
                <w:szCs w:val="20"/>
                <w:color w:val="auto"/>
              </w:rPr>
            </w:pPr>
            <w:r>
              <w:rPr>
                <w:rFonts w:ascii="Times New Roman" w:cs="Times New Roman" w:eastAsia="Times New Roman" w:hAnsi="Times New Roman"/>
                <w:sz w:val="19"/>
                <w:szCs w:val="19"/>
                <w:color w:val="231F20"/>
              </w:rPr>
              <w:t>Leawood, Kansas</w:t>
            </w:r>
          </w:p>
        </w:tc>
      </w:tr>
      <w:tr>
        <w:trPr>
          <w:trHeight w:val="249"/>
        </w:trPr>
        <w:tc>
          <w:tcPr>
            <w:tcW w:w="2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580" w:type="dxa"/>
            <w:vAlign w:val="bottom"/>
          </w:tcPr>
          <w:p>
            <w:pPr>
              <w:ind w:left="40"/>
              <w:spacing w:after="0"/>
              <w:rPr>
                <w:sz w:val="20"/>
                <w:szCs w:val="20"/>
                <w:color w:val="auto"/>
              </w:rPr>
            </w:pPr>
            <w:r>
              <w:rPr>
                <w:rFonts w:ascii="Times New Roman" w:cs="Times New Roman" w:eastAsia="Times New Roman" w:hAnsi="Times New Roman"/>
                <w:sz w:val="19"/>
                <w:szCs w:val="19"/>
                <w:color w:val="231F20"/>
              </w:rPr>
              <w:t>Town Center Plaza</w:t>
            </w:r>
          </w:p>
        </w:tc>
        <w:tc>
          <w:tcPr>
            <w:tcW w:w="40" w:type="dxa"/>
            <w:vAlign w:val="bottom"/>
          </w:tcPr>
          <w:p>
            <w:pPr>
              <w:spacing w:after="0"/>
              <w:rPr>
                <w:sz w:val="21"/>
                <w:szCs w:val="21"/>
                <w:color w:val="auto"/>
              </w:rPr>
            </w:pPr>
          </w:p>
        </w:tc>
        <w:tc>
          <w:tcPr>
            <w:tcW w:w="2020" w:type="dxa"/>
            <w:vAlign w:val="bottom"/>
          </w:tcPr>
          <w:p>
            <w:pPr>
              <w:spacing w:after="0"/>
              <w:rPr>
                <w:sz w:val="21"/>
                <w:szCs w:val="21"/>
                <w:color w:val="auto"/>
              </w:rPr>
            </w:pPr>
          </w:p>
        </w:tc>
      </w:tr>
      <w:tr>
        <w:trPr>
          <w:trHeight w:val="251"/>
        </w:trPr>
        <w:tc>
          <w:tcPr>
            <w:tcW w:w="2020" w:type="dxa"/>
            <w:vAlign w:val="bottom"/>
          </w:tcPr>
          <w:p>
            <w:pPr>
              <w:ind w:left="60"/>
              <w:spacing w:after="0"/>
              <w:rPr>
                <w:sz w:val="20"/>
                <w:szCs w:val="20"/>
                <w:color w:val="auto"/>
              </w:rPr>
            </w:pPr>
            <w:r>
              <w:rPr>
                <w:rFonts w:ascii="Times New Roman" w:cs="Times New Roman" w:eastAsia="Times New Roman" w:hAnsi="Times New Roman"/>
                <w:sz w:val="19"/>
                <w:szCs w:val="19"/>
                <w:color w:val="231F20"/>
              </w:rPr>
              <w:t>October 10, 2025</w:t>
            </w:r>
          </w:p>
        </w:tc>
        <w:tc>
          <w:tcPr>
            <w:tcW w:w="60" w:type="dxa"/>
            <w:vAlign w:val="bottom"/>
          </w:tcPr>
          <w:p>
            <w:pPr>
              <w:spacing w:after="0"/>
              <w:rPr>
                <w:sz w:val="21"/>
                <w:szCs w:val="21"/>
                <w:color w:val="auto"/>
              </w:rPr>
            </w:pPr>
          </w:p>
        </w:tc>
        <w:tc>
          <w:tcPr>
            <w:tcW w:w="2580" w:type="dxa"/>
            <w:vAlign w:val="bottom"/>
          </w:tcPr>
          <w:p>
            <w:pPr>
              <w:ind w:left="40"/>
              <w:spacing w:after="0"/>
              <w:rPr>
                <w:sz w:val="20"/>
                <w:szCs w:val="20"/>
                <w:color w:val="auto"/>
              </w:rPr>
            </w:pPr>
            <w:r>
              <w:rPr>
                <w:rFonts w:ascii="Times New Roman" w:cs="Times New Roman" w:eastAsia="Times New Roman" w:hAnsi="Times New Roman"/>
                <w:sz w:val="19"/>
                <w:szCs w:val="19"/>
                <w:color w:val="231F20"/>
              </w:rPr>
              <w:t>Annapolis Town Center</w:t>
            </w:r>
          </w:p>
        </w:tc>
        <w:tc>
          <w:tcPr>
            <w:tcW w:w="40" w:type="dxa"/>
            <w:vAlign w:val="bottom"/>
          </w:tcPr>
          <w:p>
            <w:pPr>
              <w:spacing w:after="0"/>
              <w:rPr>
                <w:sz w:val="21"/>
                <w:szCs w:val="21"/>
                <w:color w:val="auto"/>
              </w:rPr>
            </w:pPr>
          </w:p>
        </w:tc>
        <w:tc>
          <w:tcPr>
            <w:tcW w:w="2020" w:type="dxa"/>
            <w:vAlign w:val="bottom"/>
          </w:tcPr>
          <w:p>
            <w:pPr>
              <w:ind w:left="60"/>
              <w:spacing w:after="0"/>
              <w:rPr>
                <w:sz w:val="20"/>
                <w:szCs w:val="20"/>
                <w:color w:val="auto"/>
              </w:rPr>
            </w:pPr>
            <w:r>
              <w:rPr>
                <w:rFonts w:ascii="Times New Roman" w:cs="Times New Roman" w:eastAsia="Times New Roman" w:hAnsi="Times New Roman"/>
                <w:sz w:val="19"/>
                <w:szCs w:val="19"/>
                <w:color w:val="231F20"/>
              </w:rPr>
              <w:t>Annapolis, Maryland</w:t>
            </w:r>
          </w:p>
        </w:tc>
      </w:tr>
      <w:tr>
        <w:trPr>
          <w:trHeight w:val="299"/>
        </w:trPr>
        <w:tc>
          <w:tcPr>
            <w:tcW w:w="2020" w:type="dxa"/>
            <w:vAlign w:val="bottom"/>
          </w:tcPr>
          <w:p>
            <w:pPr>
              <w:ind w:left="60"/>
              <w:spacing w:after="0"/>
              <w:rPr>
                <w:sz w:val="20"/>
                <w:szCs w:val="20"/>
                <w:color w:val="auto"/>
              </w:rPr>
            </w:pPr>
            <w:r>
              <w:rPr>
                <w:rFonts w:ascii="Times New Roman" w:cs="Times New Roman" w:eastAsia="Times New Roman" w:hAnsi="Times New Roman"/>
                <w:sz w:val="19"/>
                <w:szCs w:val="19"/>
                <w:color w:val="231F20"/>
              </w:rPr>
              <w:t>November 24, 2025</w:t>
            </w:r>
          </w:p>
        </w:tc>
        <w:tc>
          <w:tcPr>
            <w:tcW w:w="60" w:type="dxa"/>
            <w:vAlign w:val="bottom"/>
          </w:tcPr>
          <w:p>
            <w:pPr>
              <w:spacing w:after="0"/>
              <w:rPr>
                <w:sz w:val="24"/>
                <w:szCs w:val="24"/>
                <w:color w:val="auto"/>
              </w:rPr>
            </w:pPr>
          </w:p>
        </w:tc>
        <w:tc>
          <w:tcPr>
            <w:tcW w:w="2580" w:type="dxa"/>
            <w:vAlign w:val="bottom"/>
          </w:tcPr>
          <w:p>
            <w:pPr>
              <w:ind w:left="40"/>
              <w:spacing w:after="0"/>
              <w:rPr>
                <w:sz w:val="20"/>
                <w:szCs w:val="20"/>
                <w:color w:val="auto"/>
              </w:rPr>
            </w:pPr>
            <w:r>
              <w:rPr>
                <w:rFonts w:ascii="Times New Roman" w:cs="Times New Roman" w:eastAsia="Times New Roman" w:hAnsi="Times New Roman"/>
                <w:sz w:val="19"/>
                <w:szCs w:val="19"/>
                <w:color w:val="231F20"/>
              </w:rPr>
              <w:t>Village Pointe</w:t>
            </w:r>
          </w:p>
        </w:tc>
        <w:tc>
          <w:tcPr>
            <w:tcW w:w="40" w:type="dxa"/>
            <w:vAlign w:val="bottom"/>
          </w:tcPr>
          <w:p>
            <w:pPr>
              <w:spacing w:after="0"/>
              <w:rPr>
                <w:sz w:val="24"/>
                <w:szCs w:val="24"/>
                <w:color w:val="auto"/>
              </w:rPr>
            </w:pPr>
          </w:p>
        </w:tc>
        <w:tc>
          <w:tcPr>
            <w:tcW w:w="2020" w:type="dxa"/>
            <w:vAlign w:val="bottom"/>
          </w:tcPr>
          <w:p>
            <w:pPr>
              <w:ind w:left="60"/>
              <w:spacing w:after="0"/>
              <w:rPr>
                <w:sz w:val="20"/>
                <w:szCs w:val="20"/>
                <w:color w:val="auto"/>
              </w:rPr>
            </w:pPr>
            <w:r>
              <w:rPr>
                <w:rFonts w:ascii="Times New Roman" w:cs="Times New Roman" w:eastAsia="Times New Roman" w:hAnsi="Times New Roman"/>
                <w:sz w:val="19"/>
                <w:szCs w:val="19"/>
                <w:color w:val="231F20"/>
              </w:rPr>
              <w:t>Omaha, Nebraska</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8"/>
        </w:trPr>
        <w:tc>
          <w:tcPr>
            <w:tcW w:w="1380" w:type="dxa"/>
            <w:vAlign w:val="bottom"/>
          </w:tcPr>
          <w:p>
            <w:pPr>
              <w:jc w:val="center"/>
              <w:ind w:right="6"/>
              <w:spacing w:after="0"/>
              <w:rPr>
                <w:sz w:val="20"/>
                <w:szCs w:val="20"/>
                <w:color w:val="auto"/>
              </w:rPr>
            </w:pPr>
            <w:r>
              <w:rPr>
                <w:rFonts w:ascii="Times New Roman" w:cs="Times New Roman" w:eastAsia="Times New Roman" w:hAnsi="Times New Roman"/>
                <w:sz w:val="19"/>
                <w:szCs w:val="19"/>
                <w:b w:val="1"/>
                <w:bCs w:val="1"/>
                <w:color w:val="231F20"/>
              </w:rPr>
              <w:t>Gross</w:t>
            </w:r>
          </w:p>
        </w:tc>
        <w:tc>
          <w:tcPr>
            <w:tcW w:w="140" w:type="dxa"/>
            <w:vAlign w:val="bottom"/>
          </w:tcPr>
          <w:p>
            <w:pPr>
              <w:spacing w:after="0"/>
              <w:rPr>
                <w:sz w:val="18"/>
                <w:szCs w:val="18"/>
                <w:color w:val="auto"/>
              </w:rPr>
            </w:pPr>
          </w:p>
        </w:tc>
        <w:tc>
          <w:tcPr>
            <w:tcW w:w="1120" w:type="dxa"/>
            <w:vAlign w:val="bottom"/>
            <w:vMerge w:val="restart"/>
          </w:tcPr>
          <w:p>
            <w:pPr>
              <w:jc w:val="center"/>
              <w:ind w:right="66"/>
              <w:spacing w:after="0"/>
              <w:rPr>
                <w:sz w:val="20"/>
                <w:szCs w:val="20"/>
                <w:color w:val="auto"/>
              </w:rPr>
            </w:pPr>
            <w:r>
              <w:rPr>
                <w:rFonts w:ascii="Times New Roman" w:cs="Times New Roman" w:eastAsia="Times New Roman" w:hAnsi="Times New Roman"/>
                <w:sz w:val="19"/>
                <w:szCs w:val="19"/>
                <w:b w:val="1"/>
                <w:bCs w:val="1"/>
                <w:color w:val="231F20"/>
              </w:rPr>
              <w:t>Purchase</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1380" w:type="dxa"/>
            <w:vAlign w:val="bottom"/>
          </w:tcPr>
          <w:p>
            <w:pPr>
              <w:jc w:val="center"/>
              <w:ind w:right="6"/>
              <w:spacing w:after="0" w:line="190" w:lineRule="exact"/>
              <w:rPr>
                <w:sz w:val="20"/>
                <w:szCs w:val="20"/>
                <w:color w:val="auto"/>
              </w:rPr>
            </w:pPr>
            <w:r>
              <w:rPr>
                <w:rFonts w:ascii="Times New Roman" w:cs="Times New Roman" w:eastAsia="Times New Roman" w:hAnsi="Times New Roman"/>
                <w:sz w:val="19"/>
                <w:szCs w:val="19"/>
                <w:b w:val="1"/>
                <w:bCs w:val="1"/>
                <w:color w:val="231F20"/>
                <w:w w:val="99"/>
              </w:rPr>
              <w:t>Leasable Area</w:t>
            </w:r>
          </w:p>
        </w:tc>
        <w:tc>
          <w:tcPr>
            <w:tcW w:w="14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138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9"/>
                <w:szCs w:val="19"/>
                <w:b w:val="1"/>
                <w:bCs w:val="1"/>
                <w:color w:val="231F20"/>
              </w:rPr>
              <w:t>(GLA)</w:t>
            </w:r>
          </w:p>
        </w:tc>
        <w:tc>
          <w:tcPr>
            <w:tcW w:w="140" w:type="dxa"/>
            <w:vAlign w:val="bottom"/>
            <w:tcBorders>
              <w:bottom w:val="single" w:sz="8" w:color="231F20"/>
            </w:tcBorders>
          </w:tcPr>
          <w:p>
            <w:pPr>
              <w:spacing w:after="0"/>
              <w:rPr>
                <w:sz w:val="20"/>
                <w:szCs w:val="20"/>
                <w:color w:val="auto"/>
              </w:rPr>
            </w:pPr>
          </w:p>
        </w:tc>
        <w:tc>
          <w:tcPr>
            <w:tcW w:w="1120" w:type="dxa"/>
            <w:vAlign w:val="bottom"/>
            <w:tcBorders>
              <w:bottom w:val="single" w:sz="8" w:color="231F20"/>
            </w:tcBorders>
          </w:tcPr>
          <w:p>
            <w:pPr>
              <w:jc w:val="center"/>
              <w:ind w:right="66"/>
              <w:spacing w:after="0"/>
              <w:rPr>
                <w:sz w:val="20"/>
                <w:szCs w:val="20"/>
                <w:color w:val="auto"/>
              </w:rPr>
            </w:pPr>
            <w:r>
              <w:rPr>
                <w:rFonts w:ascii="Times New Roman" w:cs="Times New Roman" w:eastAsia="Times New Roman" w:hAnsi="Times New Roman"/>
                <w:sz w:val="19"/>
                <w:szCs w:val="19"/>
                <w:b w:val="1"/>
                <w:bCs w:val="1"/>
                <w:color w:val="231F20"/>
              </w:rPr>
              <w:t>Price</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13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231F20"/>
              </w:rPr>
              <w:t>(in square feet)</w:t>
            </w:r>
          </w:p>
        </w:tc>
        <w:tc>
          <w:tcPr>
            <w:tcW w:w="140" w:type="dxa"/>
            <w:vAlign w:val="bottom"/>
          </w:tcPr>
          <w:p>
            <w:pPr>
              <w:spacing w:after="0"/>
              <w:rPr>
                <w:sz w:val="23"/>
                <w:szCs w:val="23"/>
                <w:color w:val="auto"/>
              </w:rPr>
            </w:pPr>
          </w:p>
        </w:tc>
        <w:tc>
          <w:tcPr>
            <w:tcW w:w="1120" w:type="dxa"/>
            <w:vAlign w:val="bottom"/>
          </w:tcPr>
          <w:p>
            <w:pPr>
              <w:jc w:val="center"/>
              <w:ind w:right="66"/>
              <w:spacing w:after="0"/>
              <w:rPr>
                <w:sz w:val="20"/>
                <w:szCs w:val="20"/>
                <w:color w:val="auto"/>
              </w:rPr>
            </w:pPr>
            <w:r>
              <w:rPr>
                <w:rFonts w:ascii="Times New Roman" w:cs="Times New Roman" w:eastAsia="Times New Roman" w:hAnsi="Times New Roman"/>
                <w:sz w:val="17"/>
                <w:szCs w:val="17"/>
                <w:b w:val="1"/>
                <w:bCs w:val="1"/>
                <w:color w:val="231F20"/>
              </w:rPr>
              <w:t>(in millions)</w:t>
            </w:r>
          </w:p>
        </w:tc>
        <w:tc>
          <w:tcPr>
            <w:tcW w:w="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1380" w:type="dxa"/>
            <w:vAlign w:val="bottom"/>
          </w:tcPr>
          <w:p>
            <w:pPr>
              <w:jc w:val="right"/>
              <w:ind w:right="46"/>
              <w:spacing w:after="0"/>
              <w:rPr>
                <w:sz w:val="20"/>
                <w:szCs w:val="20"/>
                <w:color w:val="auto"/>
              </w:rPr>
            </w:pPr>
            <w:r>
              <w:rPr>
                <w:rFonts w:ascii="Times New Roman" w:cs="Times New Roman" w:eastAsia="Times New Roman" w:hAnsi="Times New Roman"/>
                <w:sz w:val="19"/>
                <w:szCs w:val="19"/>
                <w:color w:val="231F20"/>
              </w:rPr>
              <w:t>675,000</w:t>
            </w:r>
          </w:p>
        </w:tc>
        <w:tc>
          <w:tcPr>
            <w:tcW w:w="1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123.5</w:t>
            </w:r>
          </w:p>
        </w:tc>
        <w:tc>
          <w:tcPr>
            <w:tcW w:w="3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w:t>
            </w:r>
          </w:p>
        </w:tc>
        <w:tc>
          <w:tcPr>
            <w:tcW w:w="0" w:type="dxa"/>
            <w:vAlign w:val="bottom"/>
          </w:tcPr>
          <w:p>
            <w:pPr>
              <w:spacing w:after="0"/>
              <w:rPr>
                <w:sz w:val="1"/>
                <w:szCs w:val="1"/>
                <w:color w:val="auto"/>
              </w:rPr>
            </w:pPr>
          </w:p>
        </w:tc>
      </w:tr>
      <w:tr>
        <w:trPr>
          <w:trHeight w:val="442"/>
        </w:trPr>
        <w:tc>
          <w:tcPr>
            <w:tcW w:w="1380" w:type="dxa"/>
            <w:vAlign w:val="bottom"/>
          </w:tcPr>
          <w:p>
            <w:pPr>
              <w:jc w:val="right"/>
              <w:ind w:right="46"/>
              <w:spacing w:after="0"/>
              <w:rPr>
                <w:sz w:val="20"/>
                <w:szCs w:val="20"/>
                <w:color w:val="auto"/>
              </w:rPr>
            </w:pPr>
            <w:r>
              <w:rPr>
                <w:rFonts w:ascii="Times New Roman" w:cs="Times New Roman" w:eastAsia="Times New Roman" w:hAnsi="Times New Roman"/>
                <w:sz w:val="19"/>
                <w:szCs w:val="19"/>
                <w:color w:val="231F20"/>
              </w:rPr>
              <w:t>552,000</w:t>
            </w:r>
          </w:p>
        </w:tc>
        <w:tc>
          <w:tcPr>
            <w:tcW w:w="1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289.0</w:t>
            </w:r>
          </w:p>
        </w:tc>
        <w:tc>
          <w:tcPr>
            <w:tcW w:w="3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(2)</w:t>
            </w:r>
          </w:p>
        </w:tc>
        <w:tc>
          <w:tcPr>
            <w:tcW w:w="0" w:type="dxa"/>
            <w:vAlign w:val="bottom"/>
          </w:tcPr>
          <w:p>
            <w:pPr>
              <w:spacing w:after="0"/>
              <w:rPr>
                <w:sz w:val="1"/>
                <w:szCs w:val="1"/>
                <w:color w:val="auto"/>
              </w:rPr>
            </w:pPr>
          </w:p>
        </w:tc>
      </w:tr>
      <w:tr>
        <w:trPr>
          <w:trHeight w:val="202"/>
        </w:trPr>
        <w:tc>
          <w:tcPr>
            <w:tcW w:w="1380" w:type="dxa"/>
            <w:vAlign w:val="bottom"/>
          </w:tcPr>
          <w:p>
            <w:pPr>
              <w:spacing w:after="0"/>
              <w:rPr>
                <w:sz w:val="17"/>
                <w:szCs w:val="17"/>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231F20"/>
              </w:rPr>
              <w:t>187.0</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9"/>
        </w:trPr>
        <w:tc>
          <w:tcPr>
            <w:tcW w:w="1380" w:type="dxa"/>
            <w:vAlign w:val="bottom"/>
            <w:tcBorders>
              <w:right w:val="single" w:sz="8" w:color="EBECEC"/>
            </w:tcBorders>
          </w:tcPr>
          <w:p>
            <w:pPr>
              <w:jc w:val="right"/>
              <w:ind w:right="46"/>
              <w:spacing w:after="0"/>
              <w:rPr>
                <w:sz w:val="20"/>
                <w:szCs w:val="20"/>
                <w:color w:val="auto"/>
              </w:rPr>
            </w:pPr>
            <w:r>
              <w:rPr>
                <w:rFonts w:ascii="Times New Roman" w:cs="Times New Roman" w:eastAsia="Times New Roman" w:hAnsi="Times New Roman"/>
                <w:sz w:val="19"/>
                <w:szCs w:val="19"/>
                <w:color w:val="231F20"/>
              </w:rPr>
              <w:t>479,000</w:t>
            </w:r>
          </w:p>
        </w:tc>
        <w:tc>
          <w:tcPr>
            <w:tcW w:w="140" w:type="dxa"/>
            <w:vAlign w:val="bottom"/>
            <w:vMerge w:val="continue"/>
          </w:tcPr>
          <w:p>
            <w:pPr>
              <w:spacing w:after="0"/>
              <w:rPr>
                <w:sz w:val="24"/>
                <w:szCs w:val="24"/>
                <w:color w:val="auto"/>
              </w:rPr>
            </w:pPr>
          </w:p>
        </w:tc>
        <w:tc>
          <w:tcPr>
            <w:tcW w:w="1120" w:type="dxa"/>
            <w:vAlign w:val="bottom"/>
            <w:vMerge w:val="continue"/>
          </w:tcPr>
          <w:p>
            <w:pPr>
              <w:spacing w:after="0"/>
              <w:rPr>
                <w:sz w:val="24"/>
                <w:szCs w:val="24"/>
                <w:color w:val="auto"/>
              </w:rPr>
            </w:pPr>
          </w:p>
        </w:tc>
        <w:tc>
          <w:tcPr>
            <w:tcW w:w="340" w:type="dxa"/>
            <w:vAlign w:val="bottom"/>
            <w:shd w:val="clear" w:color="auto" w:fill="EBECEC"/>
          </w:tcPr>
          <w:p>
            <w:pPr>
              <w:jc w:val="right"/>
              <w:spacing w:after="0"/>
              <w:rPr>
                <w:sz w:val="20"/>
                <w:szCs w:val="20"/>
                <w:color w:val="auto"/>
              </w:rPr>
            </w:pPr>
            <w:r>
              <w:rPr>
                <w:rFonts w:ascii="Times New Roman" w:cs="Times New Roman" w:eastAsia="Times New Roman" w:hAnsi="Times New Roman"/>
                <w:sz w:val="19"/>
                <w:szCs w:val="19"/>
                <w:color w:val="231F20"/>
              </w:rPr>
              <w:t>(3)</w:t>
            </w:r>
          </w:p>
        </w:tc>
        <w:tc>
          <w:tcPr>
            <w:tcW w:w="0" w:type="dxa"/>
            <w:vAlign w:val="bottom"/>
          </w:tcPr>
          <w:p>
            <w:pPr>
              <w:spacing w:after="0"/>
              <w:rPr>
                <w:sz w:val="1"/>
                <w:szCs w:val="1"/>
                <w:color w:val="auto"/>
              </w:rPr>
            </w:pPr>
          </w:p>
        </w:tc>
      </w:tr>
      <w:tr>
        <w:trPr>
          <w:trHeight w:val="260"/>
        </w:trPr>
        <w:tc>
          <w:tcPr>
            <w:tcW w:w="1380" w:type="dxa"/>
            <w:vAlign w:val="bottom"/>
          </w:tcPr>
          <w:p>
            <w:pPr>
              <w:jc w:val="right"/>
              <w:ind w:right="46"/>
              <w:spacing w:after="0"/>
              <w:rPr>
                <w:sz w:val="20"/>
                <w:szCs w:val="20"/>
                <w:color w:val="auto"/>
              </w:rPr>
            </w:pPr>
            <w:r>
              <w:rPr>
                <w:rFonts w:ascii="Times New Roman" w:cs="Times New Roman" w:eastAsia="Times New Roman" w:hAnsi="Times New Roman"/>
                <w:sz w:val="19"/>
                <w:szCs w:val="19"/>
                <w:color w:val="231F20"/>
              </w:rPr>
              <w:t>452,000</w:t>
            </w:r>
          </w:p>
        </w:tc>
        <w:tc>
          <w:tcPr>
            <w:tcW w:w="1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153.3</w:t>
            </w:r>
          </w:p>
        </w:tc>
        <w:tc>
          <w:tcPr>
            <w:tcW w:w="3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(4)</w:t>
            </w:r>
          </w:p>
        </w:tc>
        <w:tc>
          <w:tcPr>
            <w:tcW w:w="0" w:type="dxa"/>
            <w:vAlign w:val="bottom"/>
          </w:tcPr>
          <w:p>
            <w:pPr>
              <w:spacing w:after="0"/>
              <w:rPr>
                <w:sz w:val="1"/>
                <w:szCs w:val="1"/>
                <w:color w:val="auto"/>
              </w:rPr>
            </w:pPr>
          </w:p>
        </w:tc>
      </w:tr>
    </w:tbl>
    <w:p>
      <w:pPr>
        <w:spacing w:after="0" w:line="142" w:lineRule="exact"/>
        <w:rPr>
          <w:sz w:val="20"/>
          <w:szCs w:val="20"/>
          <w:color w:val="auto"/>
        </w:rPr>
      </w:pPr>
    </w:p>
    <w:p>
      <w:pPr>
        <w:sectPr>
          <w:pgSz w:w="11880" w:h="15480" w:orient="portrait"/>
          <w:cols w:equalWidth="0" w:num="2">
            <w:col w:w="6720" w:space="60"/>
            <w:col w:w="2980"/>
          </w:cols>
          <w:pgMar w:left="1060" w:top="938" w:right="1060" w:bottom="0" w:gutter="0" w:footer="0" w:header="0"/>
          <w:type w:val="continuous"/>
        </w:sectPr>
      </w:pPr>
    </w:p>
    <w:p>
      <w:pPr>
        <w:ind w:left="340" w:right="200" w:hanging="337"/>
        <w:spacing w:after="0" w:line="258" w:lineRule="auto"/>
        <w:tabs>
          <w:tab w:leader="none" w:pos="340" w:val="left"/>
        </w:tabs>
        <w:numPr>
          <w:ilvl w:val="0"/>
          <w:numId w:val="67"/>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Approximately $17.7 million and $0.8 million of net assets were allocated to other assets for "acquired lease costs" and "above market leases," respectively, and $23.5 million of net assets acquired were allocated to other liabilities for "below market leases."</w:t>
      </w:r>
    </w:p>
    <w:p>
      <w:pPr>
        <w:spacing w:after="0" w:line="1" w:lineRule="exact"/>
        <w:rPr>
          <w:rFonts w:ascii="Times New Roman" w:cs="Times New Roman" w:eastAsia="Times New Roman" w:hAnsi="Times New Roman"/>
          <w:sz w:val="19"/>
          <w:szCs w:val="19"/>
          <w:color w:val="231F20"/>
        </w:rPr>
      </w:pPr>
    </w:p>
    <w:p>
      <w:pPr>
        <w:ind w:left="340" w:right="200" w:hanging="337"/>
        <w:spacing w:after="0" w:line="250" w:lineRule="auto"/>
        <w:tabs>
          <w:tab w:leader="none" w:pos="340" w:val="left"/>
        </w:tabs>
        <w:numPr>
          <w:ilvl w:val="0"/>
          <w:numId w:val="67"/>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Approximately $31.0 million and $6.5 million of net assets were allocated to other assets for "acquired lease costs" and "above market leases," respectively, and $11.4 million of net assets acquired were allocated to other liabilities for "below market leases."</w:t>
      </w:r>
    </w:p>
    <w:p>
      <w:pPr>
        <w:spacing w:after="0" w:line="1" w:lineRule="exact"/>
        <w:rPr>
          <w:rFonts w:ascii="Times New Roman" w:cs="Times New Roman" w:eastAsia="Times New Roman" w:hAnsi="Times New Roman"/>
          <w:sz w:val="19"/>
          <w:szCs w:val="19"/>
          <w:color w:val="231F20"/>
        </w:rPr>
      </w:pPr>
    </w:p>
    <w:p>
      <w:pPr>
        <w:ind w:left="340" w:right="60" w:hanging="337"/>
        <w:spacing w:after="0" w:line="257" w:lineRule="auto"/>
        <w:tabs>
          <w:tab w:leader="none" w:pos="340" w:val="left"/>
        </w:tabs>
        <w:numPr>
          <w:ilvl w:val="0"/>
          <w:numId w:val="67"/>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Approximately $18.0 million and $2.9 million of net assets acquired were allocated to other assets for "acquired lease costs" and "above market leases," respectively, and $9.0 million of net assets acquired were allocated to other liabilities for "below market leases."</w:t>
      </w:r>
    </w:p>
    <w:p>
      <w:pPr>
        <w:spacing w:after="0" w:line="1" w:lineRule="exact"/>
        <w:rPr>
          <w:rFonts w:ascii="Times New Roman" w:cs="Times New Roman" w:eastAsia="Times New Roman" w:hAnsi="Times New Roman"/>
          <w:sz w:val="19"/>
          <w:szCs w:val="19"/>
          <w:color w:val="231F20"/>
        </w:rPr>
      </w:pPr>
    </w:p>
    <w:p>
      <w:pPr>
        <w:ind w:left="340" w:right="240" w:hanging="337"/>
        <w:spacing w:after="0" w:line="266" w:lineRule="auto"/>
        <w:tabs>
          <w:tab w:leader="none" w:pos="340" w:val="left"/>
        </w:tabs>
        <w:numPr>
          <w:ilvl w:val="0"/>
          <w:numId w:val="67"/>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Approximately $18.1 million and $1.0 million of net assets acquired were allocated to other assets for "acquired lease costs" and "above market leases," respectively, and $10.5 million of net assets acquired were allocated to other liabilities for "below market leases."</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F-25</w:t>
      </w:r>
    </w:p>
    <w:p>
      <w:pPr>
        <w:sectPr>
          <w:pgSz w:w="11880" w:h="15480" w:orient="portrait"/>
          <w:cols w:equalWidth="0" w:num="1">
            <w:col w:w="9760"/>
          </w:cols>
          <w:pgMar w:left="1060" w:top="938" w:right="1060" w:bottom="0" w:gutter="0" w:footer="0" w:header="0"/>
          <w:type w:val="continuous"/>
        </w:sectPr>
      </w:pPr>
    </w:p>
    <w:bookmarkStart w:id="89" w:name="page90"/>
    <w:bookmarkEnd w:id="89"/>
    <w:p>
      <w:pPr>
        <w:spacing w:after="0"/>
        <w:rPr>
          <w:sz w:val="20"/>
          <w:szCs w:val="20"/>
          <w:color w:val="auto"/>
        </w:rPr>
      </w:pPr>
      <w:r>
        <w:rPr>
          <w:rFonts w:ascii="Times New Roman" w:cs="Times New Roman" w:eastAsia="Times New Roman" w:hAnsi="Times New Roman"/>
          <w:sz w:val="19"/>
          <w:szCs w:val="19"/>
          <w:b w:val="1"/>
          <w:bCs w:val="1"/>
          <w:color w:val="231F20"/>
        </w:rPr>
        <w:t>2025 Property Dispositions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During the year ended December 31, 2025, we sold the following properties: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5580" w:type="dxa"/>
            <w:vAlign w:val="bottom"/>
            <w:tcBorders>
              <w:bottom w:val="single" w:sz="8" w:color="231F20"/>
            </w:tcBorders>
          </w:tcPr>
          <w:p>
            <w:pPr>
              <w:ind w:left="60"/>
              <w:spacing w:after="0"/>
              <w:rPr>
                <w:sz w:val="20"/>
                <w:szCs w:val="20"/>
                <w:color w:val="auto"/>
              </w:rPr>
            </w:pPr>
            <w:r>
              <w:rPr>
                <w:rFonts w:ascii="Times New Roman" w:cs="Times New Roman" w:eastAsia="Times New Roman" w:hAnsi="Times New Roman"/>
                <w:sz w:val="19"/>
                <w:szCs w:val="19"/>
                <w:b w:val="1"/>
                <w:bCs w:val="1"/>
                <w:color w:val="231F20"/>
              </w:rPr>
              <w:t>Property</w:t>
            </w:r>
          </w:p>
        </w:tc>
        <w:tc>
          <w:tcPr>
            <w:tcW w:w="60" w:type="dxa"/>
            <w:vAlign w:val="bottom"/>
          </w:tcPr>
          <w:p>
            <w:pPr>
              <w:spacing w:after="0"/>
              <w:rPr>
                <w:sz w:val="23"/>
                <w:szCs w:val="23"/>
                <w:color w:val="auto"/>
              </w:rPr>
            </w:pPr>
          </w:p>
        </w:tc>
        <w:tc>
          <w:tcPr>
            <w:tcW w:w="320" w:type="dxa"/>
            <w:vAlign w:val="bottom"/>
            <w:tcBorders>
              <w:bottom w:val="single" w:sz="8" w:color="231F20"/>
            </w:tcBorders>
          </w:tcPr>
          <w:p>
            <w:pPr>
              <w:spacing w:after="0"/>
              <w:rPr>
                <w:sz w:val="23"/>
                <w:szCs w:val="23"/>
                <w:color w:val="auto"/>
              </w:rPr>
            </w:pPr>
          </w:p>
        </w:tc>
        <w:tc>
          <w:tcPr>
            <w:tcW w:w="1620" w:type="dxa"/>
            <w:vAlign w:val="bottom"/>
            <w:tcBorders>
              <w:bottom w:val="single" w:sz="8" w:color="231F20"/>
            </w:tcBorders>
          </w:tcPr>
          <w:p>
            <w:pPr>
              <w:jc w:val="right"/>
              <w:ind w:right="445"/>
              <w:spacing w:after="0"/>
              <w:rPr>
                <w:sz w:val="20"/>
                <w:szCs w:val="20"/>
                <w:color w:val="auto"/>
              </w:rPr>
            </w:pPr>
            <w:r>
              <w:rPr>
                <w:rFonts w:ascii="Times New Roman" w:cs="Times New Roman" w:eastAsia="Times New Roman" w:hAnsi="Times New Roman"/>
                <w:sz w:val="19"/>
                <w:szCs w:val="19"/>
                <w:b w:val="1"/>
                <w:bCs w:val="1"/>
                <w:color w:val="231F20"/>
              </w:rPr>
              <w:t>Sales Price</w:t>
            </w:r>
          </w:p>
        </w:tc>
        <w:tc>
          <w:tcPr>
            <w:tcW w:w="60" w:type="dxa"/>
            <w:vAlign w:val="bottom"/>
          </w:tcPr>
          <w:p>
            <w:pPr>
              <w:spacing w:after="0"/>
              <w:rPr>
                <w:sz w:val="23"/>
                <w:szCs w:val="23"/>
                <w:color w:val="auto"/>
              </w:rPr>
            </w:pPr>
          </w:p>
        </w:tc>
        <w:tc>
          <w:tcPr>
            <w:tcW w:w="320" w:type="dxa"/>
            <w:vAlign w:val="bottom"/>
            <w:tcBorders>
              <w:bottom w:val="single" w:sz="8" w:color="231F20"/>
            </w:tcBorders>
          </w:tcPr>
          <w:p>
            <w:pPr>
              <w:spacing w:after="0"/>
              <w:rPr>
                <w:sz w:val="23"/>
                <w:szCs w:val="23"/>
                <w:color w:val="auto"/>
              </w:rPr>
            </w:pPr>
          </w:p>
        </w:tc>
        <w:tc>
          <w:tcPr>
            <w:tcW w:w="1620" w:type="dxa"/>
            <w:vAlign w:val="bottom"/>
            <w:tcBorders>
              <w:bottom w:val="single" w:sz="8" w:color="231F20"/>
            </w:tcBorders>
          </w:tcPr>
          <w:p>
            <w:pPr>
              <w:jc w:val="right"/>
              <w:ind w:right="685"/>
              <w:spacing w:after="0"/>
              <w:rPr>
                <w:sz w:val="20"/>
                <w:szCs w:val="20"/>
                <w:color w:val="auto"/>
              </w:rPr>
            </w:pPr>
            <w:r>
              <w:rPr>
                <w:rFonts w:ascii="Times New Roman" w:cs="Times New Roman" w:eastAsia="Times New Roman" w:hAnsi="Times New Roman"/>
                <w:sz w:val="19"/>
                <w:szCs w:val="19"/>
                <w:b w:val="1"/>
                <w:bCs w:val="1"/>
                <w:color w:val="231F20"/>
              </w:rPr>
              <w:t>Gain</w:t>
            </w:r>
          </w:p>
        </w:tc>
      </w:tr>
      <w:tr>
        <w:trPr>
          <w:trHeight w:val="279"/>
        </w:trPr>
        <w:tc>
          <w:tcPr>
            <w:tcW w:w="5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20" w:type="dxa"/>
            <w:vAlign w:val="bottom"/>
          </w:tcPr>
          <w:p>
            <w:pPr>
              <w:jc w:val="right"/>
              <w:ind w:right="405"/>
              <w:spacing w:after="0"/>
              <w:rPr>
                <w:sz w:val="20"/>
                <w:szCs w:val="20"/>
                <w:color w:val="auto"/>
              </w:rPr>
            </w:pPr>
            <w:r>
              <w:rPr>
                <w:rFonts w:ascii="Times New Roman" w:cs="Times New Roman" w:eastAsia="Times New Roman" w:hAnsi="Times New Roman"/>
                <w:sz w:val="19"/>
                <w:szCs w:val="19"/>
                <w:color w:val="231F20"/>
              </w:rPr>
              <w:t>(in millions)</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20" w:type="dxa"/>
            <w:vAlign w:val="bottom"/>
          </w:tcPr>
          <w:p>
            <w:pPr>
              <w:jc w:val="right"/>
              <w:ind w:right="405"/>
              <w:spacing w:after="0"/>
              <w:rPr>
                <w:sz w:val="20"/>
                <w:szCs w:val="20"/>
                <w:color w:val="auto"/>
              </w:rPr>
            </w:pPr>
            <w:r>
              <w:rPr>
                <w:rFonts w:ascii="Times New Roman" w:cs="Times New Roman" w:eastAsia="Times New Roman" w:hAnsi="Times New Roman"/>
                <w:sz w:val="19"/>
                <w:szCs w:val="19"/>
                <w:color w:val="231F20"/>
              </w:rPr>
              <w:t>(in millions)</w:t>
            </w:r>
          </w:p>
        </w:tc>
      </w:tr>
      <w:tr>
        <w:trPr>
          <w:trHeight w:val="299"/>
        </w:trPr>
        <w:tc>
          <w:tcPr>
            <w:tcW w:w="5580" w:type="dxa"/>
            <w:vAlign w:val="bottom"/>
          </w:tcPr>
          <w:p>
            <w:pPr>
              <w:ind w:left="60"/>
              <w:spacing w:after="0"/>
              <w:rPr>
                <w:sz w:val="20"/>
                <w:szCs w:val="20"/>
                <w:color w:val="auto"/>
              </w:rPr>
            </w:pPr>
            <w:r>
              <w:rPr>
                <w:rFonts w:ascii="Times New Roman" w:cs="Times New Roman" w:eastAsia="Times New Roman" w:hAnsi="Times New Roman"/>
                <w:sz w:val="19"/>
                <w:szCs w:val="19"/>
                <w:color w:val="231F20"/>
              </w:rPr>
              <w:t>Pike &amp; Rose (one residential building)</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9"/>
                <w:szCs w:val="19"/>
                <w:color w:val="231F20"/>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125.0</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9"/>
                <w:szCs w:val="19"/>
                <w:color w:val="231F20"/>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41.9</w:t>
            </w:r>
          </w:p>
        </w:tc>
      </w:tr>
      <w:tr>
        <w:trPr>
          <w:trHeight w:val="299"/>
        </w:trPr>
        <w:tc>
          <w:tcPr>
            <w:tcW w:w="5580" w:type="dxa"/>
            <w:vAlign w:val="bottom"/>
          </w:tcPr>
          <w:p>
            <w:pPr>
              <w:ind w:left="60"/>
              <w:spacing w:after="0"/>
              <w:rPr>
                <w:sz w:val="20"/>
                <w:szCs w:val="20"/>
                <w:color w:val="auto"/>
              </w:rPr>
            </w:pPr>
            <w:r>
              <w:rPr>
                <w:rFonts w:ascii="Times New Roman" w:cs="Times New Roman" w:eastAsia="Times New Roman" w:hAnsi="Times New Roman"/>
                <w:sz w:val="19"/>
                <w:szCs w:val="19"/>
                <w:color w:val="231F20"/>
              </w:rPr>
              <w:t>Santana Row (one residential building)</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73.9</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49.1</w:t>
            </w:r>
          </w:p>
        </w:tc>
      </w:tr>
      <w:tr>
        <w:trPr>
          <w:trHeight w:val="299"/>
        </w:trPr>
        <w:tc>
          <w:tcPr>
            <w:tcW w:w="5580" w:type="dxa"/>
            <w:vAlign w:val="bottom"/>
          </w:tcPr>
          <w:p>
            <w:pPr>
              <w:ind w:left="60"/>
              <w:spacing w:after="0"/>
              <w:rPr>
                <w:sz w:val="20"/>
                <w:szCs w:val="20"/>
                <w:color w:val="auto"/>
              </w:rPr>
            </w:pPr>
            <w:r>
              <w:rPr>
                <w:rFonts w:ascii="Times New Roman" w:cs="Times New Roman" w:eastAsia="Times New Roman" w:hAnsi="Times New Roman"/>
                <w:sz w:val="19"/>
                <w:szCs w:val="19"/>
                <w:color w:val="231F20"/>
              </w:rPr>
              <w:t>Hollywood Boulevard</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69.0</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27.2</w:t>
            </w:r>
          </w:p>
        </w:tc>
      </w:tr>
      <w:tr>
        <w:trPr>
          <w:trHeight w:val="299"/>
        </w:trPr>
        <w:tc>
          <w:tcPr>
            <w:tcW w:w="5580" w:type="dxa"/>
            <w:vAlign w:val="bottom"/>
          </w:tcPr>
          <w:p>
            <w:pPr>
              <w:ind w:left="60"/>
              <w:spacing w:after="0"/>
              <w:rPr>
                <w:sz w:val="20"/>
                <w:szCs w:val="20"/>
                <w:color w:val="auto"/>
              </w:rPr>
            </w:pPr>
            <w:r>
              <w:rPr>
                <w:rFonts w:ascii="Times New Roman" w:cs="Times New Roman" w:eastAsia="Times New Roman" w:hAnsi="Times New Roman"/>
                <w:sz w:val="19"/>
                <w:szCs w:val="19"/>
                <w:color w:val="231F20"/>
              </w:rPr>
              <w:t>Bristol Plaza</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44.4</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30.6</w:t>
            </w:r>
          </w:p>
        </w:tc>
      </w:tr>
      <w:tr>
        <w:trPr>
          <w:trHeight w:val="300"/>
        </w:trPr>
        <w:tc>
          <w:tcPr>
            <w:tcW w:w="5580" w:type="dxa"/>
            <w:vAlign w:val="bottom"/>
          </w:tcPr>
          <w:p>
            <w:pPr>
              <w:ind w:left="60"/>
              <w:spacing w:after="0"/>
              <w:rPr>
                <w:sz w:val="20"/>
                <w:szCs w:val="20"/>
                <w:color w:val="auto"/>
              </w:rPr>
            </w:pPr>
            <w:r>
              <w:rPr>
                <w:rFonts w:ascii="Times New Roman" w:cs="Times New Roman" w:eastAsia="Times New Roman" w:hAnsi="Times New Roman"/>
                <w:sz w:val="19"/>
                <w:szCs w:val="19"/>
                <w:color w:val="231F20"/>
              </w:rPr>
              <w:t>White Marsh Other (portion)</w:t>
            </w:r>
          </w:p>
        </w:tc>
        <w:tc>
          <w:tcPr>
            <w:tcW w:w="60" w:type="dxa"/>
            <w:vAlign w:val="bottom"/>
          </w:tcPr>
          <w:p>
            <w:pPr>
              <w:spacing w:after="0"/>
              <w:rPr>
                <w:sz w:val="24"/>
                <w:szCs w:val="24"/>
                <w:color w:val="auto"/>
              </w:rPr>
            </w:pPr>
          </w:p>
        </w:tc>
        <w:tc>
          <w:tcPr>
            <w:tcW w:w="320" w:type="dxa"/>
            <w:vAlign w:val="bottom"/>
            <w:tcBorders>
              <w:bottom w:val="single" w:sz="8" w:color="231F20"/>
            </w:tcBorders>
          </w:tcPr>
          <w:p>
            <w:pPr>
              <w:spacing w:after="0"/>
              <w:rPr>
                <w:sz w:val="24"/>
                <w:szCs w:val="24"/>
                <w:color w:val="auto"/>
              </w:rPr>
            </w:pPr>
          </w:p>
        </w:tc>
        <w:tc>
          <w:tcPr>
            <w:tcW w:w="16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3.4</w:t>
            </w:r>
          </w:p>
        </w:tc>
        <w:tc>
          <w:tcPr>
            <w:tcW w:w="60" w:type="dxa"/>
            <w:vAlign w:val="bottom"/>
          </w:tcPr>
          <w:p>
            <w:pPr>
              <w:spacing w:after="0"/>
              <w:rPr>
                <w:sz w:val="24"/>
                <w:szCs w:val="24"/>
                <w:color w:val="auto"/>
              </w:rPr>
            </w:pPr>
          </w:p>
        </w:tc>
        <w:tc>
          <w:tcPr>
            <w:tcW w:w="320" w:type="dxa"/>
            <w:vAlign w:val="bottom"/>
            <w:tcBorders>
              <w:bottom w:val="single" w:sz="8" w:color="231F20"/>
            </w:tcBorders>
          </w:tcPr>
          <w:p>
            <w:pPr>
              <w:spacing w:after="0"/>
              <w:rPr>
                <w:sz w:val="24"/>
                <w:szCs w:val="24"/>
                <w:color w:val="auto"/>
              </w:rPr>
            </w:pPr>
          </w:p>
        </w:tc>
        <w:tc>
          <w:tcPr>
            <w:tcW w:w="16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0.8</w:t>
            </w:r>
          </w:p>
        </w:tc>
      </w:tr>
      <w:tr>
        <w:trPr>
          <w:trHeight w:val="261"/>
        </w:trPr>
        <w:tc>
          <w:tcPr>
            <w:tcW w:w="5580" w:type="dxa"/>
            <w:vAlign w:val="bottom"/>
          </w:tcPr>
          <w:p>
            <w:pPr>
              <w:spacing w:after="0"/>
              <w:rPr>
                <w:sz w:val="22"/>
                <w:szCs w:val="22"/>
                <w:color w:val="auto"/>
              </w:rPr>
            </w:pP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9"/>
                <w:szCs w:val="19"/>
                <w:color w:val="231F20"/>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315.7</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9"/>
                <w:szCs w:val="19"/>
                <w:color w:val="231F20"/>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149.6</w:t>
            </w:r>
          </w:p>
        </w:tc>
      </w:tr>
      <w:tr>
        <w:trPr>
          <w:trHeight w:val="20"/>
        </w:trPr>
        <w:tc>
          <w:tcPr>
            <w:tcW w:w="5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231F20"/>
              <w:bottom w:val="single" w:sz="8" w:color="231F20"/>
            </w:tcBorders>
          </w:tcPr>
          <w:p>
            <w:pPr>
              <w:spacing w:after="0" w:line="20" w:lineRule="exact"/>
              <w:rPr>
                <w:sz w:val="1"/>
                <w:szCs w:val="1"/>
                <w:color w:val="auto"/>
              </w:rPr>
            </w:pPr>
          </w:p>
        </w:tc>
        <w:tc>
          <w:tcPr>
            <w:tcW w:w="162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231F20"/>
              <w:bottom w:val="single" w:sz="8" w:color="231F20"/>
            </w:tcBorders>
          </w:tcPr>
          <w:p>
            <w:pPr>
              <w:spacing w:after="0" w:line="20" w:lineRule="exact"/>
              <w:rPr>
                <w:sz w:val="1"/>
                <w:szCs w:val="1"/>
                <w:color w:val="auto"/>
              </w:rPr>
            </w:pPr>
          </w:p>
        </w:tc>
        <w:tc>
          <w:tcPr>
            <w:tcW w:w="1620" w:type="dxa"/>
            <w:vAlign w:val="bottom"/>
            <w:tcBorders>
              <w:top w:val="single" w:sz="8" w:color="231F20"/>
              <w:bottom w:val="single" w:sz="8" w:color="231F20"/>
            </w:tcBorders>
          </w:tcPr>
          <w:p>
            <w:pPr>
              <w:spacing w:after="0" w:line="20" w:lineRule="exact"/>
              <w:rPr>
                <w:sz w:val="1"/>
                <w:szCs w:val="1"/>
                <w:color w:val="auto"/>
              </w:rPr>
            </w:pPr>
          </w:p>
        </w:tc>
      </w:tr>
    </w:tbl>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2024 Property Acquisitions</w:t>
      </w:r>
    </w:p>
    <w:p>
      <w:pPr>
        <w:spacing w:after="0" w:line="110"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9"/>
          <w:szCs w:val="19"/>
          <w:color w:val="231F20"/>
        </w:rPr>
        <w:t>On May 31, 2024, we acquired the fee interest in Virginia Gateway, which comprises five adjacent shopping centers in Gainesville, Virginia, totaling 664,000 square feet, for $215.0 million. Approximately $21.1 million and $0.4 million of net assets acquired were allocated to other assets for "acquired lease costs" and "above market leases," respectively, and $13.3 million of net assets acquired were allocated to other liabilities for "below market leases."</w:t>
      </w:r>
    </w:p>
    <w:p>
      <w:pPr>
        <w:spacing w:after="0" w:line="133" w:lineRule="exact"/>
        <w:rPr>
          <w:sz w:val="20"/>
          <w:szCs w:val="20"/>
          <w:color w:val="auto"/>
        </w:rPr>
      </w:pPr>
    </w:p>
    <w:p>
      <w:pPr>
        <w:ind w:right="140"/>
        <w:spacing w:after="0" w:line="267" w:lineRule="auto"/>
        <w:rPr>
          <w:sz w:val="20"/>
          <w:szCs w:val="20"/>
          <w:color w:val="auto"/>
        </w:rPr>
      </w:pPr>
      <w:r>
        <w:rPr>
          <w:rFonts w:ascii="Times New Roman" w:cs="Times New Roman" w:eastAsia="Times New Roman" w:hAnsi="Times New Roman"/>
          <w:sz w:val="19"/>
          <w:szCs w:val="19"/>
          <w:color w:val="231F20"/>
        </w:rPr>
        <w:t>On July 31, 2024, we acquired the fee interest in Pinole Vista Crossing, a 216,000 square foot retail shopping center in Pinole, California for $60.0 million. Approximately $5.7 million of net assets acquired were allocated to other assets for "acquired lease costs," and $4.0 million of net assets acquired were allocated to other liabilities for "below market leases."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2024 Property Disposition</w:t>
      </w:r>
    </w:p>
    <w:p>
      <w:pPr>
        <w:spacing w:after="0" w:line="110" w:lineRule="exact"/>
        <w:rPr>
          <w:sz w:val="20"/>
          <w:szCs w:val="20"/>
          <w:color w:val="auto"/>
        </w:rPr>
      </w:pPr>
    </w:p>
    <w:p>
      <w:pPr>
        <w:ind w:right="360"/>
        <w:spacing w:after="0" w:line="284" w:lineRule="auto"/>
        <w:rPr>
          <w:sz w:val="20"/>
          <w:szCs w:val="20"/>
          <w:color w:val="auto"/>
        </w:rPr>
      </w:pPr>
      <w:r>
        <w:rPr>
          <w:rFonts w:ascii="Times New Roman" w:cs="Times New Roman" w:eastAsia="Times New Roman" w:hAnsi="Times New Roman"/>
          <w:sz w:val="19"/>
          <w:szCs w:val="19"/>
          <w:color w:val="231F20"/>
        </w:rPr>
        <w:t>During the year ended December 31, 2024, we sold our Third Street Promenade property and a portion of our White Marsh Other property for sales prices totaling $106.8 million, resulting in a gain on sale of $53.8 million.</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NOTE 4—ACQUIRED LEASES</w:t>
      </w:r>
    </w:p>
    <w:p>
      <w:pPr>
        <w:spacing w:after="0" w:line="110"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9"/>
          <w:szCs w:val="19"/>
          <w:color w:val="231F20"/>
        </w:rPr>
        <w:t>Acquired lease assets comprise of above market leases where we are the lessor and below market leases where we are the lessee. Acquired lease liabilities comprise below market leases where we are the lessor and above market leases where we are the lessee. As a lessor, acquired above market leases are included in prepaid expenses and other assets, and acquired below market leases are included in other liabilities and deferred credits. In accordance with our adoption of ASC Topic 842, acquired below market leases and acquired above market leases where we are the lessee are included in right of use assets. The following is a summary of our acquired lease assets and liabilities:</w:t>
      </w:r>
    </w:p>
    <w:p>
      <w:pPr>
        <w:spacing w:after="0" w:line="241" w:lineRule="exact"/>
        <w:rPr>
          <w:sz w:val="20"/>
          <w:szCs w:val="20"/>
          <w:color w:val="auto"/>
        </w:rPr>
      </w:pPr>
    </w:p>
    <w:tbl>
      <w:tblPr>
        <w:tblLayout w:type="fixed"/>
        <w:tblInd w:w="60" w:type="dxa"/>
        <w:tblCellMar>
          <w:top w:w="0" w:type="dxa"/>
          <w:left w:w="0" w:type="dxa"/>
          <w:bottom w:w="0" w:type="dxa"/>
          <w:right w:w="0" w:type="dxa"/>
        </w:tblCellMar>
      </w:tblPr>
      <w:tr>
        <w:trPr>
          <w:trHeight w:val="206"/>
        </w:trPr>
        <w:tc>
          <w:tcPr>
            <w:tcW w:w="3820" w:type="dxa"/>
            <w:vAlign w:val="bottom"/>
          </w:tcPr>
          <w:p>
            <w:pPr>
              <w:spacing w:after="0"/>
              <w:rPr>
                <w:sz w:val="17"/>
                <w:szCs w:val="17"/>
                <w:color w:val="auto"/>
              </w:rPr>
            </w:pPr>
          </w:p>
        </w:tc>
        <w:tc>
          <w:tcPr>
            <w:tcW w:w="360" w:type="dxa"/>
            <w:vAlign w:val="bottom"/>
            <w:tcBorders>
              <w:bottom w:val="single" w:sz="8" w:color="231F20"/>
            </w:tcBorders>
          </w:tcPr>
          <w:p>
            <w:pPr>
              <w:spacing w:after="0"/>
              <w:rPr>
                <w:sz w:val="17"/>
                <w:szCs w:val="17"/>
                <w:color w:val="auto"/>
              </w:rPr>
            </w:pPr>
          </w:p>
        </w:tc>
        <w:tc>
          <w:tcPr>
            <w:tcW w:w="2540" w:type="dxa"/>
            <w:vAlign w:val="bottom"/>
            <w:tcBorders>
              <w:bottom w:val="single" w:sz="8" w:color="231F20"/>
            </w:tcBorders>
            <w:gridSpan w:val="4"/>
          </w:tcPr>
          <w:p>
            <w:pPr>
              <w:jc w:val="right"/>
              <w:ind w:right="732"/>
              <w:spacing w:after="0"/>
              <w:rPr>
                <w:sz w:val="20"/>
                <w:szCs w:val="20"/>
                <w:color w:val="auto"/>
              </w:rPr>
            </w:pPr>
            <w:r>
              <w:rPr>
                <w:rFonts w:ascii="Times New Roman" w:cs="Times New Roman" w:eastAsia="Times New Roman" w:hAnsi="Times New Roman"/>
                <w:sz w:val="15"/>
                <w:szCs w:val="15"/>
                <w:b w:val="1"/>
                <w:bCs w:val="1"/>
                <w:color w:val="231F20"/>
              </w:rPr>
              <w:t>December 31, 2025</w:t>
            </w:r>
          </w:p>
        </w:tc>
        <w:tc>
          <w:tcPr>
            <w:tcW w:w="100" w:type="dxa"/>
            <w:vAlign w:val="bottom"/>
          </w:tcPr>
          <w:p>
            <w:pPr>
              <w:spacing w:after="0"/>
              <w:rPr>
                <w:sz w:val="17"/>
                <w:szCs w:val="17"/>
                <w:color w:val="auto"/>
              </w:rPr>
            </w:pPr>
          </w:p>
        </w:tc>
        <w:tc>
          <w:tcPr>
            <w:tcW w:w="480" w:type="dxa"/>
            <w:vAlign w:val="bottom"/>
            <w:tcBorders>
              <w:bottom w:val="single" w:sz="8" w:color="231F20"/>
            </w:tcBorders>
          </w:tcPr>
          <w:p>
            <w:pPr>
              <w:spacing w:after="0"/>
              <w:rPr>
                <w:sz w:val="17"/>
                <w:szCs w:val="17"/>
                <w:color w:val="auto"/>
              </w:rPr>
            </w:pPr>
          </w:p>
        </w:tc>
        <w:tc>
          <w:tcPr>
            <w:tcW w:w="2380" w:type="dxa"/>
            <w:vAlign w:val="bottom"/>
            <w:tcBorders>
              <w:bottom w:val="single" w:sz="8" w:color="231F20"/>
            </w:tcBorders>
            <w:gridSpan w:val="4"/>
          </w:tcPr>
          <w:p>
            <w:pPr>
              <w:jc w:val="right"/>
              <w:ind w:right="711"/>
              <w:spacing w:after="0"/>
              <w:rPr>
                <w:sz w:val="20"/>
                <w:szCs w:val="20"/>
                <w:color w:val="auto"/>
              </w:rPr>
            </w:pPr>
            <w:r>
              <w:rPr>
                <w:rFonts w:ascii="Times New Roman" w:cs="Times New Roman" w:eastAsia="Times New Roman" w:hAnsi="Times New Roman"/>
                <w:sz w:val="15"/>
                <w:szCs w:val="15"/>
                <w:b w:val="1"/>
                <w:bCs w:val="1"/>
                <w:color w:val="231F20"/>
              </w:rPr>
              <w:t>December 31, 2024</w:t>
            </w:r>
          </w:p>
        </w:tc>
        <w:tc>
          <w:tcPr>
            <w:tcW w:w="0" w:type="dxa"/>
            <w:vAlign w:val="bottom"/>
          </w:tcPr>
          <w:p>
            <w:pPr>
              <w:spacing w:after="0"/>
              <w:rPr>
                <w:sz w:val="1"/>
                <w:szCs w:val="1"/>
                <w:color w:val="auto"/>
              </w:rPr>
            </w:pPr>
          </w:p>
        </w:tc>
      </w:tr>
      <w:tr>
        <w:trPr>
          <w:trHeight w:val="119"/>
        </w:trPr>
        <w:tc>
          <w:tcPr>
            <w:tcW w:w="38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60" w:type="dxa"/>
            <w:vAlign w:val="bottom"/>
            <w:vMerge w:val="restart"/>
          </w:tcPr>
          <w:p>
            <w:pPr>
              <w:jc w:val="right"/>
              <w:ind w:right="470"/>
              <w:spacing w:after="0"/>
              <w:rPr>
                <w:sz w:val="20"/>
                <w:szCs w:val="20"/>
                <w:color w:val="auto"/>
              </w:rPr>
            </w:pPr>
            <w:r>
              <w:rPr>
                <w:rFonts w:ascii="Times New Roman" w:cs="Times New Roman" w:eastAsia="Times New Roman" w:hAnsi="Times New Roman"/>
                <w:sz w:val="15"/>
                <w:szCs w:val="15"/>
                <w:b w:val="1"/>
                <w:bCs w:val="1"/>
                <w:color w:val="231F20"/>
              </w:rPr>
              <w:t>Cost</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tcPr>
          <w:p>
            <w:pPr>
              <w:jc w:val="right"/>
              <w:ind w:right="192"/>
              <w:spacing w:after="0" w:line="119" w:lineRule="exact"/>
              <w:rPr>
                <w:sz w:val="20"/>
                <w:szCs w:val="20"/>
                <w:color w:val="auto"/>
              </w:rPr>
            </w:pPr>
            <w:r>
              <w:rPr>
                <w:rFonts w:ascii="Times New Roman" w:cs="Times New Roman" w:eastAsia="Times New Roman" w:hAnsi="Times New Roman"/>
                <w:sz w:val="13"/>
                <w:szCs w:val="13"/>
                <w:b w:val="1"/>
                <w:bCs w:val="1"/>
                <w:color w:val="231F20"/>
              </w:rPr>
              <w:t>Accumulated</w:t>
            </w: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40" w:type="dxa"/>
            <w:vAlign w:val="bottom"/>
            <w:vMerge w:val="restart"/>
          </w:tcPr>
          <w:p>
            <w:pPr>
              <w:jc w:val="right"/>
              <w:ind w:right="470"/>
              <w:spacing w:after="0"/>
              <w:rPr>
                <w:sz w:val="20"/>
                <w:szCs w:val="20"/>
                <w:color w:val="auto"/>
              </w:rPr>
            </w:pPr>
            <w:r>
              <w:rPr>
                <w:rFonts w:ascii="Times New Roman" w:cs="Times New Roman" w:eastAsia="Times New Roman" w:hAnsi="Times New Roman"/>
                <w:sz w:val="15"/>
                <w:szCs w:val="15"/>
                <w:b w:val="1"/>
                <w:bCs w:val="1"/>
                <w:color w:val="231F20"/>
              </w:rPr>
              <w:t>Cost</w:t>
            </w: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tcPr>
          <w:p>
            <w:pPr>
              <w:jc w:val="right"/>
              <w:ind w:right="171"/>
              <w:spacing w:after="0" w:line="119" w:lineRule="exact"/>
              <w:rPr>
                <w:sz w:val="20"/>
                <w:szCs w:val="20"/>
                <w:color w:val="auto"/>
              </w:rPr>
            </w:pPr>
            <w:r>
              <w:rPr>
                <w:rFonts w:ascii="Times New Roman" w:cs="Times New Roman" w:eastAsia="Times New Roman" w:hAnsi="Times New Roman"/>
                <w:sz w:val="13"/>
                <w:szCs w:val="13"/>
                <w:b w:val="1"/>
                <w:bCs w:val="1"/>
                <w:color w:val="231F20"/>
              </w:rPr>
              <w:t>Accumulated</w:t>
            </w:r>
          </w:p>
        </w:tc>
        <w:tc>
          <w:tcPr>
            <w:tcW w:w="0" w:type="dxa"/>
            <w:vAlign w:val="bottom"/>
          </w:tcPr>
          <w:p>
            <w:pPr>
              <w:spacing w:after="0"/>
              <w:rPr>
                <w:sz w:val="1"/>
                <w:szCs w:val="1"/>
                <w:color w:val="auto"/>
              </w:rPr>
            </w:pPr>
          </w:p>
        </w:tc>
      </w:tr>
      <w:tr>
        <w:trPr>
          <w:trHeight w:val="203"/>
        </w:trPr>
        <w:tc>
          <w:tcPr>
            <w:tcW w:w="3820" w:type="dxa"/>
            <w:vAlign w:val="bottom"/>
          </w:tcPr>
          <w:p>
            <w:pPr>
              <w:spacing w:after="0"/>
              <w:rPr>
                <w:sz w:val="17"/>
                <w:szCs w:val="17"/>
                <w:color w:val="auto"/>
              </w:rPr>
            </w:pPr>
          </w:p>
        </w:tc>
        <w:tc>
          <w:tcPr>
            <w:tcW w:w="360" w:type="dxa"/>
            <w:vAlign w:val="bottom"/>
            <w:tcBorders>
              <w:bottom w:val="single" w:sz="8" w:color="231F20"/>
            </w:tcBorders>
          </w:tcPr>
          <w:p>
            <w:pPr>
              <w:spacing w:after="0"/>
              <w:rPr>
                <w:sz w:val="17"/>
                <w:szCs w:val="17"/>
                <w:color w:val="auto"/>
              </w:rPr>
            </w:pPr>
          </w:p>
        </w:tc>
        <w:tc>
          <w:tcPr>
            <w:tcW w:w="1060" w:type="dxa"/>
            <w:vAlign w:val="bottom"/>
            <w:tcBorders>
              <w:bottom w:val="single" w:sz="8" w:color="231F20"/>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231F20"/>
            </w:tcBorders>
          </w:tcPr>
          <w:p>
            <w:pPr>
              <w:spacing w:after="0"/>
              <w:rPr>
                <w:sz w:val="17"/>
                <w:szCs w:val="17"/>
                <w:color w:val="auto"/>
              </w:rPr>
            </w:pPr>
          </w:p>
        </w:tc>
        <w:tc>
          <w:tcPr>
            <w:tcW w:w="1200" w:type="dxa"/>
            <w:vAlign w:val="bottom"/>
            <w:tcBorders>
              <w:bottom w:val="single" w:sz="8" w:color="231F20"/>
            </w:tcBorders>
          </w:tcPr>
          <w:p>
            <w:pPr>
              <w:jc w:val="right"/>
              <w:ind w:right="172"/>
              <w:spacing w:after="0"/>
              <w:rPr>
                <w:sz w:val="20"/>
                <w:szCs w:val="20"/>
                <w:color w:val="auto"/>
              </w:rPr>
            </w:pPr>
            <w:r>
              <w:rPr>
                <w:rFonts w:ascii="Times New Roman" w:cs="Times New Roman" w:eastAsia="Times New Roman" w:hAnsi="Times New Roman"/>
                <w:sz w:val="15"/>
                <w:szCs w:val="15"/>
                <w:b w:val="1"/>
                <w:bCs w:val="1"/>
                <w:color w:val="231F20"/>
              </w:rPr>
              <w:t>Amortization</w:t>
            </w:r>
          </w:p>
        </w:tc>
        <w:tc>
          <w:tcPr>
            <w:tcW w:w="100" w:type="dxa"/>
            <w:vAlign w:val="bottom"/>
          </w:tcPr>
          <w:p>
            <w:pPr>
              <w:spacing w:after="0"/>
              <w:rPr>
                <w:sz w:val="17"/>
                <w:szCs w:val="17"/>
                <w:color w:val="auto"/>
              </w:rPr>
            </w:pPr>
          </w:p>
        </w:tc>
        <w:tc>
          <w:tcPr>
            <w:tcW w:w="480" w:type="dxa"/>
            <w:vAlign w:val="bottom"/>
            <w:tcBorders>
              <w:bottom w:val="single" w:sz="8" w:color="231F20"/>
            </w:tcBorders>
          </w:tcPr>
          <w:p>
            <w:pPr>
              <w:spacing w:after="0"/>
              <w:rPr>
                <w:sz w:val="17"/>
                <w:szCs w:val="17"/>
                <w:color w:val="auto"/>
              </w:rPr>
            </w:pPr>
          </w:p>
        </w:tc>
        <w:tc>
          <w:tcPr>
            <w:tcW w:w="940" w:type="dxa"/>
            <w:vAlign w:val="bottom"/>
            <w:tcBorders>
              <w:bottom w:val="single" w:sz="8" w:color="231F20"/>
            </w:tcBorders>
            <w:vMerge w:val="continue"/>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Borders>
              <w:bottom w:val="single" w:sz="8" w:color="231F20"/>
            </w:tcBorders>
          </w:tcPr>
          <w:p>
            <w:pPr>
              <w:spacing w:after="0"/>
              <w:rPr>
                <w:sz w:val="17"/>
                <w:szCs w:val="17"/>
                <w:color w:val="auto"/>
              </w:rPr>
            </w:pPr>
          </w:p>
        </w:tc>
        <w:tc>
          <w:tcPr>
            <w:tcW w:w="1180" w:type="dxa"/>
            <w:vAlign w:val="bottom"/>
            <w:tcBorders>
              <w:bottom w:val="single" w:sz="8" w:color="231F20"/>
            </w:tcBorders>
          </w:tcPr>
          <w:p>
            <w:pPr>
              <w:jc w:val="right"/>
              <w:ind w:right="151"/>
              <w:spacing w:after="0"/>
              <w:rPr>
                <w:sz w:val="20"/>
                <w:szCs w:val="20"/>
                <w:color w:val="auto"/>
              </w:rPr>
            </w:pPr>
            <w:r>
              <w:rPr>
                <w:rFonts w:ascii="Times New Roman" w:cs="Times New Roman" w:eastAsia="Times New Roman" w:hAnsi="Times New Roman"/>
                <w:sz w:val="15"/>
                <w:szCs w:val="15"/>
                <w:b w:val="1"/>
                <w:bCs w:val="1"/>
                <w:color w:val="231F20"/>
              </w:rPr>
              <w:t>Amortization</w:t>
            </w:r>
          </w:p>
        </w:tc>
        <w:tc>
          <w:tcPr>
            <w:tcW w:w="0" w:type="dxa"/>
            <w:vAlign w:val="bottom"/>
          </w:tcPr>
          <w:p>
            <w:pPr>
              <w:spacing w:after="0"/>
              <w:rPr>
                <w:sz w:val="1"/>
                <w:szCs w:val="1"/>
                <w:color w:val="auto"/>
              </w:rPr>
            </w:pPr>
          </w:p>
        </w:tc>
      </w:tr>
      <w:tr>
        <w:trPr>
          <w:trHeight w:val="172"/>
        </w:trPr>
        <w:tc>
          <w:tcPr>
            <w:tcW w:w="3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5"/>
                <w:szCs w:val="15"/>
                <w:b w:val="1"/>
                <w:bCs w:val="1"/>
                <w:color w:val="231F20"/>
              </w:rPr>
              <w:t>(in thousands)</w:t>
            </w: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3820" w:type="dxa"/>
            <w:vAlign w:val="bottom"/>
          </w:tcPr>
          <w:p>
            <w:pPr>
              <w:spacing w:after="0"/>
              <w:rPr>
                <w:sz w:val="20"/>
                <w:szCs w:val="20"/>
                <w:color w:val="auto"/>
              </w:rPr>
            </w:pPr>
            <w:r>
              <w:rPr>
                <w:rFonts w:ascii="Times New Roman" w:cs="Times New Roman" w:eastAsia="Times New Roman" w:hAnsi="Times New Roman"/>
                <w:sz w:val="19"/>
                <w:szCs w:val="19"/>
                <w:color w:val="231F20"/>
              </w:rPr>
              <w:t>Above market leases, lessor</w:t>
            </w:r>
          </w:p>
        </w:tc>
        <w:tc>
          <w:tcPr>
            <w:tcW w:w="360" w:type="dxa"/>
            <w:vAlign w:val="bottom"/>
          </w:tcPr>
          <w:p>
            <w:pPr>
              <w:jc w:val="right"/>
              <w:ind w:right="105"/>
              <w:spacing w:after="0"/>
              <w:rPr>
                <w:sz w:val="20"/>
                <w:szCs w:val="20"/>
                <w:color w:val="auto"/>
              </w:rPr>
            </w:pPr>
            <w:r>
              <w:rPr>
                <w:rFonts w:ascii="Times New Roman" w:cs="Times New Roman" w:eastAsia="Times New Roman" w:hAnsi="Times New Roman"/>
                <w:sz w:val="19"/>
                <w:szCs w:val="19"/>
                <w:color w:val="231F2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52,219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(35,922)</w:t>
            </w:r>
          </w:p>
        </w:tc>
        <w:tc>
          <w:tcPr>
            <w:tcW w:w="580" w:type="dxa"/>
            <w:vAlign w:val="bottom"/>
            <w:gridSpan w:val="2"/>
          </w:tcPr>
          <w:p>
            <w:pPr>
              <w:jc w:val="right"/>
              <w:ind w:right="245"/>
              <w:spacing w:after="0"/>
              <w:rPr>
                <w:sz w:val="20"/>
                <w:szCs w:val="20"/>
                <w:color w:val="auto"/>
              </w:rPr>
            </w:pPr>
            <w:r>
              <w:rPr>
                <w:rFonts w:ascii="Times New Roman" w:cs="Times New Roman" w:eastAsia="Times New Roman" w:hAnsi="Times New Roman"/>
                <w:sz w:val="19"/>
                <w:szCs w:val="19"/>
                <w:color w:val="231F2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42,171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(34,046)</w:t>
            </w:r>
          </w:p>
        </w:tc>
        <w:tc>
          <w:tcPr>
            <w:tcW w:w="0" w:type="dxa"/>
            <w:vAlign w:val="bottom"/>
          </w:tcPr>
          <w:p>
            <w:pPr>
              <w:spacing w:after="0"/>
              <w:rPr>
                <w:sz w:val="1"/>
                <w:szCs w:val="1"/>
                <w:color w:val="auto"/>
              </w:rPr>
            </w:pPr>
          </w:p>
        </w:tc>
      </w:tr>
      <w:tr>
        <w:trPr>
          <w:trHeight w:val="272"/>
        </w:trPr>
        <w:tc>
          <w:tcPr>
            <w:tcW w:w="3820" w:type="dxa"/>
            <w:vAlign w:val="bottom"/>
          </w:tcPr>
          <w:p>
            <w:pPr>
              <w:spacing w:after="0"/>
              <w:rPr>
                <w:sz w:val="20"/>
                <w:szCs w:val="20"/>
                <w:color w:val="auto"/>
              </w:rPr>
            </w:pPr>
            <w:r>
              <w:rPr>
                <w:rFonts w:ascii="Times New Roman" w:cs="Times New Roman" w:eastAsia="Times New Roman" w:hAnsi="Times New Roman"/>
                <w:sz w:val="19"/>
                <w:szCs w:val="19"/>
                <w:color w:val="231F20"/>
              </w:rPr>
              <w:t>Below market leases, lessee</w:t>
            </w:r>
          </w:p>
        </w:tc>
        <w:tc>
          <w:tcPr>
            <w:tcW w:w="360" w:type="dxa"/>
            <w:vAlign w:val="bottom"/>
            <w:tcBorders>
              <w:bottom w:val="single" w:sz="8" w:color="231F20"/>
            </w:tcBorders>
          </w:tcPr>
          <w:p>
            <w:pPr>
              <w:spacing w:after="0"/>
              <w:rPr>
                <w:sz w:val="23"/>
                <w:szCs w:val="23"/>
                <w:color w:val="auto"/>
              </w:rPr>
            </w:pPr>
          </w:p>
        </w:tc>
        <w:tc>
          <w:tcPr>
            <w:tcW w:w="10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28,101</w:t>
            </w:r>
          </w:p>
        </w:tc>
        <w:tc>
          <w:tcPr>
            <w:tcW w:w="80" w:type="dxa"/>
            <w:vAlign w:val="bottom"/>
          </w:tcPr>
          <w:p>
            <w:pPr>
              <w:spacing w:after="0"/>
              <w:rPr>
                <w:sz w:val="23"/>
                <w:szCs w:val="23"/>
                <w:color w:val="auto"/>
              </w:rPr>
            </w:pPr>
          </w:p>
        </w:tc>
        <w:tc>
          <w:tcPr>
            <w:tcW w:w="200" w:type="dxa"/>
            <w:vAlign w:val="bottom"/>
            <w:tcBorders>
              <w:bottom w:val="single" w:sz="8" w:color="231F20"/>
            </w:tcBorders>
          </w:tcPr>
          <w:p>
            <w:pPr>
              <w:spacing w:after="0"/>
              <w:rPr>
                <w:sz w:val="23"/>
                <w:szCs w:val="23"/>
                <w:color w:val="auto"/>
              </w:rPr>
            </w:pPr>
          </w:p>
        </w:tc>
        <w:tc>
          <w:tcPr>
            <w:tcW w:w="12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(6,879)</w:t>
            </w:r>
          </w:p>
        </w:tc>
        <w:tc>
          <w:tcPr>
            <w:tcW w:w="100" w:type="dxa"/>
            <w:vAlign w:val="bottom"/>
          </w:tcPr>
          <w:p>
            <w:pPr>
              <w:spacing w:after="0"/>
              <w:rPr>
                <w:sz w:val="23"/>
                <w:szCs w:val="23"/>
                <w:color w:val="auto"/>
              </w:rPr>
            </w:pPr>
          </w:p>
        </w:tc>
        <w:tc>
          <w:tcPr>
            <w:tcW w:w="480" w:type="dxa"/>
            <w:vAlign w:val="bottom"/>
            <w:tcBorders>
              <w:bottom w:val="single" w:sz="8" w:color="231F20"/>
            </w:tcBorders>
          </w:tcPr>
          <w:p>
            <w:pPr>
              <w:spacing w:after="0"/>
              <w:rPr>
                <w:sz w:val="23"/>
                <w:szCs w:val="23"/>
                <w:color w:val="auto"/>
              </w:rPr>
            </w:pPr>
          </w:p>
        </w:tc>
        <w:tc>
          <w:tcPr>
            <w:tcW w:w="9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28,101</w:t>
            </w:r>
          </w:p>
        </w:tc>
        <w:tc>
          <w:tcPr>
            <w:tcW w:w="60" w:type="dxa"/>
            <w:vAlign w:val="bottom"/>
          </w:tcPr>
          <w:p>
            <w:pPr>
              <w:spacing w:after="0"/>
              <w:rPr>
                <w:sz w:val="23"/>
                <w:szCs w:val="23"/>
                <w:color w:val="auto"/>
              </w:rPr>
            </w:pPr>
          </w:p>
        </w:tc>
        <w:tc>
          <w:tcPr>
            <w:tcW w:w="200" w:type="dxa"/>
            <w:vAlign w:val="bottom"/>
            <w:tcBorders>
              <w:bottom w:val="single" w:sz="8" w:color="231F20"/>
            </w:tcBorders>
          </w:tcPr>
          <w:p>
            <w:pPr>
              <w:spacing w:after="0"/>
              <w:rPr>
                <w:sz w:val="23"/>
                <w:szCs w:val="23"/>
                <w:color w:val="auto"/>
              </w:rPr>
            </w:pPr>
          </w:p>
        </w:tc>
        <w:tc>
          <w:tcPr>
            <w:tcW w:w="11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(6,145)</w:t>
            </w:r>
          </w:p>
        </w:tc>
        <w:tc>
          <w:tcPr>
            <w:tcW w:w="0" w:type="dxa"/>
            <w:vAlign w:val="bottom"/>
          </w:tcPr>
          <w:p>
            <w:pPr>
              <w:spacing w:after="0"/>
              <w:rPr>
                <w:sz w:val="1"/>
                <w:szCs w:val="1"/>
                <w:color w:val="auto"/>
              </w:rPr>
            </w:pPr>
          </w:p>
        </w:tc>
      </w:tr>
      <w:tr>
        <w:trPr>
          <w:trHeight w:val="233"/>
        </w:trPr>
        <w:tc>
          <w:tcPr>
            <w:tcW w:w="3820" w:type="dxa"/>
            <w:vAlign w:val="bottom"/>
          </w:tcPr>
          <w:p>
            <w:pPr>
              <w:ind w:left="200"/>
              <w:spacing w:after="0"/>
              <w:rPr>
                <w:sz w:val="20"/>
                <w:szCs w:val="20"/>
                <w:color w:val="auto"/>
              </w:rPr>
            </w:pPr>
            <w:r>
              <w:rPr>
                <w:rFonts w:ascii="Times New Roman" w:cs="Times New Roman" w:eastAsia="Times New Roman" w:hAnsi="Times New Roman"/>
                <w:sz w:val="19"/>
                <w:szCs w:val="19"/>
                <w:color w:val="231F20"/>
              </w:rPr>
              <w:t>Total</w:t>
            </w:r>
          </w:p>
        </w:tc>
        <w:tc>
          <w:tcPr>
            <w:tcW w:w="360" w:type="dxa"/>
            <w:vAlign w:val="bottom"/>
            <w:tcBorders>
              <w:bottom w:val="single" w:sz="8" w:color="231F20"/>
            </w:tcBorders>
          </w:tcPr>
          <w:p>
            <w:pPr>
              <w:jc w:val="right"/>
              <w:ind w:right="105"/>
              <w:spacing w:after="0"/>
              <w:rPr>
                <w:sz w:val="20"/>
                <w:szCs w:val="20"/>
                <w:color w:val="auto"/>
              </w:rPr>
            </w:pPr>
            <w:r>
              <w:rPr>
                <w:rFonts w:ascii="Times New Roman" w:cs="Times New Roman" w:eastAsia="Times New Roman" w:hAnsi="Times New Roman"/>
                <w:sz w:val="19"/>
                <w:szCs w:val="19"/>
                <w:color w:val="231F20"/>
              </w:rPr>
              <w:t>$</w:t>
            </w:r>
          </w:p>
        </w:tc>
        <w:tc>
          <w:tcPr>
            <w:tcW w:w="10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80,320</w:t>
            </w:r>
          </w:p>
        </w:tc>
        <w:tc>
          <w:tcPr>
            <w:tcW w:w="80" w:type="dxa"/>
            <w:vAlign w:val="bottom"/>
          </w:tcPr>
          <w:p>
            <w:pPr>
              <w:spacing w:after="0"/>
              <w:rPr>
                <w:sz w:val="20"/>
                <w:szCs w:val="20"/>
                <w:color w:val="auto"/>
              </w:rPr>
            </w:pPr>
          </w:p>
        </w:tc>
        <w:tc>
          <w:tcPr>
            <w:tcW w:w="2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12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(42,801)</w:t>
            </w:r>
          </w:p>
        </w:tc>
        <w:tc>
          <w:tcPr>
            <w:tcW w:w="100" w:type="dxa"/>
            <w:vAlign w:val="bottom"/>
          </w:tcPr>
          <w:p>
            <w:pPr>
              <w:spacing w:after="0"/>
              <w:rPr>
                <w:sz w:val="20"/>
                <w:szCs w:val="20"/>
                <w:color w:val="auto"/>
              </w:rPr>
            </w:pPr>
          </w:p>
        </w:tc>
        <w:tc>
          <w:tcPr>
            <w:tcW w:w="480" w:type="dxa"/>
            <w:vAlign w:val="bottom"/>
            <w:tcBorders>
              <w:bottom w:val="single" w:sz="8" w:color="231F20"/>
            </w:tcBorders>
          </w:tcPr>
          <w:p>
            <w:pPr>
              <w:jc w:val="right"/>
              <w:ind w:right="245"/>
              <w:spacing w:after="0"/>
              <w:rPr>
                <w:sz w:val="20"/>
                <w:szCs w:val="20"/>
                <w:color w:val="auto"/>
              </w:rPr>
            </w:pPr>
            <w:r>
              <w:rPr>
                <w:rFonts w:ascii="Times New Roman" w:cs="Times New Roman" w:eastAsia="Times New Roman" w:hAnsi="Times New Roman"/>
                <w:sz w:val="19"/>
                <w:szCs w:val="19"/>
                <w:color w:val="231F20"/>
              </w:rPr>
              <w:t>$</w:t>
            </w:r>
          </w:p>
        </w:tc>
        <w:tc>
          <w:tcPr>
            <w:tcW w:w="9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70,272</w:t>
            </w:r>
          </w:p>
        </w:tc>
        <w:tc>
          <w:tcPr>
            <w:tcW w:w="60" w:type="dxa"/>
            <w:vAlign w:val="bottom"/>
          </w:tcPr>
          <w:p>
            <w:pPr>
              <w:spacing w:after="0"/>
              <w:rPr>
                <w:sz w:val="20"/>
                <w:szCs w:val="20"/>
                <w:color w:val="auto"/>
              </w:rPr>
            </w:pPr>
          </w:p>
        </w:tc>
        <w:tc>
          <w:tcPr>
            <w:tcW w:w="2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11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(40,191)</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360" w:type="dxa"/>
            <w:vAlign w:val="bottom"/>
            <w:tcBorders>
              <w:bottom w:val="single" w:sz="8" w:color="231F20"/>
            </w:tcBorders>
          </w:tcPr>
          <w:p>
            <w:pPr>
              <w:spacing w:after="0" w:line="20" w:lineRule="exact"/>
              <w:rPr>
                <w:sz w:val="1"/>
                <w:szCs w:val="1"/>
                <w:color w:val="auto"/>
              </w:rPr>
            </w:pPr>
          </w:p>
        </w:tc>
        <w:tc>
          <w:tcPr>
            <w:tcW w:w="106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231F20"/>
            </w:tcBorders>
          </w:tcPr>
          <w:p>
            <w:pPr>
              <w:spacing w:after="0" w:line="20" w:lineRule="exact"/>
              <w:rPr>
                <w:sz w:val="1"/>
                <w:szCs w:val="1"/>
                <w:color w:val="auto"/>
              </w:rPr>
            </w:pPr>
          </w:p>
        </w:tc>
        <w:tc>
          <w:tcPr>
            <w:tcW w:w="120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231F20"/>
            </w:tcBorders>
          </w:tcPr>
          <w:p>
            <w:pPr>
              <w:spacing w:after="0" w:line="20" w:lineRule="exact"/>
              <w:rPr>
                <w:sz w:val="1"/>
                <w:szCs w:val="1"/>
                <w:color w:val="auto"/>
              </w:rPr>
            </w:pPr>
          </w:p>
        </w:tc>
        <w:tc>
          <w:tcPr>
            <w:tcW w:w="94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231F20"/>
            </w:tcBorders>
          </w:tcPr>
          <w:p>
            <w:pPr>
              <w:spacing w:after="0" w:line="20" w:lineRule="exact"/>
              <w:rPr>
                <w:sz w:val="1"/>
                <w:szCs w:val="1"/>
                <w:color w:val="auto"/>
              </w:rPr>
            </w:pPr>
          </w:p>
        </w:tc>
        <w:tc>
          <w:tcPr>
            <w:tcW w:w="118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3820" w:type="dxa"/>
            <w:vAlign w:val="bottom"/>
          </w:tcPr>
          <w:p>
            <w:pPr>
              <w:spacing w:after="0"/>
              <w:rPr>
                <w:sz w:val="20"/>
                <w:szCs w:val="20"/>
                <w:color w:val="auto"/>
              </w:rPr>
            </w:pPr>
            <w:r>
              <w:rPr>
                <w:rFonts w:ascii="Times New Roman" w:cs="Times New Roman" w:eastAsia="Times New Roman" w:hAnsi="Times New Roman"/>
                <w:sz w:val="19"/>
                <w:szCs w:val="19"/>
                <w:color w:val="231F20"/>
              </w:rPr>
              <w:t>Below market leases, lessor</w:t>
            </w:r>
          </w:p>
        </w:tc>
        <w:tc>
          <w:tcPr>
            <w:tcW w:w="360" w:type="dxa"/>
            <w:vAlign w:val="bottom"/>
          </w:tcPr>
          <w:p>
            <w:pPr>
              <w:jc w:val="right"/>
              <w:ind w:right="105"/>
              <w:spacing w:after="0"/>
              <w:rPr>
                <w:sz w:val="20"/>
                <w:szCs w:val="20"/>
                <w:color w:val="auto"/>
              </w:rPr>
            </w:pPr>
            <w:r>
              <w:rPr>
                <w:rFonts w:ascii="Times New Roman" w:cs="Times New Roman" w:eastAsia="Times New Roman" w:hAnsi="Times New Roman"/>
                <w:sz w:val="19"/>
                <w:szCs w:val="19"/>
                <w:color w:val="231F2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(325,025)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122,359</w:t>
            </w:r>
          </w:p>
        </w:tc>
        <w:tc>
          <w:tcPr>
            <w:tcW w:w="580" w:type="dxa"/>
            <w:vAlign w:val="bottom"/>
            <w:gridSpan w:val="2"/>
          </w:tcPr>
          <w:p>
            <w:pPr>
              <w:jc w:val="right"/>
              <w:ind w:right="245"/>
              <w:spacing w:after="0"/>
              <w:rPr>
                <w:sz w:val="20"/>
                <w:szCs w:val="20"/>
                <w:color w:val="auto"/>
              </w:rPr>
            </w:pPr>
            <w:r>
              <w:rPr>
                <w:rFonts w:ascii="Times New Roman" w:cs="Times New Roman" w:eastAsia="Times New Roman" w:hAnsi="Times New Roman"/>
                <w:sz w:val="19"/>
                <w:szCs w:val="19"/>
                <w:color w:val="231F2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(277,883)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111,719</w:t>
            </w:r>
          </w:p>
        </w:tc>
        <w:tc>
          <w:tcPr>
            <w:tcW w:w="0" w:type="dxa"/>
            <w:vAlign w:val="bottom"/>
          </w:tcPr>
          <w:p>
            <w:pPr>
              <w:spacing w:after="0"/>
              <w:rPr>
                <w:sz w:val="1"/>
                <w:szCs w:val="1"/>
                <w:color w:val="auto"/>
              </w:rPr>
            </w:pPr>
          </w:p>
        </w:tc>
      </w:tr>
      <w:tr>
        <w:trPr>
          <w:trHeight w:val="272"/>
        </w:trPr>
        <w:tc>
          <w:tcPr>
            <w:tcW w:w="3820" w:type="dxa"/>
            <w:vAlign w:val="bottom"/>
          </w:tcPr>
          <w:p>
            <w:pPr>
              <w:spacing w:after="0"/>
              <w:rPr>
                <w:sz w:val="20"/>
                <w:szCs w:val="20"/>
                <w:color w:val="auto"/>
              </w:rPr>
            </w:pPr>
            <w:r>
              <w:rPr>
                <w:rFonts w:ascii="Times New Roman" w:cs="Times New Roman" w:eastAsia="Times New Roman" w:hAnsi="Times New Roman"/>
                <w:sz w:val="19"/>
                <w:szCs w:val="19"/>
                <w:color w:val="231F20"/>
              </w:rPr>
              <w:t>Above market leases, lessee</w:t>
            </w:r>
          </w:p>
        </w:tc>
        <w:tc>
          <w:tcPr>
            <w:tcW w:w="360" w:type="dxa"/>
            <w:vAlign w:val="bottom"/>
            <w:tcBorders>
              <w:bottom w:val="single" w:sz="8" w:color="231F20"/>
            </w:tcBorders>
          </w:tcPr>
          <w:p>
            <w:pPr>
              <w:spacing w:after="0"/>
              <w:rPr>
                <w:sz w:val="23"/>
                <w:szCs w:val="23"/>
                <w:color w:val="auto"/>
              </w:rPr>
            </w:pPr>
          </w:p>
        </w:tc>
        <w:tc>
          <w:tcPr>
            <w:tcW w:w="10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(11,127)</w:t>
            </w:r>
          </w:p>
        </w:tc>
        <w:tc>
          <w:tcPr>
            <w:tcW w:w="80" w:type="dxa"/>
            <w:vAlign w:val="bottom"/>
          </w:tcPr>
          <w:p>
            <w:pPr>
              <w:spacing w:after="0"/>
              <w:rPr>
                <w:sz w:val="23"/>
                <w:szCs w:val="23"/>
                <w:color w:val="auto"/>
              </w:rPr>
            </w:pPr>
          </w:p>
        </w:tc>
        <w:tc>
          <w:tcPr>
            <w:tcW w:w="200" w:type="dxa"/>
            <w:vAlign w:val="bottom"/>
            <w:tcBorders>
              <w:bottom w:val="single" w:sz="8" w:color="231F20"/>
            </w:tcBorders>
          </w:tcPr>
          <w:p>
            <w:pPr>
              <w:spacing w:after="0"/>
              <w:rPr>
                <w:sz w:val="23"/>
                <w:szCs w:val="23"/>
                <w:color w:val="auto"/>
              </w:rPr>
            </w:pPr>
          </w:p>
        </w:tc>
        <w:tc>
          <w:tcPr>
            <w:tcW w:w="12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4,896</w:t>
            </w:r>
          </w:p>
        </w:tc>
        <w:tc>
          <w:tcPr>
            <w:tcW w:w="100" w:type="dxa"/>
            <w:vAlign w:val="bottom"/>
          </w:tcPr>
          <w:p>
            <w:pPr>
              <w:spacing w:after="0"/>
              <w:rPr>
                <w:sz w:val="23"/>
                <w:szCs w:val="23"/>
                <w:color w:val="auto"/>
              </w:rPr>
            </w:pPr>
          </w:p>
        </w:tc>
        <w:tc>
          <w:tcPr>
            <w:tcW w:w="480" w:type="dxa"/>
            <w:vAlign w:val="bottom"/>
            <w:tcBorders>
              <w:bottom w:val="single" w:sz="8" w:color="231F20"/>
            </w:tcBorders>
          </w:tcPr>
          <w:p>
            <w:pPr>
              <w:spacing w:after="0"/>
              <w:rPr>
                <w:sz w:val="23"/>
                <w:szCs w:val="23"/>
                <w:color w:val="auto"/>
              </w:rPr>
            </w:pPr>
          </w:p>
        </w:tc>
        <w:tc>
          <w:tcPr>
            <w:tcW w:w="9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(11,127)</w:t>
            </w:r>
          </w:p>
        </w:tc>
        <w:tc>
          <w:tcPr>
            <w:tcW w:w="60" w:type="dxa"/>
            <w:vAlign w:val="bottom"/>
          </w:tcPr>
          <w:p>
            <w:pPr>
              <w:spacing w:after="0"/>
              <w:rPr>
                <w:sz w:val="23"/>
                <w:szCs w:val="23"/>
                <w:color w:val="auto"/>
              </w:rPr>
            </w:pPr>
          </w:p>
        </w:tc>
        <w:tc>
          <w:tcPr>
            <w:tcW w:w="200" w:type="dxa"/>
            <w:vAlign w:val="bottom"/>
            <w:tcBorders>
              <w:bottom w:val="single" w:sz="8" w:color="231F20"/>
            </w:tcBorders>
          </w:tcPr>
          <w:p>
            <w:pPr>
              <w:spacing w:after="0"/>
              <w:rPr>
                <w:sz w:val="23"/>
                <w:szCs w:val="23"/>
                <w:color w:val="auto"/>
              </w:rPr>
            </w:pPr>
          </w:p>
        </w:tc>
        <w:tc>
          <w:tcPr>
            <w:tcW w:w="11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4,333</w:t>
            </w:r>
          </w:p>
        </w:tc>
        <w:tc>
          <w:tcPr>
            <w:tcW w:w="0" w:type="dxa"/>
            <w:vAlign w:val="bottom"/>
          </w:tcPr>
          <w:p>
            <w:pPr>
              <w:spacing w:after="0"/>
              <w:rPr>
                <w:sz w:val="1"/>
                <w:szCs w:val="1"/>
                <w:color w:val="auto"/>
              </w:rPr>
            </w:pPr>
          </w:p>
        </w:tc>
      </w:tr>
      <w:tr>
        <w:trPr>
          <w:trHeight w:val="233"/>
        </w:trPr>
        <w:tc>
          <w:tcPr>
            <w:tcW w:w="3820" w:type="dxa"/>
            <w:vAlign w:val="bottom"/>
          </w:tcPr>
          <w:p>
            <w:pPr>
              <w:ind w:left="200"/>
              <w:spacing w:after="0"/>
              <w:rPr>
                <w:sz w:val="20"/>
                <w:szCs w:val="20"/>
                <w:color w:val="auto"/>
              </w:rPr>
            </w:pPr>
            <w:r>
              <w:rPr>
                <w:rFonts w:ascii="Times New Roman" w:cs="Times New Roman" w:eastAsia="Times New Roman" w:hAnsi="Times New Roman"/>
                <w:sz w:val="19"/>
                <w:szCs w:val="19"/>
                <w:color w:val="231F20"/>
              </w:rPr>
              <w:t>Total</w:t>
            </w:r>
          </w:p>
        </w:tc>
        <w:tc>
          <w:tcPr>
            <w:tcW w:w="360" w:type="dxa"/>
            <w:vAlign w:val="bottom"/>
          </w:tcPr>
          <w:p>
            <w:pPr>
              <w:jc w:val="right"/>
              <w:ind w:right="105"/>
              <w:spacing w:after="0"/>
              <w:rPr>
                <w:sz w:val="20"/>
                <w:szCs w:val="20"/>
                <w:color w:val="auto"/>
              </w:rPr>
            </w:pPr>
            <w:r>
              <w:rPr>
                <w:rFonts w:ascii="Times New Roman" w:cs="Times New Roman" w:eastAsia="Times New Roman" w:hAnsi="Times New Roman"/>
                <w:sz w:val="19"/>
                <w:szCs w:val="19"/>
                <w:color w:val="231F2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(336,152)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127,255</w:t>
            </w:r>
          </w:p>
        </w:tc>
        <w:tc>
          <w:tcPr>
            <w:tcW w:w="580" w:type="dxa"/>
            <w:vAlign w:val="bottom"/>
            <w:gridSpan w:val="2"/>
          </w:tcPr>
          <w:p>
            <w:pPr>
              <w:jc w:val="right"/>
              <w:ind w:right="245"/>
              <w:spacing w:after="0"/>
              <w:rPr>
                <w:sz w:val="20"/>
                <w:szCs w:val="20"/>
                <w:color w:val="auto"/>
              </w:rPr>
            </w:pPr>
            <w:r>
              <w:rPr>
                <w:rFonts w:ascii="Times New Roman" w:cs="Times New Roman" w:eastAsia="Times New Roman" w:hAnsi="Times New Roman"/>
                <w:sz w:val="19"/>
                <w:szCs w:val="19"/>
                <w:color w:val="231F2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(289,010)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116,052</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360" w:type="dxa"/>
            <w:vAlign w:val="bottom"/>
            <w:tcBorders>
              <w:top w:val="single" w:sz="8" w:color="231F20"/>
              <w:bottom w:val="single" w:sz="8" w:color="231F20"/>
            </w:tcBorders>
          </w:tcPr>
          <w:p>
            <w:pPr>
              <w:spacing w:after="0" w:line="20" w:lineRule="exact"/>
              <w:rPr>
                <w:sz w:val="1"/>
                <w:szCs w:val="1"/>
                <w:color w:val="auto"/>
              </w:rPr>
            </w:pPr>
          </w:p>
        </w:tc>
        <w:tc>
          <w:tcPr>
            <w:tcW w:w="106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231F20"/>
              <w:bottom w:val="single" w:sz="8" w:color="231F20"/>
            </w:tcBorders>
          </w:tcPr>
          <w:p>
            <w:pPr>
              <w:spacing w:after="0" w:line="20" w:lineRule="exact"/>
              <w:rPr>
                <w:sz w:val="1"/>
                <w:szCs w:val="1"/>
                <w:color w:val="auto"/>
              </w:rPr>
            </w:pPr>
          </w:p>
        </w:tc>
        <w:tc>
          <w:tcPr>
            <w:tcW w:w="1200" w:type="dxa"/>
            <w:vAlign w:val="bottom"/>
            <w:tcBorders>
              <w:top w:val="single" w:sz="8" w:color="231F20"/>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231F20"/>
              <w:bottom w:val="single" w:sz="8" w:color="231F20"/>
            </w:tcBorders>
          </w:tcPr>
          <w:p>
            <w:pPr>
              <w:spacing w:after="0" w:line="20" w:lineRule="exact"/>
              <w:rPr>
                <w:sz w:val="1"/>
                <w:szCs w:val="1"/>
                <w:color w:val="auto"/>
              </w:rPr>
            </w:pPr>
          </w:p>
        </w:tc>
        <w:tc>
          <w:tcPr>
            <w:tcW w:w="94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231F20"/>
              <w:bottom w:val="single" w:sz="8" w:color="231F20"/>
            </w:tcBorders>
          </w:tcPr>
          <w:p>
            <w:pPr>
              <w:spacing w:after="0" w:line="20" w:lineRule="exact"/>
              <w:rPr>
                <w:sz w:val="1"/>
                <w:szCs w:val="1"/>
                <w:color w:val="auto"/>
              </w:rPr>
            </w:pPr>
          </w:p>
        </w:tc>
        <w:tc>
          <w:tcPr>
            <w:tcW w:w="1180" w:type="dxa"/>
            <w:vAlign w:val="bottom"/>
            <w:tcBorders>
              <w:top w:val="single" w:sz="8" w:color="231F20"/>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3"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9"/>
          <w:szCs w:val="19"/>
          <w:color w:val="231F20"/>
        </w:rPr>
        <w:t>The value allocated to acquired leases where we are the lessor is amortized over the related lease term and reflected as additional rental income for below market leases or a reduction of rental income for above market leases in the consolidated statements of comprehensive income. The related amortization of acquired leases where we are the lessee is reflected as additional rental expense for below market leases or a reduction of rental expenses for above market leases in the consolidated statements of comprehensive income. The following is a summary of acquired lease amortization:</w:t>
      </w:r>
    </w:p>
    <w:p>
      <w:pPr>
        <w:sectPr>
          <w:pgSz w:w="11880" w:h="15480" w:orient="portrait"/>
          <w:cols w:equalWidth="0" w:num="1">
            <w:col w:w="9740"/>
          </w:cols>
          <w:pgMar w:left="1060" w:top="938"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231F20"/>
        </w:rPr>
        <w:t>F-26</w:t>
      </w:r>
    </w:p>
    <w:p>
      <w:pPr>
        <w:sectPr>
          <w:pgSz w:w="11880" w:h="15480" w:orient="portrait"/>
          <w:cols w:equalWidth="0" w:num="1">
            <w:col w:w="9740"/>
          </w:cols>
          <w:pgMar w:left="1060" w:top="938" w:right="1080" w:bottom="0" w:gutter="0" w:footer="0" w:header="0"/>
          <w:type w:val="continuous"/>
        </w:sectPr>
      </w:pPr>
    </w:p>
    <w:bookmarkStart w:id="90" w:name="page91"/>
    <w:bookmarkEnd w:id="90"/>
    <w:tbl>
      <w:tblPr>
        <w:tblLayout w:type="fixed"/>
        <w:tblInd w:w="60" w:type="dxa"/>
        <w:tblCellMar>
          <w:top w:w="0" w:type="dxa"/>
          <w:left w:w="0" w:type="dxa"/>
          <w:bottom w:w="0" w:type="dxa"/>
          <w:right w:w="0" w:type="dxa"/>
        </w:tblCellMar>
      </w:tblPr>
      <w:tr>
        <w:trPr>
          <w:trHeight w:val="206"/>
        </w:trPr>
        <w:tc>
          <w:tcPr>
            <w:tcW w:w="4740" w:type="dxa"/>
            <w:vAlign w:val="bottom"/>
          </w:tcPr>
          <w:p>
            <w:pPr>
              <w:spacing w:after="0"/>
              <w:rPr>
                <w:sz w:val="17"/>
                <w:szCs w:val="17"/>
                <w:color w:val="auto"/>
              </w:rPr>
            </w:pPr>
          </w:p>
        </w:tc>
        <w:tc>
          <w:tcPr>
            <w:tcW w:w="960" w:type="dxa"/>
            <w:vAlign w:val="bottom"/>
            <w:tcBorders>
              <w:bottom w:val="single" w:sz="8" w:color="231F20"/>
            </w:tcBorders>
          </w:tcPr>
          <w:p>
            <w:pPr>
              <w:spacing w:after="0"/>
              <w:rPr>
                <w:sz w:val="17"/>
                <w:szCs w:val="17"/>
                <w:color w:val="auto"/>
              </w:rPr>
            </w:pPr>
          </w:p>
        </w:tc>
        <w:tc>
          <w:tcPr>
            <w:tcW w:w="640" w:type="dxa"/>
            <w:vAlign w:val="bottom"/>
            <w:tcBorders>
              <w:bottom w:val="single" w:sz="8" w:color="231F20"/>
            </w:tcBorders>
          </w:tcPr>
          <w:p>
            <w:pPr>
              <w:spacing w:after="0"/>
              <w:rPr>
                <w:sz w:val="17"/>
                <w:szCs w:val="17"/>
                <w:color w:val="auto"/>
              </w:rPr>
            </w:pPr>
          </w:p>
        </w:tc>
        <w:tc>
          <w:tcPr>
            <w:tcW w:w="1740" w:type="dxa"/>
            <w:vAlign w:val="bottom"/>
            <w:tcBorders>
              <w:bottom w:val="single" w:sz="8" w:color="231F20"/>
            </w:tcBorders>
            <w:gridSpan w:val="4"/>
          </w:tcPr>
          <w:p>
            <w:pPr>
              <w:jc w:val="center"/>
              <w:ind w:right="20"/>
              <w:spacing w:after="0"/>
              <w:rPr>
                <w:sz w:val="20"/>
                <w:szCs w:val="20"/>
                <w:color w:val="auto"/>
              </w:rPr>
            </w:pPr>
            <w:r>
              <w:rPr>
                <w:rFonts w:ascii="Times New Roman" w:cs="Times New Roman" w:eastAsia="Times New Roman" w:hAnsi="Times New Roman"/>
                <w:sz w:val="15"/>
                <w:szCs w:val="15"/>
                <w:b w:val="1"/>
                <w:bCs w:val="1"/>
                <w:color w:val="231F20"/>
              </w:rPr>
              <w:t>Year Ended December 31,</w:t>
            </w:r>
          </w:p>
        </w:tc>
        <w:tc>
          <w:tcPr>
            <w:tcW w:w="380" w:type="dxa"/>
            <w:vAlign w:val="bottom"/>
            <w:tcBorders>
              <w:bottom w:val="single" w:sz="8" w:color="231F20"/>
            </w:tcBorders>
          </w:tcPr>
          <w:p>
            <w:pPr>
              <w:spacing w:after="0"/>
              <w:rPr>
                <w:sz w:val="17"/>
                <w:szCs w:val="17"/>
                <w:color w:val="auto"/>
              </w:rPr>
            </w:pPr>
          </w:p>
        </w:tc>
        <w:tc>
          <w:tcPr>
            <w:tcW w:w="1200" w:type="dxa"/>
            <w:vAlign w:val="bottom"/>
            <w:tcBorders>
              <w:bottom w:val="single" w:sz="8" w:color="231F20"/>
            </w:tcBorders>
          </w:tcPr>
          <w:p>
            <w:pPr>
              <w:spacing w:after="0"/>
              <w:rPr>
                <w:sz w:val="17"/>
                <w:szCs w:val="17"/>
                <w:color w:val="auto"/>
              </w:rPr>
            </w:pPr>
          </w:p>
        </w:tc>
      </w:tr>
      <w:tr>
        <w:trPr>
          <w:trHeight w:val="265"/>
        </w:trPr>
        <w:tc>
          <w:tcPr>
            <w:tcW w:w="4740" w:type="dxa"/>
            <w:vAlign w:val="bottom"/>
          </w:tcPr>
          <w:p>
            <w:pPr>
              <w:spacing w:after="0"/>
              <w:rPr>
                <w:sz w:val="23"/>
                <w:szCs w:val="23"/>
                <w:color w:val="auto"/>
              </w:rPr>
            </w:pPr>
          </w:p>
        </w:tc>
        <w:tc>
          <w:tcPr>
            <w:tcW w:w="9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5"/>
                <w:szCs w:val="15"/>
                <w:b w:val="1"/>
                <w:bCs w:val="1"/>
                <w:color w:val="231F20"/>
              </w:rPr>
              <w:t>2025</w:t>
            </w:r>
          </w:p>
        </w:tc>
        <w:tc>
          <w:tcPr>
            <w:tcW w:w="640" w:type="dxa"/>
            <w:vAlign w:val="bottom"/>
            <w:tcBorders>
              <w:bottom w:val="single" w:sz="8" w:color="231F20"/>
            </w:tcBorders>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Borders>
              <w:bottom w:val="single" w:sz="8" w:color="231F20"/>
            </w:tcBorders>
          </w:tcPr>
          <w:p>
            <w:pPr>
              <w:spacing w:after="0"/>
              <w:rPr>
                <w:sz w:val="23"/>
                <w:szCs w:val="23"/>
                <w:color w:val="auto"/>
              </w:rPr>
            </w:pPr>
          </w:p>
        </w:tc>
        <w:tc>
          <w:tcPr>
            <w:tcW w:w="1360" w:type="dxa"/>
            <w:vAlign w:val="bottom"/>
            <w:tcBorders>
              <w:bottom w:val="single" w:sz="8" w:color="231F20"/>
            </w:tcBorders>
          </w:tcPr>
          <w:p>
            <w:pPr>
              <w:jc w:val="center"/>
              <w:ind w:right="150"/>
              <w:spacing w:after="0"/>
              <w:rPr>
                <w:sz w:val="20"/>
                <w:szCs w:val="20"/>
                <w:color w:val="auto"/>
              </w:rPr>
            </w:pPr>
            <w:r>
              <w:rPr>
                <w:rFonts w:ascii="Times New Roman" w:cs="Times New Roman" w:eastAsia="Times New Roman" w:hAnsi="Times New Roman"/>
                <w:sz w:val="15"/>
                <w:szCs w:val="15"/>
                <w:b w:val="1"/>
                <w:bCs w:val="1"/>
                <w:color w:val="231F20"/>
              </w:rPr>
              <w:t>2024</w:t>
            </w:r>
          </w:p>
        </w:tc>
        <w:tc>
          <w:tcPr>
            <w:tcW w:w="80" w:type="dxa"/>
            <w:vAlign w:val="bottom"/>
          </w:tcPr>
          <w:p>
            <w:pPr>
              <w:spacing w:after="0"/>
              <w:rPr>
                <w:sz w:val="23"/>
                <w:szCs w:val="23"/>
                <w:color w:val="auto"/>
              </w:rPr>
            </w:pPr>
          </w:p>
        </w:tc>
        <w:tc>
          <w:tcPr>
            <w:tcW w:w="380" w:type="dxa"/>
            <w:vAlign w:val="bottom"/>
            <w:tcBorders>
              <w:bottom w:val="single" w:sz="8" w:color="231F20"/>
            </w:tcBorders>
          </w:tcPr>
          <w:p>
            <w:pPr>
              <w:spacing w:after="0"/>
              <w:rPr>
                <w:sz w:val="23"/>
                <w:szCs w:val="23"/>
                <w:color w:val="auto"/>
              </w:rPr>
            </w:pPr>
          </w:p>
        </w:tc>
        <w:tc>
          <w:tcPr>
            <w:tcW w:w="1200" w:type="dxa"/>
            <w:vAlign w:val="bottom"/>
            <w:tcBorders>
              <w:bottom w:val="single" w:sz="8" w:color="231F20"/>
            </w:tcBorders>
          </w:tcPr>
          <w:p>
            <w:pPr>
              <w:jc w:val="right"/>
              <w:ind w:right="548"/>
              <w:spacing w:after="0"/>
              <w:rPr>
                <w:sz w:val="20"/>
                <w:szCs w:val="20"/>
                <w:color w:val="auto"/>
              </w:rPr>
            </w:pPr>
            <w:r>
              <w:rPr>
                <w:rFonts w:ascii="Times New Roman" w:cs="Times New Roman" w:eastAsia="Times New Roman" w:hAnsi="Times New Roman"/>
                <w:sz w:val="15"/>
                <w:szCs w:val="15"/>
                <w:b w:val="1"/>
                <w:bCs w:val="1"/>
                <w:color w:val="231F20"/>
              </w:rPr>
              <w:t>2023</w:t>
            </w:r>
          </w:p>
        </w:tc>
      </w:tr>
      <w:tr>
        <w:trPr>
          <w:trHeight w:val="186"/>
        </w:trPr>
        <w:tc>
          <w:tcPr>
            <w:tcW w:w="47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jc w:val="center"/>
              <w:ind w:right="150"/>
              <w:spacing w:after="0"/>
              <w:rPr>
                <w:sz w:val="20"/>
                <w:szCs w:val="20"/>
                <w:color w:val="auto"/>
              </w:rPr>
            </w:pPr>
            <w:r>
              <w:rPr>
                <w:rFonts w:ascii="Times New Roman" w:cs="Times New Roman" w:eastAsia="Times New Roman" w:hAnsi="Times New Roman"/>
                <w:sz w:val="15"/>
                <w:szCs w:val="15"/>
                <w:b w:val="1"/>
                <w:bCs w:val="1"/>
                <w:color w:val="231F20"/>
              </w:rPr>
              <w:t>(in thousands)</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49"/>
        </w:trPr>
        <w:tc>
          <w:tcPr>
            <w:tcW w:w="4740" w:type="dxa"/>
            <w:vAlign w:val="bottom"/>
          </w:tcPr>
          <w:p>
            <w:pPr>
              <w:spacing w:after="0"/>
              <w:rPr>
                <w:sz w:val="20"/>
                <w:szCs w:val="20"/>
                <w:color w:val="auto"/>
              </w:rPr>
            </w:pPr>
            <w:r>
              <w:rPr>
                <w:rFonts w:ascii="Times New Roman" w:cs="Times New Roman" w:eastAsia="Times New Roman" w:hAnsi="Times New Roman"/>
                <w:sz w:val="19"/>
                <w:szCs w:val="19"/>
                <w:color w:val="231F20"/>
              </w:rPr>
              <w:t>Amortization of above market leases, lessor</w:t>
            </w:r>
          </w:p>
        </w:tc>
        <w:tc>
          <w:tcPr>
            <w:tcW w:w="960" w:type="dxa"/>
            <w:vAlign w:val="bottom"/>
          </w:tcPr>
          <w:p>
            <w:pPr>
              <w:jc w:val="right"/>
              <w:ind w:right="729"/>
              <w:spacing w:after="0"/>
              <w:rPr>
                <w:sz w:val="20"/>
                <w:szCs w:val="20"/>
                <w:color w:val="auto"/>
              </w:rPr>
            </w:pPr>
            <w:r>
              <w:rPr>
                <w:rFonts w:ascii="Times New Roman" w:cs="Times New Roman" w:eastAsia="Times New Roman" w:hAnsi="Times New Roman"/>
                <w:sz w:val="19"/>
                <w:szCs w:val="19"/>
                <w:color w:val="231F2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(3,106)</w:t>
            </w:r>
          </w:p>
        </w:tc>
        <w:tc>
          <w:tcPr>
            <w:tcW w:w="300" w:type="dxa"/>
            <w:vAlign w:val="bottom"/>
            <w:gridSpan w:val="2"/>
          </w:tcPr>
          <w:p>
            <w:pPr>
              <w:jc w:val="right"/>
              <w:ind w:right="5"/>
              <w:spacing w:after="0"/>
              <w:rPr>
                <w:sz w:val="20"/>
                <w:szCs w:val="20"/>
                <w:color w:val="auto"/>
              </w:rPr>
            </w:pPr>
            <w:r>
              <w:rPr>
                <w:rFonts w:ascii="Times New Roman" w:cs="Times New Roman" w:eastAsia="Times New Roman" w:hAnsi="Times New Roman"/>
                <w:sz w:val="19"/>
                <w:szCs w:val="19"/>
                <w:color w:val="231F20"/>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(2,799)</w:t>
            </w:r>
          </w:p>
        </w:tc>
        <w:tc>
          <w:tcPr>
            <w:tcW w:w="80" w:type="dxa"/>
            <w:vAlign w:val="bottom"/>
          </w:tcPr>
          <w:p>
            <w:pPr>
              <w:spacing w:after="0"/>
              <w:rPr>
                <w:sz w:val="21"/>
                <w:szCs w:val="21"/>
                <w:color w:val="auto"/>
              </w:rPr>
            </w:pPr>
          </w:p>
        </w:tc>
        <w:tc>
          <w:tcPr>
            <w:tcW w:w="380" w:type="dxa"/>
            <w:vAlign w:val="bottom"/>
          </w:tcPr>
          <w:p>
            <w:pPr>
              <w:jc w:val="right"/>
              <w:ind w:right="145"/>
              <w:spacing w:after="0"/>
              <w:rPr>
                <w:sz w:val="20"/>
                <w:szCs w:val="20"/>
                <w:color w:val="auto"/>
              </w:rPr>
            </w:pPr>
            <w:r>
              <w:rPr>
                <w:rFonts w:ascii="Times New Roman" w:cs="Times New Roman" w:eastAsia="Times New Roman" w:hAnsi="Times New Roman"/>
                <w:sz w:val="19"/>
                <w:szCs w:val="19"/>
                <w:color w:val="231F20"/>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(3,254)</w:t>
            </w:r>
          </w:p>
        </w:tc>
      </w:tr>
      <w:tr>
        <w:trPr>
          <w:trHeight w:val="272"/>
        </w:trPr>
        <w:tc>
          <w:tcPr>
            <w:tcW w:w="4740" w:type="dxa"/>
            <w:vAlign w:val="bottom"/>
          </w:tcPr>
          <w:p>
            <w:pPr>
              <w:spacing w:after="0"/>
              <w:rPr>
                <w:sz w:val="20"/>
                <w:szCs w:val="20"/>
                <w:color w:val="auto"/>
              </w:rPr>
            </w:pPr>
            <w:r>
              <w:rPr>
                <w:rFonts w:ascii="Times New Roman" w:cs="Times New Roman" w:eastAsia="Times New Roman" w:hAnsi="Times New Roman"/>
                <w:sz w:val="19"/>
                <w:szCs w:val="19"/>
                <w:color w:val="231F20"/>
              </w:rPr>
              <w:t>Amortization of below market leases, lessor</w:t>
            </w:r>
          </w:p>
        </w:tc>
        <w:tc>
          <w:tcPr>
            <w:tcW w:w="960" w:type="dxa"/>
            <w:vAlign w:val="bottom"/>
            <w:tcBorders>
              <w:bottom w:val="single" w:sz="8" w:color="231F20"/>
            </w:tcBorders>
          </w:tcPr>
          <w:p>
            <w:pPr>
              <w:spacing w:after="0"/>
              <w:rPr>
                <w:sz w:val="23"/>
                <w:szCs w:val="23"/>
                <w:color w:val="auto"/>
              </w:rPr>
            </w:pPr>
          </w:p>
        </w:tc>
        <w:tc>
          <w:tcPr>
            <w:tcW w:w="6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17,862</w:t>
            </w:r>
          </w:p>
        </w:tc>
        <w:tc>
          <w:tcPr>
            <w:tcW w:w="60" w:type="dxa"/>
            <w:vAlign w:val="bottom"/>
          </w:tcPr>
          <w:p>
            <w:pPr>
              <w:spacing w:after="0"/>
              <w:rPr>
                <w:sz w:val="23"/>
                <w:szCs w:val="23"/>
                <w:color w:val="auto"/>
              </w:rPr>
            </w:pPr>
          </w:p>
        </w:tc>
        <w:tc>
          <w:tcPr>
            <w:tcW w:w="240" w:type="dxa"/>
            <w:vAlign w:val="bottom"/>
            <w:tcBorders>
              <w:bottom w:val="single" w:sz="8" w:color="231F20"/>
            </w:tcBorders>
          </w:tcPr>
          <w:p>
            <w:pPr>
              <w:spacing w:after="0"/>
              <w:rPr>
                <w:sz w:val="23"/>
                <w:szCs w:val="23"/>
                <w:color w:val="auto"/>
              </w:rPr>
            </w:pPr>
          </w:p>
        </w:tc>
        <w:tc>
          <w:tcPr>
            <w:tcW w:w="13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16,290</w:t>
            </w:r>
          </w:p>
        </w:tc>
        <w:tc>
          <w:tcPr>
            <w:tcW w:w="80" w:type="dxa"/>
            <w:vAlign w:val="bottom"/>
          </w:tcPr>
          <w:p>
            <w:pPr>
              <w:spacing w:after="0"/>
              <w:rPr>
                <w:sz w:val="23"/>
                <w:szCs w:val="23"/>
                <w:color w:val="auto"/>
              </w:rPr>
            </w:pPr>
          </w:p>
        </w:tc>
        <w:tc>
          <w:tcPr>
            <w:tcW w:w="380" w:type="dxa"/>
            <w:vAlign w:val="bottom"/>
            <w:tcBorders>
              <w:bottom w:val="single" w:sz="8" w:color="231F20"/>
            </w:tcBorders>
          </w:tcPr>
          <w:p>
            <w:pPr>
              <w:spacing w:after="0"/>
              <w:rPr>
                <w:sz w:val="23"/>
                <w:szCs w:val="23"/>
                <w:color w:val="auto"/>
              </w:rPr>
            </w:pPr>
          </w:p>
        </w:tc>
        <w:tc>
          <w:tcPr>
            <w:tcW w:w="12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15,864</w:t>
            </w:r>
          </w:p>
        </w:tc>
      </w:tr>
      <w:tr>
        <w:trPr>
          <w:trHeight w:val="233"/>
        </w:trPr>
        <w:tc>
          <w:tcPr>
            <w:tcW w:w="4740" w:type="dxa"/>
            <w:vAlign w:val="bottom"/>
          </w:tcPr>
          <w:p>
            <w:pPr>
              <w:ind w:left="180"/>
              <w:spacing w:after="0"/>
              <w:rPr>
                <w:sz w:val="20"/>
                <w:szCs w:val="20"/>
                <w:color w:val="auto"/>
              </w:rPr>
            </w:pPr>
            <w:r>
              <w:rPr>
                <w:rFonts w:ascii="Times New Roman" w:cs="Times New Roman" w:eastAsia="Times New Roman" w:hAnsi="Times New Roman"/>
                <w:sz w:val="19"/>
                <w:szCs w:val="19"/>
                <w:color w:val="231F20"/>
              </w:rPr>
              <w:t>Net increase in rental income</w:t>
            </w:r>
          </w:p>
        </w:tc>
        <w:tc>
          <w:tcPr>
            <w:tcW w:w="960" w:type="dxa"/>
            <w:vAlign w:val="bottom"/>
            <w:tcBorders>
              <w:bottom w:val="single" w:sz="8" w:color="231F20"/>
            </w:tcBorders>
          </w:tcPr>
          <w:p>
            <w:pPr>
              <w:jc w:val="right"/>
              <w:ind w:right="729"/>
              <w:spacing w:after="0"/>
              <w:rPr>
                <w:sz w:val="20"/>
                <w:szCs w:val="20"/>
                <w:color w:val="auto"/>
              </w:rPr>
            </w:pPr>
            <w:r>
              <w:rPr>
                <w:rFonts w:ascii="Times New Roman" w:cs="Times New Roman" w:eastAsia="Times New Roman" w:hAnsi="Times New Roman"/>
                <w:sz w:val="19"/>
                <w:szCs w:val="19"/>
                <w:color w:val="231F20"/>
              </w:rPr>
              <w:t>$</w:t>
            </w:r>
          </w:p>
        </w:tc>
        <w:tc>
          <w:tcPr>
            <w:tcW w:w="6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14,756</w:t>
            </w:r>
          </w:p>
        </w:tc>
        <w:tc>
          <w:tcPr>
            <w:tcW w:w="60" w:type="dxa"/>
            <w:vAlign w:val="bottom"/>
          </w:tcPr>
          <w:p>
            <w:pPr>
              <w:spacing w:after="0"/>
              <w:rPr>
                <w:sz w:val="20"/>
                <w:szCs w:val="20"/>
                <w:color w:val="auto"/>
              </w:rPr>
            </w:pPr>
          </w:p>
        </w:tc>
        <w:tc>
          <w:tcPr>
            <w:tcW w:w="240" w:type="dxa"/>
            <w:vAlign w:val="bottom"/>
            <w:tcBorders>
              <w:bottom w:val="single" w:sz="8" w:color="231F20"/>
            </w:tcBorders>
          </w:tcPr>
          <w:p>
            <w:pPr>
              <w:jc w:val="right"/>
              <w:ind w:right="5"/>
              <w:spacing w:after="0"/>
              <w:rPr>
                <w:sz w:val="20"/>
                <w:szCs w:val="20"/>
                <w:color w:val="auto"/>
              </w:rPr>
            </w:pPr>
            <w:r>
              <w:rPr>
                <w:rFonts w:ascii="Times New Roman" w:cs="Times New Roman" w:eastAsia="Times New Roman" w:hAnsi="Times New Roman"/>
                <w:sz w:val="19"/>
                <w:szCs w:val="19"/>
                <w:color w:val="231F20"/>
              </w:rPr>
              <w:t>$</w:t>
            </w:r>
          </w:p>
        </w:tc>
        <w:tc>
          <w:tcPr>
            <w:tcW w:w="13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13,491</w:t>
            </w:r>
          </w:p>
        </w:tc>
        <w:tc>
          <w:tcPr>
            <w:tcW w:w="80" w:type="dxa"/>
            <w:vAlign w:val="bottom"/>
          </w:tcPr>
          <w:p>
            <w:pPr>
              <w:spacing w:after="0"/>
              <w:rPr>
                <w:sz w:val="20"/>
                <w:szCs w:val="20"/>
                <w:color w:val="auto"/>
              </w:rPr>
            </w:pPr>
          </w:p>
        </w:tc>
        <w:tc>
          <w:tcPr>
            <w:tcW w:w="380" w:type="dxa"/>
            <w:vAlign w:val="bottom"/>
            <w:tcBorders>
              <w:bottom w:val="single" w:sz="8" w:color="231F20"/>
            </w:tcBorders>
          </w:tcPr>
          <w:p>
            <w:pPr>
              <w:jc w:val="right"/>
              <w:ind w:right="145"/>
              <w:spacing w:after="0"/>
              <w:rPr>
                <w:sz w:val="20"/>
                <w:szCs w:val="20"/>
                <w:color w:val="auto"/>
              </w:rPr>
            </w:pPr>
            <w:r>
              <w:rPr>
                <w:rFonts w:ascii="Times New Roman" w:cs="Times New Roman" w:eastAsia="Times New Roman" w:hAnsi="Times New Roman"/>
                <w:sz w:val="19"/>
                <w:szCs w:val="19"/>
                <w:color w:val="231F20"/>
              </w:rPr>
              <w:t>$</w:t>
            </w:r>
          </w:p>
        </w:tc>
        <w:tc>
          <w:tcPr>
            <w:tcW w:w="12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12,610</w:t>
            </w:r>
          </w:p>
        </w:tc>
      </w:tr>
      <w:tr>
        <w:trPr>
          <w:trHeight w:val="20"/>
        </w:trPr>
        <w:tc>
          <w:tcPr>
            <w:tcW w:w="4740" w:type="dxa"/>
            <w:vAlign w:val="bottom"/>
          </w:tcPr>
          <w:p>
            <w:pPr>
              <w:spacing w:after="0" w:line="20" w:lineRule="exact"/>
              <w:rPr>
                <w:sz w:val="1"/>
                <w:szCs w:val="1"/>
                <w:color w:val="auto"/>
              </w:rPr>
            </w:pPr>
          </w:p>
        </w:tc>
        <w:tc>
          <w:tcPr>
            <w:tcW w:w="960" w:type="dxa"/>
            <w:vAlign w:val="bottom"/>
            <w:tcBorders>
              <w:bottom w:val="single" w:sz="8" w:color="231F20"/>
            </w:tcBorders>
          </w:tcPr>
          <w:p>
            <w:pPr>
              <w:spacing w:after="0" w:line="20" w:lineRule="exact"/>
              <w:rPr>
                <w:sz w:val="1"/>
                <w:szCs w:val="1"/>
                <w:color w:val="auto"/>
              </w:rPr>
            </w:pPr>
          </w:p>
        </w:tc>
        <w:tc>
          <w:tcPr>
            <w:tcW w:w="64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231F20"/>
            </w:tcBorders>
          </w:tcPr>
          <w:p>
            <w:pPr>
              <w:spacing w:after="0" w:line="20" w:lineRule="exact"/>
              <w:rPr>
                <w:sz w:val="1"/>
                <w:szCs w:val="1"/>
                <w:color w:val="auto"/>
              </w:rPr>
            </w:pPr>
          </w:p>
        </w:tc>
        <w:tc>
          <w:tcPr>
            <w:tcW w:w="136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231F20"/>
            </w:tcBorders>
          </w:tcPr>
          <w:p>
            <w:pPr>
              <w:spacing w:after="0" w:line="20" w:lineRule="exact"/>
              <w:rPr>
                <w:sz w:val="1"/>
                <w:szCs w:val="1"/>
                <w:color w:val="auto"/>
              </w:rPr>
            </w:pPr>
          </w:p>
        </w:tc>
        <w:tc>
          <w:tcPr>
            <w:tcW w:w="1200" w:type="dxa"/>
            <w:vAlign w:val="bottom"/>
            <w:tcBorders>
              <w:bottom w:val="single" w:sz="8" w:color="231F20"/>
            </w:tcBorders>
          </w:tcPr>
          <w:p>
            <w:pPr>
              <w:spacing w:after="0" w:line="20" w:lineRule="exact"/>
              <w:rPr>
                <w:sz w:val="1"/>
                <w:szCs w:val="1"/>
                <w:color w:val="auto"/>
              </w:rPr>
            </w:pPr>
          </w:p>
        </w:tc>
      </w:tr>
      <w:tr>
        <w:trPr>
          <w:trHeight w:val="385"/>
        </w:trPr>
        <w:tc>
          <w:tcPr>
            <w:tcW w:w="4740" w:type="dxa"/>
            <w:vAlign w:val="bottom"/>
          </w:tcPr>
          <w:p>
            <w:pPr>
              <w:spacing w:after="0"/>
              <w:rPr>
                <w:sz w:val="20"/>
                <w:szCs w:val="20"/>
                <w:color w:val="auto"/>
              </w:rPr>
            </w:pPr>
            <w:r>
              <w:rPr>
                <w:rFonts w:ascii="Times New Roman" w:cs="Times New Roman" w:eastAsia="Times New Roman" w:hAnsi="Times New Roman"/>
                <w:sz w:val="19"/>
                <w:szCs w:val="19"/>
                <w:color w:val="231F20"/>
              </w:rPr>
              <w:t>Amortization of below market leases, lessee</w:t>
            </w:r>
          </w:p>
        </w:tc>
        <w:tc>
          <w:tcPr>
            <w:tcW w:w="960" w:type="dxa"/>
            <w:vAlign w:val="bottom"/>
          </w:tcPr>
          <w:p>
            <w:pPr>
              <w:jc w:val="right"/>
              <w:ind w:right="729"/>
              <w:spacing w:after="0"/>
              <w:rPr>
                <w:sz w:val="20"/>
                <w:szCs w:val="20"/>
                <w:color w:val="auto"/>
              </w:rPr>
            </w:pPr>
            <w:r>
              <w:rPr>
                <w:rFonts w:ascii="Times New Roman" w:cs="Times New Roman" w:eastAsia="Times New Roman" w:hAnsi="Times New Roman"/>
                <w:sz w:val="19"/>
                <w:szCs w:val="19"/>
                <w:color w:val="231F2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734</w:t>
            </w:r>
          </w:p>
        </w:tc>
        <w:tc>
          <w:tcPr>
            <w:tcW w:w="300" w:type="dxa"/>
            <w:vAlign w:val="bottom"/>
            <w:gridSpan w:val="2"/>
          </w:tcPr>
          <w:p>
            <w:pPr>
              <w:jc w:val="right"/>
              <w:ind w:right="5"/>
              <w:spacing w:after="0"/>
              <w:rPr>
                <w:sz w:val="20"/>
                <w:szCs w:val="20"/>
                <w:color w:val="auto"/>
              </w:rPr>
            </w:pPr>
            <w:r>
              <w:rPr>
                <w:rFonts w:ascii="Times New Roman" w:cs="Times New Roman" w:eastAsia="Times New Roman" w:hAnsi="Times New Roman"/>
                <w:sz w:val="19"/>
                <w:szCs w:val="19"/>
                <w:color w:val="231F20"/>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734</w:t>
            </w:r>
          </w:p>
        </w:tc>
        <w:tc>
          <w:tcPr>
            <w:tcW w:w="80" w:type="dxa"/>
            <w:vAlign w:val="bottom"/>
          </w:tcPr>
          <w:p>
            <w:pPr>
              <w:spacing w:after="0"/>
              <w:rPr>
                <w:sz w:val="24"/>
                <w:szCs w:val="24"/>
                <w:color w:val="auto"/>
              </w:rPr>
            </w:pPr>
          </w:p>
        </w:tc>
        <w:tc>
          <w:tcPr>
            <w:tcW w:w="380" w:type="dxa"/>
            <w:vAlign w:val="bottom"/>
          </w:tcPr>
          <w:p>
            <w:pPr>
              <w:jc w:val="right"/>
              <w:ind w:right="145"/>
              <w:spacing w:after="0"/>
              <w:rPr>
                <w:sz w:val="20"/>
                <w:szCs w:val="20"/>
                <w:color w:val="auto"/>
              </w:rPr>
            </w:pPr>
            <w:r>
              <w:rPr>
                <w:rFonts w:ascii="Times New Roman" w:cs="Times New Roman" w:eastAsia="Times New Roman" w:hAnsi="Times New Roman"/>
                <w:sz w:val="19"/>
                <w:szCs w:val="19"/>
                <w:color w:val="231F20"/>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742</w:t>
            </w:r>
          </w:p>
        </w:tc>
      </w:tr>
      <w:tr>
        <w:trPr>
          <w:trHeight w:val="272"/>
        </w:trPr>
        <w:tc>
          <w:tcPr>
            <w:tcW w:w="4740" w:type="dxa"/>
            <w:vAlign w:val="bottom"/>
          </w:tcPr>
          <w:p>
            <w:pPr>
              <w:spacing w:after="0"/>
              <w:rPr>
                <w:sz w:val="20"/>
                <w:szCs w:val="20"/>
                <w:color w:val="auto"/>
              </w:rPr>
            </w:pPr>
            <w:r>
              <w:rPr>
                <w:rFonts w:ascii="Times New Roman" w:cs="Times New Roman" w:eastAsia="Times New Roman" w:hAnsi="Times New Roman"/>
                <w:sz w:val="19"/>
                <w:szCs w:val="19"/>
                <w:color w:val="231F20"/>
              </w:rPr>
              <w:t>Amortization of above market leases, lessee</w:t>
            </w:r>
          </w:p>
        </w:tc>
        <w:tc>
          <w:tcPr>
            <w:tcW w:w="960" w:type="dxa"/>
            <w:vAlign w:val="bottom"/>
            <w:tcBorders>
              <w:bottom w:val="single" w:sz="8" w:color="231F20"/>
            </w:tcBorders>
          </w:tcPr>
          <w:p>
            <w:pPr>
              <w:spacing w:after="0"/>
              <w:rPr>
                <w:sz w:val="23"/>
                <w:szCs w:val="23"/>
                <w:color w:val="auto"/>
              </w:rPr>
            </w:pPr>
          </w:p>
        </w:tc>
        <w:tc>
          <w:tcPr>
            <w:tcW w:w="6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(563)</w:t>
            </w:r>
          </w:p>
        </w:tc>
        <w:tc>
          <w:tcPr>
            <w:tcW w:w="60" w:type="dxa"/>
            <w:vAlign w:val="bottom"/>
          </w:tcPr>
          <w:p>
            <w:pPr>
              <w:spacing w:after="0"/>
              <w:rPr>
                <w:sz w:val="23"/>
                <w:szCs w:val="23"/>
                <w:color w:val="auto"/>
              </w:rPr>
            </w:pPr>
          </w:p>
        </w:tc>
        <w:tc>
          <w:tcPr>
            <w:tcW w:w="240" w:type="dxa"/>
            <w:vAlign w:val="bottom"/>
            <w:tcBorders>
              <w:bottom w:val="single" w:sz="8" w:color="231F20"/>
            </w:tcBorders>
          </w:tcPr>
          <w:p>
            <w:pPr>
              <w:spacing w:after="0"/>
              <w:rPr>
                <w:sz w:val="23"/>
                <w:szCs w:val="23"/>
                <w:color w:val="auto"/>
              </w:rPr>
            </w:pPr>
          </w:p>
        </w:tc>
        <w:tc>
          <w:tcPr>
            <w:tcW w:w="13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(562)</w:t>
            </w:r>
          </w:p>
        </w:tc>
        <w:tc>
          <w:tcPr>
            <w:tcW w:w="80" w:type="dxa"/>
            <w:vAlign w:val="bottom"/>
          </w:tcPr>
          <w:p>
            <w:pPr>
              <w:spacing w:after="0"/>
              <w:rPr>
                <w:sz w:val="23"/>
                <w:szCs w:val="23"/>
                <w:color w:val="auto"/>
              </w:rPr>
            </w:pPr>
          </w:p>
        </w:tc>
        <w:tc>
          <w:tcPr>
            <w:tcW w:w="380" w:type="dxa"/>
            <w:vAlign w:val="bottom"/>
            <w:tcBorders>
              <w:bottom w:val="single" w:sz="8" w:color="231F20"/>
            </w:tcBorders>
          </w:tcPr>
          <w:p>
            <w:pPr>
              <w:spacing w:after="0"/>
              <w:rPr>
                <w:sz w:val="23"/>
                <w:szCs w:val="23"/>
                <w:color w:val="auto"/>
              </w:rPr>
            </w:pPr>
          </w:p>
        </w:tc>
        <w:tc>
          <w:tcPr>
            <w:tcW w:w="12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(563)</w:t>
            </w:r>
          </w:p>
        </w:tc>
      </w:tr>
      <w:tr>
        <w:trPr>
          <w:trHeight w:val="233"/>
        </w:trPr>
        <w:tc>
          <w:tcPr>
            <w:tcW w:w="4740" w:type="dxa"/>
            <w:vAlign w:val="bottom"/>
          </w:tcPr>
          <w:p>
            <w:pPr>
              <w:ind w:left="180"/>
              <w:spacing w:after="0"/>
              <w:rPr>
                <w:sz w:val="20"/>
                <w:szCs w:val="20"/>
                <w:color w:val="auto"/>
              </w:rPr>
            </w:pPr>
            <w:r>
              <w:rPr>
                <w:rFonts w:ascii="Times New Roman" w:cs="Times New Roman" w:eastAsia="Times New Roman" w:hAnsi="Times New Roman"/>
                <w:sz w:val="19"/>
                <w:szCs w:val="19"/>
                <w:color w:val="231F20"/>
              </w:rPr>
              <w:t>Net increase in rental expense</w:t>
            </w:r>
          </w:p>
        </w:tc>
        <w:tc>
          <w:tcPr>
            <w:tcW w:w="960" w:type="dxa"/>
            <w:vAlign w:val="bottom"/>
          </w:tcPr>
          <w:p>
            <w:pPr>
              <w:jc w:val="right"/>
              <w:ind w:right="729"/>
              <w:spacing w:after="0"/>
              <w:rPr>
                <w:sz w:val="20"/>
                <w:szCs w:val="20"/>
                <w:color w:val="auto"/>
              </w:rPr>
            </w:pPr>
            <w:r>
              <w:rPr>
                <w:rFonts w:ascii="Times New Roman" w:cs="Times New Roman" w:eastAsia="Times New Roman" w:hAnsi="Times New Roman"/>
                <w:sz w:val="19"/>
                <w:szCs w:val="19"/>
                <w:color w:val="231F2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171</w:t>
            </w:r>
          </w:p>
        </w:tc>
        <w:tc>
          <w:tcPr>
            <w:tcW w:w="300" w:type="dxa"/>
            <w:vAlign w:val="bottom"/>
            <w:gridSpan w:val="2"/>
          </w:tcPr>
          <w:p>
            <w:pPr>
              <w:jc w:val="right"/>
              <w:ind w:right="5"/>
              <w:spacing w:after="0"/>
              <w:rPr>
                <w:sz w:val="20"/>
                <w:szCs w:val="20"/>
                <w:color w:val="auto"/>
              </w:rPr>
            </w:pPr>
            <w:r>
              <w:rPr>
                <w:rFonts w:ascii="Times New Roman" w:cs="Times New Roman" w:eastAsia="Times New Roman" w:hAnsi="Times New Roman"/>
                <w:sz w:val="19"/>
                <w:szCs w:val="19"/>
                <w:color w:val="231F20"/>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172</w:t>
            </w:r>
          </w:p>
        </w:tc>
        <w:tc>
          <w:tcPr>
            <w:tcW w:w="80" w:type="dxa"/>
            <w:vAlign w:val="bottom"/>
          </w:tcPr>
          <w:p>
            <w:pPr>
              <w:spacing w:after="0"/>
              <w:rPr>
                <w:sz w:val="20"/>
                <w:szCs w:val="20"/>
                <w:color w:val="auto"/>
              </w:rPr>
            </w:pPr>
          </w:p>
        </w:tc>
        <w:tc>
          <w:tcPr>
            <w:tcW w:w="380" w:type="dxa"/>
            <w:vAlign w:val="bottom"/>
          </w:tcPr>
          <w:p>
            <w:pPr>
              <w:jc w:val="right"/>
              <w:ind w:right="145"/>
              <w:spacing w:after="0"/>
              <w:rPr>
                <w:sz w:val="20"/>
                <w:szCs w:val="20"/>
                <w:color w:val="auto"/>
              </w:rPr>
            </w:pPr>
            <w:r>
              <w:rPr>
                <w:rFonts w:ascii="Times New Roman" w:cs="Times New Roman" w:eastAsia="Times New Roman" w:hAnsi="Times New Roman"/>
                <w:sz w:val="19"/>
                <w:szCs w:val="19"/>
                <w:color w:val="231F20"/>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179</w:t>
            </w:r>
          </w:p>
        </w:tc>
      </w:tr>
      <w:tr>
        <w:trPr>
          <w:trHeight w:val="20"/>
        </w:trPr>
        <w:tc>
          <w:tcPr>
            <w:tcW w:w="4740" w:type="dxa"/>
            <w:vAlign w:val="bottom"/>
          </w:tcPr>
          <w:p>
            <w:pPr>
              <w:spacing w:after="0" w:line="20" w:lineRule="exact"/>
              <w:rPr>
                <w:sz w:val="1"/>
                <w:szCs w:val="1"/>
                <w:color w:val="auto"/>
              </w:rPr>
            </w:pPr>
          </w:p>
        </w:tc>
        <w:tc>
          <w:tcPr>
            <w:tcW w:w="960" w:type="dxa"/>
            <w:vAlign w:val="bottom"/>
            <w:tcBorders>
              <w:top w:val="single" w:sz="8" w:color="231F20"/>
              <w:bottom w:val="single" w:sz="8" w:color="231F20"/>
            </w:tcBorders>
          </w:tcPr>
          <w:p>
            <w:pPr>
              <w:spacing w:after="0" w:line="20" w:lineRule="exact"/>
              <w:rPr>
                <w:sz w:val="1"/>
                <w:szCs w:val="1"/>
                <w:color w:val="auto"/>
              </w:rPr>
            </w:pPr>
          </w:p>
        </w:tc>
        <w:tc>
          <w:tcPr>
            <w:tcW w:w="64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231F20"/>
              <w:bottom w:val="single" w:sz="8" w:color="231F20"/>
            </w:tcBorders>
          </w:tcPr>
          <w:p>
            <w:pPr>
              <w:spacing w:after="0" w:line="20" w:lineRule="exact"/>
              <w:rPr>
                <w:sz w:val="1"/>
                <w:szCs w:val="1"/>
                <w:color w:val="auto"/>
              </w:rPr>
            </w:pPr>
          </w:p>
        </w:tc>
        <w:tc>
          <w:tcPr>
            <w:tcW w:w="136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231F20"/>
              <w:bottom w:val="single" w:sz="8" w:color="231F20"/>
            </w:tcBorders>
          </w:tcPr>
          <w:p>
            <w:pPr>
              <w:spacing w:after="0" w:line="20" w:lineRule="exact"/>
              <w:rPr>
                <w:sz w:val="1"/>
                <w:szCs w:val="1"/>
                <w:color w:val="auto"/>
              </w:rPr>
            </w:pPr>
          </w:p>
        </w:tc>
        <w:tc>
          <w:tcPr>
            <w:tcW w:w="1200" w:type="dxa"/>
            <w:vAlign w:val="bottom"/>
            <w:tcBorders>
              <w:top w:val="single" w:sz="8" w:color="231F20"/>
              <w:bottom w:val="single" w:sz="8" w:color="231F20"/>
            </w:tcBorders>
          </w:tcPr>
          <w:p>
            <w:pPr>
              <w:spacing w:after="0" w:line="20" w:lineRule="exact"/>
              <w:rPr>
                <w:sz w:val="1"/>
                <w:szCs w:val="1"/>
                <w:color w:val="auto"/>
              </w:rPr>
            </w:pPr>
          </w:p>
        </w:tc>
      </w:tr>
    </w:tbl>
    <w:p>
      <w:pPr>
        <w:spacing w:after="0" w:line="83" w:lineRule="exact"/>
        <w:rPr>
          <w:sz w:val="20"/>
          <w:szCs w:val="20"/>
          <w:color w:val="auto"/>
        </w:rPr>
      </w:pPr>
    </w:p>
    <w:p>
      <w:pPr>
        <w:ind w:right="140"/>
        <w:spacing w:after="0" w:line="284" w:lineRule="auto"/>
        <w:rPr>
          <w:sz w:val="20"/>
          <w:szCs w:val="20"/>
          <w:color w:val="auto"/>
        </w:rPr>
      </w:pPr>
      <w:r>
        <w:rPr>
          <w:rFonts w:ascii="Times New Roman" w:cs="Times New Roman" w:eastAsia="Times New Roman" w:hAnsi="Times New Roman"/>
          <w:sz w:val="19"/>
          <w:szCs w:val="19"/>
          <w:color w:val="231F20"/>
        </w:rPr>
        <w:t>The following is a summary of the remaining weighted average amortization period for our acquired lease assets and acquired lease liabilities:</w:t>
      </w:r>
    </w:p>
    <w:p>
      <w:pPr>
        <w:spacing w:after="0" w:line="277" w:lineRule="exact"/>
        <w:rPr>
          <w:sz w:val="20"/>
          <w:szCs w:val="20"/>
          <w:color w:val="auto"/>
        </w:rPr>
      </w:pPr>
    </w:p>
    <w:tbl>
      <w:tblPr>
        <w:tblLayout w:type="fixed"/>
        <w:tblInd w:w="60" w:type="dxa"/>
        <w:tblCellMar>
          <w:top w:w="0" w:type="dxa"/>
          <w:left w:w="0" w:type="dxa"/>
          <w:bottom w:w="0" w:type="dxa"/>
          <w:right w:w="0" w:type="dxa"/>
        </w:tblCellMar>
      </w:tblPr>
      <w:tr>
        <w:trPr>
          <w:trHeight w:val="206"/>
        </w:trPr>
        <w:tc>
          <w:tcPr>
            <w:tcW w:w="8080" w:type="dxa"/>
            <w:vAlign w:val="bottom"/>
          </w:tcPr>
          <w:p>
            <w:pPr>
              <w:spacing w:after="0"/>
              <w:rPr>
                <w:sz w:val="17"/>
                <w:szCs w:val="17"/>
                <w:color w:val="auto"/>
              </w:rPr>
            </w:pPr>
          </w:p>
        </w:tc>
        <w:tc>
          <w:tcPr>
            <w:tcW w:w="1580" w:type="dxa"/>
            <w:vAlign w:val="bottom"/>
            <w:tcBorders>
              <w:bottom w:val="single" w:sz="8" w:color="231F20"/>
            </w:tcBorders>
          </w:tcPr>
          <w:p>
            <w:pPr>
              <w:jc w:val="right"/>
              <w:ind w:right="89"/>
              <w:spacing w:after="0"/>
              <w:rPr>
                <w:sz w:val="20"/>
                <w:szCs w:val="20"/>
                <w:color w:val="auto"/>
              </w:rPr>
            </w:pPr>
            <w:r>
              <w:rPr>
                <w:rFonts w:ascii="Times New Roman" w:cs="Times New Roman" w:eastAsia="Times New Roman" w:hAnsi="Times New Roman"/>
                <w:sz w:val="15"/>
                <w:szCs w:val="15"/>
                <w:b w:val="1"/>
                <w:bCs w:val="1"/>
                <w:color w:val="231F20"/>
              </w:rPr>
              <w:t>December 31, 2025</w:t>
            </w:r>
          </w:p>
        </w:tc>
      </w:tr>
      <w:tr>
        <w:trPr>
          <w:trHeight w:val="336"/>
        </w:trPr>
        <w:tc>
          <w:tcPr>
            <w:tcW w:w="8080" w:type="dxa"/>
            <w:vAlign w:val="bottom"/>
          </w:tcPr>
          <w:p>
            <w:pPr>
              <w:spacing w:after="0"/>
              <w:rPr>
                <w:sz w:val="20"/>
                <w:szCs w:val="20"/>
                <w:color w:val="auto"/>
              </w:rPr>
            </w:pPr>
            <w:r>
              <w:rPr>
                <w:rFonts w:ascii="Times New Roman" w:cs="Times New Roman" w:eastAsia="Times New Roman" w:hAnsi="Times New Roman"/>
                <w:sz w:val="19"/>
                <w:szCs w:val="19"/>
                <w:color w:val="231F20"/>
              </w:rPr>
              <w:t>Above market leases, lessor</w:t>
            </w:r>
          </w:p>
        </w:tc>
        <w:tc>
          <w:tcPr>
            <w:tcW w:w="15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2.8 years</w:t>
            </w:r>
          </w:p>
        </w:tc>
      </w:tr>
      <w:tr>
        <w:trPr>
          <w:trHeight w:val="285"/>
        </w:trPr>
        <w:tc>
          <w:tcPr>
            <w:tcW w:w="8080" w:type="dxa"/>
            <w:vAlign w:val="bottom"/>
          </w:tcPr>
          <w:p>
            <w:pPr>
              <w:spacing w:after="0"/>
              <w:rPr>
                <w:sz w:val="20"/>
                <w:szCs w:val="20"/>
                <w:color w:val="auto"/>
              </w:rPr>
            </w:pPr>
            <w:r>
              <w:rPr>
                <w:rFonts w:ascii="Times New Roman" w:cs="Times New Roman" w:eastAsia="Times New Roman" w:hAnsi="Times New Roman"/>
                <w:sz w:val="19"/>
                <w:szCs w:val="19"/>
                <w:color w:val="231F20"/>
              </w:rPr>
              <w:t>Below market leases, lessee</w:t>
            </w:r>
          </w:p>
        </w:tc>
        <w:tc>
          <w:tcPr>
            <w:tcW w:w="15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29.0 years</w:t>
            </w:r>
          </w:p>
        </w:tc>
      </w:tr>
      <w:tr>
        <w:trPr>
          <w:trHeight w:val="285"/>
        </w:trPr>
        <w:tc>
          <w:tcPr>
            <w:tcW w:w="8080" w:type="dxa"/>
            <w:vAlign w:val="bottom"/>
          </w:tcPr>
          <w:p>
            <w:pPr>
              <w:spacing w:after="0"/>
              <w:rPr>
                <w:sz w:val="20"/>
                <w:szCs w:val="20"/>
                <w:color w:val="auto"/>
              </w:rPr>
            </w:pPr>
            <w:r>
              <w:rPr>
                <w:rFonts w:ascii="Times New Roman" w:cs="Times New Roman" w:eastAsia="Times New Roman" w:hAnsi="Times New Roman"/>
                <w:sz w:val="19"/>
                <w:szCs w:val="19"/>
                <w:color w:val="231F20"/>
              </w:rPr>
              <w:t>Below market leases, lessor</w:t>
            </w:r>
          </w:p>
        </w:tc>
        <w:tc>
          <w:tcPr>
            <w:tcW w:w="15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16.6 years</w:t>
            </w:r>
          </w:p>
        </w:tc>
      </w:tr>
      <w:tr>
        <w:trPr>
          <w:trHeight w:val="285"/>
        </w:trPr>
        <w:tc>
          <w:tcPr>
            <w:tcW w:w="8080" w:type="dxa"/>
            <w:vAlign w:val="bottom"/>
          </w:tcPr>
          <w:p>
            <w:pPr>
              <w:spacing w:after="0"/>
              <w:rPr>
                <w:sz w:val="20"/>
                <w:szCs w:val="20"/>
                <w:color w:val="auto"/>
              </w:rPr>
            </w:pPr>
            <w:r>
              <w:rPr>
                <w:rFonts w:ascii="Times New Roman" w:cs="Times New Roman" w:eastAsia="Times New Roman" w:hAnsi="Times New Roman"/>
                <w:sz w:val="19"/>
                <w:szCs w:val="19"/>
                <w:color w:val="231F20"/>
              </w:rPr>
              <w:t>Above market leases, lessee</w:t>
            </w:r>
          </w:p>
        </w:tc>
        <w:tc>
          <w:tcPr>
            <w:tcW w:w="15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16.1 years</w:t>
            </w:r>
          </w:p>
        </w:tc>
      </w:tr>
    </w:tbl>
    <w:p>
      <w:pPr>
        <w:spacing w:after="0" w:line="123" w:lineRule="exact"/>
        <w:rPr>
          <w:sz w:val="20"/>
          <w:szCs w:val="20"/>
          <w:color w:val="auto"/>
        </w:rPr>
      </w:pPr>
    </w:p>
    <w:p>
      <w:pPr>
        <w:ind w:right="520"/>
        <w:spacing w:after="0" w:line="284" w:lineRule="auto"/>
        <w:rPr>
          <w:sz w:val="20"/>
          <w:szCs w:val="20"/>
          <w:color w:val="auto"/>
        </w:rPr>
      </w:pPr>
      <w:r>
        <w:rPr>
          <w:rFonts w:ascii="Times New Roman" w:cs="Times New Roman" w:eastAsia="Times New Roman" w:hAnsi="Times New Roman"/>
          <w:sz w:val="19"/>
          <w:szCs w:val="19"/>
          <w:color w:val="231F20"/>
        </w:rPr>
        <w:t>The amortization for acquired leases during the next five years and thereafter, assuming no early lease terminations, is as follows:</w:t>
      </w:r>
    </w:p>
    <w:p>
      <w:pPr>
        <w:spacing w:after="0" w:line="264" w:lineRule="exact"/>
        <w:rPr>
          <w:sz w:val="20"/>
          <w:szCs w:val="20"/>
          <w:color w:val="auto"/>
        </w:rPr>
      </w:pPr>
    </w:p>
    <w:tbl>
      <w:tblPr>
        <w:tblLayout w:type="fixed"/>
        <w:tblInd w:w="60" w:type="dxa"/>
        <w:tblCellMar>
          <w:top w:w="0" w:type="dxa"/>
          <w:left w:w="0" w:type="dxa"/>
          <w:bottom w:w="0" w:type="dxa"/>
          <w:right w:w="0" w:type="dxa"/>
        </w:tblCellMar>
      </w:tblPr>
      <w:tr>
        <w:trPr>
          <w:trHeight w:val="172"/>
        </w:trPr>
        <w:tc>
          <w:tcPr>
            <w:tcW w:w="6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Pr>
          <w:p>
            <w:pPr>
              <w:jc w:val="right"/>
              <w:ind w:right="171"/>
              <w:spacing w:after="0"/>
              <w:rPr>
                <w:sz w:val="20"/>
                <w:szCs w:val="20"/>
                <w:color w:val="auto"/>
              </w:rPr>
            </w:pPr>
            <w:r>
              <w:rPr>
                <w:rFonts w:ascii="Times New Roman" w:cs="Times New Roman" w:eastAsia="Times New Roman" w:hAnsi="Times New Roman"/>
                <w:sz w:val="15"/>
                <w:szCs w:val="15"/>
                <w:b w:val="1"/>
                <w:bCs w:val="1"/>
                <w:color w:val="231F20"/>
              </w:rPr>
              <w:t>Acquired Lease</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jc w:val="right"/>
              <w:ind w:right="189"/>
              <w:spacing w:after="0"/>
              <w:rPr>
                <w:sz w:val="20"/>
                <w:szCs w:val="20"/>
                <w:color w:val="auto"/>
              </w:rPr>
            </w:pPr>
            <w:r>
              <w:rPr>
                <w:rFonts w:ascii="Times New Roman" w:cs="Times New Roman" w:eastAsia="Times New Roman" w:hAnsi="Times New Roman"/>
                <w:sz w:val="15"/>
                <w:szCs w:val="15"/>
                <w:b w:val="1"/>
                <w:bCs w:val="1"/>
                <w:color w:val="231F20"/>
              </w:rPr>
              <w:t>Acquired Lease</w:t>
            </w:r>
          </w:p>
        </w:tc>
      </w:tr>
      <w:tr>
        <w:trPr>
          <w:trHeight w:val="203"/>
        </w:trPr>
        <w:tc>
          <w:tcPr>
            <w:tcW w:w="6480" w:type="dxa"/>
            <w:vAlign w:val="bottom"/>
          </w:tcPr>
          <w:p>
            <w:pPr>
              <w:spacing w:after="0"/>
              <w:rPr>
                <w:sz w:val="17"/>
                <w:szCs w:val="17"/>
                <w:color w:val="auto"/>
              </w:rPr>
            </w:pPr>
          </w:p>
        </w:tc>
        <w:tc>
          <w:tcPr>
            <w:tcW w:w="200" w:type="dxa"/>
            <w:vAlign w:val="bottom"/>
            <w:tcBorders>
              <w:bottom w:val="single" w:sz="8" w:color="231F20"/>
            </w:tcBorders>
          </w:tcPr>
          <w:p>
            <w:pPr>
              <w:spacing w:after="0"/>
              <w:rPr>
                <w:sz w:val="17"/>
                <w:szCs w:val="17"/>
                <w:color w:val="auto"/>
              </w:rPr>
            </w:pPr>
          </w:p>
        </w:tc>
        <w:tc>
          <w:tcPr>
            <w:tcW w:w="1340" w:type="dxa"/>
            <w:vAlign w:val="bottom"/>
            <w:tcBorders>
              <w:bottom w:val="single" w:sz="8" w:color="231F20"/>
            </w:tcBorders>
          </w:tcPr>
          <w:p>
            <w:pPr>
              <w:jc w:val="right"/>
              <w:ind w:right="471"/>
              <w:spacing w:after="0"/>
              <w:rPr>
                <w:sz w:val="20"/>
                <w:szCs w:val="20"/>
                <w:color w:val="auto"/>
              </w:rPr>
            </w:pPr>
            <w:r>
              <w:rPr>
                <w:rFonts w:ascii="Times New Roman" w:cs="Times New Roman" w:eastAsia="Times New Roman" w:hAnsi="Times New Roman"/>
                <w:sz w:val="15"/>
                <w:szCs w:val="15"/>
                <w:b w:val="1"/>
                <w:bCs w:val="1"/>
                <w:color w:val="231F20"/>
              </w:rPr>
              <w:t>Assets</w:t>
            </w:r>
          </w:p>
        </w:tc>
        <w:tc>
          <w:tcPr>
            <w:tcW w:w="80" w:type="dxa"/>
            <w:vAlign w:val="bottom"/>
          </w:tcPr>
          <w:p>
            <w:pPr>
              <w:spacing w:after="0"/>
              <w:rPr>
                <w:sz w:val="17"/>
                <w:szCs w:val="17"/>
                <w:color w:val="auto"/>
              </w:rPr>
            </w:pPr>
          </w:p>
        </w:tc>
        <w:tc>
          <w:tcPr>
            <w:tcW w:w="200" w:type="dxa"/>
            <w:vAlign w:val="bottom"/>
            <w:tcBorders>
              <w:bottom w:val="single" w:sz="8" w:color="231F20"/>
            </w:tcBorders>
          </w:tcPr>
          <w:p>
            <w:pPr>
              <w:spacing w:after="0"/>
              <w:rPr>
                <w:sz w:val="17"/>
                <w:szCs w:val="17"/>
                <w:color w:val="auto"/>
              </w:rPr>
            </w:pPr>
          </w:p>
        </w:tc>
        <w:tc>
          <w:tcPr>
            <w:tcW w:w="1360" w:type="dxa"/>
            <w:vAlign w:val="bottom"/>
            <w:tcBorders>
              <w:bottom w:val="single" w:sz="8" w:color="231F20"/>
            </w:tcBorders>
          </w:tcPr>
          <w:p>
            <w:pPr>
              <w:jc w:val="right"/>
              <w:ind w:right="369"/>
              <w:spacing w:after="0"/>
              <w:rPr>
                <w:sz w:val="20"/>
                <w:szCs w:val="20"/>
                <w:color w:val="auto"/>
              </w:rPr>
            </w:pPr>
            <w:r>
              <w:rPr>
                <w:rFonts w:ascii="Times New Roman" w:cs="Times New Roman" w:eastAsia="Times New Roman" w:hAnsi="Times New Roman"/>
                <w:sz w:val="15"/>
                <w:szCs w:val="15"/>
                <w:b w:val="1"/>
                <w:bCs w:val="1"/>
                <w:color w:val="231F20"/>
              </w:rPr>
              <w:t>Liabilities</w:t>
            </w:r>
          </w:p>
        </w:tc>
      </w:tr>
      <w:tr>
        <w:trPr>
          <w:trHeight w:val="203"/>
        </w:trPr>
        <w:tc>
          <w:tcPr>
            <w:tcW w:w="6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980" w:type="dxa"/>
            <w:vAlign w:val="bottom"/>
            <w:gridSpan w:val="4"/>
          </w:tcPr>
          <w:p>
            <w:pPr>
              <w:jc w:val="right"/>
              <w:ind w:right="1029"/>
              <w:spacing w:after="0"/>
              <w:rPr>
                <w:sz w:val="20"/>
                <w:szCs w:val="20"/>
                <w:color w:val="auto"/>
              </w:rPr>
            </w:pPr>
            <w:r>
              <w:rPr>
                <w:rFonts w:ascii="Times New Roman" w:cs="Times New Roman" w:eastAsia="Times New Roman" w:hAnsi="Times New Roman"/>
                <w:sz w:val="15"/>
                <w:szCs w:val="15"/>
                <w:b w:val="1"/>
                <w:bCs w:val="1"/>
                <w:color w:val="231F20"/>
              </w:rPr>
              <w:t>(In thousands)</w:t>
            </w:r>
          </w:p>
        </w:tc>
      </w:tr>
      <w:tr>
        <w:trPr>
          <w:trHeight w:val="255"/>
        </w:trPr>
        <w:tc>
          <w:tcPr>
            <w:tcW w:w="6480" w:type="dxa"/>
            <w:vAlign w:val="bottom"/>
          </w:tcPr>
          <w:p>
            <w:pPr>
              <w:spacing w:after="0"/>
              <w:rPr>
                <w:sz w:val="20"/>
                <w:szCs w:val="20"/>
                <w:color w:val="auto"/>
              </w:rPr>
            </w:pPr>
            <w:r>
              <w:rPr>
                <w:rFonts w:ascii="Times New Roman" w:cs="Times New Roman" w:eastAsia="Times New Roman" w:hAnsi="Times New Roman"/>
                <w:sz w:val="19"/>
                <w:szCs w:val="19"/>
                <w:color w:val="231F20"/>
              </w:rPr>
              <w:t>Year ending December 31,</w:t>
            </w:r>
          </w:p>
        </w:tc>
        <w:tc>
          <w:tcPr>
            <w:tcW w:w="2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91"/>
        </w:trPr>
        <w:tc>
          <w:tcPr>
            <w:tcW w:w="6480" w:type="dxa"/>
            <w:vAlign w:val="bottom"/>
          </w:tcPr>
          <w:p>
            <w:pPr>
              <w:spacing w:after="0"/>
              <w:rPr>
                <w:sz w:val="20"/>
                <w:szCs w:val="20"/>
                <w:color w:val="auto"/>
              </w:rPr>
            </w:pPr>
            <w:r>
              <w:rPr>
                <w:rFonts w:ascii="Times New Roman" w:cs="Times New Roman" w:eastAsia="Times New Roman" w:hAnsi="Times New Roman"/>
                <w:sz w:val="19"/>
                <w:szCs w:val="19"/>
                <w:color w:val="231F20"/>
              </w:rPr>
              <w:t>2026</w:t>
            </w:r>
          </w:p>
        </w:tc>
        <w:tc>
          <w:tcPr>
            <w:tcW w:w="2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4,734</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9"/>
                <w:szCs w:val="19"/>
                <w:color w:val="231F20"/>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17,075</w:t>
            </w:r>
          </w:p>
        </w:tc>
      </w:tr>
      <w:tr>
        <w:trPr>
          <w:trHeight w:val="271"/>
        </w:trPr>
        <w:tc>
          <w:tcPr>
            <w:tcW w:w="6480" w:type="dxa"/>
            <w:vAlign w:val="bottom"/>
          </w:tcPr>
          <w:p>
            <w:pPr>
              <w:spacing w:after="0"/>
              <w:rPr>
                <w:sz w:val="20"/>
                <w:szCs w:val="20"/>
                <w:color w:val="auto"/>
              </w:rPr>
            </w:pPr>
            <w:r>
              <w:rPr>
                <w:rFonts w:ascii="Times New Roman" w:cs="Times New Roman" w:eastAsia="Times New Roman" w:hAnsi="Times New Roman"/>
                <w:sz w:val="19"/>
                <w:szCs w:val="19"/>
                <w:color w:val="231F20"/>
              </w:rPr>
              <w:t>2027</w:t>
            </w:r>
          </w:p>
        </w:tc>
        <w:tc>
          <w:tcPr>
            <w:tcW w:w="20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3,870</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16,031</w:t>
            </w:r>
          </w:p>
        </w:tc>
      </w:tr>
      <w:tr>
        <w:trPr>
          <w:trHeight w:val="271"/>
        </w:trPr>
        <w:tc>
          <w:tcPr>
            <w:tcW w:w="6480" w:type="dxa"/>
            <w:vAlign w:val="bottom"/>
          </w:tcPr>
          <w:p>
            <w:pPr>
              <w:spacing w:after="0"/>
              <w:rPr>
                <w:sz w:val="20"/>
                <w:szCs w:val="20"/>
                <w:color w:val="auto"/>
              </w:rPr>
            </w:pPr>
            <w:r>
              <w:rPr>
                <w:rFonts w:ascii="Times New Roman" w:cs="Times New Roman" w:eastAsia="Times New Roman" w:hAnsi="Times New Roman"/>
                <w:sz w:val="19"/>
                <w:szCs w:val="19"/>
                <w:color w:val="231F20"/>
              </w:rPr>
              <w:t>2028</w:t>
            </w:r>
          </w:p>
        </w:tc>
        <w:tc>
          <w:tcPr>
            <w:tcW w:w="20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3,221</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14,693</w:t>
            </w:r>
          </w:p>
        </w:tc>
      </w:tr>
      <w:tr>
        <w:trPr>
          <w:trHeight w:val="271"/>
        </w:trPr>
        <w:tc>
          <w:tcPr>
            <w:tcW w:w="6480" w:type="dxa"/>
            <w:vAlign w:val="bottom"/>
          </w:tcPr>
          <w:p>
            <w:pPr>
              <w:spacing w:after="0"/>
              <w:rPr>
                <w:sz w:val="20"/>
                <w:szCs w:val="20"/>
                <w:color w:val="auto"/>
              </w:rPr>
            </w:pPr>
            <w:r>
              <w:rPr>
                <w:rFonts w:ascii="Times New Roman" w:cs="Times New Roman" w:eastAsia="Times New Roman" w:hAnsi="Times New Roman"/>
                <w:sz w:val="19"/>
                <w:szCs w:val="19"/>
                <w:color w:val="231F20"/>
              </w:rPr>
              <w:t>2029</w:t>
            </w:r>
          </w:p>
        </w:tc>
        <w:tc>
          <w:tcPr>
            <w:tcW w:w="20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2,835</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13,294</w:t>
            </w:r>
          </w:p>
        </w:tc>
      </w:tr>
      <w:tr>
        <w:trPr>
          <w:trHeight w:val="271"/>
        </w:trPr>
        <w:tc>
          <w:tcPr>
            <w:tcW w:w="6480" w:type="dxa"/>
            <w:vAlign w:val="bottom"/>
          </w:tcPr>
          <w:p>
            <w:pPr>
              <w:spacing w:after="0"/>
              <w:rPr>
                <w:sz w:val="20"/>
                <w:szCs w:val="20"/>
                <w:color w:val="auto"/>
              </w:rPr>
            </w:pPr>
            <w:r>
              <w:rPr>
                <w:rFonts w:ascii="Times New Roman" w:cs="Times New Roman" w:eastAsia="Times New Roman" w:hAnsi="Times New Roman"/>
                <w:sz w:val="19"/>
                <w:szCs w:val="19"/>
                <w:color w:val="231F20"/>
              </w:rPr>
              <w:t>2030</w:t>
            </w:r>
          </w:p>
        </w:tc>
        <w:tc>
          <w:tcPr>
            <w:tcW w:w="20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2,223</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12,374</w:t>
            </w:r>
          </w:p>
        </w:tc>
      </w:tr>
      <w:tr>
        <w:trPr>
          <w:trHeight w:val="272"/>
        </w:trPr>
        <w:tc>
          <w:tcPr>
            <w:tcW w:w="6480" w:type="dxa"/>
            <w:vAlign w:val="bottom"/>
          </w:tcPr>
          <w:p>
            <w:pPr>
              <w:spacing w:after="0"/>
              <w:rPr>
                <w:sz w:val="20"/>
                <w:szCs w:val="20"/>
                <w:color w:val="auto"/>
              </w:rPr>
            </w:pPr>
            <w:r>
              <w:rPr>
                <w:rFonts w:ascii="Times New Roman" w:cs="Times New Roman" w:eastAsia="Times New Roman" w:hAnsi="Times New Roman"/>
                <w:sz w:val="19"/>
                <w:szCs w:val="19"/>
                <w:color w:val="231F20"/>
              </w:rPr>
              <w:t>Thereafter</w:t>
            </w:r>
          </w:p>
        </w:tc>
        <w:tc>
          <w:tcPr>
            <w:tcW w:w="200" w:type="dxa"/>
            <w:vAlign w:val="bottom"/>
            <w:tcBorders>
              <w:bottom w:val="single" w:sz="8" w:color="231F20"/>
            </w:tcBorders>
          </w:tcPr>
          <w:p>
            <w:pPr>
              <w:spacing w:after="0"/>
              <w:rPr>
                <w:sz w:val="23"/>
                <w:szCs w:val="23"/>
                <w:color w:val="auto"/>
              </w:rPr>
            </w:pPr>
          </w:p>
        </w:tc>
        <w:tc>
          <w:tcPr>
            <w:tcW w:w="13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20,636</w:t>
            </w:r>
          </w:p>
        </w:tc>
        <w:tc>
          <w:tcPr>
            <w:tcW w:w="80" w:type="dxa"/>
            <w:vAlign w:val="bottom"/>
          </w:tcPr>
          <w:p>
            <w:pPr>
              <w:spacing w:after="0"/>
              <w:rPr>
                <w:sz w:val="23"/>
                <w:szCs w:val="23"/>
                <w:color w:val="auto"/>
              </w:rPr>
            </w:pPr>
          </w:p>
        </w:tc>
        <w:tc>
          <w:tcPr>
            <w:tcW w:w="200" w:type="dxa"/>
            <w:vAlign w:val="bottom"/>
            <w:tcBorders>
              <w:bottom w:val="single" w:sz="8" w:color="231F20"/>
            </w:tcBorders>
          </w:tcPr>
          <w:p>
            <w:pPr>
              <w:spacing w:after="0"/>
              <w:rPr>
                <w:sz w:val="23"/>
                <w:szCs w:val="23"/>
                <w:color w:val="auto"/>
              </w:rPr>
            </w:pPr>
          </w:p>
        </w:tc>
        <w:tc>
          <w:tcPr>
            <w:tcW w:w="13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135,430</w:t>
            </w:r>
          </w:p>
        </w:tc>
      </w:tr>
      <w:tr>
        <w:trPr>
          <w:trHeight w:val="233"/>
        </w:trPr>
        <w:tc>
          <w:tcPr>
            <w:tcW w:w="648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37,519</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9"/>
                <w:szCs w:val="19"/>
                <w:color w:val="231F20"/>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208,897</w:t>
            </w:r>
          </w:p>
        </w:tc>
      </w:tr>
      <w:tr>
        <w:trPr>
          <w:trHeight w:val="20"/>
        </w:trPr>
        <w:tc>
          <w:tcPr>
            <w:tcW w:w="6480" w:type="dxa"/>
            <w:vAlign w:val="bottom"/>
          </w:tcPr>
          <w:p>
            <w:pPr>
              <w:spacing w:after="0" w:line="20" w:lineRule="exact"/>
              <w:rPr>
                <w:sz w:val="1"/>
                <w:szCs w:val="1"/>
                <w:color w:val="auto"/>
              </w:rPr>
            </w:pPr>
          </w:p>
        </w:tc>
        <w:tc>
          <w:tcPr>
            <w:tcW w:w="200" w:type="dxa"/>
            <w:vAlign w:val="bottom"/>
            <w:tcBorders>
              <w:top w:val="single" w:sz="8" w:color="231F20"/>
              <w:bottom w:val="single" w:sz="8" w:color="231F20"/>
            </w:tcBorders>
          </w:tcPr>
          <w:p>
            <w:pPr>
              <w:spacing w:after="0" w:line="20" w:lineRule="exact"/>
              <w:rPr>
                <w:sz w:val="1"/>
                <w:szCs w:val="1"/>
                <w:color w:val="auto"/>
              </w:rPr>
            </w:pPr>
          </w:p>
        </w:tc>
        <w:tc>
          <w:tcPr>
            <w:tcW w:w="134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231F20"/>
              <w:bottom w:val="single" w:sz="8" w:color="231F20"/>
            </w:tcBorders>
          </w:tcPr>
          <w:p>
            <w:pPr>
              <w:spacing w:after="0" w:line="20" w:lineRule="exact"/>
              <w:rPr>
                <w:sz w:val="1"/>
                <w:szCs w:val="1"/>
                <w:color w:val="auto"/>
              </w:rPr>
            </w:pPr>
          </w:p>
        </w:tc>
        <w:tc>
          <w:tcPr>
            <w:tcW w:w="1360" w:type="dxa"/>
            <w:vAlign w:val="bottom"/>
            <w:tcBorders>
              <w:top w:val="single" w:sz="8" w:color="231F20"/>
              <w:bottom w:val="single" w:sz="8" w:color="231F20"/>
            </w:tcBorders>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9720"/>
          </w:cols>
          <w:pgMar w:left="1060" w:top="1048" w:right="11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231F20"/>
        </w:rPr>
        <w:t>F-27</w:t>
      </w:r>
    </w:p>
    <w:p>
      <w:pPr>
        <w:sectPr>
          <w:pgSz w:w="11880" w:h="15480" w:orient="portrait"/>
          <w:cols w:equalWidth="0" w:num="1">
            <w:col w:w="9720"/>
          </w:cols>
          <w:pgMar w:left="1060" w:top="1048" w:right="1100" w:bottom="0" w:gutter="0" w:footer="0" w:header="0"/>
          <w:type w:val="continuous"/>
        </w:sectPr>
      </w:pPr>
    </w:p>
    <w:bookmarkStart w:id="91" w:name="page92"/>
    <w:bookmarkEnd w:id="91"/>
    <w:p>
      <w:pPr>
        <w:spacing w:after="0"/>
        <w:rPr>
          <w:sz w:val="20"/>
          <w:szCs w:val="20"/>
          <w:color w:val="auto"/>
        </w:rPr>
      </w:pPr>
      <w:r>
        <w:rPr>
          <w:rFonts w:ascii="Times New Roman" w:cs="Times New Roman" w:eastAsia="Times New Roman" w:hAnsi="Times New Roman"/>
          <w:sz w:val="19"/>
          <w:szCs w:val="19"/>
          <w:b w:val="1"/>
          <w:bCs w:val="1"/>
          <w:color w:val="231F20"/>
        </w:rPr>
        <w:t>NOTE 5—DEBT</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The following is a summary of our total debt outstanding as of December 31, 2025 and 2024:</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40" w:type="dxa"/>
            <w:vAlign w:val="bottom"/>
            <w:gridSpan w:val="4"/>
          </w:tcPr>
          <w:p>
            <w:pPr>
              <w:jc w:val="right"/>
              <w:ind w:right="175"/>
              <w:spacing w:after="0"/>
              <w:rPr>
                <w:sz w:val="20"/>
                <w:szCs w:val="20"/>
                <w:color w:val="auto"/>
              </w:rPr>
            </w:pPr>
            <w:r>
              <w:rPr>
                <w:rFonts w:ascii="Times New Roman" w:cs="Times New Roman" w:eastAsia="Times New Roman" w:hAnsi="Times New Roman"/>
                <w:sz w:val="15"/>
                <w:szCs w:val="15"/>
                <w:b w:val="1"/>
                <w:bCs w:val="1"/>
                <w:color w:val="231F20"/>
              </w:rPr>
              <w:t>Principal Balance as of</w:t>
            </w:r>
          </w:p>
        </w:tc>
        <w:tc>
          <w:tcPr>
            <w:tcW w:w="6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231F20"/>
              </w:rPr>
              <w:t>Stated Interest</w:t>
            </w:r>
          </w:p>
        </w:tc>
        <w:tc>
          <w:tcPr>
            <w:tcW w:w="80" w:type="dxa"/>
            <w:vAlign w:val="bottom"/>
          </w:tcPr>
          <w:p>
            <w:pPr>
              <w:spacing w:after="0"/>
              <w:rPr>
                <w:sz w:val="15"/>
                <w:szCs w:val="15"/>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231F20"/>
              </w:rPr>
              <w:t>Stated Maturity Date</w:t>
            </w:r>
          </w:p>
        </w:tc>
        <w:tc>
          <w:tcPr>
            <w:tcW w:w="0" w:type="dxa"/>
            <w:vAlign w:val="bottom"/>
          </w:tcPr>
          <w:p>
            <w:pPr>
              <w:spacing w:after="0"/>
              <w:rPr>
                <w:sz w:val="1"/>
                <w:szCs w:val="1"/>
                <w:color w:val="auto"/>
              </w:rPr>
            </w:pPr>
          </w:p>
        </w:tc>
      </w:tr>
      <w:tr>
        <w:trPr>
          <w:trHeight w:val="203"/>
        </w:trPr>
        <w:tc>
          <w:tcPr>
            <w:tcW w:w="4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Borders>
              <w:bottom w:val="single" w:sz="8" w:color="231F20"/>
            </w:tcBorders>
          </w:tcPr>
          <w:p>
            <w:pPr>
              <w:spacing w:after="0"/>
              <w:rPr>
                <w:sz w:val="17"/>
                <w:szCs w:val="17"/>
                <w:color w:val="auto"/>
              </w:rPr>
            </w:pPr>
          </w:p>
        </w:tc>
        <w:tc>
          <w:tcPr>
            <w:tcW w:w="1840" w:type="dxa"/>
            <w:vAlign w:val="bottom"/>
            <w:tcBorders>
              <w:bottom w:val="single" w:sz="8" w:color="231F20"/>
            </w:tcBorders>
            <w:gridSpan w:val="4"/>
          </w:tcPr>
          <w:p>
            <w:pPr>
              <w:jc w:val="right"/>
              <w:ind w:right="475"/>
              <w:spacing w:after="0"/>
              <w:rPr>
                <w:sz w:val="20"/>
                <w:szCs w:val="20"/>
                <w:color w:val="auto"/>
              </w:rPr>
            </w:pPr>
            <w:r>
              <w:rPr>
                <w:rFonts w:ascii="Times New Roman" w:cs="Times New Roman" w:eastAsia="Times New Roman" w:hAnsi="Times New Roman"/>
                <w:sz w:val="15"/>
                <w:szCs w:val="15"/>
                <w:b w:val="1"/>
                <w:bCs w:val="1"/>
                <w:color w:val="231F20"/>
              </w:rPr>
              <w:t>December 31,</w:t>
            </w:r>
          </w:p>
        </w:tc>
        <w:tc>
          <w:tcPr>
            <w:tcW w:w="6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231F20"/>
              </w:rPr>
              <w:t>Rate as of</w:t>
            </w:r>
          </w:p>
        </w:tc>
        <w:tc>
          <w:tcPr>
            <w:tcW w:w="80" w:type="dxa"/>
            <w:vAlign w:val="bottom"/>
          </w:tcPr>
          <w:p>
            <w:pPr>
              <w:spacing w:after="0"/>
              <w:rPr>
                <w:sz w:val="17"/>
                <w:szCs w:val="17"/>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231F20"/>
              </w:rPr>
              <w:t>as of</w:t>
            </w:r>
          </w:p>
        </w:tc>
        <w:tc>
          <w:tcPr>
            <w:tcW w:w="0" w:type="dxa"/>
            <w:vAlign w:val="bottom"/>
          </w:tcPr>
          <w:p>
            <w:pPr>
              <w:spacing w:after="0"/>
              <w:rPr>
                <w:sz w:val="1"/>
                <w:szCs w:val="1"/>
                <w:color w:val="auto"/>
              </w:rPr>
            </w:pPr>
          </w:p>
        </w:tc>
      </w:tr>
      <w:tr>
        <w:trPr>
          <w:trHeight w:val="202"/>
        </w:trPr>
        <w:tc>
          <w:tcPr>
            <w:tcW w:w="4560" w:type="dxa"/>
            <w:vAlign w:val="bottom"/>
            <w:gridSpan w:val="2"/>
          </w:tcPr>
          <w:p>
            <w:pPr>
              <w:ind w:left="60"/>
              <w:spacing w:after="0"/>
              <w:rPr>
                <w:sz w:val="20"/>
                <w:szCs w:val="20"/>
                <w:color w:val="auto"/>
              </w:rPr>
            </w:pPr>
            <w:r>
              <w:rPr>
                <w:rFonts w:ascii="Times New Roman" w:cs="Times New Roman" w:eastAsia="Times New Roman" w:hAnsi="Times New Roman"/>
                <w:sz w:val="15"/>
                <w:szCs w:val="15"/>
                <w:b w:val="1"/>
                <w:bCs w:val="1"/>
                <w:color w:val="231F20"/>
              </w:rPr>
              <w:t>Description of Debt</w:t>
            </w:r>
          </w:p>
        </w:tc>
        <w:tc>
          <w:tcPr>
            <w:tcW w:w="180" w:type="dxa"/>
            <w:vAlign w:val="bottom"/>
          </w:tcPr>
          <w:p>
            <w:pPr>
              <w:spacing w:after="0"/>
              <w:rPr>
                <w:sz w:val="17"/>
                <w:szCs w:val="17"/>
                <w:color w:val="auto"/>
              </w:rPr>
            </w:pPr>
          </w:p>
        </w:tc>
        <w:tc>
          <w:tcPr>
            <w:tcW w:w="800" w:type="dxa"/>
            <w:vAlign w:val="bottom"/>
          </w:tcPr>
          <w:p>
            <w:pPr>
              <w:jc w:val="right"/>
              <w:ind w:right="255"/>
              <w:spacing w:after="0"/>
              <w:rPr>
                <w:sz w:val="20"/>
                <w:szCs w:val="20"/>
                <w:color w:val="auto"/>
              </w:rPr>
            </w:pPr>
            <w:r>
              <w:rPr>
                <w:rFonts w:ascii="Times New Roman" w:cs="Times New Roman" w:eastAsia="Times New Roman" w:hAnsi="Times New Roman"/>
                <w:sz w:val="15"/>
                <w:szCs w:val="15"/>
                <w:b w:val="1"/>
                <w:bCs w:val="1"/>
                <w:color w:val="231F20"/>
              </w:rPr>
              <w:t>2025</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ind w:right="255"/>
              <w:spacing w:after="0"/>
              <w:rPr>
                <w:sz w:val="20"/>
                <w:szCs w:val="20"/>
                <w:color w:val="auto"/>
              </w:rPr>
            </w:pPr>
            <w:r>
              <w:rPr>
                <w:rFonts w:ascii="Times New Roman" w:cs="Times New Roman" w:eastAsia="Times New Roman" w:hAnsi="Times New Roman"/>
                <w:sz w:val="15"/>
                <w:szCs w:val="15"/>
                <w:b w:val="1"/>
                <w:bCs w:val="1"/>
                <w:color w:val="231F20"/>
              </w:rPr>
              <w:t>2024</w:t>
            </w:r>
          </w:p>
        </w:tc>
        <w:tc>
          <w:tcPr>
            <w:tcW w:w="6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231F20"/>
              </w:rPr>
              <w:t>December 31, 2025</w:t>
            </w:r>
          </w:p>
        </w:tc>
        <w:tc>
          <w:tcPr>
            <w:tcW w:w="80" w:type="dxa"/>
            <w:vAlign w:val="bottom"/>
          </w:tcPr>
          <w:p>
            <w:pPr>
              <w:spacing w:after="0"/>
              <w:rPr>
                <w:sz w:val="17"/>
                <w:szCs w:val="17"/>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231F20"/>
              </w:rPr>
              <w:t>December 31, 2025</w:t>
            </w:r>
          </w:p>
        </w:tc>
        <w:tc>
          <w:tcPr>
            <w:tcW w:w="0" w:type="dxa"/>
            <w:vAlign w:val="bottom"/>
          </w:tcPr>
          <w:p>
            <w:pPr>
              <w:spacing w:after="0"/>
              <w:rPr>
                <w:sz w:val="1"/>
                <w:szCs w:val="1"/>
                <w:color w:val="auto"/>
              </w:rPr>
            </w:pPr>
          </w:p>
        </w:tc>
      </w:tr>
      <w:tr>
        <w:trPr>
          <w:trHeight w:val="22"/>
        </w:trPr>
        <w:tc>
          <w:tcPr>
            <w:tcW w:w="45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4"/>
        </w:trPr>
        <w:tc>
          <w:tcPr>
            <w:tcW w:w="4100" w:type="dxa"/>
            <w:vAlign w:val="bottom"/>
            <w:tcBorders>
              <w:top w:val="single" w:sz="8" w:color="231F20"/>
            </w:tcBorders>
          </w:tcPr>
          <w:p>
            <w:pPr>
              <w:ind w:left="60"/>
              <w:spacing w:after="0"/>
              <w:rPr>
                <w:sz w:val="20"/>
                <w:szCs w:val="20"/>
                <w:color w:val="auto"/>
              </w:rPr>
            </w:pPr>
            <w:r>
              <w:rPr>
                <w:rFonts w:ascii="Times New Roman" w:cs="Times New Roman" w:eastAsia="Times New Roman" w:hAnsi="Times New Roman"/>
                <w:sz w:val="17"/>
                <w:szCs w:val="17"/>
                <w:b w:val="1"/>
                <w:bCs w:val="1"/>
                <w:color w:val="231F20"/>
              </w:rPr>
              <w:t>Mortgages payable</w:t>
            </w:r>
          </w:p>
        </w:tc>
        <w:tc>
          <w:tcPr>
            <w:tcW w:w="460" w:type="dxa"/>
            <w:vAlign w:val="bottom"/>
          </w:tcPr>
          <w:p>
            <w:pPr>
              <w:spacing w:after="0"/>
              <w:rPr>
                <w:sz w:val="19"/>
                <w:szCs w:val="19"/>
                <w:color w:val="auto"/>
              </w:rPr>
            </w:pPr>
          </w:p>
        </w:tc>
        <w:tc>
          <w:tcPr>
            <w:tcW w:w="180" w:type="dxa"/>
            <w:vAlign w:val="bottom"/>
            <w:tcBorders>
              <w:top w:val="single" w:sz="8" w:color="231F20"/>
            </w:tcBorders>
          </w:tcPr>
          <w:p>
            <w:pPr>
              <w:spacing w:after="0"/>
              <w:rPr>
                <w:sz w:val="19"/>
                <w:szCs w:val="19"/>
                <w:color w:val="auto"/>
              </w:rPr>
            </w:pPr>
          </w:p>
        </w:tc>
        <w:tc>
          <w:tcPr>
            <w:tcW w:w="80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15"/>
                <w:szCs w:val="15"/>
                <w:b w:val="1"/>
                <w:bCs w:val="1"/>
                <w:color w:val="231F20"/>
              </w:rPr>
              <w:t>(Dollars in</w:t>
            </w:r>
          </w:p>
        </w:tc>
        <w:tc>
          <w:tcPr>
            <w:tcW w:w="60" w:type="dxa"/>
            <w:vAlign w:val="bottom"/>
          </w:tcPr>
          <w:p>
            <w:pPr>
              <w:spacing w:after="0"/>
              <w:rPr>
                <w:sz w:val="19"/>
                <w:szCs w:val="19"/>
                <w:color w:val="auto"/>
              </w:rPr>
            </w:pPr>
          </w:p>
        </w:tc>
        <w:tc>
          <w:tcPr>
            <w:tcW w:w="980" w:type="dxa"/>
            <w:vAlign w:val="bottom"/>
            <w:tcBorders>
              <w:top w:val="single" w:sz="8" w:color="231F20"/>
            </w:tcBorders>
            <w:gridSpan w:val="2"/>
          </w:tcPr>
          <w:p>
            <w:pPr>
              <w:jc w:val="right"/>
              <w:ind w:right="195"/>
              <w:spacing w:after="0"/>
              <w:rPr>
                <w:sz w:val="20"/>
                <w:szCs w:val="20"/>
                <w:color w:val="auto"/>
              </w:rPr>
            </w:pPr>
            <w:r>
              <w:rPr>
                <w:rFonts w:ascii="Times New Roman" w:cs="Times New Roman" w:eastAsia="Times New Roman" w:hAnsi="Times New Roman"/>
                <w:sz w:val="15"/>
                <w:szCs w:val="15"/>
                <w:b w:val="1"/>
                <w:bCs w:val="1"/>
                <w:color w:val="231F20"/>
                <w:w w:val="97"/>
              </w:rPr>
              <w:t>thousands)</w:t>
            </w:r>
          </w:p>
        </w:tc>
        <w:tc>
          <w:tcPr>
            <w:tcW w:w="60" w:type="dxa"/>
            <w:vAlign w:val="bottom"/>
          </w:tcPr>
          <w:p>
            <w:pPr>
              <w:spacing w:after="0"/>
              <w:rPr>
                <w:sz w:val="19"/>
                <w:szCs w:val="19"/>
                <w:color w:val="auto"/>
              </w:rPr>
            </w:pPr>
          </w:p>
        </w:tc>
        <w:tc>
          <w:tcPr>
            <w:tcW w:w="1360" w:type="dxa"/>
            <w:vAlign w:val="bottom"/>
            <w:tcBorders>
              <w:top w:val="single" w:sz="8" w:color="231F20"/>
            </w:tcBorders>
          </w:tcPr>
          <w:p>
            <w:pPr>
              <w:spacing w:after="0"/>
              <w:rPr>
                <w:sz w:val="19"/>
                <w:szCs w:val="19"/>
                <w:color w:val="auto"/>
              </w:rPr>
            </w:pPr>
          </w:p>
        </w:tc>
        <w:tc>
          <w:tcPr>
            <w:tcW w:w="80" w:type="dxa"/>
            <w:vAlign w:val="bottom"/>
          </w:tcPr>
          <w:p>
            <w:pPr>
              <w:spacing w:after="0"/>
              <w:rPr>
                <w:sz w:val="19"/>
                <w:szCs w:val="19"/>
                <w:color w:val="auto"/>
              </w:rPr>
            </w:pPr>
          </w:p>
        </w:tc>
        <w:tc>
          <w:tcPr>
            <w:tcW w:w="1640" w:type="dxa"/>
            <w:vAlign w:val="bottom"/>
            <w:tcBorders>
              <w:top w:val="single" w:sz="8" w:color="231F20"/>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56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231F20"/>
              </w:rPr>
              <w:t>Bell Gardens</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10,885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231F2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11,215</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231F20"/>
              </w:rPr>
              <w:t>4.06 %</w:t>
            </w:r>
          </w:p>
        </w:tc>
        <w:tc>
          <w:tcPr>
            <w:tcW w:w="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August 1, 2026</w:t>
            </w:r>
          </w:p>
        </w:tc>
        <w:tc>
          <w:tcPr>
            <w:tcW w:w="0" w:type="dxa"/>
            <w:vAlign w:val="bottom"/>
          </w:tcPr>
          <w:p>
            <w:pPr>
              <w:spacing w:after="0"/>
              <w:rPr>
                <w:sz w:val="1"/>
                <w:szCs w:val="1"/>
                <w:color w:val="auto"/>
              </w:rPr>
            </w:pPr>
          </w:p>
        </w:tc>
      </w:tr>
      <w:tr>
        <w:trPr>
          <w:trHeight w:val="228"/>
        </w:trPr>
        <w:tc>
          <w:tcPr>
            <w:tcW w:w="456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231F20"/>
              </w:rPr>
              <w:t>Bethesda Row (1)</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200,000</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200,000</w:t>
            </w:r>
          </w:p>
        </w:tc>
        <w:tc>
          <w:tcPr>
            <w:tcW w:w="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SOFR + 0.95%</w:t>
            </w:r>
          </w:p>
        </w:tc>
        <w:tc>
          <w:tcPr>
            <w:tcW w:w="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December 28, 2026</w:t>
            </w:r>
          </w:p>
        </w:tc>
        <w:tc>
          <w:tcPr>
            <w:tcW w:w="0" w:type="dxa"/>
            <w:vAlign w:val="bottom"/>
          </w:tcPr>
          <w:p>
            <w:pPr>
              <w:spacing w:after="0"/>
              <w:rPr>
                <w:sz w:val="1"/>
                <w:szCs w:val="1"/>
                <w:color w:val="auto"/>
              </w:rPr>
            </w:pPr>
          </w:p>
        </w:tc>
      </w:tr>
      <w:tr>
        <w:trPr>
          <w:trHeight w:val="228"/>
        </w:trPr>
        <w:tc>
          <w:tcPr>
            <w:tcW w:w="456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231F20"/>
              </w:rPr>
              <w:t>Plaza El Segundo</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125,000</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125,000</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231F20"/>
              </w:rPr>
              <w:t>3.83 %</w:t>
            </w:r>
          </w:p>
        </w:tc>
        <w:tc>
          <w:tcPr>
            <w:tcW w:w="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June 5, 2027</w:t>
            </w:r>
          </w:p>
        </w:tc>
        <w:tc>
          <w:tcPr>
            <w:tcW w:w="0" w:type="dxa"/>
            <w:vAlign w:val="bottom"/>
          </w:tcPr>
          <w:p>
            <w:pPr>
              <w:spacing w:after="0"/>
              <w:rPr>
                <w:sz w:val="1"/>
                <w:szCs w:val="1"/>
                <w:color w:val="auto"/>
              </w:rPr>
            </w:pPr>
          </w:p>
        </w:tc>
      </w:tr>
      <w:tr>
        <w:trPr>
          <w:trHeight w:val="228"/>
        </w:trPr>
        <w:tc>
          <w:tcPr>
            <w:tcW w:w="456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231F20"/>
              </w:rPr>
              <w:t>The Grove at Shrewsbury (East)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43,600</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43,600</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231F20"/>
              </w:rPr>
              <w:t>3.77 %</w:t>
            </w:r>
          </w:p>
        </w:tc>
        <w:tc>
          <w:tcPr>
            <w:tcW w:w="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September 1, 2027</w:t>
            </w:r>
          </w:p>
        </w:tc>
        <w:tc>
          <w:tcPr>
            <w:tcW w:w="0" w:type="dxa"/>
            <w:vAlign w:val="bottom"/>
          </w:tcPr>
          <w:p>
            <w:pPr>
              <w:spacing w:after="0"/>
              <w:rPr>
                <w:sz w:val="1"/>
                <w:szCs w:val="1"/>
                <w:color w:val="auto"/>
              </w:rPr>
            </w:pPr>
          </w:p>
        </w:tc>
      </w:tr>
      <w:tr>
        <w:trPr>
          <w:trHeight w:val="228"/>
        </w:trPr>
        <w:tc>
          <w:tcPr>
            <w:tcW w:w="456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231F20"/>
              </w:rPr>
              <w:t>Azalea (2)(3)</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55,000</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40,000</w:t>
            </w:r>
          </w:p>
        </w:tc>
        <w:tc>
          <w:tcPr>
            <w:tcW w:w="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SOFR + 0.85%</w:t>
            </w:r>
          </w:p>
        </w:tc>
        <w:tc>
          <w:tcPr>
            <w:tcW w:w="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October 30, 2028</w:t>
            </w:r>
          </w:p>
        </w:tc>
        <w:tc>
          <w:tcPr>
            <w:tcW w:w="0" w:type="dxa"/>
            <w:vAlign w:val="bottom"/>
          </w:tcPr>
          <w:p>
            <w:pPr>
              <w:spacing w:after="0"/>
              <w:rPr>
                <w:sz w:val="1"/>
                <w:szCs w:val="1"/>
                <w:color w:val="auto"/>
              </w:rPr>
            </w:pPr>
          </w:p>
        </w:tc>
      </w:tr>
      <w:tr>
        <w:trPr>
          <w:trHeight w:val="228"/>
        </w:trPr>
        <w:tc>
          <w:tcPr>
            <w:tcW w:w="456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231F20"/>
              </w:rPr>
              <w:t>Brook 35</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11,500</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11,500</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231F20"/>
              </w:rPr>
              <w:t>4.65 %</w:t>
            </w:r>
          </w:p>
        </w:tc>
        <w:tc>
          <w:tcPr>
            <w:tcW w:w="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July 1, 2029</w:t>
            </w:r>
          </w:p>
        </w:tc>
        <w:tc>
          <w:tcPr>
            <w:tcW w:w="0" w:type="dxa"/>
            <w:vAlign w:val="bottom"/>
          </w:tcPr>
          <w:p>
            <w:pPr>
              <w:spacing w:after="0"/>
              <w:rPr>
                <w:sz w:val="1"/>
                <w:szCs w:val="1"/>
                <w:color w:val="auto"/>
              </w:rPr>
            </w:pPr>
          </w:p>
        </w:tc>
      </w:tr>
      <w:tr>
        <w:trPr>
          <w:trHeight w:val="228"/>
        </w:trPr>
        <w:tc>
          <w:tcPr>
            <w:tcW w:w="456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231F20"/>
              </w:rPr>
              <w:t>Hoboken (24 Buildings) (4)</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50,568</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52,123</w:t>
            </w:r>
          </w:p>
        </w:tc>
        <w:tc>
          <w:tcPr>
            <w:tcW w:w="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SOFR + 1.95%</w:t>
            </w:r>
          </w:p>
        </w:tc>
        <w:tc>
          <w:tcPr>
            <w:tcW w:w="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December 15, 2029</w:t>
            </w:r>
          </w:p>
        </w:tc>
        <w:tc>
          <w:tcPr>
            <w:tcW w:w="0" w:type="dxa"/>
            <w:vAlign w:val="bottom"/>
          </w:tcPr>
          <w:p>
            <w:pPr>
              <w:spacing w:after="0"/>
              <w:rPr>
                <w:sz w:val="1"/>
                <w:szCs w:val="1"/>
                <w:color w:val="auto"/>
              </w:rPr>
            </w:pPr>
          </w:p>
        </w:tc>
      </w:tr>
      <w:tr>
        <w:trPr>
          <w:trHeight w:val="228"/>
        </w:trPr>
        <w:tc>
          <w:tcPr>
            <w:tcW w:w="456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231F20"/>
              </w:rPr>
              <w:t>Various Hoboken (12 Buildings)(5)</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23,568</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28,838</w:t>
            </w:r>
          </w:p>
        </w:tc>
        <w:tc>
          <w:tcPr>
            <w:tcW w:w="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Various</w:t>
            </w:r>
          </w:p>
        </w:tc>
        <w:tc>
          <w:tcPr>
            <w:tcW w:w="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Various through 2029</w:t>
            </w:r>
          </w:p>
        </w:tc>
        <w:tc>
          <w:tcPr>
            <w:tcW w:w="0" w:type="dxa"/>
            <w:vAlign w:val="bottom"/>
          </w:tcPr>
          <w:p>
            <w:pPr>
              <w:spacing w:after="0"/>
              <w:rPr>
                <w:sz w:val="1"/>
                <w:szCs w:val="1"/>
                <w:color w:val="auto"/>
              </w:rPr>
            </w:pPr>
          </w:p>
        </w:tc>
      </w:tr>
      <w:tr>
        <w:trPr>
          <w:trHeight w:val="226"/>
        </w:trPr>
        <w:tc>
          <w:tcPr>
            <w:tcW w:w="456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231F20"/>
              </w:rPr>
              <w:t>Chelsea</w:t>
            </w:r>
          </w:p>
        </w:tc>
        <w:tc>
          <w:tcPr>
            <w:tcW w:w="180" w:type="dxa"/>
            <w:vAlign w:val="bottom"/>
            <w:tcBorders>
              <w:bottom w:val="single" w:sz="8" w:color="231F20"/>
            </w:tcBorders>
          </w:tcPr>
          <w:p>
            <w:pPr>
              <w:spacing w:after="0"/>
              <w:rPr>
                <w:sz w:val="19"/>
                <w:szCs w:val="19"/>
                <w:color w:val="auto"/>
              </w:rPr>
            </w:pPr>
          </w:p>
        </w:tc>
        <w:tc>
          <w:tcPr>
            <w:tcW w:w="8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231F20"/>
              </w:rPr>
              <w:t>3,091</w:t>
            </w:r>
          </w:p>
        </w:tc>
        <w:tc>
          <w:tcPr>
            <w:tcW w:w="60" w:type="dxa"/>
            <w:vAlign w:val="bottom"/>
          </w:tcPr>
          <w:p>
            <w:pPr>
              <w:spacing w:after="0"/>
              <w:rPr>
                <w:sz w:val="19"/>
                <w:szCs w:val="19"/>
                <w:color w:val="auto"/>
              </w:rPr>
            </w:pPr>
          </w:p>
        </w:tc>
        <w:tc>
          <w:tcPr>
            <w:tcW w:w="180" w:type="dxa"/>
            <w:vAlign w:val="bottom"/>
            <w:tcBorders>
              <w:bottom w:val="single" w:sz="8" w:color="231F20"/>
            </w:tcBorders>
          </w:tcPr>
          <w:p>
            <w:pPr>
              <w:spacing w:after="0"/>
              <w:rPr>
                <w:sz w:val="19"/>
                <w:szCs w:val="19"/>
                <w:color w:val="auto"/>
              </w:rPr>
            </w:pPr>
          </w:p>
        </w:tc>
        <w:tc>
          <w:tcPr>
            <w:tcW w:w="8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231F20"/>
              </w:rPr>
              <w:t>3,568</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231F20"/>
              </w:rPr>
              <w:t>5.36 %</w:t>
            </w:r>
          </w:p>
        </w:tc>
        <w:tc>
          <w:tcPr>
            <w:tcW w:w="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January 15, 2031</w:t>
            </w:r>
          </w:p>
        </w:tc>
        <w:tc>
          <w:tcPr>
            <w:tcW w:w="0" w:type="dxa"/>
            <w:vAlign w:val="bottom"/>
          </w:tcPr>
          <w:p>
            <w:pPr>
              <w:spacing w:after="0"/>
              <w:rPr>
                <w:sz w:val="1"/>
                <w:szCs w:val="1"/>
                <w:color w:val="auto"/>
              </w:rPr>
            </w:pPr>
          </w:p>
        </w:tc>
      </w:tr>
      <w:tr>
        <w:trPr>
          <w:trHeight w:val="216"/>
        </w:trPr>
        <w:tc>
          <w:tcPr>
            <w:tcW w:w="4560" w:type="dxa"/>
            <w:vAlign w:val="bottom"/>
            <w:gridSpan w:val="2"/>
          </w:tcPr>
          <w:p>
            <w:pPr>
              <w:ind w:left="740"/>
              <w:spacing w:after="0"/>
              <w:rPr>
                <w:sz w:val="20"/>
                <w:szCs w:val="20"/>
                <w:color w:val="auto"/>
              </w:rPr>
            </w:pPr>
            <w:r>
              <w:rPr>
                <w:rFonts w:ascii="Times New Roman" w:cs="Times New Roman" w:eastAsia="Times New Roman" w:hAnsi="Times New Roman"/>
                <w:sz w:val="17"/>
                <w:szCs w:val="17"/>
                <w:color w:val="231F20"/>
              </w:rPr>
              <w:t>Subtotal</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523,212</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515,844</w:t>
            </w:r>
          </w:p>
        </w:tc>
        <w:tc>
          <w:tcPr>
            <w:tcW w:w="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4560" w:type="dxa"/>
            <w:vAlign w:val="bottom"/>
            <w:gridSpan w:val="2"/>
          </w:tcPr>
          <w:p>
            <w:pPr>
              <w:ind w:left="960"/>
              <w:spacing w:after="0" w:line="172" w:lineRule="exact"/>
              <w:rPr>
                <w:sz w:val="20"/>
                <w:szCs w:val="20"/>
                <w:color w:val="auto"/>
              </w:rPr>
            </w:pPr>
            <w:r>
              <w:rPr>
                <w:rFonts w:ascii="Times New Roman" w:cs="Times New Roman" w:eastAsia="Times New Roman" w:hAnsi="Times New Roman"/>
                <w:sz w:val="17"/>
                <w:szCs w:val="17"/>
                <w:color w:val="231F20"/>
              </w:rPr>
              <w:t>Net unamortized debt issuance costs and</w:t>
            </w:r>
          </w:p>
        </w:tc>
        <w:tc>
          <w:tcPr>
            <w:tcW w:w="18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231F20"/>
              </w:rPr>
              <w:t>(1,453)</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231F20"/>
              </w:rPr>
              <w:t>(1,466)</w:t>
            </w:r>
          </w:p>
        </w:tc>
        <w:tc>
          <w:tcPr>
            <w:tcW w:w="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4560" w:type="dxa"/>
            <w:vAlign w:val="bottom"/>
            <w:gridSpan w:val="2"/>
          </w:tcPr>
          <w:p>
            <w:pPr>
              <w:ind w:left="960"/>
              <w:spacing w:after="0"/>
              <w:rPr>
                <w:sz w:val="20"/>
                <w:szCs w:val="20"/>
                <w:color w:val="auto"/>
              </w:rPr>
            </w:pPr>
            <w:r>
              <w:rPr>
                <w:rFonts w:ascii="Times New Roman" w:cs="Times New Roman" w:eastAsia="Times New Roman" w:hAnsi="Times New Roman"/>
                <w:sz w:val="17"/>
                <w:szCs w:val="17"/>
                <w:color w:val="231F20"/>
              </w:rPr>
              <w:t>discount</w:t>
            </w:r>
          </w:p>
        </w:tc>
        <w:tc>
          <w:tcPr>
            <w:tcW w:w="180" w:type="dxa"/>
            <w:vAlign w:val="bottom"/>
            <w:tcBorders>
              <w:bottom w:val="single" w:sz="8" w:color="231F20"/>
            </w:tcBorders>
          </w:tcPr>
          <w:p>
            <w:pPr>
              <w:spacing w:after="0"/>
              <w:rPr>
                <w:sz w:val="17"/>
                <w:szCs w:val="17"/>
                <w:color w:val="auto"/>
              </w:rPr>
            </w:pPr>
          </w:p>
        </w:tc>
        <w:tc>
          <w:tcPr>
            <w:tcW w:w="800" w:type="dxa"/>
            <w:vAlign w:val="bottom"/>
            <w:tcBorders>
              <w:bottom w:val="single" w:sz="8" w:color="231F20"/>
            </w:tcBorders>
            <w:vMerge w:val="continue"/>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Borders>
              <w:bottom w:val="single" w:sz="8" w:color="231F20"/>
            </w:tcBorders>
          </w:tcPr>
          <w:p>
            <w:pPr>
              <w:spacing w:after="0"/>
              <w:rPr>
                <w:sz w:val="17"/>
                <w:szCs w:val="17"/>
                <w:color w:val="auto"/>
              </w:rPr>
            </w:pPr>
          </w:p>
        </w:tc>
        <w:tc>
          <w:tcPr>
            <w:tcW w:w="800" w:type="dxa"/>
            <w:vAlign w:val="bottom"/>
            <w:tcBorders>
              <w:bottom w:val="single" w:sz="8" w:color="231F20"/>
            </w:tcBorders>
            <w:vMerge w:val="continue"/>
          </w:tcPr>
          <w:p>
            <w:pPr>
              <w:spacing w:after="0"/>
              <w:rPr>
                <w:sz w:val="17"/>
                <w:szCs w:val="17"/>
                <w:color w:val="auto"/>
              </w:rPr>
            </w:pPr>
          </w:p>
        </w:tc>
        <w:tc>
          <w:tcPr>
            <w:tcW w:w="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560" w:type="dxa"/>
            <w:vAlign w:val="bottom"/>
            <w:gridSpan w:val="2"/>
          </w:tcPr>
          <w:p>
            <w:pPr>
              <w:ind w:left="740"/>
              <w:spacing w:after="0"/>
              <w:rPr>
                <w:sz w:val="20"/>
                <w:szCs w:val="20"/>
                <w:color w:val="auto"/>
              </w:rPr>
            </w:pPr>
            <w:r>
              <w:rPr>
                <w:rFonts w:ascii="Times New Roman" w:cs="Times New Roman" w:eastAsia="Times New Roman" w:hAnsi="Times New Roman"/>
                <w:sz w:val="17"/>
                <w:szCs w:val="17"/>
                <w:color w:val="231F20"/>
              </w:rPr>
              <w:t>Total mortgages payable, net</w:t>
            </w:r>
          </w:p>
        </w:tc>
        <w:tc>
          <w:tcPr>
            <w:tcW w:w="180" w:type="dxa"/>
            <w:vAlign w:val="bottom"/>
            <w:tcBorders>
              <w:bottom w:val="single" w:sz="8" w:color="231F20"/>
            </w:tcBorders>
          </w:tcPr>
          <w:p>
            <w:pPr>
              <w:spacing w:after="0"/>
              <w:rPr>
                <w:sz w:val="18"/>
                <w:szCs w:val="18"/>
                <w:color w:val="auto"/>
              </w:rPr>
            </w:pPr>
          </w:p>
        </w:tc>
        <w:tc>
          <w:tcPr>
            <w:tcW w:w="8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231F20"/>
              </w:rPr>
              <w:t>521,759</w:t>
            </w:r>
          </w:p>
        </w:tc>
        <w:tc>
          <w:tcPr>
            <w:tcW w:w="60" w:type="dxa"/>
            <w:vAlign w:val="bottom"/>
          </w:tcPr>
          <w:p>
            <w:pPr>
              <w:spacing w:after="0"/>
              <w:rPr>
                <w:sz w:val="18"/>
                <w:szCs w:val="18"/>
                <w:color w:val="auto"/>
              </w:rPr>
            </w:pPr>
          </w:p>
        </w:tc>
        <w:tc>
          <w:tcPr>
            <w:tcW w:w="180" w:type="dxa"/>
            <w:vAlign w:val="bottom"/>
            <w:tcBorders>
              <w:bottom w:val="single" w:sz="8" w:color="231F20"/>
            </w:tcBorders>
          </w:tcPr>
          <w:p>
            <w:pPr>
              <w:spacing w:after="0"/>
              <w:rPr>
                <w:sz w:val="18"/>
                <w:szCs w:val="18"/>
                <w:color w:val="auto"/>
              </w:rPr>
            </w:pPr>
          </w:p>
        </w:tc>
        <w:tc>
          <w:tcPr>
            <w:tcW w:w="8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231F20"/>
              </w:rPr>
              <w:t>514,378</w:t>
            </w:r>
          </w:p>
        </w:tc>
        <w:tc>
          <w:tcPr>
            <w:tcW w:w="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56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color w:val="231F20"/>
              </w:rPr>
              <w:t>Notes payable</w:t>
            </w:r>
          </w:p>
        </w:tc>
        <w:tc>
          <w:tcPr>
            <w:tcW w:w="180" w:type="dxa"/>
            <w:vAlign w:val="bottom"/>
          </w:tcPr>
          <w:p>
            <w:pPr>
              <w:spacing w:after="0"/>
              <w:rPr>
                <w:sz w:val="18"/>
                <w:szCs w:val="18"/>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231F20"/>
              </w:rPr>
              <w:t>310,000</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231F20"/>
              </w:rPr>
              <w:t>—</w:t>
            </w:r>
          </w:p>
        </w:tc>
        <w:tc>
          <w:tcPr>
            <w:tcW w:w="60" w:type="dxa"/>
            <w:vAlign w:val="bottom"/>
          </w:tcPr>
          <w:p>
            <w:pPr>
              <w:spacing w:after="0"/>
              <w:rPr>
                <w:sz w:val="18"/>
                <w:szCs w:val="18"/>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231F20"/>
              </w:rPr>
              <w:t>SOFR + 0.775%</w:t>
            </w:r>
          </w:p>
        </w:tc>
        <w:tc>
          <w:tcPr>
            <w:tcW w:w="80" w:type="dxa"/>
            <w:vAlign w:val="bottom"/>
          </w:tcPr>
          <w:p>
            <w:pPr>
              <w:spacing w:after="0"/>
              <w:rPr>
                <w:sz w:val="18"/>
                <w:szCs w:val="18"/>
                <w:color w:val="auto"/>
              </w:rPr>
            </w:pPr>
          </w:p>
        </w:tc>
        <w:tc>
          <w:tcPr>
            <w:tcW w:w="16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231F20"/>
              </w:rPr>
              <w:t>April 5, 2027</w:t>
            </w:r>
          </w:p>
        </w:tc>
        <w:tc>
          <w:tcPr>
            <w:tcW w:w="0" w:type="dxa"/>
            <w:vAlign w:val="bottom"/>
          </w:tcPr>
          <w:p>
            <w:pPr>
              <w:spacing w:after="0"/>
              <w:rPr>
                <w:sz w:val="1"/>
                <w:szCs w:val="1"/>
                <w:color w:val="auto"/>
              </w:rPr>
            </w:pPr>
          </w:p>
        </w:tc>
      </w:tr>
      <w:tr>
        <w:trPr>
          <w:trHeight w:val="231"/>
        </w:trPr>
        <w:tc>
          <w:tcPr>
            <w:tcW w:w="456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231F20"/>
              </w:rPr>
              <w:t>Revolving credit facility (2)(6)</w:t>
            </w:r>
          </w:p>
        </w:tc>
        <w:tc>
          <w:tcPr>
            <w:tcW w:w="180" w:type="dxa"/>
            <w:vAlign w:val="bottom"/>
          </w:tcPr>
          <w:p>
            <w:pPr>
              <w:spacing w:after="0"/>
              <w:rPr>
                <w:sz w:val="20"/>
                <w:szCs w:val="20"/>
                <w:color w:val="auto"/>
              </w:rPr>
            </w:pPr>
          </w:p>
        </w:tc>
        <w:tc>
          <w:tcPr>
            <w:tcW w:w="80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3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56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231F20"/>
              </w:rPr>
              <w:t>$750 million term loan (2)(6)(7)</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750,000</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600,000</w:t>
            </w:r>
          </w:p>
        </w:tc>
        <w:tc>
          <w:tcPr>
            <w:tcW w:w="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SOFR + 0.85%</w:t>
            </w:r>
          </w:p>
        </w:tc>
        <w:tc>
          <w:tcPr>
            <w:tcW w:w="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March 20, 2028</w:t>
            </w:r>
          </w:p>
        </w:tc>
        <w:tc>
          <w:tcPr>
            <w:tcW w:w="0" w:type="dxa"/>
            <w:vAlign w:val="bottom"/>
          </w:tcPr>
          <w:p>
            <w:pPr>
              <w:spacing w:after="0"/>
              <w:rPr>
                <w:sz w:val="1"/>
                <w:szCs w:val="1"/>
                <w:color w:val="auto"/>
              </w:rPr>
            </w:pPr>
          </w:p>
        </w:tc>
      </w:tr>
      <w:tr>
        <w:trPr>
          <w:trHeight w:val="228"/>
        </w:trPr>
        <w:tc>
          <w:tcPr>
            <w:tcW w:w="456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231F20"/>
              </w:rPr>
              <w:t>$250 million term loan (2)(6)</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w:t>
            </w:r>
          </w:p>
        </w:tc>
        <w:tc>
          <w:tcPr>
            <w:tcW w:w="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SOFR + 0.85%</w:t>
            </w:r>
          </w:p>
        </w:tc>
        <w:tc>
          <w:tcPr>
            <w:tcW w:w="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January 31, 2031</w:t>
            </w:r>
          </w:p>
        </w:tc>
        <w:tc>
          <w:tcPr>
            <w:tcW w:w="0" w:type="dxa"/>
            <w:vAlign w:val="bottom"/>
          </w:tcPr>
          <w:p>
            <w:pPr>
              <w:spacing w:after="0"/>
              <w:rPr>
                <w:sz w:val="1"/>
                <w:szCs w:val="1"/>
                <w:color w:val="auto"/>
              </w:rPr>
            </w:pPr>
          </w:p>
        </w:tc>
      </w:tr>
      <w:tr>
        <w:trPr>
          <w:trHeight w:val="226"/>
        </w:trPr>
        <w:tc>
          <w:tcPr>
            <w:tcW w:w="456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231F20"/>
              </w:rPr>
              <w:t>Various</w:t>
            </w:r>
          </w:p>
        </w:tc>
        <w:tc>
          <w:tcPr>
            <w:tcW w:w="180" w:type="dxa"/>
            <w:vAlign w:val="bottom"/>
            <w:tcBorders>
              <w:bottom w:val="single" w:sz="8" w:color="231F20"/>
            </w:tcBorders>
          </w:tcPr>
          <w:p>
            <w:pPr>
              <w:spacing w:after="0"/>
              <w:rPr>
                <w:sz w:val="19"/>
                <w:szCs w:val="19"/>
                <w:color w:val="auto"/>
              </w:rPr>
            </w:pPr>
          </w:p>
        </w:tc>
        <w:tc>
          <w:tcPr>
            <w:tcW w:w="8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231F20"/>
              </w:rPr>
              <w:t>1,190</w:t>
            </w:r>
          </w:p>
        </w:tc>
        <w:tc>
          <w:tcPr>
            <w:tcW w:w="60" w:type="dxa"/>
            <w:vAlign w:val="bottom"/>
          </w:tcPr>
          <w:p>
            <w:pPr>
              <w:spacing w:after="0"/>
              <w:rPr>
                <w:sz w:val="19"/>
                <w:szCs w:val="19"/>
                <w:color w:val="auto"/>
              </w:rPr>
            </w:pPr>
          </w:p>
        </w:tc>
        <w:tc>
          <w:tcPr>
            <w:tcW w:w="180" w:type="dxa"/>
            <w:vAlign w:val="bottom"/>
            <w:tcBorders>
              <w:bottom w:val="single" w:sz="8" w:color="231F20"/>
            </w:tcBorders>
          </w:tcPr>
          <w:p>
            <w:pPr>
              <w:spacing w:after="0"/>
              <w:rPr>
                <w:sz w:val="19"/>
                <w:szCs w:val="19"/>
                <w:color w:val="auto"/>
              </w:rPr>
            </w:pPr>
          </w:p>
        </w:tc>
        <w:tc>
          <w:tcPr>
            <w:tcW w:w="8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231F20"/>
              </w:rPr>
              <w:t>1,680</w:t>
            </w:r>
          </w:p>
        </w:tc>
        <w:tc>
          <w:tcPr>
            <w:tcW w:w="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Various</w:t>
            </w:r>
          </w:p>
        </w:tc>
        <w:tc>
          <w:tcPr>
            <w:tcW w:w="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Various through 2059</w:t>
            </w:r>
          </w:p>
        </w:tc>
        <w:tc>
          <w:tcPr>
            <w:tcW w:w="0" w:type="dxa"/>
            <w:vAlign w:val="bottom"/>
          </w:tcPr>
          <w:p>
            <w:pPr>
              <w:spacing w:after="0"/>
              <w:rPr>
                <w:sz w:val="1"/>
                <w:szCs w:val="1"/>
                <w:color w:val="auto"/>
              </w:rPr>
            </w:pPr>
          </w:p>
        </w:tc>
      </w:tr>
      <w:tr>
        <w:trPr>
          <w:trHeight w:val="210"/>
        </w:trPr>
        <w:tc>
          <w:tcPr>
            <w:tcW w:w="4560" w:type="dxa"/>
            <w:vAlign w:val="bottom"/>
            <w:gridSpan w:val="2"/>
          </w:tcPr>
          <w:p>
            <w:pPr>
              <w:ind w:left="740"/>
              <w:spacing w:after="0"/>
              <w:rPr>
                <w:sz w:val="20"/>
                <w:szCs w:val="20"/>
                <w:color w:val="auto"/>
              </w:rPr>
            </w:pPr>
            <w:r>
              <w:rPr>
                <w:rFonts w:ascii="Times New Roman" w:cs="Times New Roman" w:eastAsia="Times New Roman" w:hAnsi="Times New Roman"/>
                <w:sz w:val="17"/>
                <w:szCs w:val="17"/>
                <w:color w:val="231F20"/>
              </w:rPr>
              <w:t>Subtotal</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1,061,190</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601,680</w:t>
            </w:r>
          </w:p>
        </w:tc>
        <w:tc>
          <w:tcPr>
            <w:tcW w:w="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560" w:type="dxa"/>
            <w:vAlign w:val="bottom"/>
            <w:gridSpan w:val="2"/>
          </w:tcPr>
          <w:p>
            <w:pPr>
              <w:ind w:left="960"/>
              <w:spacing w:after="0"/>
              <w:rPr>
                <w:sz w:val="20"/>
                <w:szCs w:val="20"/>
                <w:color w:val="auto"/>
              </w:rPr>
            </w:pPr>
            <w:r>
              <w:rPr>
                <w:rFonts w:ascii="Times New Roman" w:cs="Times New Roman" w:eastAsia="Times New Roman" w:hAnsi="Times New Roman"/>
                <w:sz w:val="17"/>
                <w:szCs w:val="17"/>
                <w:color w:val="231F20"/>
              </w:rPr>
              <w:t>Net unamortized debt issuance costs</w:t>
            </w:r>
          </w:p>
        </w:tc>
        <w:tc>
          <w:tcPr>
            <w:tcW w:w="180" w:type="dxa"/>
            <w:vAlign w:val="bottom"/>
            <w:tcBorders>
              <w:bottom w:val="single" w:sz="8" w:color="231F20"/>
            </w:tcBorders>
          </w:tcPr>
          <w:p>
            <w:pPr>
              <w:spacing w:after="0"/>
              <w:rPr>
                <w:sz w:val="19"/>
                <w:szCs w:val="19"/>
                <w:color w:val="auto"/>
              </w:rPr>
            </w:pPr>
          </w:p>
        </w:tc>
        <w:tc>
          <w:tcPr>
            <w:tcW w:w="8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231F20"/>
              </w:rPr>
              <w:t>(3,859)</w:t>
            </w:r>
          </w:p>
        </w:tc>
        <w:tc>
          <w:tcPr>
            <w:tcW w:w="60" w:type="dxa"/>
            <w:vAlign w:val="bottom"/>
          </w:tcPr>
          <w:p>
            <w:pPr>
              <w:spacing w:after="0"/>
              <w:rPr>
                <w:sz w:val="19"/>
                <w:szCs w:val="19"/>
                <w:color w:val="auto"/>
              </w:rPr>
            </w:pPr>
          </w:p>
        </w:tc>
        <w:tc>
          <w:tcPr>
            <w:tcW w:w="180" w:type="dxa"/>
            <w:vAlign w:val="bottom"/>
            <w:tcBorders>
              <w:bottom w:val="single" w:sz="8" w:color="231F20"/>
            </w:tcBorders>
          </w:tcPr>
          <w:p>
            <w:pPr>
              <w:spacing w:after="0"/>
              <w:rPr>
                <w:sz w:val="19"/>
                <w:szCs w:val="19"/>
                <w:color w:val="auto"/>
              </w:rPr>
            </w:pPr>
          </w:p>
        </w:tc>
        <w:tc>
          <w:tcPr>
            <w:tcW w:w="8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231F20"/>
              </w:rPr>
              <w:t>(266)</w:t>
            </w:r>
          </w:p>
        </w:tc>
        <w:tc>
          <w:tcPr>
            <w:tcW w:w="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4560" w:type="dxa"/>
            <w:vAlign w:val="bottom"/>
            <w:gridSpan w:val="2"/>
          </w:tcPr>
          <w:p>
            <w:pPr>
              <w:ind w:left="740"/>
              <w:spacing w:after="0"/>
              <w:rPr>
                <w:sz w:val="20"/>
                <w:szCs w:val="20"/>
                <w:color w:val="auto"/>
              </w:rPr>
            </w:pPr>
            <w:r>
              <w:rPr>
                <w:rFonts w:ascii="Times New Roman" w:cs="Times New Roman" w:eastAsia="Times New Roman" w:hAnsi="Times New Roman"/>
                <w:sz w:val="17"/>
                <w:szCs w:val="17"/>
                <w:color w:val="231F20"/>
              </w:rPr>
              <w:t>Total notes payable, net</w:t>
            </w:r>
          </w:p>
        </w:tc>
        <w:tc>
          <w:tcPr>
            <w:tcW w:w="180" w:type="dxa"/>
            <w:vAlign w:val="bottom"/>
            <w:tcBorders>
              <w:bottom w:val="single" w:sz="8" w:color="231F20"/>
            </w:tcBorders>
          </w:tcPr>
          <w:p>
            <w:pPr>
              <w:spacing w:after="0"/>
              <w:rPr>
                <w:sz w:val="18"/>
                <w:szCs w:val="18"/>
                <w:color w:val="auto"/>
              </w:rPr>
            </w:pPr>
          </w:p>
        </w:tc>
        <w:tc>
          <w:tcPr>
            <w:tcW w:w="8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231F20"/>
              </w:rPr>
              <w:t>1,057,331</w:t>
            </w:r>
          </w:p>
        </w:tc>
        <w:tc>
          <w:tcPr>
            <w:tcW w:w="60" w:type="dxa"/>
            <w:vAlign w:val="bottom"/>
          </w:tcPr>
          <w:p>
            <w:pPr>
              <w:spacing w:after="0"/>
              <w:rPr>
                <w:sz w:val="18"/>
                <w:szCs w:val="18"/>
                <w:color w:val="auto"/>
              </w:rPr>
            </w:pPr>
          </w:p>
        </w:tc>
        <w:tc>
          <w:tcPr>
            <w:tcW w:w="180" w:type="dxa"/>
            <w:vAlign w:val="bottom"/>
            <w:tcBorders>
              <w:bottom w:val="single" w:sz="8" w:color="231F20"/>
            </w:tcBorders>
          </w:tcPr>
          <w:p>
            <w:pPr>
              <w:spacing w:after="0"/>
              <w:rPr>
                <w:sz w:val="18"/>
                <w:szCs w:val="18"/>
                <w:color w:val="auto"/>
              </w:rPr>
            </w:pPr>
          </w:p>
        </w:tc>
        <w:tc>
          <w:tcPr>
            <w:tcW w:w="8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231F20"/>
              </w:rPr>
              <w:t>601,414</w:t>
            </w:r>
          </w:p>
        </w:tc>
        <w:tc>
          <w:tcPr>
            <w:tcW w:w="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56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color w:val="231F20"/>
              </w:rPr>
              <w:t>Senior notes and debentures (6)</w:t>
            </w:r>
          </w:p>
        </w:tc>
        <w:tc>
          <w:tcPr>
            <w:tcW w:w="180" w:type="dxa"/>
            <w:vAlign w:val="bottom"/>
          </w:tcPr>
          <w:p>
            <w:pPr>
              <w:spacing w:after="0"/>
              <w:rPr>
                <w:sz w:val="18"/>
                <w:szCs w:val="18"/>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231F20"/>
              </w:rPr>
              <w:t>400,000</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231F20"/>
              </w:rPr>
              <w:t>400,000</w:t>
            </w:r>
          </w:p>
        </w:tc>
        <w:tc>
          <w:tcPr>
            <w:tcW w:w="14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231F20"/>
              </w:rPr>
              <w:t>1.25 %</w:t>
            </w:r>
          </w:p>
        </w:tc>
        <w:tc>
          <w:tcPr>
            <w:tcW w:w="80" w:type="dxa"/>
            <w:vAlign w:val="bottom"/>
          </w:tcPr>
          <w:p>
            <w:pPr>
              <w:spacing w:after="0"/>
              <w:rPr>
                <w:sz w:val="18"/>
                <w:szCs w:val="18"/>
                <w:color w:val="auto"/>
              </w:rPr>
            </w:pPr>
          </w:p>
        </w:tc>
        <w:tc>
          <w:tcPr>
            <w:tcW w:w="16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231F20"/>
              </w:rPr>
              <w:t>February 15, 2026</w:t>
            </w:r>
          </w:p>
        </w:tc>
        <w:tc>
          <w:tcPr>
            <w:tcW w:w="0" w:type="dxa"/>
            <w:vAlign w:val="bottom"/>
          </w:tcPr>
          <w:p>
            <w:pPr>
              <w:spacing w:after="0"/>
              <w:rPr>
                <w:sz w:val="1"/>
                <w:szCs w:val="1"/>
                <w:color w:val="auto"/>
              </w:rPr>
            </w:pPr>
          </w:p>
        </w:tc>
      </w:tr>
      <w:tr>
        <w:trPr>
          <w:trHeight w:val="231"/>
        </w:trPr>
        <w:tc>
          <w:tcPr>
            <w:tcW w:w="456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231F20"/>
              </w:rPr>
              <w:t>1.25% notes</w:t>
            </w:r>
          </w:p>
        </w:tc>
        <w:tc>
          <w:tcPr>
            <w:tcW w:w="180" w:type="dxa"/>
            <w:vAlign w:val="bottom"/>
          </w:tcPr>
          <w:p>
            <w:pPr>
              <w:spacing w:after="0"/>
              <w:rPr>
                <w:sz w:val="20"/>
                <w:szCs w:val="20"/>
                <w:color w:val="auto"/>
              </w:rPr>
            </w:pPr>
          </w:p>
        </w:tc>
        <w:tc>
          <w:tcPr>
            <w:tcW w:w="80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vMerge w:val="continue"/>
          </w:tcPr>
          <w:p>
            <w:pPr>
              <w:spacing w:after="0"/>
              <w:rPr>
                <w:sz w:val="20"/>
                <w:szCs w:val="20"/>
                <w:color w:val="auto"/>
              </w:rPr>
            </w:pPr>
          </w:p>
        </w:tc>
        <w:tc>
          <w:tcPr>
            <w:tcW w:w="142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56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231F20"/>
              </w:rPr>
              <w:t>7.48% debentures</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29,200</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29,200</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231F20"/>
              </w:rPr>
              <w:t>7.48 %</w:t>
            </w:r>
          </w:p>
        </w:tc>
        <w:tc>
          <w:tcPr>
            <w:tcW w:w="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August 15, 2026</w:t>
            </w:r>
          </w:p>
        </w:tc>
        <w:tc>
          <w:tcPr>
            <w:tcW w:w="0" w:type="dxa"/>
            <w:vAlign w:val="bottom"/>
          </w:tcPr>
          <w:p>
            <w:pPr>
              <w:spacing w:after="0"/>
              <w:rPr>
                <w:sz w:val="1"/>
                <w:szCs w:val="1"/>
                <w:color w:val="auto"/>
              </w:rPr>
            </w:pPr>
          </w:p>
        </w:tc>
      </w:tr>
      <w:tr>
        <w:trPr>
          <w:trHeight w:val="228"/>
        </w:trPr>
        <w:tc>
          <w:tcPr>
            <w:tcW w:w="456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231F20"/>
              </w:rPr>
              <w:t>3.25% notes</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475,000</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475,000</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231F20"/>
              </w:rPr>
              <w:t>3.25 %</w:t>
            </w:r>
          </w:p>
        </w:tc>
        <w:tc>
          <w:tcPr>
            <w:tcW w:w="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July 15, 2027</w:t>
            </w:r>
          </w:p>
        </w:tc>
        <w:tc>
          <w:tcPr>
            <w:tcW w:w="0" w:type="dxa"/>
            <w:vAlign w:val="bottom"/>
          </w:tcPr>
          <w:p>
            <w:pPr>
              <w:spacing w:after="0"/>
              <w:rPr>
                <w:sz w:val="1"/>
                <w:szCs w:val="1"/>
                <w:color w:val="auto"/>
              </w:rPr>
            </w:pPr>
          </w:p>
        </w:tc>
      </w:tr>
      <w:tr>
        <w:trPr>
          <w:trHeight w:val="228"/>
        </w:trPr>
        <w:tc>
          <w:tcPr>
            <w:tcW w:w="456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231F20"/>
              </w:rPr>
              <w:t>6.82% medium term notes</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40,000</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40,000</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231F20"/>
              </w:rPr>
              <w:t>6.82 %</w:t>
            </w:r>
          </w:p>
        </w:tc>
        <w:tc>
          <w:tcPr>
            <w:tcW w:w="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August 1, 2027</w:t>
            </w:r>
          </w:p>
        </w:tc>
        <w:tc>
          <w:tcPr>
            <w:tcW w:w="0" w:type="dxa"/>
            <w:vAlign w:val="bottom"/>
          </w:tcPr>
          <w:p>
            <w:pPr>
              <w:spacing w:after="0"/>
              <w:rPr>
                <w:sz w:val="1"/>
                <w:szCs w:val="1"/>
                <w:color w:val="auto"/>
              </w:rPr>
            </w:pPr>
          </w:p>
        </w:tc>
      </w:tr>
      <w:tr>
        <w:trPr>
          <w:trHeight w:val="228"/>
        </w:trPr>
        <w:tc>
          <w:tcPr>
            <w:tcW w:w="456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231F20"/>
              </w:rPr>
              <w:t>5.375% notes</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350,000</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350,000</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231F20"/>
              </w:rPr>
              <w:t>5.375 %</w:t>
            </w:r>
          </w:p>
        </w:tc>
        <w:tc>
          <w:tcPr>
            <w:tcW w:w="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May 1, 2028</w:t>
            </w:r>
          </w:p>
        </w:tc>
        <w:tc>
          <w:tcPr>
            <w:tcW w:w="0" w:type="dxa"/>
            <w:vAlign w:val="bottom"/>
          </w:tcPr>
          <w:p>
            <w:pPr>
              <w:spacing w:after="0"/>
              <w:rPr>
                <w:sz w:val="1"/>
                <w:szCs w:val="1"/>
                <w:color w:val="auto"/>
              </w:rPr>
            </w:pPr>
          </w:p>
        </w:tc>
      </w:tr>
      <w:tr>
        <w:trPr>
          <w:trHeight w:val="228"/>
        </w:trPr>
        <w:tc>
          <w:tcPr>
            <w:tcW w:w="456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231F20"/>
              </w:rPr>
              <w:t>3.25% exchangeable notes</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485,000</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485,000</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231F20"/>
              </w:rPr>
              <w:t>3.25 %</w:t>
            </w:r>
          </w:p>
        </w:tc>
        <w:tc>
          <w:tcPr>
            <w:tcW w:w="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January 15, 2029</w:t>
            </w:r>
          </w:p>
        </w:tc>
        <w:tc>
          <w:tcPr>
            <w:tcW w:w="0" w:type="dxa"/>
            <w:vAlign w:val="bottom"/>
          </w:tcPr>
          <w:p>
            <w:pPr>
              <w:spacing w:after="0"/>
              <w:rPr>
                <w:sz w:val="1"/>
                <w:szCs w:val="1"/>
                <w:color w:val="auto"/>
              </w:rPr>
            </w:pPr>
          </w:p>
        </w:tc>
      </w:tr>
      <w:tr>
        <w:trPr>
          <w:trHeight w:val="228"/>
        </w:trPr>
        <w:tc>
          <w:tcPr>
            <w:tcW w:w="456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231F20"/>
              </w:rPr>
              <w:t>3.20% notes</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400,000</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400,000</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231F20"/>
              </w:rPr>
              <w:t>3.20 %</w:t>
            </w:r>
          </w:p>
        </w:tc>
        <w:tc>
          <w:tcPr>
            <w:tcW w:w="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June 15, 2029</w:t>
            </w:r>
          </w:p>
        </w:tc>
        <w:tc>
          <w:tcPr>
            <w:tcW w:w="0" w:type="dxa"/>
            <w:vAlign w:val="bottom"/>
          </w:tcPr>
          <w:p>
            <w:pPr>
              <w:spacing w:after="0"/>
              <w:rPr>
                <w:sz w:val="1"/>
                <w:szCs w:val="1"/>
                <w:color w:val="auto"/>
              </w:rPr>
            </w:pPr>
          </w:p>
        </w:tc>
      </w:tr>
      <w:tr>
        <w:trPr>
          <w:trHeight w:val="228"/>
        </w:trPr>
        <w:tc>
          <w:tcPr>
            <w:tcW w:w="456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231F20"/>
              </w:rPr>
              <w:t>3.50% notes</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400,000</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400,000</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231F20"/>
              </w:rPr>
              <w:t>3.50 %</w:t>
            </w:r>
          </w:p>
        </w:tc>
        <w:tc>
          <w:tcPr>
            <w:tcW w:w="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June 1, 2030</w:t>
            </w:r>
          </w:p>
        </w:tc>
        <w:tc>
          <w:tcPr>
            <w:tcW w:w="0" w:type="dxa"/>
            <w:vAlign w:val="bottom"/>
          </w:tcPr>
          <w:p>
            <w:pPr>
              <w:spacing w:after="0"/>
              <w:rPr>
                <w:sz w:val="1"/>
                <w:szCs w:val="1"/>
                <w:color w:val="auto"/>
              </w:rPr>
            </w:pPr>
          </w:p>
        </w:tc>
      </w:tr>
      <w:tr>
        <w:trPr>
          <w:trHeight w:val="228"/>
        </w:trPr>
        <w:tc>
          <w:tcPr>
            <w:tcW w:w="456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231F20"/>
              </w:rPr>
              <w:t>4.50% notes</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550,000</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550,000</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231F20"/>
              </w:rPr>
              <w:t>4.50 %</w:t>
            </w:r>
          </w:p>
        </w:tc>
        <w:tc>
          <w:tcPr>
            <w:tcW w:w="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December 1, 2044</w:t>
            </w:r>
          </w:p>
        </w:tc>
        <w:tc>
          <w:tcPr>
            <w:tcW w:w="0" w:type="dxa"/>
            <w:vAlign w:val="bottom"/>
          </w:tcPr>
          <w:p>
            <w:pPr>
              <w:spacing w:after="0"/>
              <w:rPr>
                <w:sz w:val="1"/>
                <w:szCs w:val="1"/>
                <w:color w:val="auto"/>
              </w:rPr>
            </w:pPr>
          </w:p>
        </w:tc>
      </w:tr>
      <w:tr>
        <w:trPr>
          <w:trHeight w:val="226"/>
        </w:trPr>
        <w:tc>
          <w:tcPr>
            <w:tcW w:w="456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231F20"/>
              </w:rPr>
              <w:t>3.625% notes</w:t>
            </w:r>
          </w:p>
        </w:tc>
        <w:tc>
          <w:tcPr>
            <w:tcW w:w="180" w:type="dxa"/>
            <w:vAlign w:val="bottom"/>
            <w:tcBorders>
              <w:bottom w:val="single" w:sz="8" w:color="231F20"/>
            </w:tcBorders>
          </w:tcPr>
          <w:p>
            <w:pPr>
              <w:spacing w:after="0"/>
              <w:rPr>
                <w:sz w:val="19"/>
                <w:szCs w:val="19"/>
                <w:color w:val="auto"/>
              </w:rPr>
            </w:pPr>
          </w:p>
        </w:tc>
        <w:tc>
          <w:tcPr>
            <w:tcW w:w="8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231F20"/>
              </w:rPr>
              <w:t>250,000</w:t>
            </w:r>
          </w:p>
        </w:tc>
        <w:tc>
          <w:tcPr>
            <w:tcW w:w="60" w:type="dxa"/>
            <w:vAlign w:val="bottom"/>
          </w:tcPr>
          <w:p>
            <w:pPr>
              <w:spacing w:after="0"/>
              <w:rPr>
                <w:sz w:val="19"/>
                <w:szCs w:val="19"/>
                <w:color w:val="auto"/>
              </w:rPr>
            </w:pPr>
          </w:p>
        </w:tc>
        <w:tc>
          <w:tcPr>
            <w:tcW w:w="180" w:type="dxa"/>
            <w:vAlign w:val="bottom"/>
            <w:tcBorders>
              <w:bottom w:val="single" w:sz="8" w:color="231F20"/>
            </w:tcBorders>
          </w:tcPr>
          <w:p>
            <w:pPr>
              <w:spacing w:after="0"/>
              <w:rPr>
                <w:sz w:val="19"/>
                <w:szCs w:val="19"/>
                <w:color w:val="auto"/>
              </w:rPr>
            </w:pPr>
          </w:p>
        </w:tc>
        <w:tc>
          <w:tcPr>
            <w:tcW w:w="8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231F20"/>
              </w:rPr>
              <w:t>250,000</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231F20"/>
              </w:rPr>
              <w:t>3.625 %</w:t>
            </w:r>
          </w:p>
        </w:tc>
        <w:tc>
          <w:tcPr>
            <w:tcW w:w="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August 1, 2046</w:t>
            </w:r>
          </w:p>
        </w:tc>
        <w:tc>
          <w:tcPr>
            <w:tcW w:w="0" w:type="dxa"/>
            <w:vAlign w:val="bottom"/>
          </w:tcPr>
          <w:p>
            <w:pPr>
              <w:spacing w:after="0"/>
              <w:rPr>
                <w:sz w:val="1"/>
                <w:szCs w:val="1"/>
                <w:color w:val="auto"/>
              </w:rPr>
            </w:pPr>
          </w:p>
        </w:tc>
      </w:tr>
      <w:tr>
        <w:trPr>
          <w:trHeight w:val="216"/>
        </w:trPr>
        <w:tc>
          <w:tcPr>
            <w:tcW w:w="4560" w:type="dxa"/>
            <w:vAlign w:val="bottom"/>
            <w:gridSpan w:val="2"/>
          </w:tcPr>
          <w:p>
            <w:pPr>
              <w:ind w:left="740"/>
              <w:spacing w:after="0"/>
              <w:rPr>
                <w:sz w:val="20"/>
                <w:szCs w:val="20"/>
                <w:color w:val="auto"/>
              </w:rPr>
            </w:pPr>
            <w:r>
              <w:rPr>
                <w:rFonts w:ascii="Times New Roman" w:cs="Times New Roman" w:eastAsia="Times New Roman" w:hAnsi="Times New Roman"/>
                <w:sz w:val="17"/>
                <w:szCs w:val="17"/>
                <w:color w:val="231F20"/>
              </w:rPr>
              <w:t>Subtotal</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3,379,200</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3,379,200</w:t>
            </w:r>
          </w:p>
        </w:tc>
        <w:tc>
          <w:tcPr>
            <w:tcW w:w="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4560" w:type="dxa"/>
            <w:vAlign w:val="bottom"/>
            <w:gridSpan w:val="2"/>
          </w:tcPr>
          <w:p>
            <w:pPr>
              <w:ind w:left="960"/>
              <w:spacing w:after="0" w:line="172" w:lineRule="exact"/>
              <w:rPr>
                <w:sz w:val="20"/>
                <w:szCs w:val="20"/>
                <w:color w:val="auto"/>
              </w:rPr>
            </w:pPr>
            <w:r>
              <w:rPr>
                <w:rFonts w:ascii="Times New Roman" w:cs="Times New Roman" w:eastAsia="Times New Roman" w:hAnsi="Times New Roman"/>
                <w:sz w:val="17"/>
                <w:szCs w:val="17"/>
                <w:color w:val="231F20"/>
              </w:rPr>
              <w:t>Net unamortized debt issuance costs and</w:t>
            </w:r>
          </w:p>
        </w:tc>
        <w:tc>
          <w:tcPr>
            <w:tcW w:w="18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231F20"/>
              </w:rPr>
              <w:t>(15,190)</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231F20"/>
              </w:rPr>
              <w:t>(21,360)</w:t>
            </w:r>
          </w:p>
        </w:tc>
        <w:tc>
          <w:tcPr>
            <w:tcW w:w="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4560" w:type="dxa"/>
            <w:vAlign w:val="bottom"/>
            <w:gridSpan w:val="2"/>
          </w:tcPr>
          <w:p>
            <w:pPr>
              <w:ind w:left="960"/>
              <w:spacing w:after="0"/>
              <w:rPr>
                <w:sz w:val="20"/>
                <w:szCs w:val="20"/>
                <w:color w:val="auto"/>
              </w:rPr>
            </w:pPr>
            <w:r>
              <w:rPr>
                <w:rFonts w:ascii="Times New Roman" w:cs="Times New Roman" w:eastAsia="Times New Roman" w:hAnsi="Times New Roman"/>
                <w:sz w:val="17"/>
                <w:szCs w:val="17"/>
                <w:color w:val="231F20"/>
              </w:rPr>
              <w:t>premium</w:t>
            </w:r>
          </w:p>
        </w:tc>
        <w:tc>
          <w:tcPr>
            <w:tcW w:w="180" w:type="dxa"/>
            <w:vAlign w:val="bottom"/>
            <w:tcBorders>
              <w:bottom w:val="single" w:sz="8" w:color="231F20"/>
            </w:tcBorders>
          </w:tcPr>
          <w:p>
            <w:pPr>
              <w:spacing w:after="0"/>
              <w:rPr>
                <w:sz w:val="17"/>
                <w:szCs w:val="17"/>
                <w:color w:val="auto"/>
              </w:rPr>
            </w:pPr>
          </w:p>
        </w:tc>
        <w:tc>
          <w:tcPr>
            <w:tcW w:w="800" w:type="dxa"/>
            <w:vAlign w:val="bottom"/>
            <w:tcBorders>
              <w:bottom w:val="single" w:sz="8" w:color="231F20"/>
            </w:tcBorders>
            <w:vMerge w:val="continue"/>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Borders>
              <w:bottom w:val="single" w:sz="8" w:color="231F20"/>
            </w:tcBorders>
          </w:tcPr>
          <w:p>
            <w:pPr>
              <w:spacing w:after="0"/>
              <w:rPr>
                <w:sz w:val="17"/>
                <w:szCs w:val="17"/>
                <w:color w:val="auto"/>
              </w:rPr>
            </w:pPr>
          </w:p>
        </w:tc>
        <w:tc>
          <w:tcPr>
            <w:tcW w:w="800" w:type="dxa"/>
            <w:vAlign w:val="bottom"/>
            <w:tcBorders>
              <w:bottom w:val="single" w:sz="8" w:color="231F20"/>
            </w:tcBorders>
            <w:vMerge w:val="continue"/>
          </w:tcPr>
          <w:p>
            <w:pPr>
              <w:spacing w:after="0"/>
              <w:rPr>
                <w:sz w:val="17"/>
                <w:szCs w:val="17"/>
                <w:color w:val="auto"/>
              </w:rPr>
            </w:pPr>
          </w:p>
        </w:tc>
        <w:tc>
          <w:tcPr>
            <w:tcW w:w="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4560" w:type="dxa"/>
            <w:vAlign w:val="bottom"/>
            <w:gridSpan w:val="2"/>
          </w:tcPr>
          <w:p>
            <w:pPr>
              <w:ind w:left="740"/>
              <w:spacing w:after="0"/>
              <w:rPr>
                <w:sz w:val="20"/>
                <w:szCs w:val="20"/>
                <w:color w:val="auto"/>
              </w:rPr>
            </w:pPr>
            <w:r>
              <w:rPr>
                <w:rFonts w:ascii="Times New Roman" w:cs="Times New Roman" w:eastAsia="Times New Roman" w:hAnsi="Times New Roman"/>
                <w:sz w:val="17"/>
                <w:szCs w:val="17"/>
                <w:color w:val="231F20"/>
              </w:rPr>
              <w:t>Total senior notes and debentures, net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3,364,010</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3,357,840</w:t>
            </w:r>
          </w:p>
        </w:tc>
        <w:tc>
          <w:tcPr>
            <w:tcW w:w="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456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color w:val="231F20"/>
              </w:rPr>
              <w:t>Total debt</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4,943,100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231F2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4,473,632</w:t>
            </w:r>
          </w:p>
        </w:tc>
        <w:tc>
          <w:tcPr>
            <w:tcW w:w="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231F20"/>
              <w:bottom w:val="single" w:sz="8" w:color="231F20"/>
            </w:tcBorders>
          </w:tcPr>
          <w:p>
            <w:pPr>
              <w:spacing w:after="0" w:line="20" w:lineRule="exact"/>
              <w:rPr>
                <w:sz w:val="1"/>
                <w:szCs w:val="1"/>
                <w:color w:val="auto"/>
              </w:rPr>
            </w:pPr>
          </w:p>
        </w:tc>
        <w:tc>
          <w:tcPr>
            <w:tcW w:w="80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231F20"/>
              <w:bottom w:val="single" w:sz="8" w:color="231F20"/>
            </w:tcBorders>
          </w:tcPr>
          <w:p>
            <w:pPr>
              <w:spacing w:after="0" w:line="20" w:lineRule="exact"/>
              <w:rPr>
                <w:sz w:val="1"/>
                <w:szCs w:val="1"/>
                <w:color w:val="auto"/>
              </w:rPr>
            </w:pPr>
          </w:p>
        </w:tc>
        <w:tc>
          <w:tcPr>
            <w:tcW w:w="80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_____________________</w:t>
      </w:r>
    </w:p>
    <w:p>
      <w:pPr>
        <w:spacing w:after="0" w:line="67" w:lineRule="exact"/>
        <w:rPr>
          <w:sz w:val="20"/>
          <w:szCs w:val="20"/>
          <w:color w:val="auto"/>
        </w:rPr>
      </w:pPr>
    </w:p>
    <w:p>
      <w:pPr>
        <w:ind w:left="680" w:right="420" w:hanging="677"/>
        <w:spacing w:after="0" w:line="281" w:lineRule="auto"/>
        <w:tabs>
          <w:tab w:leader="none" w:pos="680" w:val="left"/>
        </w:tabs>
        <w:numPr>
          <w:ilvl w:val="0"/>
          <w:numId w:val="68"/>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We have one one-year extension, at our option to extend the maturity date of this mortgage loan to December 28, 2027.</w:t>
      </w:r>
    </w:p>
    <w:p>
      <w:pPr>
        <w:spacing w:after="0" w:line="1" w:lineRule="exact"/>
        <w:rPr>
          <w:rFonts w:ascii="Times New Roman" w:cs="Times New Roman" w:eastAsia="Times New Roman" w:hAnsi="Times New Roman"/>
          <w:sz w:val="19"/>
          <w:szCs w:val="19"/>
          <w:color w:val="231F20"/>
        </w:rPr>
      </w:pPr>
    </w:p>
    <w:p>
      <w:pPr>
        <w:ind w:left="680" w:right="420" w:hanging="677"/>
        <w:spacing w:after="0" w:line="281" w:lineRule="auto"/>
        <w:tabs>
          <w:tab w:leader="none" w:pos="680" w:val="left"/>
        </w:tabs>
        <w:numPr>
          <w:ilvl w:val="0"/>
          <w:numId w:val="68"/>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Our Azalea mortgage loan, revolving credit facility SOFR loans, and our term loans bear interest at Daily Simple SOFR, as defined in the respective credit agreements, plus a spread, based on our current credit rating.</w:t>
      </w:r>
    </w:p>
    <w:p>
      <w:pPr>
        <w:spacing w:after="0" w:line="1" w:lineRule="exact"/>
        <w:rPr>
          <w:rFonts w:ascii="Times New Roman" w:cs="Times New Roman" w:eastAsia="Times New Roman" w:hAnsi="Times New Roman"/>
          <w:sz w:val="19"/>
          <w:szCs w:val="19"/>
          <w:color w:val="231F20"/>
        </w:rPr>
      </w:pPr>
    </w:p>
    <w:p>
      <w:pPr>
        <w:ind w:left="680" w:right="120" w:hanging="677"/>
        <w:spacing w:after="0" w:line="281" w:lineRule="auto"/>
        <w:tabs>
          <w:tab w:leader="none" w:pos="680" w:val="left"/>
        </w:tabs>
        <w:numPr>
          <w:ilvl w:val="0"/>
          <w:numId w:val="68"/>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The Operating Partnership is a co-borrower on this mortgage loan. Additionally, we have two one-year extensions, at our option to extend the maturity date of this mortgage loan to October 30, 2030.</w:t>
      </w:r>
    </w:p>
    <w:p>
      <w:pPr>
        <w:spacing w:after="0" w:line="1" w:lineRule="exact"/>
        <w:rPr>
          <w:rFonts w:ascii="Times New Roman" w:cs="Times New Roman" w:eastAsia="Times New Roman" w:hAnsi="Times New Roman"/>
          <w:sz w:val="19"/>
          <w:szCs w:val="19"/>
          <w:color w:val="231F20"/>
        </w:rPr>
      </w:pPr>
    </w:p>
    <w:p>
      <w:pPr>
        <w:ind w:left="680" w:hanging="677"/>
        <w:spacing w:after="0"/>
        <w:tabs>
          <w:tab w:leader="none" w:pos="680" w:val="left"/>
        </w:tabs>
        <w:numPr>
          <w:ilvl w:val="0"/>
          <w:numId w:val="68"/>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The interest rate on this mortgage loan is fixed at 3.67% through two interest rate swap agreements.</w:t>
      </w:r>
    </w:p>
    <w:p>
      <w:pPr>
        <w:spacing w:after="0" w:line="66" w:lineRule="exact"/>
        <w:rPr>
          <w:rFonts w:ascii="Times New Roman" w:cs="Times New Roman" w:eastAsia="Times New Roman" w:hAnsi="Times New Roman"/>
          <w:sz w:val="19"/>
          <w:szCs w:val="19"/>
          <w:color w:val="231F20"/>
        </w:rPr>
      </w:pPr>
    </w:p>
    <w:p>
      <w:pPr>
        <w:ind w:left="680" w:hanging="677"/>
        <w:spacing w:after="0"/>
        <w:tabs>
          <w:tab w:leader="none" w:pos="680" w:val="left"/>
        </w:tabs>
        <w:numPr>
          <w:ilvl w:val="0"/>
          <w:numId w:val="68"/>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The interest rates on these mortgages range from 3.91% to 5.00%.</w:t>
      </w:r>
    </w:p>
    <w:p>
      <w:pPr>
        <w:spacing w:after="0" w:line="66" w:lineRule="exact"/>
        <w:rPr>
          <w:rFonts w:ascii="Times New Roman" w:cs="Times New Roman" w:eastAsia="Times New Roman" w:hAnsi="Times New Roman"/>
          <w:sz w:val="19"/>
          <w:szCs w:val="19"/>
          <w:color w:val="231F20"/>
        </w:rPr>
      </w:pPr>
    </w:p>
    <w:p>
      <w:pPr>
        <w:ind w:left="680" w:hanging="677"/>
        <w:spacing w:after="0" w:line="313" w:lineRule="auto"/>
        <w:tabs>
          <w:tab w:leader="none" w:pos="680" w:val="left"/>
        </w:tabs>
        <w:numPr>
          <w:ilvl w:val="0"/>
          <w:numId w:val="6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Operating Partnership is the obligor under our revolving credit facility, term loans, and senior notes and debentures. A wholly owned subsidiary of the Operating Partnership is also an obligor of the $750.0 million term loan.</w:t>
      </w:r>
    </w:p>
    <w:p>
      <w:pPr>
        <w:sectPr>
          <w:pgSz w:w="11880" w:h="15480" w:orient="portrait"/>
          <w:cols w:equalWidth="0" w:num="1">
            <w:col w:w="9720"/>
          </w:cols>
          <w:pgMar w:left="1060" w:top="938" w:right="1100" w:bottom="0" w:gutter="0" w:footer="0" w:header="0"/>
        </w:sectPr>
      </w:pPr>
    </w:p>
    <w:p>
      <w:pPr>
        <w:spacing w:after="0" w:line="200" w:lineRule="exact"/>
        <w:rPr>
          <w:sz w:val="20"/>
          <w:szCs w:val="20"/>
          <w:color w:val="auto"/>
        </w:rPr>
      </w:pPr>
    </w:p>
    <w:p>
      <w:pPr>
        <w:spacing w:after="0" w:line="3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231F20"/>
        </w:rPr>
        <w:t>F-28</w:t>
      </w:r>
    </w:p>
    <w:p>
      <w:pPr>
        <w:sectPr>
          <w:pgSz w:w="11880" w:h="15480" w:orient="portrait"/>
          <w:cols w:equalWidth="0" w:num="1">
            <w:col w:w="9720"/>
          </w:cols>
          <w:pgMar w:left="1060" w:top="938" w:right="1100" w:bottom="0" w:gutter="0" w:footer="0" w:header="0"/>
          <w:type w:val="continuous"/>
        </w:sectPr>
      </w:pPr>
    </w:p>
    <w:bookmarkStart w:id="92" w:name="page93"/>
    <w:bookmarkEnd w:id="92"/>
    <w:p>
      <w:pPr>
        <w:ind w:left="680" w:right="520" w:hanging="677"/>
        <w:spacing w:after="0" w:line="284" w:lineRule="auto"/>
        <w:tabs>
          <w:tab w:leader="none" w:pos="680" w:val="left"/>
        </w:tabs>
        <w:numPr>
          <w:ilvl w:val="0"/>
          <w:numId w:val="69"/>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The interest rate on $450.0 million of our term loan is fixed at a weighted average interest rate of 4.17% through March 1, 2028 through interest rate swap agreements.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On January 9, 2025 and October 1, 2025 we repaid two mortgage loans at our Hoboken property totaling $4.3 million,at par.</w:t>
      </w:r>
    </w:p>
    <w:p>
      <w:pPr>
        <w:spacing w:after="0" w:line="181" w:lineRule="exact"/>
        <w:rPr>
          <w:sz w:val="20"/>
          <w:szCs w:val="20"/>
          <w:color w:val="auto"/>
        </w:rPr>
      </w:pPr>
    </w:p>
    <w:p>
      <w:pPr>
        <w:ind w:right="240"/>
        <w:spacing w:after="0" w:line="257" w:lineRule="auto"/>
        <w:rPr>
          <w:sz w:val="20"/>
          <w:szCs w:val="20"/>
          <w:color w:val="auto"/>
        </w:rPr>
      </w:pPr>
      <w:r>
        <w:rPr>
          <w:rFonts w:ascii="Times New Roman" w:cs="Times New Roman" w:eastAsia="Times New Roman" w:hAnsi="Times New Roman"/>
          <w:sz w:val="19"/>
          <w:szCs w:val="19"/>
          <w:color w:val="231F20"/>
        </w:rPr>
        <w:t>On March 20, 2025, we amended and restated our $600.0 million unsecured term loan, extending the maturity date to March 20, 2028, plus two one-year extensions, at our option. We also had the right to borrow up to an additional $150.0 million, which we exercised on September 22, 2025, bringing our total amount outstanding under this agreement to $750.0 million as of December 31, 2025. Debt issuance costs related to our term loan were $4.9 million. Under an accordion feature, we have the right to request additional loans, subject to an aggregate maximum of $1.0 billion borrowed under the restated agreement. Additionally, on May 1, 2025, the interest rate was reduced by removing the 0.10% adjustment to SOFR.</w:t>
      </w:r>
    </w:p>
    <w:p>
      <w:pPr>
        <w:spacing w:after="0" w:line="136" w:lineRule="exact"/>
        <w:rPr>
          <w:sz w:val="20"/>
          <w:szCs w:val="20"/>
          <w:color w:val="auto"/>
        </w:rPr>
      </w:pPr>
    </w:p>
    <w:p>
      <w:pPr>
        <w:ind w:right="260"/>
        <w:spacing w:after="0" w:line="267" w:lineRule="auto"/>
        <w:rPr>
          <w:sz w:val="20"/>
          <w:szCs w:val="20"/>
          <w:color w:val="auto"/>
        </w:rPr>
      </w:pPr>
      <w:r>
        <w:rPr>
          <w:rFonts w:ascii="Times New Roman" w:cs="Times New Roman" w:eastAsia="Times New Roman" w:hAnsi="Times New Roman"/>
          <w:sz w:val="19"/>
          <w:szCs w:val="19"/>
          <w:color w:val="231F20"/>
        </w:rPr>
        <w:t>On October 30, 2025, we refinanced the $40.0 million mortgage loan at Azalea, with a new $55.0 million mortgage loan that bears interest at SOFR + 85 basis points, based on our credit rating, and matures on October 30, 2028, plus two one-year extensions, at our option. Debt issuance costs related to this mortgage loan were $0.6 million.</w:t>
      </w:r>
    </w:p>
    <w:p>
      <w:pPr>
        <w:spacing w:after="0" w:line="126"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9"/>
          <w:szCs w:val="19"/>
          <w:color w:val="231F20"/>
        </w:rPr>
        <w:t>On November 17, 2025, we entered into an additional unsecured term loan agreement, which gives us the capacity to borrow up to $250.0 million at an interest rate of SOFR + 85 basis points, based on our current credit rating. The loan matures on January 31, 2031, and as of December 31, 2025, we do not have any outstanding borrowings under this agreement. Debt issuance costs related to this term loan were $1.5 million. Under an accordion feature, we have the right to request additional loans, subject to an aggregate maximum of $500.0 million.</w:t>
      </w:r>
    </w:p>
    <w:p>
      <w:pPr>
        <w:spacing w:after="0" w:line="133" w:lineRule="exact"/>
        <w:rPr>
          <w:sz w:val="20"/>
          <w:szCs w:val="20"/>
          <w:color w:val="auto"/>
        </w:rPr>
      </w:pPr>
    </w:p>
    <w:p>
      <w:pPr>
        <w:ind w:right="80"/>
        <w:spacing w:after="0" w:line="284" w:lineRule="auto"/>
        <w:rPr>
          <w:sz w:val="20"/>
          <w:szCs w:val="20"/>
          <w:color w:val="auto"/>
        </w:rPr>
      </w:pPr>
      <w:r>
        <w:rPr>
          <w:rFonts w:ascii="Times New Roman" w:cs="Times New Roman" w:eastAsia="Times New Roman" w:hAnsi="Times New Roman"/>
          <w:sz w:val="19"/>
          <w:szCs w:val="19"/>
          <w:color w:val="231F20"/>
        </w:rPr>
        <w:t>On December 17, 2025, we exercised our first option to extend our $200.0 million mortgage loan at Bethesda Row by one year to December 28, 2026. We have one one-year extension, at our option remaining to extend the loan to December 28, 2027.</w:t>
      </w:r>
    </w:p>
    <w:p>
      <w:pPr>
        <w:spacing w:after="0" w:line="110"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9"/>
          <w:szCs w:val="19"/>
          <w:color w:val="231F20"/>
        </w:rPr>
        <w:t>During 2025, 2024 and 2023, the maximum amount of borrowings outstanding under our revolving credit facility was $461.6 million, $202.7 million and $115.5 million, respectively. The weighted average amount of borrowings outstanding was $153.2 million, $33.5 million and $44.7 million, respectively, and the weighted average interest rate, before amortization of debt fees, was 5.0%, 6.1% and 5.9%, respectively. The revolving credit facility requires an annual facility fee which is $1.9 million under the amended credit agreement. At December 31, 2025, our revolving credit facility had $310.0 million outstanding, and had no balance outstanding at December 31, 2024. On October 30, 2025, the interest rate on our revolving credit facility was reduced by removing the 0.10% adjustment to SOFR.</w:t>
      </w:r>
    </w:p>
    <w:p>
      <w:pPr>
        <w:spacing w:after="0" w:line="137" w:lineRule="exact"/>
        <w:rPr>
          <w:sz w:val="20"/>
          <w:szCs w:val="20"/>
          <w:color w:val="auto"/>
        </w:rPr>
      </w:pPr>
    </w:p>
    <w:p>
      <w:pPr>
        <w:ind w:right="120"/>
        <w:spacing w:after="0" w:line="267" w:lineRule="auto"/>
        <w:rPr>
          <w:sz w:val="20"/>
          <w:szCs w:val="20"/>
          <w:color w:val="auto"/>
        </w:rPr>
      </w:pPr>
      <w:r>
        <w:rPr>
          <w:rFonts w:ascii="Times New Roman" w:cs="Times New Roman" w:eastAsia="Times New Roman" w:hAnsi="Times New Roman"/>
          <w:sz w:val="19"/>
          <w:szCs w:val="19"/>
          <w:color w:val="231F20"/>
        </w:rPr>
        <w:t>Our revolving credit facility, term loans, and certain notes require us to comply with various financial covenants, including the maintenance of minimum shareholders’ equity and debt coverage ratios and a maximum ratio of debt to net worth. As of December 31, 2025, we were in compliance with all default related debt covenants.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231F20"/>
        </w:rPr>
        <w:t>Exchangeable Senior Notes</w:t>
      </w:r>
    </w:p>
    <w:p>
      <w:pPr>
        <w:spacing w:after="0" w:line="107"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9"/>
          <w:szCs w:val="19"/>
          <w:color w:val="231F20"/>
        </w:rPr>
        <w:t>On January 11, 2024, our Operating Partnership issued $485.0 million aggregate principal amount of 3.25% Exchangeable Senior Notes due 2029 (the “Notes”) in a private placement. The notes bear interest at an annual rate of 3.25%, payable semiannually in arrears on January 15</w:t>
      </w:r>
      <w:r>
        <w:rPr>
          <w:rFonts w:ascii="Times New Roman" w:cs="Times New Roman" w:eastAsia="Times New Roman" w:hAnsi="Times New Roman"/>
          <w:sz w:val="24"/>
          <w:szCs w:val="24"/>
          <w:color w:val="231F20"/>
          <w:vertAlign w:val="superscript"/>
        </w:rPr>
        <w:t>th</w:t>
      </w:r>
      <w:r>
        <w:rPr>
          <w:rFonts w:ascii="Times New Roman" w:cs="Times New Roman" w:eastAsia="Times New Roman" w:hAnsi="Times New Roman"/>
          <w:sz w:val="19"/>
          <w:szCs w:val="19"/>
          <w:color w:val="231F20"/>
        </w:rPr>
        <w:t xml:space="preserve"> and July 15</w:t>
      </w:r>
      <w:r>
        <w:rPr>
          <w:rFonts w:ascii="Times New Roman" w:cs="Times New Roman" w:eastAsia="Times New Roman" w:hAnsi="Times New Roman"/>
          <w:sz w:val="24"/>
          <w:szCs w:val="24"/>
          <w:color w:val="231F20"/>
          <w:vertAlign w:val="superscript"/>
        </w:rPr>
        <w:t>th</w:t>
      </w:r>
      <w:r>
        <w:rPr>
          <w:rFonts w:ascii="Times New Roman" w:cs="Times New Roman" w:eastAsia="Times New Roman" w:hAnsi="Times New Roman"/>
          <w:sz w:val="19"/>
          <w:szCs w:val="19"/>
          <w:color w:val="231F20"/>
        </w:rPr>
        <w:t xml:space="preserve"> of each year, beginning July 15, 2024. The notes mature on January 15, 2029, unless earlier exchanged, purchased, or redeemed. Net proceeds after the initial purchaser's discount and offering costs were approximately $471.5 million. Interest expense related to these Notes was $18.5 million and $17.9 million, respectively for the years ended December 31, 2025 and 2024, and includes debt issuance cost amortization of $2.7 million and $2.6 million, respectively. Including the debt issuance cost amortization, the current effective interest rate on these notes is approximately 3.9%. The unamortized debt issuance costs related to the Notes were $8.2 million and $10.9 million, respectively, at December 31, 2025 and 2024.</w:t>
      </w:r>
    </w:p>
    <w:p>
      <w:pPr>
        <w:spacing w:after="0" w:line="74"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8"/>
          <w:szCs w:val="18"/>
          <w:color w:val="231F20"/>
        </w:rPr>
        <w:t>Prior to the close of business on July 15, 2028, the Notes will be exchangeable at the option of the holders only upon certain circumstances and during certain periods. On or after July 15, 2028, until the close of business on the second scheduled trading day immediately preceding the maturity date of the Notes, holders may exchange their Notes at any time. The Operating Partnership will settle exchanges of the Notes by delivering cash up to the principal amount of the Notes exchanged, and if applicable, cash, common shares of the Trust, or a combination thereof at our option, in respect of the remainder, if any, of the exchange obligation in excess of the principal amount. If we elect to settle any portion of the exchange obligation in excess of the principal amount with shares of the Trust, an equivalent number of common units will be issued by the Operating Partnership to the Trust. The exchange rate initially equals 8.1436 common shares per $1,000 principal amount of the Notes (which is equivalent to an exchange price of approximately $122.80 per common share and reflects an exchange premium of approximately 20% based on the closing price of $102.33 on January 8, 2024). The initial exchange rate is subject to adjustment upon the occurrence of certain events, including in the event of a payment of a quarterly common dividend in excess</w:t>
      </w:r>
    </w:p>
    <w:p>
      <w:pPr>
        <w:sectPr>
          <w:pgSz w:w="11880" w:h="15480" w:orient="portrait"/>
          <w:cols w:equalWidth="0" w:num="1">
            <w:col w:w="9760"/>
          </w:cols>
          <w:pgMar w:left="1060" w:top="963"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F-29</w:t>
      </w:r>
    </w:p>
    <w:p>
      <w:pPr>
        <w:sectPr>
          <w:pgSz w:w="11880" w:h="15480" w:orient="portrait"/>
          <w:cols w:equalWidth="0" w:num="1">
            <w:col w:w="9760"/>
          </w:cols>
          <w:pgMar w:left="1060" w:top="963" w:right="1060" w:bottom="0" w:gutter="0" w:footer="0" w:header="0"/>
          <w:type w:val="continuous"/>
        </w:sectPr>
      </w:pPr>
    </w:p>
    <w:bookmarkStart w:id="93" w:name="page94"/>
    <w:bookmarkEnd w:id="93"/>
    <w:p>
      <w:pPr>
        <w:spacing w:after="0" w:line="284" w:lineRule="auto"/>
        <w:rPr>
          <w:sz w:val="20"/>
          <w:szCs w:val="20"/>
          <w:color w:val="auto"/>
        </w:rPr>
      </w:pPr>
      <w:r>
        <w:rPr>
          <w:rFonts w:ascii="Times New Roman" w:cs="Times New Roman" w:eastAsia="Times New Roman" w:hAnsi="Times New Roman"/>
          <w:sz w:val="19"/>
          <w:szCs w:val="19"/>
          <w:color w:val="231F20"/>
        </w:rPr>
        <w:t>of $1.09 per share, but will not be adjusted for any accrued and unpaid interest. While our quarterly common dividend per share currently exceeds $1.09, the exchange rate has not materially changed.</w:t>
      </w:r>
    </w:p>
    <w:p>
      <w:pPr>
        <w:spacing w:after="0" w:line="34"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9"/>
          <w:szCs w:val="19"/>
          <w:color w:val="231F20"/>
        </w:rPr>
        <w:t>The Operating Partnership may redeem the Notes, at its option, in whole or in part, on or after January 20, 2027 if the last reported sales price of the common shares has been at least 130% of the exchange price then in effect for at least 20 trading days (whether or not consecutive) during any 30 day consecutive trading period (including the last trading day of such period) ending on, and including, the trading day immediately preceding the date on which the Operating Partnership provides notice of redemption. The redemption price will be equal to 100% of the principal amount of the Notes to be redeemed, plus accrued and unpaid interest, if any, to, but excluding the redemption date.</w:t>
      </w:r>
    </w:p>
    <w:p>
      <w:pPr>
        <w:spacing w:after="0" w:line="60"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9"/>
          <w:szCs w:val="19"/>
          <w:color w:val="231F20"/>
        </w:rPr>
        <w:t>In connection with the Notes, we entered into privately negotiated capped call transactions with certain of the initial purchasers of the notes or their affiliates or other financial institutions. The capped call transactions cover, subject to customary adjustments, the number of our common shares that initially underlie the Notes. The capped call transactions are expected generally to reduce the potential dilution to our common shares upon exchange of any Notes and/or offset any cash payments we are required to make in excess of the principal amount of the Notes, with such reduction and/or offset subject to a cap. The cap price of the capped call transaction initially is approximately $143.26 per share, which represents a premium of approximately 40% over the last reported sale price of our common shares of $102.33 on the New York Stock Exchange on January 8, 2024, and is subject to certain adjustments under the terms of the capped call transactions. A portion of the proceeds from the Notes were used to pay the capped call premium of $19.4 million, which was recorded in shareholders' equity for the Trust and capital for the Operating Partnership.</w:t>
      </w:r>
    </w:p>
    <w:p>
      <w:pPr>
        <w:spacing w:after="0" w:line="141" w:lineRule="exact"/>
        <w:rPr>
          <w:sz w:val="20"/>
          <w:szCs w:val="20"/>
          <w:color w:val="auto"/>
        </w:rPr>
      </w:pPr>
    </w:p>
    <w:p>
      <w:pPr>
        <w:ind w:right="160"/>
        <w:spacing w:after="0" w:line="284" w:lineRule="auto"/>
        <w:rPr>
          <w:sz w:val="20"/>
          <w:szCs w:val="20"/>
          <w:color w:val="auto"/>
        </w:rPr>
      </w:pPr>
      <w:r>
        <w:rPr>
          <w:rFonts w:ascii="Times New Roman" w:cs="Times New Roman" w:eastAsia="Times New Roman" w:hAnsi="Times New Roman"/>
          <w:sz w:val="19"/>
          <w:szCs w:val="19"/>
          <w:color w:val="231F20"/>
        </w:rPr>
        <w:t>Scheduled principal payments on mortgages payable, notes payable, senior notes and debentures as of December 31, 2025 are as follows:</w:t>
      </w:r>
    </w:p>
    <w:p>
      <w:pPr>
        <w:spacing w:after="0" w:line="107" w:lineRule="exact"/>
        <w:rPr>
          <w:sz w:val="20"/>
          <w:szCs w:val="20"/>
          <w:color w:val="auto"/>
        </w:rPr>
      </w:pPr>
    </w:p>
    <w:tbl>
      <w:tblPr>
        <w:tblLayout w:type="fixed"/>
        <w:tblInd w:w="60" w:type="dxa"/>
        <w:tblCellMar>
          <w:top w:w="0" w:type="dxa"/>
          <w:left w:w="0" w:type="dxa"/>
          <w:bottom w:w="0" w:type="dxa"/>
          <w:right w:w="0" w:type="dxa"/>
        </w:tblCellMar>
      </w:tblPr>
      <w:tr>
        <w:trPr>
          <w:trHeight w:val="172"/>
        </w:trPr>
        <w:tc>
          <w:tcPr>
            <w:tcW w:w="3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right"/>
              <w:ind w:right="189"/>
              <w:spacing w:after="0"/>
              <w:rPr>
                <w:sz w:val="20"/>
                <w:szCs w:val="20"/>
                <w:color w:val="auto"/>
              </w:rPr>
            </w:pPr>
            <w:r>
              <w:rPr>
                <w:rFonts w:ascii="Times New Roman" w:cs="Times New Roman" w:eastAsia="Times New Roman" w:hAnsi="Times New Roman"/>
                <w:sz w:val="15"/>
                <w:szCs w:val="15"/>
                <w:b w:val="1"/>
                <w:bCs w:val="1"/>
                <w:color w:val="231F20"/>
              </w:rPr>
              <w:t>Mortgages</w:t>
            </w: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jc w:val="right"/>
              <w:ind w:right="351"/>
              <w:spacing w:after="0"/>
              <w:rPr>
                <w:sz w:val="20"/>
                <w:szCs w:val="20"/>
                <w:color w:val="auto"/>
              </w:rPr>
            </w:pPr>
            <w:r>
              <w:rPr>
                <w:rFonts w:ascii="Times New Roman" w:cs="Times New Roman" w:eastAsia="Times New Roman" w:hAnsi="Times New Roman"/>
                <w:sz w:val="15"/>
                <w:szCs w:val="15"/>
                <w:b w:val="1"/>
                <w:bCs w:val="1"/>
                <w:color w:val="231F20"/>
              </w:rPr>
              <w:t>Notes</w:t>
            </w:r>
          </w:p>
        </w:tc>
        <w:tc>
          <w:tcPr>
            <w:tcW w:w="64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5"/>
                <w:szCs w:val="15"/>
                <w:b w:val="1"/>
                <w:bCs w:val="1"/>
                <w:color w:val="231F20"/>
              </w:rPr>
              <w:t>Senior Notes and</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jc w:val="right"/>
              <w:ind w:right="349"/>
              <w:spacing w:after="0"/>
              <w:rPr>
                <w:sz w:val="20"/>
                <w:szCs w:val="20"/>
                <w:color w:val="auto"/>
              </w:rPr>
            </w:pPr>
            <w:r>
              <w:rPr>
                <w:rFonts w:ascii="Times New Roman" w:cs="Times New Roman" w:eastAsia="Times New Roman" w:hAnsi="Times New Roman"/>
                <w:sz w:val="15"/>
                <w:szCs w:val="15"/>
                <w:b w:val="1"/>
                <w:bCs w:val="1"/>
                <w:color w:val="231F20"/>
              </w:rPr>
              <w:t>Total</w:t>
            </w: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000" w:type="dxa"/>
            <w:vAlign w:val="bottom"/>
          </w:tcPr>
          <w:p>
            <w:pPr>
              <w:spacing w:after="0"/>
              <w:rPr>
                <w:sz w:val="17"/>
                <w:szCs w:val="17"/>
                <w:color w:val="auto"/>
              </w:rPr>
            </w:pPr>
          </w:p>
        </w:tc>
        <w:tc>
          <w:tcPr>
            <w:tcW w:w="200" w:type="dxa"/>
            <w:vAlign w:val="bottom"/>
            <w:tcBorders>
              <w:bottom w:val="single" w:sz="8" w:color="231F20"/>
            </w:tcBorders>
          </w:tcPr>
          <w:p>
            <w:pPr>
              <w:spacing w:after="0"/>
              <w:rPr>
                <w:sz w:val="17"/>
                <w:szCs w:val="17"/>
                <w:color w:val="auto"/>
              </w:rPr>
            </w:pPr>
          </w:p>
        </w:tc>
        <w:tc>
          <w:tcPr>
            <w:tcW w:w="1040" w:type="dxa"/>
            <w:vAlign w:val="bottom"/>
            <w:tcBorders>
              <w:bottom w:val="single" w:sz="8" w:color="231F20"/>
            </w:tcBorders>
          </w:tcPr>
          <w:p>
            <w:pPr>
              <w:jc w:val="right"/>
              <w:ind w:right="269"/>
              <w:spacing w:after="0"/>
              <w:rPr>
                <w:sz w:val="20"/>
                <w:szCs w:val="20"/>
                <w:color w:val="auto"/>
              </w:rPr>
            </w:pPr>
            <w:r>
              <w:rPr>
                <w:rFonts w:ascii="Times New Roman" w:cs="Times New Roman" w:eastAsia="Times New Roman" w:hAnsi="Times New Roman"/>
                <w:sz w:val="15"/>
                <w:szCs w:val="15"/>
                <w:b w:val="1"/>
                <w:bCs w:val="1"/>
                <w:color w:val="231F20"/>
              </w:rPr>
              <w:t>Payable</w:t>
            </w:r>
          </w:p>
        </w:tc>
        <w:tc>
          <w:tcPr>
            <w:tcW w:w="620" w:type="dxa"/>
            <w:vAlign w:val="bottom"/>
          </w:tcPr>
          <w:p>
            <w:pPr>
              <w:spacing w:after="0"/>
              <w:rPr>
                <w:sz w:val="17"/>
                <w:szCs w:val="17"/>
                <w:color w:val="auto"/>
              </w:rPr>
            </w:pPr>
          </w:p>
        </w:tc>
        <w:tc>
          <w:tcPr>
            <w:tcW w:w="260" w:type="dxa"/>
            <w:vAlign w:val="bottom"/>
            <w:tcBorders>
              <w:bottom w:val="single" w:sz="8" w:color="231F20"/>
            </w:tcBorders>
          </w:tcPr>
          <w:p>
            <w:pPr>
              <w:spacing w:after="0"/>
              <w:rPr>
                <w:sz w:val="17"/>
                <w:szCs w:val="17"/>
                <w:color w:val="auto"/>
              </w:rPr>
            </w:pPr>
          </w:p>
        </w:tc>
        <w:tc>
          <w:tcPr>
            <w:tcW w:w="980" w:type="dxa"/>
            <w:vAlign w:val="bottom"/>
            <w:tcBorders>
              <w:bottom w:val="single" w:sz="8" w:color="231F20"/>
            </w:tcBorders>
          </w:tcPr>
          <w:p>
            <w:pPr>
              <w:jc w:val="right"/>
              <w:ind w:right="271"/>
              <w:spacing w:after="0"/>
              <w:rPr>
                <w:sz w:val="20"/>
                <w:szCs w:val="20"/>
                <w:color w:val="auto"/>
              </w:rPr>
            </w:pPr>
            <w:r>
              <w:rPr>
                <w:rFonts w:ascii="Times New Roman" w:cs="Times New Roman" w:eastAsia="Times New Roman" w:hAnsi="Times New Roman"/>
                <w:sz w:val="15"/>
                <w:szCs w:val="15"/>
                <w:b w:val="1"/>
                <w:bCs w:val="1"/>
                <w:color w:val="231F20"/>
              </w:rPr>
              <w:t>Payable</w:t>
            </w:r>
          </w:p>
        </w:tc>
        <w:tc>
          <w:tcPr>
            <w:tcW w:w="640" w:type="dxa"/>
            <w:vAlign w:val="bottom"/>
          </w:tcPr>
          <w:p>
            <w:pPr>
              <w:spacing w:after="0"/>
              <w:rPr>
                <w:sz w:val="17"/>
                <w:szCs w:val="17"/>
                <w:color w:val="auto"/>
              </w:rPr>
            </w:pPr>
          </w:p>
        </w:tc>
        <w:tc>
          <w:tcPr>
            <w:tcW w:w="180" w:type="dxa"/>
            <w:vAlign w:val="bottom"/>
            <w:tcBorders>
              <w:bottom w:val="single" w:sz="8" w:color="231F20"/>
            </w:tcBorders>
          </w:tcPr>
          <w:p>
            <w:pPr>
              <w:spacing w:after="0"/>
              <w:rPr>
                <w:sz w:val="17"/>
                <w:szCs w:val="17"/>
                <w:color w:val="auto"/>
              </w:rPr>
            </w:pPr>
          </w:p>
        </w:tc>
        <w:tc>
          <w:tcPr>
            <w:tcW w:w="1060" w:type="dxa"/>
            <w:vAlign w:val="bottom"/>
            <w:tcBorders>
              <w:bottom w:val="single" w:sz="8" w:color="231F20"/>
            </w:tcBorders>
          </w:tcPr>
          <w:p>
            <w:pPr>
              <w:jc w:val="right"/>
              <w:ind w:right="167"/>
              <w:spacing w:after="0"/>
              <w:rPr>
                <w:sz w:val="20"/>
                <w:szCs w:val="20"/>
                <w:color w:val="auto"/>
              </w:rPr>
            </w:pPr>
            <w:r>
              <w:rPr>
                <w:rFonts w:ascii="Times New Roman" w:cs="Times New Roman" w:eastAsia="Times New Roman" w:hAnsi="Times New Roman"/>
                <w:sz w:val="15"/>
                <w:szCs w:val="15"/>
                <w:b w:val="1"/>
                <w:bCs w:val="1"/>
                <w:color w:val="231F20"/>
              </w:rPr>
              <w:t>Debentures</w:t>
            </w:r>
          </w:p>
        </w:tc>
        <w:tc>
          <w:tcPr>
            <w:tcW w:w="60" w:type="dxa"/>
            <w:vAlign w:val="bottom"/>
          </w:tcPr>
          <w:p>
            <w:pPr>
              <w:spacing w:after="0"/>
              <w:rPr>
                <w:sz w:val="17"/>
                <w:szCs w:val="17"/>
                <w:color w:val="auto"/>
              </w:rPr>
            </w:pPr>
          </w:p>
        </w:tc>
        <w:tc>
          <w:tcPr>
            <w:tcW w:w="240" w:type="dxa"/>
            <w:vAlign w:val="bottom"/>
            <w:tcBorders>
              <w:bottom w:val="single" w:sz="8" w:color="231F20"/>
            </w:tcBorders>
          </w:tcPr>
          <w:p>
            <w:pPr>
              <w:spacing w:after="0"/>
              <w:rPr>
                <w:sz w:val="17"/>
                <w:szCs w:val="17"/>
                <w:color w:val="auto"/>
              </w:rPr>
            </w:pPr>
          </w:p>
        </w:tc>
        <w:tc>
          <w:tcPr>
            <w:tcW w:w="1000" w:type="dxa"/>
            <w:vAlign w:val="bottom"/>
            <w:tcBorders>
              <w:bottom w:val="single" w:sz="8" w:color="231F20"/>
            </w:tcBorders>
          </w:tcPr>
          <w:p>
            <w:pPr>
              <w:jc w:val="right"/>
              <w:ind w:right="229"/>
              <w:spacing w:after="0"/>
              <w:rPr>
                <w:sz w:val="20"/>
                <w:szCs w:val="20"/>
                <w:color w:val="auto"/>
              </w:rPr>
            </w:pPr>
            <w:r>
              <w:rPr>
                <w:rFonts w:ascii="Times New Roman" w:cs="Times New Roman" w:eastAsia="Times New Roman" w:hAnsi="Times New Roman"/>
                <w:sz w:val="15"/>
                <w:szCs w:val="15"/>
                <w:b w:val="1"/>
                <w:bCs w:val="1"/>
                <w:color w:val="231F20"/>
              </w:rPr>
              <w:t>Principal</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20" w:type="dxa"/>
            <w:vAlign w:val="bottom"/>
            <w:gridSpan w:val="2"/>
          </w:tcPr>
          <w:p>
            <w:pPr>
              <w:jc w:val="right"/>
              <w:ind w:right="45"/>
              <w:spacing w:after="0"/>
              <w:rPr>
                <w:sz w:val="20"/>
                <w:szCs w:val="20"/>
                <w:color w:val="auto"/>
              </w:rPr>
            </w:pPr>
            <w:r>
              <w:rPr>
                <w:rFonts w:ascii="Times New Roman" w:cs="Times New Roman" w:eastAsia="Times New Roman" w:hAnsi="Times New Roman"/>
                <w:sz w:val="15"/>
                <w:szCs w:val="15"/>
                <w:b w:val="1"/>
                <w:bCs w:val="1"/>
                <w:color w:val="231F20"/>
              </w:rPr>
              <w:t>(In thousands)</w:t>
            </w: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3000" w:type="dxa"/>
            <w:vAlign w:val="bottom"/>
          </w:tcPr>
          <w:p>
            <w:pPr>
              <w:spacing w:after="0"/>
              <w:rPr>
                <w:sz w:val="20"/>
                <w:szCs w:val="20"/>
                <w:color w:val="auto"/>
              </w:rPr>
            </w:pPr>
            <w:r>
              <w:rPr>
                <w:rFonts w:ascii="Times New Roman" w:cs="Times New Roman" w:eastAsia="Times New Roman" w:hAnsi="Times New Roman"/>
                <w:sz w:val="19"/>
                <w:szCs w:val="19"/>
                <w:color w:val="231F20"/>
              </w:rPr>
              <w:t>Year ending December 31,</w:t>
            </w: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19"/>
        </w:trPr>
        <w:tc>
          <w:tcPr>
            <w:tcW w:w="3000" w:type="dxa"/>
            <w:vAlign w:val="bottom"/>
          </w:tcPr>
          <w:p>
            <w:pPr>
              <w:spacing w:after="0"/>
              <w:rPr>
                <w:sz w:val="20"/>
                <w:szCs w:val="20"/>
                <w:color w:val="auto"/>
              </w:rPr>
            </w:pPr>
            <w:r>
              <w:rPr>
                <w:rFonts w:ascii="Times New Roman" w:cs="Times New Roman" w:eastAsia="Times New Roman" w:hAnsi="Times New Roman"/>
                <w:sz w:val="19"/>
                <w:szCs w:val="19"/>
                <w:color w:val="231F20"/>
              </w:rPr>
              <w:t>2026</w:t>
            </w:r>
          </w:p>
        </w:tc>
        <w:tc>
          <w:tcPr>
            <w:tcW w:w="2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226,242</w:t>
            </w:r>
          </w:p>
        </w:tc>
        <w:tc>
          <w:tcPr>
            <w:tcW w:w="620" w:type="dxa"/>
            <w:vAlign w:val="bottom"/>
          </w:tcPr>
          <w:p>
            <w:pPr>
              <w:jc w:val="right"/>
              <w:ind w:right="265"/>
              <w:spacing w:after="0"/>
              <w:rPr>
                <w:sz w:val="20"/>
                <w:szCs w:val="20"/>
                <w:color w:val="auto"/>
              </w:rPr>
            </w:pPr>
            <w:r>
              <w:rPr>
                <w:rFonts w:ascii="Times New Roman" w:cs="Times New Roman" w:eastAsia="Times New Roman" w:hAnsi="Times New Roman"/>
                <w:sz w:val="19"/>
                <w:szCs w:val="19"/>
                <w:color w:val="231F20"/>
              </w:rPr>
              <w:t>(1)</w:t>
            </w:r>
          </w:p>
        </w:tc>
        <w:tc>
          <w:tcPr>
            <w:tcW w:w="260" w:type="dxa"/>
            <w:vAlign w:val="bottom"/>
          </w:tcPr>
          <w:p>
            <w:pPr>
              <w:jc w:val="right"/>
              <w:ind w:right="25"/>
              <w:spacing w:after="0"/>
              <w:rPr>
                <w:sz w:val="20"/>
                <w:szCs w:val="20"/>
                <w:color w:val="auto"/>
              </w:rPr>
            </w:pPr>
            <w:r>
              <w:rPr>
                <w:rFonts w:ascii="Times New Roman" w:cs="Times New Roman" w:eastAsia="Times New Roman" w:hAnsi="Times New Roman"/>
                <w:sz w:val="19"/>
                <w:szCs w:val="19"/>
                <w:color w:val="231F2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153</w:t>
            </w:r>
          </w:p>
        </w:tc>
        <w:tc>
          <w:tcPr>
            <w:tcW w:w="640" w:type="dxa"/>
            <w:vAlign w:val="bottom"/>
          </w:tcPr>
          <w:p>
            <w:pPr>
              <w:spacing w:after="0"/>
              <w:rPr>
                <w:sz w:val="24"/>
                <w:szCs w:val="24"/>
                <w:color w:val="auto"/>
              </w:rPr>
            </w:pPr>
          </w:p>
        </w:tc>
        <w:tc>
          <w:tcPr>
            <w:tcW w:w="180" w:type="dxa"/>
            <w:vAlign w:val="bottom"/>
          </w:tcPr>
          <w:p>
            <w:pPr>
              <w:ind w:left="40"/>
              <w:spacing w:after="0"/>
              <w:rPr>
                <w:sz w:val="20"/>
                <w:szCs w:val="20"/>
                <w:color w:val="auto"/>
              </w:rPr>
            </w:pPr>
            <w:r>
              <w:rPr>
                <w:rFonts w:ascii="Times New Roman" w:cs="Times New Roman" w:eastAsia="Times New Roman" w:hAnsi="Times New Roman"/>
                <w:sz w:val="19"/>
                <w:szCs w:val="19"/>
                <w:color w:val="231F2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429,200</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9"/>
                <w:szCs w:val="19"/>
                <w:color w:val="231F2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655,595</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3000" w:type="dxa"/>
            <w:vAlign w:val="bottom"/>
          </w:tcPr>
          <w:p>
            <w:pPr>
              <w:spacing w:after="0"/>
              <w:rPr>
                <w:sz w:val="20"/>
                <w:szCs w:val="20"/>
                <w:color w:val="auto"/>
              </w:rPr>
            </w:pPr>
            <w:r>
              <w:rPr>
                <w:rFonts w:ascii="Times New Roman" w:cs="Times New Roman" w:eastAsia="Times New Roman" w:hAnsi="Times New Roman"/>
                <w:sz w:val="19"/>
                <w:szCs w:val="19"/>
                <w:color w:val="231F20"/>
              </w:rPr>
              <w:t>2027</w:t>
            </w:r>
          </w:p>
        </w:tc>
        <w:tc>
          <w:tcPr>
            <w:tcW w:w="2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178,282</w:t>
            </w: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310,037</w:t>
            </w:r>
          </w:p>
        </w:tc>
        <w:tc>
          <w:tcPr>
            <w:tcW w:w="640" w:type="dxa"/>
            <w:vAlign w:val="bottom"/>
          </w:tcPr>
          <w:p>
            <w:pPr>
              <w:jc w:val="right"/>
              <w:ind w:right="265"/>
              <w:spacing w:after="0"/>
              <w:rPr>
                <w:sz w:val="20"/>
                <w:szCs w:val="20"/>
                <w:color w:val="auto"/>
              </w:rPr>
            </w:pPr>
            <w:r>
              <w:rPr>
                <w:rFonts w:ascii="Times New Roman" w:cs="Times New Roman" w:eastAsia="Times New Roman" w:hAnsi="Times New Roman"/>
                <w:sz w:val="19"/>
                <w:szCs w:val="19"/>
                <w:color w:val="231F20"/>
              </w:rPr>
              <w:t>(2)</w:t>
            </w: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515,000</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1,003,319</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3000" w:type="dxa"/>
            <w:vAlign w:val="bottom"/>
          </w:tcPr>
          <w:p>
            <w:pPr>
              <w:spacing w:after="0"/>
              <w:rPr>
                <w:sz w:val="20"/>
                <w:szCs w:val="20"/>
                <w:color w:val="auto"/>
              </w:rPr>
            </w:pPr>
            <w:r>
              <w:rPr>
                <w:rFonts w:ascii="Times New Roman" w:cs="Times New Roman" w:eastAsia="Times New Roman" w:hAnsi="Times New Roman"/>
                <w:sz w:val="19"/>
                <w:szCs w:val="19"/>
                <w:color w:val="231F20"/>
              </w:rPr>
              <w:t>2028</w:t>
            </w:r>
          </w:p>
        </w:tc>
        <w:tc>
          <w:tcPr>
            <w:tcW w:w="2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57,511</w:t>
            </w:r>
          </w:p>
        </w:tc>
        <w:tc>
          <w:tcPr>
            <w:tcW w:w="620" w:type="dxa"/>
            <w:vAlign w:val="bottom"/>
          </w:tcPr>
          <w:p>
            <w:pPr>
              <w:jc w:val="right"/>
              <w:ind w:right="265"/>
              <w:spacing w:after="0"/>
              <w:rPr>
                <w:sz w:val="20"/>
                <w:szCs w:val="20"/>
                <w:color w:val="auto"/>
              </w:rPr>
            </w:pPr>
            <w:r>
              <w:rPr>
                <w:rFonts w:ascii="Times New Roman" w:cs="Times New Roman" w:eastAsia="Times New Roman" w:hAnsi="Times New Roman"/>
                <w:sz w:val="19"/>
                <w:szCs w:val="19"/>
                <w:color w:val="231F20"/>
              </w:rPr>
              <w:t>(3)</w:t>
            </w: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750,000</w:t>
            </w:r>
          </w:p>
        </w:tc>
        <w:tc>
          <w:tcPr>
            <w:tcW w:w="640" w:type="dxa"/>
            <w:vAlign w:val="bottom"/>
          </w:tcPr>
          <w:p>
            <w:pPr>
              <w:jc w:val="right"/>
              <w:ind w:right="265"/>
              <w:spacing w:after="0"/>
              <w:rPr>
                <w:sz w:val="20"/>
                <w:szCs w:val="20"/>
                <w:color w:val="auto"/>
              </w:rPr>
            </w:pPr>
            <w:r>
              <w:rPr>
                <w:rFonts w:ascii="Times New Roman" w:cs="Times New Roman" w:eastAsia="Times New Roman" w:hAnsi="Times New Roman"/>
                <w:sz w:val="19"/>
                <w:szCs w:val="19"/>
                <w:color w:val="231F20"/>
              </w:rPr>
              <w:t>(4)</w:t>
            </w: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350,000</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1,157,511</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3000" w:type="dxa"/>
            <w:vAlign w:val="bottom"/>
          </w:tcPr>
          <w:p>
            <w:pPr>
              <w:spacing w:after="0"/>
              <w:rPr>
                <w:sz w:val="20"/>
                <w:szCs w:val="20"/>
                <w:color w:val="auto"/>
              </w:rPr>
            </w:pPr>
            <w:r>
              <w:rPr>
                <w:rFonts w:ascii="Times New Roman" w:cs="Times New Roman" w:eastAsia="Times New Roman" w:hAnsi="Times New Roman"/>
                <w:sz w:val="19"/>
                <w:szCs w:val="19"/>
                <w:color w:val="231F20"/>
              </w:rPr>
              <w:t>2029</w:t>
            </w:r>
          </w:p>
        </w:tc>
        <w:tc>
          <w:tcPr>
            <w:tcW w:w="2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60,434</w:t>
            </w: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885,000</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945,434</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3000" w:type="dxa"/>
            <w:vAlign w:val="bottom"/>
          </w:tcPr>
          <w:p>
            <w:pPr>
              <w:spacing w:after="0"/>
              <w:rPr>
                <w:sz w:val="20"/>
                <w:szCs w:val="20"/>
                <w:color w:val="auto"/>
              </w:rPr>
            </w:pPr>
            <w:r>
              <w:rPr>
                <w:rFonts w:ascii="Times New Roman" w:cs="Times New Roman" w:eastAsia="Times New Roman" w:hAnsi="Times New Roman"/>
                <w:sz w:val="19"/>
                <w:szCs w:val="19"/>
                <w:color w:val="231F20"/>
              </w:rPr>
              <w:t>2030</w:t>
            </w:r>
          </w:p>
        </w:tc>
        <w:tc>
          <w:tcPr>
            <w:tcW w:w="2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684</w:t>
            </w: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400,000</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400,684</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3000" w:type="dxa"/>
            <w:vAlign w:val="bottom"/>
          </w:tcPr>
          <w:p>
            <w:pPr>
              <w:spacing w:after="0"/>
              <w:rPr>
                <w:sz w:val="20"/>
                <w:szCs w:val="20"/>
                <w:color w:val="auto"/>
              </w:rPr>
            </w:pPr>
            <w:r>
              <w:rPr>
                <w:rFonts w:ascii="Times New Roman" w:cs="Times New Roman" w:eastAsia="Times New Roman" w:hAnsi="Times New Roman"/>
                <w:sz w:val="19"/>
                <w:szCs w:val="19"/>
                <w:color w:val="231F20"/>
              </w:rPr>
              <w:t>Thereafter</w:t>
            </w:r>
          </w:p>
        </w:tc>
        <w:tc>
          <w:tcPr>
            <w:tcW w:w="200" w:type="dxa"/>
            <w:vAlign w:val="bottom"/>
            <w:tcBorders>
              <w:bottom w:val="single" w:sz="8" w:color="231F20"/>
            </w:tcBorders>
          </w:tcPr>
          <w:p>
            <w:pPr>
              <w:spacing w:after="0"/>
              <w:rPr>
                <w:sz w:val="24"/>
                <w:szCs w:val="24"/>
                <w:color w:val="auto"/>
              </w:rPr>
            </w:pPr>
          </w:p>
        </w:tc>
        <w:tc>
          <w:tcPr>
            <w:tcW w:w="10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59</w:t>
            </w:r>
          </w:p>
        </w:tc>
        <w:tc>
          <w:tcPr>
            <w:tcW w:w="620" w:type="dxa"/>
            <w:vAlign w:val="bottom"/>
          </w:tcPr>
          <w:p>
            <w:pPr>
              <w:spacing w:after="0"/>
              <w:rPr>
                <w:sz w:val="24"/>
                <w:szCs w:val="24"/>
                <w:color w:val="auto"/>
              </w:rPr>
            </w:pPr>
          </w:p>
        </w:tc>
        <w:tc>
          <w:tcPr>
            <w:tcW w:w="260" w:type="dxa"/>
            <w:vAlign w:val="bottom"/>
            <w:tcBorders>
              <w:bottom w:val="single" w:sz="8" w:color="231F20"/>
            </w:tcBorders>
          </w:tcPr>
          <w:p>
            <w:pPr>
              <w:spacing w:after="0"/>
              <w:rPr>
                <w:sz w:val="24"/>
                <w:szCs w:val="24"/>
                <w:color w:val="auto"/>
              </w:rPr>
            </w:pPr>
          </w:p>
        </w:tc>
        <w:tc>
          <w:tcPr>
            <w:tcW w:w="9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1,000</w:t>
            </w:r>
          </w:p>
        </w:tc>
        <w:tc>
          <w:tcPr>
            <w:tcW w:w="640" w:type="dxa"/>
            <w:vAlign w:val="bottom"/>
          </w:tcPr>
          <w:p>
            <w:pPr>
              <w:spacing w:after="0"/>
              <w:rPr>
                <w:sz w:val="24"/>
                <w:szCs w:val="24"/>
                <w:color w:val="auto"/>
              </w:rPr>
            </w:pPr>
          </w:p>
        </w:tc>
        <w:tc>
          <w:tcPr>
            <w:tcW w:w="180" w:type="dxa"/>
            <w:vAlign w:val="bottom"/>
            <w:tcBorders>
              <w:bottom w:val="single" w:sz="8" w:color="231F20"/>
            </w:tcBorders>
          </w:tcPr>
          <w:p>
            <w:pPr>
              <w:spacing w:after="0"/>
              <w:rPr>
                <w:sz w:val="24"/>
                <w:szCs w:val="24"/>
                <w:color w:val="auto"/>
              </w:rPr>
            </w:pPr>
          </w:p>
        </w:tc>
        <w:tc>
          <w:tcPr>
            <w:tcW w:w="10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800,000</w:t>
            </w:r>
          </w:p>
        </w:tc>
        <w:tc>
          <w:tcPr>
            <w:tcW w:w="60" w:type="dxa"/>
            <w:vAlign w:val="bottom"/>
          </w:tcPr>
          <w:p>
            <w:pPr>
              <w:spacing w:after="0"/>
              <w:rPr>
                <w:sz w:val="24"/>
                <w:szCs w:val="24"/>
                <w:color w:val="auto"/>
              </w:rPr>
            </w:pPr>
          </w:p>
        </w:tc>
        <w:tc>
          <w:tcPr>
            <w:tcW w:w="240" w:type="dxa"/>
            <w:vAlign w:val="bottom"/>
            <w:tcBorders>
              <w:bottom w:val="single" w:sz="8" w:color="231F20"/>
            </w:tcBorders>
          </w:tcPr>
          <w:p>
            <w:pPr>
              <w:spacing w:after="0"/>
              <w:rPr>
                <w:sz w:val="24"/>
                <w:szCs w:val="24"/>
                <w:color w:val="auto"/>
              </w:rPr>
            </w:pPr>
          </w:p>
        </w:tc>
        <w:tc>
          <w:tcPr>
            <w:tcW w:w="10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801,059</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30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523,212</w:t>
            </w:r>
          </w:p>
        </w:tc>
        <w:tc>
          <w:tcPr>
            <w:tcW w:w="620" w:type="dxa"/>
            <w:vAlign w:val="bottom"/>
          </w:tcPr>
          <w:p>
            <w:pPr>
              <w:spacing w:after="0"/>
              <w:rPr>
                <w:sz w:val="21"/>
                <w:szCs w:val="21"/>
                <w:color w:val="auto"/>
              </w:rPr>
            </w:pPr>
          </w:p>
        </w:tc>
        <w:tc>
          <w:tcPr>
            <w:tcW w:w="260" w:type="dxa"/>
            <w:vAlign w:val="bottom"/>
          </w:tcPr>
          <w:p>
            <w:pPr>
              <w:jc w:val="right"/>
              <w:ind w:right="25"/>
              <w:spacing w:after="0"/>
              <w:rPr>
                <w:sz w:val="20"/>
                <w:szCs w:val="20"/>
                <w:color w:val="auto"/>
              </w:rPr>
            </w:pPr>
            <w:r>
              <w:rPr>
                <w:rFonts w:ascii="Times New Roman" w:cs="Times New Roman" w:eastAsia="Times New Roman" w:hAnsi="Times New Roman"/>
                <w:sz w:val="19"/>
                <w:szCs w:val="19"/>
                <w:color w:val="231F2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1,061,190</w:t>
            </w:r>
          </w:p>
        </w:tc>
        <w:tc>
          <w:tcPr>
            <w:tcW w:w="640" w:type="dxa"/>
            <w:vAlign w:val="bottom"/>
          </w:tcPr>
          <w:p>
            <w:pPr>
              <w:spacing w:after="0"/>
              <w:rPr>
                <w:sz w:val="21"/>
                <w:szCs w:val="21"/>
                <w:color w:val="auto"/>
              </w:rPr>
            </w:pPr>
          </w:p>
        </w:tc>
        <w:tc>
          <w:tcPr>
            <w:tcW w:w="180" w:type="dxa"/>
            <w:vAlign w:val="bottom"/>
          </w:tcPr>
          <w:p>
            <w:pPr>
              <w:ind w:left="40"/>
              <w:spacing w:after="0"/>
              <w:rPr>
                <w:sz w:val="20"/>
                <w:szCs w:val="20"/>
                <w:color w:val="auto"/>
              </w:rPr>
            </w:pPr>
            <w:r>
              <w:rPr>
                <w:rFonts w:ascii="Times New Roman" w:cs="Times New Roman" w:eastAsia="Times New Roman" w:hAnsi="Times New Roman"/>
                <w:sz w:val="19"/>
                <w:szCs w:val="19"/>
                <w:color w:val="231F2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3,379,200</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9"/>
                <w:szCs w:val="19"/>
                <w:color w:val="231F2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4,963,602</w:t>
            </w:r>
          </w:p>
        </w:tc>
        <w:tc>
          <w:tcPr>
            <w:tcW w:w="3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(5)</w:t>
            </w:r>
          </w:p>
        </w:tc>
        <w:tc>
          <w:tcPr>
            <w:tcW w:w="0" w:type="dxa"/>
            <w:vAlign w:val="bottom"/>
          </w:tcPr>
          <w:p>
            <w:pPr>
              <w:spacing w:after="0"/>
              <w:rPr>
                <w:sz w:val="1"/>
                <w:szCs w:val="1"/>
                <w:color w:val="auto"/>
              </w:rPr>
            </w:pPr>
          </w:p>
        </w:tc>
      </w:tr>
      <w:tr>
        <w:trPr>
          <w:trHeight w:val="20"/>
        </w:trPr>
        <w:tc>
          <w:tcPr>
            <w:tcW w:w="3000" w:type="dxa"/>
            <w:vAlign w:val="bottom"/>
            <w:vMerge w:val="restart"/>
          </w:tcPr>
          <w:p>
            <w:pPr>
              <w:spacing w:after="0"/>
              <w:rPr>
                <w:sz w:val="20"/>
                <w:szCs w:val="20"/>
                <w:color w:val="auto"/>
              </w:rPr>
            </w:pPr>
            <w:r>
              <w:rPr>
                <w:rFonts w:ascii="Times New Roman" w:cs="Times New Roman" w:eastAsia="Times New Roman" w:hAnsi="Times New Roman"/>
                <w:sz w:val="19"/>
                <w:szCs w:val="19"/>
                <w:color w:val="231F20"/>
              </w:rPr>
              <w:t>_____________________</w:t>
            </w:r>
          </w:p>
        </w:tc>
        <w:tc>
          <w:tcPr>
            <w:tcW w:w="200" w:type="dxa"/>
            <w:vAlign w:val="bottom"/>
            <w:tcBorders>
              <w:top w:val="single" w:sz="8" w:color="231F20"/>
              <w:bottom w:val="single" w:sz="8" w:color="231F20"/>
            </w:tcBorders>
          </w:tcPr>
          <w:p>
            <w:pPr>
              <w:spacing w:after="0" w:line="20" w:lineRule="exact"/>
              <w:rPr>
                <w:sz w:val="1"/>
                <w:szCs w:val="1"/>
                <w:color w:val="auto"/>
              </w:rPr>
            </w:pPr>
          </w:p>
        </w:tc>
        <w:tc>
          <w:tcPr>
            <w:tcW w:w="1040" w:type="dxa"/>
            <w:vAlign w:val="bottom"/>
            <w:tcBorders>
              <w:top w:val="single" w:sz="8" w:color="231F20"/>
              <w:bottom w:val="single" w:sz="8" w:color="231F20"/>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Borders>
              <w:top w:val="single" w:sz="8" w:color="231F20"/>
              <w:bottom w:val="single" w:sz="8" w:color="231F20"/>
            </w:tcBorders>
          </w:tcPr>
          <w:p>
            <w:pPr>
              <w:spacing w:after="0" w:line="20" w:lineRule="exact"/>
              <w:rPr>
                <w:sz w:val="1"/>
                <w:szCs w:val="1"/>
                <w:color w:val="auto"/>
              </w:rPr>
            </w:pPr>
          </w:p>
        </w:tc>
        <w:tc>
          <w:tcPr>
            <w:tcW w:w="980" w:type="dxa"/>
            <w:vAlign w:val="bottom"/>
            <w:tcBorders>
              <w:top w:val="single" w:sz="8" w:color="231F20"/>
              <w:bottom w:val="single" w:sz="8" w:color="231F20"/>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top w:val="single" w:sz="8" w:color="231F20"/>
              <w:bottom w:val="single" w:sz="8" w:color="231F20"/>
            </w:tcBorders>
          </w:tcPr>
          <w:p>
            <w:pPr>
              <w:spacing w:after="0" w:line="20" w:lineRule="exact"/>
              <w:rPr>
                <w:sz w:val="1"/>
                <w:szCs w:val="1"/>
                <w:color w:val="auto"/>
              </w:rPr>
            </w:pPr>
          </w:p>
        </w:tc>
        <w:tc>
          <w:tcPr>
            <w:tcW w:w="106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231F20"/>
              <w:bottom w:val="single" w:sz="8" w:color="231F20"/>
            </w:tcBorders>
          </w:tcPr>
          <w:p>
            <w:pPr>
              <w:spacing w:after="0" w:line="20" w:lineRule="exact"/>
              <w:rPr>
                <w:sz w:val="1"/>
                <w:szCs w:val="1"/>
                <w:color w:val="auto"/>
              </w:rPr>
            </w:pPr>
          </w:p>
        </w:tc>
        <w:tc>
          <w:tcPr>
            <w:tcW w:w="1000" w:type="dxa"/>
            <w:vAlign w:val="bottom"/>
            <w:tcBorders>
              <w:top w:val="single" w:sz="8" w:color="231F20"/>
              <w:bottom w:val="single" w:sz="8" w:color="231F20"/>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3000" w:type="dxa"/>
            <w:vAlign w:val="bottom"/>
            <w:vMerge w:val="continue"/>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ind w:left="340" w:right="240" w:hanging="337"/>
        <w:spacing w:after="0" w:line="250" w:lineRule="auto"/>
        <w:tabs>
          <w:tab w:leader="none" w:pos="340" w:val="left"/>
        </w:tabs>
        <w:numPr>
          <w:ilvl w:val="0"/>
          <w:numId w:val="70"/>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Our $200.0 mortgage loan secured by Bethesda Row matures on December 28, 2026 plus one one-year extension, at our option to December 28, 2027.</w:t>
      </w:r>
    </w:p>
    <w:p>
      <w:pPr>
        <w:spacing w:after="0" w:line="1" w:lineRule="exact"/>
        <w:rPr>
          <w:rFonts w:ascii="Times New Roman" w:cs="Times New Roman" w:eastAsia="Times New Roman" w:hAnsi="Times New Roman"/>
          <w:sz w:val="19"/>
          <w:szCs w:val="19"/>
          <w:color w:val="231F20"/>
        </w:rPr>
      </w:pPr>
    </w:p>
    <w:p>
      <w:pPr>
        <w:ind w:left="340" w:right="20" w:hanging="337"/>
        <w:spacing w:after="0" w:line="250" w:lineRule="auto"/>
        <w:tabs>
          <w:tab w:leader="none" w:pos="340" w:val="left"/>
        </w:tabs>
        <w:numPr>
          <w:ilvl w:val="0"/>
          <w:numId w:val="70"/>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Our $1.25 billion revolving credit facility matures on April 5, 2027 plus two six-month extensions, at our option to April 5, 2028. As of December 31, 2025, there was $310.0 million outstanding under this credit facility.</w:t>
      </w:r>
    </w:p>
    <w:p>
      <w:pPr>
        <w:spacing w:after="0" w:line="1" w:lineRule="exact"/>
        <w:rPr>
          <w:rFonts w:ascii="Times New Roman" w:cs="Times New Roman" w:eastAsia="Times New Roman" w:hAnsi="Times New Roman"/>
          <w:sz w:val="19"/>
          <w:szCs w:val="19"/>
          <w:color w:val="231F20"/>
        </w:rPr>
      </w:pPr>
    </w:p>
    <w:p>
      <w:pPr>
        <w:ind w:left="340" w:right="400" w:hanging="337"/>
        <w:spacing w:after="0" w:line="250" w:lineRule="auto"/>
        <w:tabs>
          <w:tab w:leader="none" w:pos="340" w:val="left"/>
        </w:tabs>
        <w:numPr>
          <w:ilvl w:val="0"/>
          <w:numId w:val="70"/>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Our $55.0 million mortgage loan secured by Azalea matures on October 30, 2028, plus two one-year extensions at our option to October 30, 2030.</w:t>
      </w:r>
    </w:p>
    <w:p>
      <w:pPr>
        <w:spacing w:after="0" w:line="1" w:lineRule="exact"/>
        <w:rPr>
          <w:rFonts w:ascii="Times New Roman" w:cs="Times New Roman" w:eastAsia="Times New Roman" w:hAnsi="Times New Roman"/>
          <w:sz w:val="19"/>
          <w:szCs w:val="19"/>
          <w:color w:val="231F20"/>
        </w:rPr>
      </w:pPr>
    </w:p>
    <w:p>
      <w:pPr>
        <w:ind w:left="340" w:hanging="337"/>
        <w:spacing w:after="0"/>
        <w:tabs>
          <w:tab w:leader="none" w:pos="340" w:val="left"/>
        </w:tabs>
        <w:numPr>
          <w:ilvl w:val="0"/>
          <w:numId w:val="70"/>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Our $750.0 million term loan matures on March 20, 2028, plus two one-year extension at our option to March 20, 2030.</w:t>
      </w:r>
    </w:p>
    <w:p>
      <w:pPr>
        <w:spacing w:after="0" w:line="9" w:lineRule="exact"/>
        <w:rPr>
          <w:rFonts w:ascii="Times New Roman" w:cs="Times New Roman" w:eastAsia="Times New Roman" w:hAnsi="Times New Roman"/>
          <w:sz w:val="19"/>
          <w:szCs w:val="19"/>
          <w:color w:val="231F20"/>
        </w:rPr>
      </w:pPr>
    </w:p>
    <w:p>
      <w:pPr>
        <w:ind w:left="340" w:right="260" w:hanging="337"/>
        <w:spacing w:after="0" w:line="261" w:lineRule="auto"/>
        <w:tabs>
          <w:tab w:leader="none" w:pos="340" w:val="left"/>
        </w:tabs>
        <w:numPr>
          <w:ilvl w:val="0"/>
          <w:numId w:val="70"/>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The total debt maturities differ from the total reported on the consolidated balance sheet due to the unamortized net debt issuance costs and premium/discount on mortgage loans, notes payable, and senior notes as of December 31, 2025.</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NOTE 6—FAIR VALUE OF FINANCIAL INSTRUMENTS</w:t>
      </w:r>
    </w:p>
    <w:p>
      <w:pPr>
        <w:spacing w:after="0" w:line="110" w:lineRule="exact"/>
        <w:rPr>
          <w:sz w:val="20"/>
          <w:szCs w:val="20"/>
          <w:color w:val="auto"/>
        </w:rPr>
      </w:pPr>
    </w:p>
    <w:p>
      <w:pPr>
        <w:ind w:right="260"/>
        <w:spacing w:after="0" w:line="284" w:lineRule="auto"/>
        <w:rPr>
          <w:sz w:val="20"/>
          <w:szCs w:val="20"/>
          <w:color w:val="auto"/>
        </w:rPr>
      </w:pPr>
      <w:r>
        <w:rPr>
          <w:rFonts w:ascii="Times New Roman" w:cs="Times New Roman" w:eastAsia="Times New Roman" w:hAnsi="Times New Roman"/>
          <w:sz w:val="19"/>
          <w:szCs w:val="19"/>
          <w:color w:val="231F20"/>
        </w:rPr>
        <w:t>A fair value measurement is based on the assumptions that market participants would use in pricing an asset or liability in an orderly transaction. The hierarchy for inputs used in measuring fair value are as follows:</w:t>
      </w:r>
    </w:p>
    <w:p>
      <w:pPr>
        <w:spacing w:after="0" w:line="84" w:lineRule="exact"/>
        <w:rPr>
          <w:sz w:val="20"/>
          <w:szCs w:val="20"/>
          <w:color w:val="auto"/>
        </w:rPr>
      </w:pPr>
    </w:p>
    <w:p>
      <w:pPr>
        <w:ind w:left="620" w:hanging="567"/>
        <w:spacing w:after="0"/>
        <w:tabs>
          <w:tab w:leader="none" w:pos="620" w:val="left"/>
        </w:tabs>
        <w:numPr>
          <w:ilvl w:val="0"/>
          <w:numId w:val="71"/>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Level 1 Inputs—quoted prices in active markets for identical assets or liabilities</w:t>
      </w:r>
    </w:p>
    <w:p>
      <w:pPr>
        <w:spacing w:after="0" w:line="161" w:lineRule="exact"/>
        <w:rPr>
          <w:rFonts w:ascii="Times New Roman" w:cs="Times New Roman" w:eastAsia="Times New Roman" w:hAnsi="Times New Roman"/>
          <w:sz w:val="19"/>
          <w:szCs w:val="19"/>
          <w:color w:val="231F20"/>
        </w:rPr>
      </w:pPr>
    </w:p>
    <w:p>
      <w:pPr>
        <w:ind w:left="620" w:hanging="567"/>
        <w:spacing w:after="0"/>
        <w:tabs>
          <w:tab w:leader="none" w:pos="620" w:val="left"/>
        </w:tabs>
        <w:numPr>
          <w:ilvl w:val="0"/>
          <w:numId w:val="71"/>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Level 2 Inputs—observable inputs other than quoted prices in active markets for identical assets and liabilities</w:t>
      </w:r>
    </w:p>
    <w:p>
      <w:pPr>
        <w:spacing w:after="0" w:line="161" w:lineRule="exact"/>
        <w:rPr>
          <w:rFonts w:ascii="Times New Roman" w:cs="Times New Roman" w:eastAsia="Times New Roman" w:hAnsi="Times New Roman"/>
          <w:sz w:val="19"/>
          <w:szCs w:val="19"/>
          <w:color w:val="231F20"/>
        </w:rPr>
      </w:pPr>
    </w:p>
    <w:p>
      <w:pPr>
        <w:ind w:left="620" w:right="1040" w:hanging="567"/>
        <w:spacing w:after="0" w:line="242" w:lineRule="auto"/>
        <w:tabs>
          <w:tab w:leader="none" w:pos="620" w:val="left"/>
        </w:tabs>
        <w:numPr>
          <w:ilvl w:val="0"/>
          <w:numId w:val="71"/>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Level 3 Inputs—prices or valuation techniques that require inputs that are both significant to the fair value measurement and unobservable</w:t>
      </w:r>
    </w:p>
    <w:p>
      <w:pPr>
        <w:spacing w:after="0" w:line="75"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9"/>
          <w:szCs w:val="19"/>
          <w:color w:val="231F20"/>
        </w:rPr>
        <w:t>In certain cases, the inputs used to measure fair value may fall into different levels of the fair value hierarchy. In such cases, for disclosure purposes, the level within which the fair value measurement is categorized is based on the lowest level input that is significant to the fair value measurement.</w:t>
      </w:r>
    </w:p>
    <w:p>
      <w:pPr>
        <w:sectPr>
          <w:pgSz w:w="11880" w:h="15480" w:orient="portrait"/>
          <w:cols w:equalWidth="0" w:num="1">
            <w:col w:w="9740"/>
          </w:cols>
          <w:pgMar w:left="1060" w:top="963" w:right="1080" w:bottom="0" w:gutter="0" w:footer="0" w:header="0"/>
        </w:sect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231F20"/>
        </w:rPr>
        <w:t>F-30</w:t>
      </w:r>
    </w:p>
    <w:p>
      <w:pPr>
        <w:sectPr>
          <w:pgSz w:w="11880" w:h="15480" w:orient="portrait"/>
          <w:cols w:equalWidth="0" w:num="1">
            <w:col w:w="9740"/>
          </w:cols>
          <w:pgMar w:left="1060" w:top="963" w:right="1080" w:bottom="0" w:gutter="0" w:footer="0" w:header="0"/>
          <w:type w:val="continuous"/>
        </w:sectPr>
      </w:pPr>
    </w:p>
    <w:bookmarkStart w:id="94" w:name="page95"/>
    <w:bookmarkEnd w:id="94"/>
    <w:p>
      <w:pPr>
        <w:ind w:right="80"/>
        <w:spacing w:after="0" w:line="256" w:lineRule="auto"/>
        <w:rPr>
          <w:sz w:val="20"/>
          <w:szCs w:val="20"/>
          <w:color w:val="auto"/>
        </w:rPr>
      </w:pPr>
      <w:r>
        <w:rPr>
          <w:rFonts w:ascii="Times New Roman" w:cs="Times New Roman" w:eastAsia="Times New Roman" w:hAnsi="Times New Roman"/>
          <w:sz w:val="19"/>
          <w:szCs w:val="19"/>
          <w:color w:val="231F20"/>
        </w:rPr>
        <w:t>Except as disclosed below, the carrying amount of our financial instruments approximates their fair value. The fair value of our mortgages payable, notes payable and senior notes and debentures is sensitive to fluctuations in interest rates. Quoted market prices (Level 1) were used to estimate the fair value of our marketable senior notes and debentures and discounted cash flow analysis (Level 2) is generally used to estimate the fair value of our mortgages and notes payable. Considerable judgment is necessary to estimate the fair value of financial instruments. The estimates of fair value presented herein are not necessarily indicative of the amounts that could be realized upon disposition of the financial instruments. A summary of the carrying amount and fair value of our mortgages payable, notes payable and senior notes and debentures is as follows:</w:t>
      </w:r>
    </w:p>
    <w:p>
      <w:pPr>
        <w:spacing w:after="0" w:line="51" w:lineRule="exact"/>
        <w:rPr>
          <w:sz w:val="20"/>
          <w:szCs w:val="20"/>
          <w:color w:val="auto"/>
        </w:rPr>
      </w:pPr>
    </w:p>
    <w:tbl>
      <w:tblPr>
        <w:tblLayout w:type="fixed"/>
        <w:tblInd w:w="60" w:type="dxa"/>
        <w:tblCellMar>
          <w:top w:w="0" w:type="dxa"/>
          <w:left w:w="0" w:type="dxa"/>
          <w:bottom w:w="0" w:type="dxa"/>
          <w:right w:w="0" w:type="dxa"/>
        </w:tblCellMar>
      </w:tblPr>
      <w:tr>
        <w:trPr>
          <w:trHeight w:val="206"/>
        </w:trPr>
        <w:tc>
          <w:tcPr>
            <w:tcW w:w="4920" w:type="dxa"/>
            <w:vAlign w:val="bottom"/>
          </w:tcPr>
          <w:p>
            <w:pPr>
              <w:spacing w:after="0"/>
              <w:rPr>
                <w:sz w:val="17"/>
                <w:szCs w:val="17"/>
                <w:color w:val="auto"/>
              </w:rPr>
            </w:pPr>
          </w:p>
        </w:tc>
        <w:tc>
          <w:tcPr>
            <w:tcW w:w="200" w:type="dxa"/>
            <w:vAlign w:val="bottom"/>
            <w:tcBorders>
              <w:bottom w:val="single" w:sz="8" w:color="231F20"/>
            </w:tcBorders>
          </w:tcPr>
          <w:p>
            <w:pPr>
              <w:spacing w:after="0"/>
              <w:rPr>
                <w:sz w:val="17"/>
                <w:szCs w:val="17"/>
                <w:color w:val="auto"/>
              </w:rPr>
            </w:pPr>
          </w:p>
        </w:tc>
        <w:tc>
          <w:tcPr>
            <w:tcW w:w="2160" w:type="dxa"/>
            <w:vAlign w:val="bottom"/>
            <w:tcBorders>
              <w:bottom w:val="single" w:sz="8" w:color="231F20"/>
            </w:tcBorders>
            <w:gridSpan w:val="4"/>
          </w:tcPr>
          <w:p>
            <w:pPr>
              <w:jc w:val="right"/>
              <w:ind w:right="473"/>
              <w:spacing w:after="0"/>
              <w:rPr>
                <w:sz w:val="20"/>
                <w:szCs w:val="20"/>
                <w:color w:val="auto"/>
              </w:rPr>
            </w:pPr>
            <w:r>
              <w:rPr>
                <w:rFonts w:ascii="Times New Roman" w:cs="Times New Roman" w:eastAsia="Times New Roman" w:hAnsi="Times New Roman"/>
                <w:sz w:val="15"/>
                <w:szCs w:val="15"/>
                <w:b w:val="1"/>
                <w:bCs w:val="1"/>
                <w:color w:val="231F20"/>
              </w:rPr>
              <w:t>December 31, 2025</w:t>
            </w:r>
          </w:p>
        </w:tc>
        <w:tc>
          <w:tcPr>
            <w:tcW w:w="60" w:type="dxa"/>
            <w:vAlign w:val="bottom"/>
          </w:tcPr>
          <w:p>
            <w:pPr>
              <w:spacing w:after="0"/>
              <w:rPr>
                <w:sz w:val="17"/>
                <w:szCs w:val="17"/>
                <w:color w:val="auto"/>
              </w:rPr>
            </w:pPr>
          </w:p>
        </w:tc>
        <w:tc>
          <w:tcPr>
            <w:tcW w:w="220" w:type="dxa"/>
            <w:vAlign w:val="bottom"/>
            <w:tcBorders>
              <w:bottom w:val="single" w:sz="8" w:color="231F20"/>
            </w:tcBorders>
          </w:tcPr>
          <w:p>
            <w:pPr>
              <w:spacing w:after="0"/>
              <w:rPr>
                <w:sz w:val="17"/>
                <w:szCs w:val="17"/>
                <w:color w:val="auto"/>
              </w:rPr>
            </w:pPr>
          </w:p>
        </w:tc>
        <w:tc>
          <w:tcPr>
            <w:tcW w:w="2140" w:type="dxa"/>
            <w:vAlign w:val="bottom"/>
            <w:tcBorders>
              <w:bottom w:val="single" w:sz="8" w:color="231F20"/>
            </w:tcBorders>
            <w:gridSpan w:val="4"/>
          </w:tcPr>
          <w:p>
            <w:pPr>
              <w:jc w:val="right"/>
              <w:ind w:right="470"/>
              <w:spacing w:after="0"/>
              <w:rPr>
                <w:sz w:val="20"/>
                <w:szCs w:val="20"/>
                <w:color w:val="auto"/>
              </w:rPr>
            </w:pPr>
            <w:r>
              <w:rPr>
                <w:rFonts w:ascii="Times New Roman" w:cs="Times New Roman" w:eastAsia="Times New Roman" w:hAnsi="Times New Roman"/>
                <w:sz w:val="15"/>
                <w:szCs w:val="15"/>
                <w:b w:val="1"/>
                <w:bCs w:val="1"/>
                <w:color w:val="231F20"/>
              </w:rPr>
              <w:t>December 31, 2024</w:t>
            </w:r>
          </w:p>
        </w:tc>
        <w:tc>
          <w:tcPr>
            <w:tcW w:w="0" w:type="dxa"/>
            <w:vAlign w:val="bottom"/>
          </w:tcPr>
          <w:p>
            <w:pPr>
              <w:spacing w:after="0"/>
              <w:rPr>
                <w:sz w:val="1"/>
                <w:szCs w:val="1"/>
                <w:color w:val="auto"/>
              </w:rPr>
            </w:pPr>
          </w:p>
        </w:tc>
      </w:tr>
      <w:tr>
        <w:trPr>
          <w:trHeight w:val="176"/>
        </w:trPr>
        <w:tc>
          <w:tcPr>
            <w:tcW w:w="4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ind w:right="174"/>
              <w:spacing w:after="0"/>
              <w:rPr>
                <w:sz w:val="20"/>
                <w:szCs w:val="20"/>
                <w:color w:val="auto"/>
              </w:rPr>
            </w:pPr>
            <w:r>
              <w:rPr>
                <w:rFonts w:ascii="Times New Roman" w:cs="Times New Roman" w:eastAsia="Times New Roman" w:hAnsi="Times New Roman"/>
                <w:sz w:val="15"/>
                <w:szCs w:val="15"/>
                <w:b w:val="1"/>
                <w:bCs w:val="1"/>
                <w:color w:val="231F20"/>
              </w:rPr>
              <w:t>Carrying</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vMerge w:val="restart"/>
          </w:tcPr>
          <w:p>
            <w:pPr>
              <w:jc w:val="right"/>
              <w:ind w:right="133"/>
              <w:spacing w:after="0"/>
              <w:rPr>
                <w:sz w:val="20"/>
                <w:szCs w:val="20"/>
                <w:color w:val="auto"/>
              </w:rPr>
            </w:pPr>
            <w:r>
              <w:rPr>
                <w:rFonts w:ascii="Times New Roman" w:cs="Times New Roman" w:eastAsia="Times New Roman" w:hAnsi="Times New Roman"/>
                <w:sz w:val="15"/>
                <w:szCs w:val="15"/>
                <w:b w:val="1"/>
                <w:bCs w:val="1"/>
                <w:color w:val="231F20"/>
              </w:rPr>
              <w:t>Fair Value</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right"/>
              <w:ind w:right="174"/>
              <w:spacing w:after="0"/>
              <w:rPr>
                <w:sz w:val="20"/>
                <w:szCs w:val="20"/>
                <w:color w:val="auto"/>
              </w:rPr>
            </w:pPr>
            <w:r>
              <w:rPr>
                <w:rFonts w:ascii="Times New Roman" w:cs="Times New Roman" w:eastAsia="Times New Roman" w:hAnsi="Times New Roman"/>
                <w:sz w:val="15"/>
                <w:szCs w:val="15"/>
                <w:b w:val="1"/>
                <w:bCs w:val="1"/>
                <w:color w:val="231F20"/>
              </w:rPr>
              <w:t>Carrying</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vMerge w:val="restart"/>
          </w:tcPr>
          <w:p>
            <w:pPr>
              <w:jc w:val="right"/>
              <w:ind w:right="130"/>
              <w:spacing w:after="0"/>
              <w:rPr>
                <w:sz w:val="20"/>
                <w:szCs w:val="20"/>
                <w:color w:val="auto"/>
              </w:rPr>
            </w:pPr>
            <w:r>
              <w:rPr>
                <w:rFonts w:ascii="Times New Roman" w:cs="Times New Roman" w:eastAsia="Times New Roman" w:hAnsi="Times New Roman"/>
                <w:sz w:val="15"/>
                <w:szCs w:val="15"/>
                <w:b w:val="1"/>
                <w:bCs w:val="1"/>
                <w:color w:val="231F20"/>
              </w:rPr>
              <w:t>Fair Value</w:t>
            </w:r>
          </w:p>
        </w:tc>
        <w:tc>
          <w:tcPr>
            <w:tcW w:w="0" w:type="dxa"/>
            <w:vAlign w:val="bottom"/>
          </w:tcPr>
          <w:p>
            <w:pPr>
              <w:spacing w:after="0"/>
              <w:rPr>
                <w:sz w:val="1"/>
                <w:szCs w:val="1"/>
                <w:color w:val="auto"/>
              </w:rPr>
            </w:pPr>
          </w:p>
        </w:tc>
      </w:tr>
      <w:tr>
        <w:trPr>
          <w:trHeight w:val="203"/>
        </w:trPr>
        <w:tc>
          <w:tcPr>
            <w:tcW w:w="4920" w:type="dxa"/>
            <w:vAlign w:val="bottom"/>
          </w:tcPr>
          <w:p>
            <w:pPr>
              <w:spacing w:after="0"/>
              <w:rPr>
                <w:sz w:val="17"/>
                <w:szCs w:val="17"/>
                <w:color w:val="auto"/>
              </w:rPr>
            </w:pPr>
          </w:p>
        </w:tc>
        <w:tc>
          <w:tcPr>
            <w:tcW w:w="200" w:type="dxa"/>
            <w:vAlign w:val="bottom"/>
            <w:tcBorders>
              <w:bottom w:val="single" w:sz="8" w:color="231F20"/>
            </w:tcBorders>
          </w:tcPr>
          <w:p>
            <w:pPr>
              <w:spacing w:after="0"/>
              <w:rPr>
                <w:sz w:val="17"/>
                <w:szCs w:val="17"/>
                <w:color w:val="auto"/>
              </w:rPr>
            </w:pPr>
          </w:p>
        </w:tc>
        <w:tc>
          <w:tcPr>
            <w:tcW w:w="940" w:type="dxa"/>
            <w:vAlign w:val="bottom"/>
            <w:tcBorders>
              <w:bottom w:val="single" w:sz="8" w:color="231F20"/>
            </w:tcBorders>
          </w:tcPr>
          <w:p>
            <w:pPr>
              <w:jc w:val="right"/>
              <w:ind w:right="294"/>
              <w:spacing w:after="0"/>
              <w:rPr>
                <w:sz w:val="20"/>
                <w:szCs w:val="20"/>
                <w:color w:val="auto"/>
              </w:rPr>
            </w:pPr>
            <w:r>
              <w:rPr>
                <w:rFonts w:ascii="Times New Roman" w:cs="Times New Roman" w:eastAsia="Times New Roman" w:hAnsi="Times New Roman"/>
                <w:sz w:val="15"/>
                <w:szCs w:val="15"/>
                <w:b w:val="1"/>
                <w:bCs w:val="1"/>
                <w:color w:val="231F20"/>
              </w:rPr>
              <w:t>Value</w:t>
            </w:r>
          </w:p>
        </w:tc>
        <w:tc>
          <w:tcPr>
            <w:tcW w:w="80" w:type="dxa"/>
            <w:vAlign w:val="bottom"/>
          </w:tcPr>
          <w:p>
            <w:pPr>
              <w:spacing w:after="0"/>
              <w:rPr>
                <w:sz w:val="17"/>
                <w:szCs w:val="17"/>
                <w:color w:val="auto"/>
              </w:rPr>
            </w:pPr>
          </w:p>
        </w:tc>
        <w:tc>
          <w:tcPr>
            <w:tcW w:w="180" w:type="dxa"/>
            <w:vAlign w:val="bottom"/>
            <w:tcBorders>
              <w:bottom w:val="single" w:sz="8" w:color="231F20"/>
            </w:tcBorders>
          </w:tcPr>
          <w:p>
            <w:pPr>
              <w:spacing w:after="0"/>
              <w:rPr>
                <w:sz w:val="17"/>
                <w:szCs w:val="17"/>
                <w:color w:val="auto"/>
              </w:rPr>
            </w:pPr>
          </w:p>
        </w:tc>
        <w:tc>
          <w:tcPr>
            <w:tcW w:w="960" w:type="dxa"/>
            <w:vAlign w:val="bottom"/>
            <w:tcBorders>
              <w:bottom w:val="single" w:sz="8" w:color="231F20"/>
            </w:tcBorders>
            <w:vMerge w:val="continue"/>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Borders>
              <w:bottom w:val="single" w:sz="8" w:color="231F20"/>
            </w:tcBorders>
          </w:tcPr>
          <w:p>
            <w:pPr>
              <w:spacing w:after="0"/>
              <w:rPr>
                <w:sz w:val="17"/>
                <w:szCs w:val="17"/>
                <w:color w:val="auto"/>
              </w:rPr>
            </w:pPr>
          </w:p>
        </w:tc>
        <w:tc>
          <w:tcPr>
            <w:tcW w:w="920" w:type="dxa"/>
            <w:vAlign w:val="bottom"/>
            <w:tcBorders>
              <w:bottom w:val="single" w:sz="8" w:color="231F20"/>
            </w:tcBorders>
          </w:tcPr>
          <w:p>
            <w:pPr>
              <w:jc w:val="right"/>
              <w:ind w:right="294"/>
              <w:spacing w:after="0"/>
              <w:rPr>
                <w:sz w:val="20"/>
                <w:szCs w:val="20"/>
                <w:color w:val="auto"/>
              </w:rPr>
            </w:pPr>
            <w:r>
              <w:rPr>
                <w:rFonts w:ascii="Times New Roman" w:cs="Times New Roman" w:eastAsia="Times New Roman" w:hAnsi="Times New Roman"/>
                <w:sz w:val="15"/>
                <w:szCs w:val="15"/>
                <w:b w:val="1"/>
                <w:bCs w:val="1"/>
                <w:color w:val="231F20"/>
              </w:rPr>
              <w:t>Value</w:t>
            </w:r>
          </w:p>
        </w:tc>
        <w:tc>
          <w:tcPr>
            <w:tcW w:w="80" w:type="dxa"/>
            <w:vAlign w:val="bottom"/>
          </w:tcPr>
          <w:p>
            <w:pPr>
              <w:spacing w:after="0"/>
              <w:rPr>
                <w:sz w:val="17"/>
                <w:szCs w:val="17"/>
                <w:color w:val="auto"/>
              </w:rPr>
            </w:pPr>
          </w:p>
        </w:tc>
        <w:tc>
          <w:tcPr>
            <w:tcW w:w="180" w:type="dxa"/>
            <w:vAlign w:val="bottom"/>
            <w:tcBorders>
              <w:bottom w:val="single" w:sz="8" w:color="231F20"/>
            </w:tcBorders>
          </w:tcPr>
          <w:p>
            <w:pPr>
              <w:spacing w:after="0"/>
              <w:rPr>
                <w:sz w:val="17"/>
                <w:szCs w:val="17"/>
                <w:color w:val="auto"/>
              </w:rPr>
            </w:pPr>
          </w:p>
        </w:tc>
        <w:tc>
          <w:tcPr>
            <w:tcW w:w="960" w:type="dxa"/>
            <w:vAlign w:val="bottom"/>
            <w:tcBorders>
              <w:bottom w:val="single" w:sz="8" w:color="231F20"/>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60" w:type="dxa"/>
            <w:vAlign w:val="bottom"/>
            <w:gridSpan w:val="4"/>
          </w:tcPr>
          <w:p>
            <w:pPr>
              <w:jc w:val="right"/>
              <w:ind w:right="614"/>
              <w:spacing w:after="0"/>
              <w:rPr>
                <w:sz w:val="20"/>
                <w:szCs w:val="20"/>
                <w:color w:val="auto"/>
              </w:rPr>
            </w:pPr>
            <w:r>
              <w:rPr>
                <w:rFonts w:ascii="Times New Roman" w:cs="Times New Roman" w:eastAsia="Times New Roman" w:hAnsi="Times New Roman"/>
                <w:sz w:val="15"/>
                <w:szCs w:val="15"/>
                <w:b w:val="1"/>
                <w:bCs w:val="1"/>
                <w:color w:val="231F20"/>
              </w:rPr>
              <w:t>(In thousands)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9"/>
        </w:trPr>
        <w:tc>
          <w:tcPr>
            <w:tcW w:w="4920" w:type="dxa"/>
            <w:vAlign w:val="bottom"/>
          </w:tcPr>
          <w:p>
            <w:pPr>
              <w:spacing w:after="0"/>
              <w:rPr>
                <w:sz w:val="20"/>
                <w:szCs w:val="20"/>
                <w:color w:val="auto"/>
              </w:rPr>
            </w:pPr>
            <w:r>
              <w:rPr>
                <w:rFonts w:ascii="Times New Roman" w:cs="Times New Roman" w:eastAsia="Times New Roman" w:hAnsi="Times New Roman"/>
                <w:sz w:val="19"/>
                <w:szCs w:val="19"/>
                <w:color w:val="231F20"/>
              </w:rPr>
              <w:t xml:space="preserve">Mortgages and notes payable </w:t>
            </w:r>
            <w:r>
              <w:rPr>
                <w:rFonts w:ascii="Times New Roman" w:cs="Times New Roman" w:eastAsia="Times New Roman" w:hAnsi="Times New Roman"/>
                <w:sz w:val="19"/>
                <w:szCs w:val="19"/>
                <w:color w:val="C3C5C7"/>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1,579,090</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9"/>
                <w:szCs w:val="19"/>
                <w:color w:val="231F2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1,572,977</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9"/>
                <w:szCs w:val="19"/>
                <w:color w:val="231F2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1,115,792</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9"/>
                <w:szCs w:val="19"/>
                <w:color w:val="231F2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1,098,271</w:t>
            </w:r>
          </w:p>
        </w:tc>
        <w:tc>
          <w:tcPr>
            <w:tcW w:w="0" w:type="dxa"/>
            <w:vAlign w:val="bottom"/>
          </w:tcPr>
          <w:p>
            <w:pPr>
              <w:spacing w:after="0"/>
              <w:rPr>
                <w:sz w:val="1"/>
                <w:szCs w:val="1"/>
                <w:color w:val="auto"/>
              </w:rPr>
            </w:pPr>
          </w:p>
        </w:tc>
      </w:tr>
      <w:tr>
        <w:trPr>
          <w:trHeight w:val="285"/>
        </w:trPr>
        <w:tc>
          <w:tcPr>
            <w:tcW w:w="4920" w:type="dxa"/>
            <w:vAlign w:val="bottom"/>
          </w:tcPr>
          <w:p>
            <w:pPr>
              <w:spacing w:after="0"/>
              <w:rPr>
                <w:sz w:val="20"/>
                <w:szCs w:val="20"/>
                <w:color w:val="auto"/>
              </w:rPr>
            </w:pPr>
            <w:r>
              <w:rPr>
                <w:rFonts w:ascii="Times New Roman" w:cs="Times New Roman" w:eastAsia="Times New Roman" w:hAnsi="Times New Roman"/>
                <w:sz w:val="19"/>
                <w:szCs w:val="19"/>
                <w:color w:val="231F20"/>
              </w:rPr>
              <w:t xml:space="preserve">Senior notes and debentures </w:t>
            </w:r>
            <w:r>
              <w:rPr>
                <w:rFonts w:ascii="Times New Roman" w:cs="Times New Roman" w:eastAsia="Times New Roman" w:hAnsi="Times New Roman"/>
                <w:sz w:val="19"/>
                <w:szCs w:val="19"/>
                <w:color w:val="C3C5C7"/>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2,887,190</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9"/>
                <w:szCs w:val="19"/>
                <w:color w:val="231F2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2,743,096</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9"/>
                <w:szCs w:val="19"/>
                <w:color w:val="231F2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2,883,713</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9"/>
                <w:szCs w:val="19"/>
                <w:color w:val="231F2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2,645,097</w:t>
            </w:r>
          </w:p>
        </w:tc>
        <w:tc>
          <w:tcPr>
            <w:tcW w:w="0" w:type="dxa"/>
            <w:vAlign w:val="bottom"/>
          </w:tcPr>
          <w:p>
            <w:pPr>
              <w:spacing w:after="0"/>
              <w:rPr>
                <w:sz w:val="1"/>
                <w:szCs w:val="1"/>
                <w:color w:val="auto"/>
              </w:rPr>
            </w:pPr>
          </w:p>
        </w:tc>
      </w:tr>
      <w:tr>
        <w:trPr>
          <w:trHeight w:val="285"/>
        </w:trPr>
        <w:tc>
          <w:tcPr>
            <w:tcW w:w="4920" w:type="dxa"/>
            <w:vAlign w:val="bottom"/>
          </w:tcPr>
          <w:p>
            <w:pPr>
              <w:spacing w:after="0"/>
              <w:rPr>
                <w:sz w:val="20"/>
                <w:szCs w:val="20"/>
                <w:color w:val="auto"/>
              </w:rPr>
            </w:pPr>
            <w:r>
              <w:rPr>
                <w:rFonts w:ascii="Times New Roman" w:cs="Times New Roman" w:eastAsia="Times New Roman" w:hAnsi="Times New Roman"/>
                <w:sz w:val="19"/>
                <w:szCs w:val="19"/>
                <w:color w:val="231F20"/>
              </w:rPr>
              <w:t xml:space="preserve">Exchangeable senior notes </w:t>
            </w:r>
            <w:r>
              <w:rPr>
                <w:rFonts w:ascii="Times New Roman" w:cs="Times New Roman" w:eastAsia="Times New Roman" w:hAnsi="Times New Roman"/>
                <w:sz w:val="19"/>
                <w:szCs w:val="19"/>
                <w:color w:val="C3C5C7"/>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476,820</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9"/>
                <w:szCs w:val="19"/>
                <w:color w:val="231F2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492,912</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9"/>
                <w:szCs w:val="19"/>
                <w:color w:val="231F2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474,127</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9"/>
                <w:szCs w:val="19"/>
                <w:color w:val="231F2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495,510</w:t>
            </w:r>
          </w:p>
        </w:tc>
        <w:tc>
          <w:tcPr>
            <w:tcW w:w="0" w:type="dxa"/>
            <w:vAlign w:val="bottom"/>
          </w:tcPr>
          <w:p>
            <w:pPr>
              <w:spacing w:after="0"/>
              <w:rPr>
                <w:sz w:val="1"/>
                <w:szCs w:val="1"/>
                <w:color w:val="auto"/>
              </w:rPr>
            </w:pPr>
          </w:p>
        </w:tc>
      </w:tr>
    </w:tbl>
    <w:p>
      <w:pPr>
        <w:spacing w:after="0" w:line="275" w:lineRule="exact"/>
        <w:rPr>
          <w:sz w:val="20"/>
          <w:szCs w:val="20"/>
          <w:color w:val="auto"/>
        </w:rPr>
      </w:pPr>
    </w:p>
    <w:p>
      <w:pPr>
        <w:ind w:right="320"/>
        <w:spacing w:after="0" w:line="281" w:lineRule="auto"/>
        <w:rPr>
          <w:sz w:val="20"/>
          <w:szCs w:val="20"/>
          <w:color w:val="auto"/>
        </w:rPr>
      </w:pPr>
      <w:r>
        <w:rPr>
          <w:rFonts w:ascii="Times New Roman" w:cs="Times New Roman" w:eastAsia="Times New Roman" w:hAnsi="Times New Roman"/>
          <w:sz w:val="19"/>
          <w:szCs w:val="19"/>
          <w:color w:val="231F20"/>
        </w:rPr>
        <w:t>The following table is a summary of our outstanding interest rate swap agreements on consolidated debt as of December 31, 2025:</w:t>
      </w:r>
    </w:p>
    <w:tbl>
      <w:tblPr>
        <w:tblLayout w:type="fixed"/>
        <w:tblInd w:w="0" w:type="dxa"/>
        <w:tblCellMar>
          <w:top w:w="0" w:type="dxa"/>
          <w:left w:w="0" w:type="dxa"/>
          <w:bottom w:w="0" w:type="dxa"/>
          <w:right w:w="0" w:type="dxa"/>
        </w:tblCellMar>
      </w:tblPr>
      <w:tr>
        <w:trPr>
          <w:trHeight w:val="157"/>
        </w:trPr>
        <w:tc>
          <w:tcPr>
            <w:tcW w:w="2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vMerge w:val="restart"/>
          </w:tcPr>
          <w:p>
            <w:pPr>
              <w:jc w:val="right"/>
              <w:ind w:right="93"/>
              <w:spacing w:after="0"/>
              <w:rPr>
                <w:sz w:val="20"/>
                <w:szCs w:val="20"/>
                <w:color w:val="auto"/>
              </w:rPr>
            </w:pPr>
            <w:r>
              <w:rPr>
                <w:rFonts w:ascii="Times New Roman" w:cs="Times New Roman" w:eastAsia="Times New Roman" w:hAnsi="Times New Roman"/>
                <w:sz w:val="15"/>
                <w:szCs w:val="15"/>
                <w:b w:val="1"/>
                <w:bCs w:val="1"/>
                <w:color w:val="231F20"/>
                <w:w w:val="98"/>
              </w:rPr>
              <w:t>Notional</w:t>
            </w:r>
          </w:p>
        </w:tc>
        <w:tc>
          <w:tcPr>
            <w:tcW w:w="40" w:type="dxa"/>
            <w:vAlign w:val="bottom"/>
          </w:tcPr>
          <w:p>
            <w:pPr>
              <w:spacing w:after="0"/>
              <w:rPr>
                <w:sz w:val="13"/>
                <w:szCs w:val="13"/>
                <w:color w:val="auto"/>
              </w:rPr>
            </w:pPr>
          </w:p>
        </w:tc>
        <w:tc>
          <w:tcPr>
            <w:tcW w:w="1600" w:type="dxa"/>
            <w:vAlign w:val="bottom"/>
          </w:tcPr>
          <w:p>
            <w:pPr>
              <w:jc w:val="center"/>
              <w:spacing w:after="0" w:line="157" w:lineRule="exact"/>
              <w:rPr>
                <w:sz w:val="20"/>
                <w:szCs w:val="20"/>
                <w:color w:val="auto"/>
              </w:rPr>
            </w:pPr>
            <w:r>
              <w:rPr>
                <w:rFonts w:ascii="Times New Roman" w:cs="Times New Roman" w:eastAsia="Times New Roman" w:hAnsi="Times New Roman"/>
                <w:sz w:val="15"/>
                <w:szCs w:val="15"/>
                <w:b w:val="1"/>
                <w:bCs w:val="1"/>
                <w:color w:val="231F20"/>
              </w:rPr>
              <w:t>Maturity Date of</w:t>
            </w:r>
          </w:p>
        </w:tc>
        <w:tc>
          <w:tcPr>
            <w:tcW w:w="60" w:type="dxa"/>
            <w:vAlign w:val="bottom"/>
          </w:tcPr>
          <w:p>
            <w:pPr>
              <w:spacing w:after="0"/>
              <w:rPr>
                <w:sz w:val="13"/>
                <w:szCs w:val="13"/>
                <w:color w:val="auto"/>
              </w:rPr>
            </w:pPr>
          </w:p>
        </w:tc>
        <w:tc>
          <w:tcPr>
            <w:tcW w:w="980" w:type="dxa"/>
            <w:vAlign w:val="bottom"/>
          </w:tcPr>
          <w:p>
            <w:pPr>
              <w:jc w:val="center"/>
              <w:spacing w:after="0" w:line="157" w:lineRule="exact"/>
              <w:rPr>
                <w:sz w:val="20"/>
                <w:szCs w:val="20"/>
                <w:color w:val="auto"/>
              </w:rPr>
            </w:pPr>
            <w:r>
              <w:rPr>
                <w:rFonts w:ascii="Times New Roman" w:cs="Times New Roman" w:eastAsia="Times New Roman" w:hAnsi="Times New Roman"/>
                <w:sz w:val="15"/>
                <w:szCs w:val="15"/>
                <w:b w:val="1"/>
                <w:bCs w:val="1"/>
                <w:color w:val="231F20"/>
              </w:rPr>
              <w:t>Weighted</w:t>
            </w:r>
          </w:p>
        </w:tc>
        <w:tc>
          <w:tcPr>
            <w:tcW w:w="4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260" w:type="dxa"/>
            <w:vAlign w:val="bottom"/>
            <w:vMerge w:val="restart"/>
          </w:tcPr>
          <w:p>
            <w:pPr>
              <w:ind w:left="60"/>
              <w:spacing w:after="0"/>
              <w:rPr>
                <w:sz w:val="20"/>
                <w:szCs w:val="20"/>
                <w:color w:val="auto"/>
              </w:rPr>
            </w:pPr>
            <w:r>
              <w:rPr>
                <w:rFonts w:ascii="Times New Roman" w:cs="Times New Roman" w:eastAsia="Times New Roman" w:hAnsi="Times New Roman"/>
                <w:sz w:val="15"/>
                <w:szCs w:val="15"/>
                <w:b w:val="1"/>
                <w:bCs w:val="1"/>
                <w:color w:val="231F20"/>
              </w:rPr>
              <w:t>Interest Rate Swap</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600" w:type="dxa"/>
            <w:vAlign w:val="bottom"/>
          </w:tcPr>
          <w:p>
            <w:pPr>
              <w:jc w:val="center"/>
              <w:spacing w:after="0" w:line="152" w:lineRule="exact"/>
              <w:rPr>
                <w:sz w:val="20"/>
                <w:szCs w:val="20"/>
                <w:color w:val="auto"/>
              </w:rPr>
            </w:pPr>
            <w:r>
              <w:rPr>
                <w:rFonts w:ascii="Times New Roman" w:cs="Times New Roman" w:eastAsia="Times New Roman" w:hAnsi="Times New Roman"/>
                <w:sz w:val="15"/>
                <w:szCs w:val="15"/>
                <w:b w:val="1"/>
                <w:bCs w:val="1"/>
                <w:color w:val="231F20"/>
              </w:rPr>
              <w:t>Related Swap</w:t>
            </w:r>
          </w:p>
        </w:tc>
        <w:tc>
          <w:tcPr>
            <w:tcW w:w="60" w:type="dxa"/>
            <w:vAlign w:val="bottom"/>
          </w:tcPr>
          <w:p>
            <w:pPr>
              <w:spacing w:after="0"/>
              <w:rPr>
                <w:sz w:val="13"/>
                <w:szCs w:val="13"/>
                <w:color w:val="auto"/>
              </w:rPr>
            </w:pPr>
          </w:p>
        </w:tc>
        <w:tc>
          <w:tcPr>
            <w:tcW w:w="980" w:type="dxa"/>
            <w:vAlign w:val="bottom"/>
          </w:tcPr>
          <w:p>
            <w:pPr>
              <w:jc w:val="center"/>
              <w:spacing w:after="0" w:line="152" w:lineRule="exact"/>
              <w:rPr>
                <w:sz w:val="20"/>
                <w:szCs w:val="20"/>
                <w:color w:val="auto"/>
              </w:rPr>
            </w:pPr>
            <w:r>
              <w:rPr>
                <w:rFonts w:ascii="Times New Roman" w:cs="Times New Roman" w:eastAsia="Times New Roman" w:hAnsi="Times New Roman"/>
                <w:sz w:val="15"/>
                <w:szCs w:val="15"/>
                <w:b w:val="1"/>
                <w:bCs w:val="1"/>
                <w:color w:val="231F20"/>
              </w:rPr>
              <w:t>Average</w:t>
            </w:r>
          </w:p>
        </w:tc>
        <w:tc>
          <w:tcPr>
            <w:tcW w:w="40" w:type="dxa"/>
            <w:vAlign w:val="bottom"/>
          </w:tcPr>
          <w:p>
            <w:pPr>
              <w:spacing w:after="0"/>
              <w:rPr>
                <w:sz w:val="13"/>
                <w:szCs w:val="13"/>
                <w:color w:val="auto"/>
              </w:rPr>
            </w:pPr>
          </w:p>
        </w:tc>
        <w:tc>
          <w:tcPr>
            <w:tcW w:w="2860" w:type="dxa"/>
            <w:vAlign w:val="bottom"/>
            <w:vMerge w:val="restart"/>
          </w:tcPr>
          <w:p>
            <w:pPr>
              <w:ind w:left="60"/>
              <w:spacing w:after="0"/>
              <w:rPr>
                <w:sz w:val="20"/>
                <w:szCs w:val="20"/>
                <w:color w:val="auto"/>
              </w:rPr>
            </w:pPr>
            <w:r>
              <w:rPr>
                <w:rFonts w:ascii="Times New Roman" w:cs="Times New Roman" w:eastAsia="Times New Roman" w:hAnsi="Times New Roman"/>
                <w:sz w:val="15"/>
                <w:szCs w:val="15"/>
                <w:b w:val="1"/>
                <w:bCs w:val="1"/>
                <w:color w:val="231F20"/>
              </w:rPr>
              <w:t>Balance Sheet Location</w:t>
            </w:r>
          </w:p>
        </w:tc>
        <w:tc>
          <w:tcPr>
            <w:tcW w:w="60" w:type="dxa"/>
            <w:vAlign w:val="bottom"/>
          </w:tcPr>
          <w:p>
            <w:pPr>
              <w:spacing w:after="0"/>
              <w:rPr>
                <w:sz w:val="13"/>
                <w:szCs w:val="13"/>
                <w:color w:val="auto"/>
              </w:rPr>
            </w:pPr>
          </w:p>
        </w:tc>
        <w:tc>
          <w:tcPr>
            <w:tcW w:w="900" w:type="dxa"/>
            <w:vAlign w:val="bottom"/>
            <w:gridSpan w:val="2"/>
            <w:vMerge w:val="restart"/>
          </w:tcPr>
          <w:p>
            <w:pPr>
              <w:jc w:val="right"/>
              <w:ind w:right="5"/>
              <w:spacing w:after="0"/>
              <w:rPr>
                <w:sz w:val="20"/>
                <w:szCs w:val="20"/>
                <w:color w:val="auto"/>
              </w:rPr>
            </w:pPr>
            <w:r>
              <w:rPr>
                <w:rFonts w:ascii="Times New Roman" w:cs="Times New Roman" w:eastAsia="Times New Roman" w:hAnsi="Times New Roman"/>
                <w:sz w:val="15"/>
                <w:szCs w:val="15"/>
                <w:b w:val="1"/>
                <w:bCs w:val="1"/>
                <w:color w:val="231F20"/>
              </w:rPr>
              <w:t>Fair Value</w:t>
            </w:r>
          </w:p>
        </w:tc>
        <w:tc>
          <w:tcPr>
            <w:tcW w:w="0" w:type="dxa"/>
            <w:vAlign w:val="bottom"/>
          </w:tcPr>
          <w:p>
            <w:pPr>
              <w:spacing w:after="0"/>
              <w:rPr>
                <w:sz w:val="1"/>
                <w:szCs w:val="1"/>
                <w:color w:val="auto"/>
              </w:rPr>
            </w:pPr>
          </w:p>
        </w:tc>
      </w:tr>
      <w:tr>
        <w:trPr>
          <w:trHeight w:val="185"/>
        </w:trPr>
        <w:tc>
          <w:tcPr>
            <w:tcW w:w="2260" w:type="dxa"/>
            <w:vAlign w:val="bottom"/>
            <w:tcBorders>
              <w:bottom w:val="single" w:sz="8" w:color="231F20"/>
            </w:tcBorders>
            <w:vMerge w:val="continue"/>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Borders>
              <w:bottom w:val="single" w:sz="8" w:color="231F20"/>
            </w:tcBorders>
          </w:tcPr>
          <w:p>
            <w:pPr>
              <w:spacing w:after="0"/>
              <w:rPr>
                <w:sz w:val="16"/>
                <w:szCs w:val="16"/>
                <w:color w:val="auto"/>
              </w:rPr>
            </w:pPr>
          </w:p>
        </w:tc>
        <w:tc>
          <w:tcPr>
            <w:tcW w:w="740" w:type="dxa"/>
            <w:vAlign w:val="bottom"/>
            <w:tcBorders>
              <w:bottom w:val="single" w:sz="8" w:color="231F20"/>
            </w:tcBorders>
          </w:tcPr>
          <w:p>
            <w:pPr>
              <w:jc w:val="right"/>
              <w:ind w:right="113"/>
              <w:spacing w:after="0"/>
              <w:rPr>
                <w:sz w:val="20"/>
                <w:szCs w:val="20"/>
                <w:color w:val="auto"/>
              </w:rPr>
            </w:pPr>
            <w:r>
              <w:rPr>
                <w:rFonts w:ascii="Times New Roman" w:cs="Times New Roman" w:eastAsia="Times New Roman" w:hAnsi="Times New Roman"/>
                <w:sz w:val="15"/>
                <w:szCs w:val="15"/>
                <w:b w:val="1"/>
                <w:bCs w:val="1"/>
                <w:color w:val="231F20"/>
                <w:w w:val="98"/>
              </w:rPr>
              <w:t>Amount</w:t>
            </w:r>
          </w:p>
        </w:tc>
        <w:tc>
          <w:tcPr>
            <w:tcW w:w="40" w:type="dxa"/>
            <w:vAlign w:val="bottom"/>
          </w:tcPr>
          <w:p>
            <w:pPr>
              <w:spacing w:after="0"/>
              <w:rPr>
                <w:sz w:val="16"/>
                <w:szCs w:val="16"/>
                <w:color w:val="auto"/>
              </w:rPr>
            </w:pPr>
          </w:p>
        </w:tc>
        <w:tc>
          <w:tcPr>
            <w:tcW w:w="160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5"/>
                <w:szCs w:val="15"/>
                <w:b w:val="1"/>
                <w:bCs w:val="1"/>
                <w:color w:val="231F20"/>
              </w:rPr>
              <w:t>Agreements</w:t>
            </w:r>
          </w:p>
        </w:tc>
        <w:tc>
          <w:tcPr>
            <w:tcW w:w="60" w:type="dxa"/>
            <w:vAlign w:val="bottom"/>
          </w:tcPr>
          <w:p>
            <w:pPr>
              <w:spacing w:after="0"/>
              <w:rPr>
                <w:sz w:val="16"/>
                <w:szCs w:val="16"/>
                <w:color w:val="auto"/>
              </w:rPr>
            </w:pPr>
          </w:p>
        </w:tc>
        <w:tc>
          <w:tcPr>
            <w:tcW w:w="98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5"/>
                <w:szCs w:val="15"/>
                <w:b w:val="1"/>
                <w:bCs w:val="1"/>
                <w:color w:val="231F20"/>
              </w:rPr>
              <w:t>Interest Rate</w:t>
            </w:r>
          </w:p>
        </w:tc>
        <w:tc>
          <w:tcPr>
            <w:tcW w:w="40" w:type="dxa"/>
            <w:vAlign w:val="bottom"/>
          </w:tcPr>
          <w:p>
            <w:pPr>
              <w:spacing w:after="0"/>
              <w:rPr>
                <w:sz w:val="16"/>
                <w:szCs w:val="16"/>
                <w:color w:val="auto"/>
              </w:rPr>
            </w:pPr>
          </w:p>
        </w:tc>
        <w:tc>
          <w:tcPr>
            <w:tcW w:w="2860" w:type="dxa"/>
            <w:vAlign w:val="bottom"/>
            <w:tcBorders>
              <w:bottom w:val="single" w:sz="8" w:color="231F20"/>
            </w:tcBorders>
            <w:vMerge w:val="continue"/>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tcBorders>
              <w:bottom w:val="single" w:sz="8" w:color="231F20"/>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5"/>
                <w:szCs w:val="15"/>
                <w:b w:val="1"/>
                <w:bCs w:val="1"/>
                <w:color w:val="231F20"/>
              </w:rPr>
              <w:t>(in millions)</w:t>
            </w:r>
          </w:p>
        </w:tc>
        <w:tc>
          <w:tcPr>
            <w:tcW w:w="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5"/>
                <w:szCs w:val="15"/>
                <w:b w:val="1"/>
                <w:bCs w:val="1"/>
                <w:color w:val="231F20"/>
              </w:rPr>
              <w:t>(in millions)</w:t>
            </w:r>
          </w:p>
        </w:tc>
        <w:tc>
          <w:tcPr>
            <w:tcW w:w="0" w:type="dxa"/>
            <w:vAlign w:val="bottom"/>
          </w:tcPr>
          <w:p>
            <w:pPr>
              <w:spacing w:after="0"/>
              <w:rPr>
                <w:sz w:val="1"/>
                <w:szCs w:val="1"/>
                <w:color w:val="auto"/>
              </w:rPr>
            </w:pPr>
          </w:p>
        </w:tc>
      </w:tr>
      <w:tr>
        <w:trPr>
          <w:trHeight w:val="256"/>
        </w:trPr>
        <w:tc>
          <w:tcPr>
            <w:tcW w:w="2260" w:type="dxa"/>
            <w:vAlign w:val="bottom"/>
          </w:tcPr>
          <w:p>
            <w:pPr>
              <w:ind w:left="60"/>
              <w:spacing w:after="0"/>
              <w:rPr>
                <w:sz w:val="20"/>
                <w:szCs w:val="20"/>
                <w:color w:val="auto"/>
              </w:rPr>
            </w:pPr>
            <w:r>
              <w:rPr>
                <w:rFonts w:ascii="Times New Roman" w:cs="Times New Roman" w:eastAsia="Times New Roman" w:hAnsi="Times New Roman"/>
                <w:sz w:val="19"/>
                <w:szCs w:val="19"/>
                <w:color w:val="231F20"/>
              </w:rPr>
              <w:t>$750 million term loan (1)</w:t>
            </w: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9"/>
                <w:szCs w:val="19"/>
                <w:color w:val="231F2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450.0</w:t>
            </w:r>
          </w:p>
        </w:tc>
        <w:tc>
          <w:tcPr>
            <w:tcW w:w="40" w:type="dxa"/>
            <w:vAlign w:val="bottom"/>
          </w:tcPr>
          <w:p>
            <w:pPr>
              <w:spacing w:after="0"/>
              <w:rPr>
                <w:sz w:val="22"/>
                <w:szCs w:val="22"/>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19"/>
                <w:szCs w:val="19"/>
                <w:color w:val="231F20"/>
              </w:rPr>
              <w:t>March 1, 2028</w:t>
            </w:r>
          </w:p>
        </w:tc>
        <w:tc>
          <w:tcPr>
            <w:tcW w:w="60" w:type="dxa"/>
            <w:vAlign w:val="bottom"/>
          </w:tcPr>
          <w:p>
            <w:pPr>
              <w:spacing w:after="0"/>
              <w:rPr>
                <w:sz w:val="22"/>
                <w:szCs w:val="22"/>
                <w:color w:val="auto"/>
              </w:rPr>
            </w:pPr>
          </w:p>
        </w:tc>
        <w:tc>
          <w:tcPr>
            <w:tcW w:w="3880" w:type="dxa"/>
            <w:vAlign w:val="bottom"/>
            <w:gridSpan w:val="3"/>
          </w:tcPr>
          <w:p>
            <w:pPr>
              <w:ind w:left="380"/>
              <w:spacing w:after="0"/>
              <w:rPr>
                <w:sz w:val="20"/>
                <w:szCs w:val="20"/>
                <w:color w:val="auto"/>
              </w:rPr>
            </w:pPr>
            <w:r>
              <w:rPr>
                <w:rFonts w:ascii="Times New Roman" w:cs="Times New Roman" w:eastAsia="Times New Roman" w:hAnsi="Times New Roman"/>
                <w:sz w:val="19"/>
                <w:szCs w:val="19"/>
                <w:color w:val="231F20"/>
              </w:rPr>
              <w:t>4.17 %  Other liabilities and deferred credits</w:t>
            </w:r>
          </w:p>
        </w:tc>
        <w:tc>
          <w:tcPr>
            <w:tcW w:w="400" w:type="dxa"/>
            <w:vAlign w:val="bottom"/>
            <w:gridSpan w:val="2"/>
          </w:tcPr>
          <w:p>
            <w:pPr>
              <w:ind w:left="120"/>
              <w:spacing w:after="0"/>
              <w:rPr>
                <w:sz w:val="20"/>
                <w:szCs w:val="20"/>
                <w:color w:val="auto"/>
              </w:rPr>
            </w:pPr>
            <w:r>
              <w:rPr>
                <w:rFonts w:ascii="Times New Roman" w:cs="Times New Roman" w:eastAsia="Times New Roman" w:hAnsi="Times New Roman"/>
                <w:sz w:val="19"/>
                <w:szCs w:val="19"/>
                <w:color w:val="231F2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(0.5)</w:t>
            </w:r>
          </w:p>
        </w:tc>
        <w:tc>
          <w:tcPr>
            <w:tcW w:w="0" w:type="dxa"/>
            <w:vAlign w:val="bottom"/>
          </w:tcPr>
          <w:p>
            <w:pPr>
              <w:spacing w:after="0"/>
              <w:rPr>
                <w:sz w:val="1"/>
                <w:szCs w:val="1"/>
                <w:color w:val="auto"/>
              </w:rPr>
            </w:pPr>
          </w:p>
        </w:tc>
      </w:tr>
      <w:tr>
        <w:trPr>
          <w:trHeight w:val="435"/>
        </w:trPr>
        <w:tc>
          <w:tcPr>
            <w:tcW w:w="2260" w:type="dxa"/>
            <w:vAlign w:val="bottom"/>
          </w:tcPr>
          <w:p>
            <w:pPr>
              <w:ind w:left="60"/>
              <w:spacing w:after="0"/>
              <w:rPr>
                <w:sz w:val="20"/>
                <w:szCs w:val="20"/>
                <w:color w:val="auto"/>
              </w:rPr>
            </w:pPr>
            <w:r>
              <w:rPr>
                <w:rFonts w:ascii="Times New Roman" w:cs="Times New Roman" w:eastAsia="Times New Roman" w:hAnsi="Times New Roman"/>
                <w:sz w:val="19"/>
                <w:szCs w:val="19"/>
                <w:color w:val="231F20"/>
              </w:rPr>
              <w:t>Hoboken</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50.6</w:t>
            </w:r>
          </w:p>
        </w:tc>
        <w:tc>
          <w:tcPr>
            <w:tcW w:w="4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9"/>
                <w:szCs w:val="19"/>
                <w:color w:val="231F20"/>
              </w:rPr>
              <w:t>December 15, 2029</w:t>
            </w:r>
          </w:p>
        </w:tc>
        <w:tc>
          <w:tcPr>
            <w:tcW w:w="60" w:type="dxa"/>
            <w:vAlign w:val="bottom"/>
          </w:tcPr>
          <w:p>
            <w:pPr>
              <w:spacing w:after="0"/>
              <w:rPr>
                <w:sz w:val="24"/>
                <w:szCs w:val="24"/>
                <w:color w:val="auto"/>
              </w:rPr>
            </w:pPr>
          </w:p>
        </w:tc>
        <w:tc>
          <w:tcPr>
            <w:tcW w:w="3880" w:type="dxa"/>
            <w:vAlign w:val="bottom"/>
            <w:gridSpan w:val="3"/>
          </w:tcPr>
          <w:p>
            <w:pPr>
              <w:ind w:left="400"/>
              <w:spacing w:after="0"/>
              <w:rPr>
                <w:sz w:val="20"/>
                <w:szCs w:val="20"/>
                <w:color w:val="auto"/>
              </w:rPr>
            </w:pPr>
            <w:r>
              <w:rPr>
                <w:rFonts w:ascii="Times New Roman" w:cs="Times New Roman" w:eastAsia="Times New Roman" w:hAnsi="Times New Roman"/>
                <w:sz w:val="19"/>
                <w:szCs w:val="19"/>
                <w:color w:val="231F20"/>
              </w:rPr>
              <w:t>3.67 % Prepaid expenses and other assets</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3.1</w:t>
            </w:r>
          </w:p>
        </w:tc>
        <w:tc>
          <w:tcPr>
            <w:tcW w:w="0" w:type="dxa"/>
            <w:vAlign w:val="bottom"/>
          </w:tcPr>
          <w:p>
            <w:pPr>
              <w:spacing w:after="0"/>
              <w:rPr>
                <w:sz w:val="1"/>
                <w:szCs w:val="1"/>
                <w:color w:val="auto"/>
              </w:rPr>
            </w:pPr>
          </w:p>
        </w:tc>
      </w:tr>
      <w:tr>
        <w:trPr>
          <w:trHeight w:val="22"/>
        </w:trPr>
        <w:tc>
          <w:tcPr>
            <w:tcW w:w="2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231F20"/>
            </w:tcBorders>
          </w:tcPr>
          <w:p>
            <w:pPr>
              <w:spacing w:after="0" w:line="20" w:lineRule="exact"/>
              <w:rPr>
                <w:sz w:val="1"/>
                <w:szCs w:val="1"/>
                <w:color w:val="auto"/>
              </w:rPr>
            </w:pPr>
          </w:p>
        </w:tc>
        <w:tc>
          <w:tcPr>
            <w:tcW w:w="740" w:type="dxa"/>
            <w:vAlign w:val="bottom"/>
            <w:tcBorders>
              <w:bottom w:val="single" w:sz="8" w:color="231F2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231F20"/>
            </w:tcBorders>
          </w:tcPr>
          <w:p>
            <w:pPr>
              <w:spacing w:after="0" w:line="20" w:lineRule="exact"/>
              <w:rPr>
                <w:sz w:val="1"/>
                <w:szCs w:val="1"/>
                <w:color w:val="auto"/>
              </w:rPr>
            </w:pPr>
          </w:p>
        </w:tc>
        <w:tc>
          <w:tcPr>
            <w:tcW w:w="56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6"/>
        </w:trPr>
        <w:tc>
          <w:tcPr>
            <w:tcW w:w="2260" w:type="dxa"/>
            <w:vAlign w:val="bottom"/>
          </w:tcPr>
          <w:p>
            <w:pPr>
              <w:spacing w:after="0"/>
              <w:rPr>
                <w:sz w:val="21"/>
                <w:szCs w:val="21"/>
                <w:color w:val="auto"/>
              </w:rPr>
            </w:pP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9"/>
                <w:szCs w:val="19"/>
                <w:color w:val="231F2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500.6</w:t>
            </w:r>
          </w:p>
        </w:tc>
        <w:tc>
          <w:tcPr>
            <w:tcW w:w="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60" w:type="dxa"/>
            <w:vAlign w:val="bottom"/>
          </w:tcPr>
          <w:p>
            <w:pPr>
              <w:spacing w:after="0"/>
              <w:rPr>
                <w:sz w:val="21"/>
                <w:szCs w:val="21"/>
                <w:color w:val="auto"/>
              </w:rPr>
            </w:pPr>
          </w:p>
        </w:tc>
        <w:tc>
          <w:tcPr>
            <w:tcW w:w="400" w:type="dxa"/>
            <w:vAlign w:val="bottom"/>
            <w:gridSpan w:val="2"/>
          </w:tcPr>
          <w:p>
            <w:pPr>
              <w:ind w:left="100"/>
              <w:spacing w:after="0"/>
              <w:rPr>
                <w:sz w:val="20"/>
                <w:szCs w:val="20"/>
                <w:color w:val="auto"/>
              </w:rPr>
            </w:pPr>
            <w:r>
              <w:rPr>
                <w:rFonts w:ascii="Times New Roman" w:cs="Times New Roman" w:eastAsia="Times New Roman" w:hAnsi="Times New Roman"/>
                <w:sz w:val="19"/>
                <w:szCs w:val="19"/>
                <w:color w:val="231F2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2.6</w:t>
            </w: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231F20"/>
              <w:bottom w:val="single" w:sz="8" w:color="231F20"/>
            </w:tcBorders>
          </w:tcPr>
          <w:p>
            <w:pPr>
              <w:spacing w:after="0" w:line="20" w:lineRule="exact"/>
              <w:rPr>
                <w:sz w:val="1"/>
                <w:szCs w:val="1"/>
                <w:color w:val="auto"/>
              </w:rPr>
            </w:pPr>
          </w:p>
        </w:tc>
        <w:tc>
          <w:tcPr>
            <w:tcW w:w="740" w:type="dxa"/>
            <w:vAlign w:val="bottom"/>
            <w:tcBorders>
              <w:top w:val="single" w:sz="8" w:color="231F20"/>
              <w:bottom w:val="single" w:sz="8" w:color="231F2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231F20"/>
              <w:bottom w:val="single" w:sz="8" w:color="231F20"/>
            </w:tcBorders>
          </w:tcPr>
          <w:p>
            <w:pPr>
              <w:spacing w:after="0" w:line="20" w:lineRule="exact"/>
              <w:rPr>
                <w:sz w:val="1"/>
                <w:szCs w:val="1"/>
                <w:color w:val="auto"/>
              </w:rPr>
            </w:pPr>
          </w:p>
        </w:tc>
        <w:tc>
          <w:tcPr>
            <w:tcW w:w="560" w:type="dxa"/>
            <w:vAlign w:val="bottom"/>
            <w:tcBorders>
              <w:top w:val="single" w:sz="8" w:color="231F20"/>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
        </w:trPr>
        <w:tc>
          <w:tcPr>
            <w:tcW w:w="2260" w:type="dxa"/>
            <w:vAlign w:val="bottom"/>
            <w:tcBorders>
              <w:bottom w:val="single" w:sz="8" w:color="231F20"/>
            </w:tcBorders>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0" w:type="dxa"/>
            <w:vAlign w:val="bottom"/>
          </w:tcPr>
          <w:p>
            <w:pPr>
              <w:spacing w:after="0"/>
              <w:rPr>
                <w:sz w:val="5"/>
                <w:szCs w:val="5"/>
                <w:color w:val="auto"/>
              </w:rPr>
            </w:pPr>
          </w:p>
        </w:tc>
        <w:tc>
          <w:tcPr>
            <w:tcW w:w="60" w:type="dxa"/>
            <w:vAlign w:val="bottom"/>
          </w:tcPr>
          <w:p>
            <w:pPr>
              <w:spacing w:after="0"/>
              <w:rPr>
                <w:sz w:val="5"/>
                <w:szCs w:val="5"/>
                <w:color w:val="auto"/>
              </w:rPr>
            </w:pP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286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5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0" w:lineRule="exact"/>
        <w:rPr>
          <w:sz w:val="20"/>
          <w:szCs w:val="20"/>
          <w:color w:val="auto"/>
        </w:rPr>
      </w:pPr>
    </w:p>
    <w:p>
      <w:pPr>
        <w:ind w:left="60" w:right="280" w:hanging="7"/>
        <w:spacing w:after="0" w:line="242" w:lineRule="auto"/>
        <w:tabs>
          <w:tab w:leader="none" w:pos="329" w:val="left"/>
        </w:tabs>
        <w:numPr>
          <w:ilvl w:val="0"/>
          <w:numId w:val="72"/>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These interest rate swaps were entered into during the year ended December 31, 2025, and fix the interest rate on $450.0 million of our unsecured term loan.</w:t>
      </w:r>
    </w:p>
    <w:p>
      <w:pPr>
        <w:spacing w:after="0" w:line="274"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9"/>
          <w:szCs w:val="19"/>
          <w:color w:val="231F20"/>
        </w:rPr>
        <w:t>The fair values of the interest rate swap agreements are based on the estimated amounts we would receive or pay to terminate the contracts at the reporting date and are determined using interest rate pricing models and interest rate related observable inputs. During 2025, the value of our interest rate swaps decreased $2.6 million (including $2.5 million reclassified from other comprehensive income as a decrease to interest expense). A summary of our net financial assets that are measured at fair value on a recurring basis, by level within the fair value hierarchy is as follows:</w:t>
      </w:r>
    </w:p>
    <w:p>
      <w:pPr>
        <w:spacing w:after="0" w:line="237" w:lineRule="exact"/>
        <w:rPr>
          <w:sz w:val="20"/>
          <w:szCs w:val="20"/>
          <w:color w:val="auto"/>
        </w:rPr>
      </w:pPr>
    </w:p>
    <w:tbl>
      <w:tblPr>
        <w:tblLayout w:type="fixed"/>
        <w:tblInd w:w="60" w:type="dxa"/>
        <w:tblCellMar>
          <w:top w:w="0" w:type="dxa"/>
          <w:left w:w="0" w:type="dxa"/>
          <w:bottom w:w="0" w:type="dxa"/>
          <w:right w:w="0" w:type="dxa"/>
        </w:tblCellMar>
      </w:tblPr>
      <w:tr>
        <w:trPr>
          <w:trHeight w:val="206"/>
        </w:trPr>
        <w:tc>
          <w:tcPr>
            <w:tcW w:w="2500" w:type="dxa"/>
            <w:vAlign w:val="bottom"/>
          </w:tcPr>
          <w:p>
            <w:pPr>
              <w:spacing w:after="0"/>
              <w:rPr>
                <w:sz w:val="17"/>
                <w:szCs w:val="17"/>
                <w:color w:val="auto"/>
              </w:rPr>
            </w:pPr>
          </w:p>
        </w:tc>
        <w:tc>
          <w:tcPr>
            <w:tcW w:w="160" w:type="dxa"/>
            <w:vAlign w:val="bottom"/>
            <w:tcBorders>
              <w:bottom w:val="single" w:sz="8" w:color="231F20"/>
            </w:tcBorders>
          </w:tcPr>
          <w:p>
            <w:pPr>
              <w:spacing w:after="0"/>
              <w:rPr>
                <w:sz w:val="17"/>
                <w:szCs w:val="17"/>
                <w:color w:val="auto"/>
              </w:rPr>
            </w:pPr>
          </w:p>
        </w:tc>
        <w:tc>
          <w:tcPr>
            <w:tcW w:w="680" w:type="dxa"/>
            <w:vAlign w:val="bottom"/>
            <w:tcBorders>
              <w:bottom w:val="single" w:sz="8" w:color="231F20"/>
            </w:tcBorders>
          </w:tcPr>
          <w:p>
            <w:pPr>
              <w:spacing w:after="0"/>
              <w:rPr>
                <w:sz w:val="17"/>
                <w:szCs w:val="17"/>
                <w:color w:val="auto"/>
              </w:rPr>
            </w:pPr>
          </w:p>
        </w:tc>
        <w:tc>
          <w:tcPr>
            <w:tcW w:w="60" w:type="dxa"/>
            <w:vAlign w:val="bottom"/>
            <w:tcBorders>
              <w:bottom w:val="single" w:sz="8" w:color="231F20"/>
            </w:tcBorders>
          </w:tcPr>
          <w:p>
            <w:pPr>
              <w:spacing w:after="0"/>
              <w:rPr>
                <w:sz w:val="17"/>
                <w:szCs w:val="17"/>
                <w:color w:val="auto"/>
              </w:rPr>
            </w:pPr>
          </w:p>
        </w:tc>
        <w:tc>
          <w:tcPr>
            <w:tcW w:w="1740" w:type="dxa"/>
            <w:vAlign w:val="bottom"/>
            <w:tcBorders>
              <w:bottom w:val="single" w:sz="8" w:color="231F20"/>
            </w:tcBorders>
            <w:gridSpan w:val="4"/>
          </w:tcPr>
          <w:p>
            <w:pPr>
              <w:ind w:left="240"/>
              <w:spacing w:after="0"/>
              <w:rPr>
                <w:sz w:val="20"/>
                <w:szCs w:val="20"/>
                <w:color w:val="auto"/>
              </w:rPr>
            </w:pPr>
            <w:r>
              <w:rPr>
                <w:rFonts w:ascii="Times New Roman" w:cs="Times New Roman" w:eastAsia="Times New Roman" w:hAnsi="Times New Roman"/>
                <w:sz w:val="15"/>
                <w:szCs w:val="15"/>
                <w:b w:val="1"/>
                <w:bCs w:val="1"/>
                <w:color w:val="231F20"/>
              </w:rPr>
              <w:t>December 31, 2025</w:t>
            </w:r>
          </w:p>
        </w:tc>
        <w:tc>
          <w:tcPr>
            <w:tcW w:w="60" w:type="dxa"/>
            <w:vAlign w:val="bottom"/>
            <w:tcBorders>
              <w:bottom w:val="single" w:sz="8" w:color="231F20"/>
            </w:tcBorders>
          </w:tcPr>
          <w:p>
            <w:pPr>
              <w:spacing w:after="0"/>
              <w:rPr>
                <w:sz w:val="17"/>
                <w:szCs w:val="17"/>
                <w:color w:val="auto"/>
              </w:rPr>
            </w:pPr>
          </w:p>
        </w:tc>
        <w:tc>
          <w:tcPr>
            <w:tcW w:w="820" w:type="dxa"/>
            <w:vAlign w:val="bottom"/>
            <w:tcBorders>
              <w:bottom w:val="single" w:sz="8" w:color="231F20"/>
            </w:tcBorders>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bottom w:val="single" w:sz="8" w:color="231F20"/>
            </w:tcBorders>
          </w:tcPr>
          <w:p>
            <w:pPr>
              <w:spacing w:after="0"/>
              <w:rPr>
                <w:sz w:val="17"/>
                <w:szCs w:val="17"/>
                <w:color w:val="auto"/>
              </w:rPr>
            </w:pPr>
          </w:p>
        </w:tc>
        <w:tc>
          <w:tcPr>
            <w:tcW w:w="660" w:type="dxa"/>
            <w:vAlign w:val="bottom"/>
            <w:tcBorders>
              <w:bottom w:val="single" w:sz="8" w:color="231F20"/>
            </w:tcBorders>
          </w:tcPr>
          <w:p>
            <w:pPr>
              <w:spacing w:after="0"/>
              <w:rPr>
                <w:sz w:val="17"/>
                <w:szCs w:val="17"/>
                <w:color w:val="auto"/>
              </w:rPr>
            </w:pPr>
          </w:p>
        </w:tc>
        <w:tc>
          <w:tcPr>
            <w:tcW w:w="80" w:type="dxa"/>
            <w:vAlign w:val="bottom"/>
            <w:tcBorders>
              <w:bottom w:val="single" w:sz="8" w:color="231F20"/>
            </w:tcBorders>
          </w:tcPr>
          <w:p>
            <w:pPr>
              <w:spacing w:after="0"/>
              <w:rPr>
                <w:sz w:val="17"/>
                <w:szCs w:val="17"/>
                <w:color w:val="auto"/>
              </w:rPr>
            </w:pPr>
          </w:p>
        </w:tc>
        <w:tc>
          <w:tcPr>
            <w:tcW w:w="1720" w:type="dxa"/>
            <w:vAlign w:val="bottom"/>
            <w:tcBorders>
              <w:bottom w:val="single" w:sz="8" w:color="231F20"/>
            </w:tcBorders>
            <w:gridSpan w:val="4"/>
          </w:tcPr>
          <w:p>
            <w:pPr>
              <w:ind w:left="300"/>
              <w:spacing w:after="0"/>
              <w:rPr>
                <w:sz w:val="20"/>
                <w:szCs w:val="20"/>
                <w:color w:val="auto"/>
              </w:rPr>
            </w:pPr>
            <w:r>
              <w:rPr>
                <w:rFonts w:ascii="Times New Roman" w:cs="Times New Roman" w:eastAsia="Times New Roman" w:hAnsi="Times New Roman"/>
                <w:sz w:val="15"/>
                <w:szCs w:val="15"/>
                <w:b w:val="1"/>
                <w:bCs w:val="1"/>
                <w:color w:val="231F20"/>
              </w:rPr>
              <w:t>December 31, 2024</w:t>
            </w:r>
          </w:p>
        </w:tc>
        <w:tc>
          <w:tcPr>
            <w:tcW w:w="80" w:type="dxa"/>
            <w:vAlign w:val="bottom"/>
            <w:tcBorders>
              <w:bottom w:val="single" w:sz="8" w:color="231F20"/>
            </w:tcBorders>
          </w:tcPr>
          <w:p>
            <w:pPr>
              <w:spacing w:after="0"/>
              <w:rPr>
                <w:sz w:val="17"/>
                <w:szCs w:val="17"/>
                <w:color w:val="auto"/>
              </w:rPr>
            </w:pPr>
          </w:p>
        </w:tc>
        <w:tc>
          <w:tcPr>
            <w:tcW w:w="900" w:type="dxa"/>
            <w:vAlign w:val="bottom"/>
            <w:tcBorders>
              <w:bottom w:val="single" w:sz="8" w:color="231F20"/>
            </w:tcBorders>
          </w:tcPr>
          <w:p>
            <w:pPr>
              <w:spacing w:after="0"/>
              <w:rPr>
                <w:sz w:val="17"/>
                <w:szCs w:val="17"/>
                <w:color w:val="auto"/>
              </w:rPr>
            </w:pPr>
          </w:p>
        </w:tc>
      </w:tr>
      <w:tr>
        <w:trPr>
          <w:trHeight w:val="222"/>
        </w:trPr>
        <w:tc>
          <w:tcPr>
            <w:tcW w:w="2500" w:type="dxa"/>
            <w:vAlign w:val="bottom"/>
          </w:tcPr>
          <w:p>
            <w:pPr>
              <w:spacing w:after="0"/>
              <w:rPr>
                <w:sz w:val="19"/>
                <w:szCs w:val="19"/>
                <w:color w:val="auto"/>
              </w:rPr>
            </w:pPr>
          </w:p>
        </w:tc>
        <w:tc>
          <w:tcPr>
            <w:tcW w:w="160" w:type="dxa"/>
            <w:vAlign w:val="bottom"/>
            <w:tcBorders>
              <w:bottom w:val="single" w:sz="8" w:color="231F20"/>
            </w:tcBorders>
          </w:tcPr>
          <w:p>
            <w:pPr>
              <w:spacing w:after="0"/>
              <w:rPr>
                <w:sz w:val="19"/>
                <w:szCs w:val="19"/>
                <w:color w:val="auto"/>
              </w:rPr>
            </w:pPr>
          </w:p>
        </w:tc>
        <w:tc>
          <w:tcPr>
            <w:tcW w:w="680" w:type="dxa"/>
            <w:vAlign w:val="bottom"/>
            <w:tcBorders>
              <w:bottom w:val="single" w:sz="8" w:color="231F20"/>
            </w:tcBorders>
          </w:tcPr>
          <w:p>
            <w:pPr>
              <w:ind w:left="20"/>
              <w:spacing w:after="0"/>
              <w:rPr>
                <w:sz w:val="20"/>
                <w:szCs w:val="20"/>
                <w:color w:val="auto"/>
              </w:rPr>
            </w:pPr>
            <w:r>
              <w:rPr>
                <w:rFonts w:ascii="Times New Roman" w:cs="Times New Roman" w:eastAsia="Times New Roman" w:hAnsi="Times New Roman"/>
                <w:sz w:val="15"/>
                <w:szCs w:val="15"/>
                <w:b w:val="1"/>
                <w:bCs w:val="1"/>
                <w:color w:val="231F20"/>
              </w:rPr>
              <w:t>Level 1</w:t>
            </w:r>
          </w:p>
        </w:tc>
        <w:tc>
          <w:tcPr>
            <w:tcW w:w="60" w:type="dxa"/>
            <w:vAlign w:val="bottom"/>
          </w:tcPr>
          <w:p>
            <w:pPr>
              <w:spacing w:after="0"/>
              <w:rPr>
                <w:sz w:val="19"/>
                <w:szCs w:val="19"/>
                <w:color w:val="auto"/>
              </w:rPr>
            </w:pPr>
          </w:p>
        </w:tc>
        <w:tc>
          <w:tcPr>
            <w:tcW w:w="82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5"/>
                <w:szCs w:val="15"/>
                <w:b w:val="1"/>
                <w:bCs w:val="1"/>
                <w:color w:val="231F20"/>
                <w:w w:val="99"/>
              </w:rPr>
              <w:t>Level 2</w:t>
            </w:r>
          </w:p>
        </w:tc>
        <w:tc>
          <w:tcPr>
            <w:tcW w:w="80" w:type="dxa"/>
            <w:vAlign w:val="bottom"/>
          </w:tcPr>
          <w:p>
            <w:pPr>
              <w:spacing w:after="0"/>
              <w:rPr>
                <w:sz w:val="19"/>
                <w:szCs w:val="19"/>
                <w:color w:val="auto"/>
              </w:rPr>
            </w:pPr>
          </w:p>
        </w:tc>
        <w:tc>
          <w:tcPr>
            <w:tcW w:w="160" w:type="dxa"/>
            <w:vAlign w:val="bottom"/>
            <w:tcBorders>
              <w:bottom w:val="single" w:sz="8" w:color="231F20"/>
            </w:tcBorders>
          </w:tcPr>
          <w:p>
            <w:pPr>
              <w:spacing w:after="0"/>
              <w:rPr>
                <w:sz w:val="19"/>
                <w:szCs w:val="19"/>
                <w:color w:val="auto"/>
              </w:rPr>
            </w:pPr>
          </w:p>
        </w:tc>
        <w:tc>
          <w:tcPr>
            <w:tcW w:w="680" w:type="dxa"/>
            <w:vAlign w:val="bottom"/>
            <w:tcBorders>
              <w:bottom w:val="single" w:sz="8" w:color="231F20"/>
            </w:tcBorders>
          </w:tcPr>
          <w:p>
            <w:pPr>
              <w:ind w:left="20"/>
              <w:spacing w:after="0"/>
              <w:rPr>
                <w:sz w:val="20"/>
                <w:szCs w:val="20"/>
                <w:color w:val="auto"/>
              </w:rPr>
            </w:pPr>
            <w:r>
              <w:rPr>
                <w:rFonts w:ascii="Times New Roman" w:cs="Times New Roman" w:eastAsia="Times New Roman" w:hAnsi="Times New Roman"/>
                <w:sz w:val="15"/>
                <w:szCs w:val="15"/>
                <w:b w:val="1"/>
                <w:bCs w:val="1"/>
                <w:color w:val="231F20"/>
              </w:rPr>
              <w:t>Level 3</w:t>
            </w:r>
          </w:p>
        </w:tc>
        <w:tc>
          <w:tcPr>
            <w:tcW w:w="60" w:type="dxa"/>
            <w:vAlign w:val="bottom"/>
          </w:tcPr>
          <w:p>
            <w:pPr>
              <w:spacing w:after="0"/>
              <w:rPr>
                <w:sz w:val="19"/>
                <w:szCs w:val="19"/>
                <w:color w:val="auto"/>
              </w:rPr>
            </w:pPr>
          </w:p>
        </w:tc>
        <w:tc>
          <w:tcPr>
            <w:tcW w:w="82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5"/>
                <w:szCs w:val="15"/>
                <w:b w:val="1"/>
                <w:bCs w:val="1"/>
                <w:color w:val="231F20"/>
                <w:w w:val="99"/>
              </w:rPr>
              <w:t>Total</w:t>
            </w:r>
          </w:p>
        </w:tc>
        <w:tc>
          <w:tcPr>
            <w:tcW w:w="60" w:type="dxa"/>
            <w:vAlign w:val="bottom"/>
          </w:tcPr>
          <w:p>
            <w:pPr>
              <w:spacing w:after="0"/>
              <w:rPr>
                <w:sz w:val="19"/>
                <w:szCs w:val="19"/>
                <w:color w:val="auto"/>
              </w:rPr>
            </w:pPr>
          </w:p>
        </w:tc>
        <w:tc>
          <w:tcPr>
            <w:tcW w:w="160" w:type="dxa"/>
            <w:vAlign w:val="bottom"/>
            <w:tcBorders>
              <w:bottom w:val="single" w:sz="8" w:color="231F20"/>
            </w:tcBorders>
          </w:tcPr>
          <w:p>
            <w:pPr>
              <w:spacing w:after="0"/>
              <w:rPr>
                <w:sz w:val="19"/>
                <w:szCs w:val="19"/>
                <w:color w:val="auto"/>
              </w:rPr>
            </w:pPr>
          </w:p>
        </w:tc>
        <w:tc>
          <w:tcPr>
            <w:tcW w:w="660" w:type="dxa"/>
            <w:vAlign w:val="bottom"/>
            <w:tcBorders>
              <w:bottom w:val="single" w:sz="8" w:color="231F20"/>
            </w:tcBorders>
          </w:tcPr>
          <w:p>
            <w:pPr>
              <w:ind w:left="20"/>
              <w:spacing w:after="0"/>
              <w:rPr>
                <w:sz w:val="20"/>
                <w:szCs w:val="20"/>
                <w:color w:val="auto"/>
              </w:rPr>
            </w:pPr>
            <w:r>
              <w:rPr>
                <w:rFonts w:ascii="Times New Roman" w:cs="Times New Roman" w:eastAsia="Times New Roman" w:hAnsi="Times New Roman"/>
                <w:sz w:val="15"/>
                <w:szCs w:val="15"/>
                <w:b w:val="1"/>
                <w:bCs w:val="1"/>
                <w:color w:val="231F20"/>
              </w:rPr>
              <w:t>Level 1</w:t>
            </w:r>
          </w:p>
        </w:tc>
        <w:tc>
          <w:tcPr>
            <w:tcW w:w="80" w:type="dxa"/>
            <w:vAlign w:val="bottom"/>
          </w:tcPr>
          <w:p>
            <w:pPr>
              <w:spacing w:after="0"/>
              <w:rPr>
                <w:sz w:val="19"/>
                <w:szCs w:val="19"/>
                <w:color w:val="auto"/>
              </w:rPr>
            </w:pPr>
          </w:p>
        </w:tc>
        <w:tc>
          <w:tcPr>
            <w:tcW w:w="84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5"/>
                <w:szCs w:val="15"/>
                <w:b w:val="1"/>
                <w:bCs w:val="1"/>
                <w:color w:val="231F20"/>
                <w:w w:val="99"/>
              </w:rPr>
              <w:t>Level 2</w:t>
            </w:r>
          </w:p>
        </w:tc>
        <w:tc>
          <w:tcPr>
            <w:tcW w:w="60" w:type="dxa"/>
            <w:vAlign w:val="bottom"/>
          </w:tcPr>
          <w:p>
            <w:pPr>
              <w:spacing w:after="0"/>
              <w:rPr>
                <w:sz w:val="19"/>
                <w:szCs w:val="19"/>
                <w:color w:val="auto"/>
              </w:rPr>
            </w:pPr>
          </w:p>
        </w:tc>
        <w:tc>
          <w:tcPr>
            <w:tcW w:w="160" w:type="dxa"/>
            <w:vAlign w:val="bottom"/>
            <w:tcBorders>
              <w:bottom w:val="single" w:sz="8" w:color="231F20"/>
            </w:tcBorders>
          </w:tcPr>
          <w:p>
            <w:pPr>
              <w:spacing w:after="0"/>
              <w:rPr>
                <w:sz w:val="19"/>
                <w:szCs w:val="19"/>
                <w:color w:val="auto"/>
              </w:rPr>
            </w:pPr>
          </w:p>
        </w:tc>
        <w:tc>
          <w:tcPr>
            <w:tcW w:w="660" w:type="dxa"/>
            <w:vAlign w:val="bottom"/>
            <w:tcBorders>
              <w:bottom w:val="single" w:sz="8" w:color="231F20"/>
            </w:tcBorders>
          </w:tcPr>
          <w:p>
            <w:pPr>
              <w:ind w:left="20"/>
              <w:spacing w:after="0"/>
              <w:rPr>
                <w:sz w:val="20"/>
                <w:szCs w:val="20"/>
                <w:color w:val="auto"/>
              </w:rPr>
            </w:pPr>
            <w:r>
              <w:rPr>
                <w:rFonts w:ascii="Times New Roman" w:cs="Times New Roman" w:eastAsia="Times New Roman" w:hAnsi="Times New Roman"/>
                <w:sz w:val="15"/>
                <w:szCs w:val="15"/>
                <w:b w:val="1"/>
                <w:bCs w:val="1"/>
                <w:color w:val="231F20"/>
              </w:rPr>
              <w:t>Level 3</w:t>
            </w:r>
          </w:p>
        </w:tc>
        <w:tc>
          <w:tcPr>
            <w:tcW w:w="80" w:type="dxa"/>
            <w:vAlign w:val="bottom"/>
          </w:tcPr>
          <w:p>
            <w:pPr>
              <w:spacing w:after="0"/>
              <w:rPr>
                <w:sz w:val="19"/>
                <w:szCs w:val="19"/>
                <w:color w:val="auto"/>
              </w:rPr>
            </w:pPr>
          </w:p>
        </w:tc>
        <w:tc>
          <w:tcPr>
            <w:tcW w:w="90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5"/>
                <w:szCs w:val="15"/>
                <w:b w:val="1"/>
                <w:bCs w:val="1"/>
                <w:color w:val="231F20"/>
                <w:w w:val="99"/>
              </w:rPr>
              <w:t>Total</w:t>
            </w:r>
          </w:p>
        </w:tc>
      </w:tr>
      <w:tr>
        <w:trPr>
          <w:trHeight w:val="218"/>
        </w:trPr>
        <w:tc>
          <w:tcPr>
            <w:tcW w:w="2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00" w:type="dxa"/>
            <w:vAlign w:val="bottom"/>
            <w:gridSpan w:val="4"/>
          </w:tcPr>
          <w:p>
            <w:pPr>
              <w:ind w:left="420"/>
              <w:spacing w:after="0"/>
              <w:rPr>
                <w:sz w:val="20"/>
                <w:szCs w:val="20"/>
                <w:color w:val="auto"/>
              </w:rPr>
            </w:pPr>
            <w:r>
              <w:rPr>
                <w:rFonts w:ascii="Times New Roman" w:cs="Times New Roman" w:eastAsia="Times New Roman" w:hAnsi="Times New Roman"/>
                <w:sz w:val="15"/>
                <w:szCs w:val="15"/>
                <w:b w:val="1"/>
                <w:bCs w:val="1"/>
                <w:color w:val="231F20"/>
              </w:rPr>
              <w:t>(In thousands)</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89"/>
        </w:trPr>
        <w:tc>
          <w:tcPr>
            <w:tcW w:w="2500" w:type="dxa"/>
            <w:vAlign w:val="bottom"/>
          </w:tcPr>
          <w:p>
            <w:pPr>
              <w:spacing w:after="0"/>
              <w:rPr>
                <w:sz w:val="20"/>
                <w:szCs w:val="20"/>
                <w:color w:val="auto"/>
              </w:rPr>
            </w:pPr>
            <w:r>
              <w:rPr>
                <w:rFonts w:ascii="Times New Roman" w:cs="Times New Roman" w:eastAsia="Times New Roman" w:hAnsi="Times New Roman"/>
                <w:sz w:val="19"/>
                <w:szCs w:val="19"/>
                <w:color w:val="231F20"/>
              </w:rPr>
              <w:t xml:space="preserve">Interest rate swaps </w:t>
            </w:r>
            <w:r>
              <w:rPr>
                <w:rFonts w:ascii="Times New Roman" w:cs="Times New Roman" w:eastAsia="Times New Roman" w:hAnsi="Times New Roman"/>
                <w:sz w:val="19"/>
                <w:szCs w:val="19"/>
                <w:color w:val="C3C5C7"/>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680" w:type="dxa"/>
            <w:vAlign w:val="bottom"/>
          </w:tcPr>
          <w:p>
            <w:pPr>
              <w:ind w:left="400"/>
              <w:spacing w:after="0"/>
              <w:rPr>
                <w:sz w:val="20"/>
                <w:szCs w:val="20"/>
                <w:color w:val="auto"/>
              </w:rPr>
            </w:pPr>
            <w:r>
              <w:rPr>
                <w:rFonts w:ascii="Times New Roman" w:cs="Times New Roman" w:eastAsia="Times New Roman" w:hAnsi="Times New Roman"/>
                <w:sz w:val="19"/>
                <w:szCs w:val="19"/>
                <w:color w:val="231F20"/>
              </w:rPr>
              <w:t>—</w:t>
            </w:r>
          </w:p>
        </w:tc>
        <w:tc>
          <w:tcPr>
            <w:tcW w:w="880" w:type="dxa"/>
            <w:vAlign w:val="bottom"/>
            <w:gridSpan w:val="2"/>
          </w:tcPr>
          <w:p>
            <w:pPr>
              <w:jc w:val="right"/>
              <w:ind w:right="4"/>
              <w:spacing w:after="0"/>
              <w:rPr>
                <w:sz w:val="20"/>
                <w:szCs w:val="20"/>
                <w:color w:val="auto"/>
              </w:rPr>
            </w:pPr>
            <w:r>
              <w:rPr>
                <w:rFonts w:ascii="Times New Roman" w:cs="Times New Roman" w:eastAsia="Times New Roman" w:hAnsi="Times New Roman"/>
                <w:sz w:val="19"/>
                <w:szCs w:val="19"/>
                <w:color w:val="231F20"/>
              </w:rPr>
              <w:t>$  2,601</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231F20"/>
              </w:rPr>
              <w:t>$</w:t>
            </w:r>
          </w:p>
        </w:tc>
        <w:tc>
          <w:tcPr>
            <w:tcW w:w="680" w:type="dxa"/>
            <w:vAlign w:val="bottom"/>
          </w:tcPr>
          <w:p>
            <w:pPr>
              <w:ind w:left="400"/>
              <w:spacing w:after="0"/>
              <w:rPr>
                <w:sz w:val="20"/>
                <w:szCs w:val="20"/>
                <w:color w:val="auto"/>
              </w:rPr>
            </w:pPr>
            <w:r>
              <w:rPr>
                <w:rFonts w:ascii="Times New Roman" w:cs="Times New Roman" w:eastAsia="Times New Roman" w:hAnsi="Times New Roman"/>
                <w:sz w:val="19"/>
                <w:szCs w:val="19"/>
                <w:color w:val="231F20"/>
              </w:rPr>
              <w:t>—</w:t>
            </w:r>
          </w:p>
        </w:tc>
        <w:tc>
          <w:tcPr>
            <w:tcW w:w="880" w:type="dxa"/>
            <w:vAlign w:val="bottom"/>
            <w:gridSpan w:val="2"/>
          </w:tcPr>
          <w:p>
            <w:pPr>
              <w:jc w:val="right"/>
              <w:ind w:right="4"/>
              <w:spacing w:after="0"/>
              <w:rPr>
                <w:sz w:val="20"/>
                <w:szCs w:val="20"/>
                <w:color w:val="auto"/>
              </w:rPr>
            </w:pPr>
            <w:r>
              <w:rPr>
                <w:rFonts w:ascii="Times New Roman" w:cs="Times New Roman" w:eastAsia="Times New Roman" w:hAnsi="Times New Roman"/>
                <w:sz w:val="19"/>
                <w:szCs w:val="19"/>
                <w:color w:val="231F20"/>
              </w:rPr>
              <w:t>$  2,601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660" w:type="dxa"/>
            <w:vAlign w:val="bottom"/>
          </w:tcPr>
          <w:p>
            <w:pPr>
              <w:ind w:left="400"/>
              <w:spacing w:after="0"/>
              <w:rPr>
                <w:sz w:val="20"/>
                <w:szCs w:val="20"/>
                <w:color w:val="auto"/>
              </w:rPr>
            </w:pPr>
            <w:r>
              <w:rPr>
                <w:rFonts w:ascii="Times New Roman" w:cs="Times New Roman" w:eastAsia="Times New Roman" w:hAnsi="Times New Roman"/>
                <w:sz w:val="19"/>
                <w:szCs w:val="19"/>
                <w:color w:val="231F20"/>
              </w:rPr>
              <w:t>—</w:t>
            </w:r>
          </w:p>
        </w:tc>
        <w:tc>
          <w:tcPr>
            <w:tcW w:w="920" w:type="dxa"/>
            <w:vAlign w:val="bottom"/>
            <w:gridSpan w:val="2"/>
          </w:tcPr>
          <w:p>
            <w:pPr>
              <w:jc w:val="right"/>
              <w:ind w:right="4"/>
              <w:spacing w:after="0"/>
              <w:rPr>
                <w:sz w:val="20"/>
                <w:szCs w:val="20"/>
                <w:color w:val="auto"/>
              </w:rPr>
            </w:pPr>
            <w:r>
              <w:rPr>
                <w:rFonts w:ascii="Times New Roman" w:cs="Times New Roman" w:eastAsia="Times New Roman" w:hAnsi="Times New Roman"/>
                <w:sz w:val="19"/>
                <w:szCs w:val="19"/>
                <w:color w:val="231F20"/>
              </w:rPr>
              <w:t>$  5,208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660" w:type="dxa"/>
            <w:vAlign w:val="bottom"/>
          </w:tcPr>
          <w:p>
            <w:pPr>
              <w:ind w:left="400"/>
              <w:spacing w:after="0"/>
              <w:rPr>
                <w:sz w:val="20"/>
                <w:szCs w:val="20"/>
                <w:color w:val="auto"/>
              </w:rPr>
            </w:pPr>
            <w:r>
              <w:rPr>
                <w:rFonts w:ascii="Times New Roman" w:cs="Times New Roman" w:eastAsia="Times New Roman" w:hAnsi="Times New Roman"/>
                <w:sz w:val="19"/>
                <w:szCs w:val="19"/>
                <w:color w:val="231F20"/>
              </w:rPr>
              <w:t>—</w:t>
            </w:r>
          </w:p>
        </w:tc>
        <w:tc>
          <w:tcPr>
            <w:tcW w:w="980" w:type="dxa"/>
            <w:vAlign w:val="bottom"/>
            <w:gridSpan w:val="2"/>
          </w:tcPr>
          <w:p>
            <w:pPr>
              <w:jc w:val="right"/>
              <w:ind w:right="4"/>
              <w:spacing w:after="0"/>
              <w:rPr>
                <w:sz w:val="20"/>
                <w:szCs w:val="20"/>
                <w:color w:val="auto"/>
              </w:rPr>
            </w:pPr>
            <w:r>
              <w:rPr>
                <w:rFonts w:ascii="Times New Roman" w:cs="Times New Roman" w:eastAsia="Times New Roman" w:hAnsi="Times New Roman"/>
                <w:sz w:val="19"/>
                <w:szCs w:val="19"/>
                <w:color w:val="231F20"/>
              </w:rPr>
              <w:t>$   5,208</w:t>
            </w:r>
          </w:p>
        </w:tc>
      </w:tr>
    </w:tbl>
    <w:p>
      <w:pPr>
        <w:spacing w:after="0" w:line="142"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9"/>
          <w:szCs w:val="19"/>
          <w:color w:val="231F20"/>
        </w:rPr>
        <w:t>During the year ended December 31, 2025, we entered into interest rate swap agreements for two of our equity method investees. Therefore, as of December 31, 2025, three of our equity method investees have interest rate swaps which qualify as cash flow hedges. At December 31, 2025 and December 31, 2024, our share of the change in fair value of the related swaps included in "accumulated other comprehensive (loss) income" was a loss of $0.3 million and income of $0.2 million, respectively.</w:t>
      </w: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NOTE 7—COMMITMENTS AND CONTINGENCIES</w:t>
      </w:r>
    </w:p>
    <w:p>
      <w:pPr>
        <w:spacing w:after="0" w:line="110" w:lineRule="exact"/>
        <w:rPr>
          <w:sz w:val="20"/>
          <w:szCs w:val="20"/>
          <w:color w:val="auto"/>
        </w:rPr>
      </w:pPr>
    </w:p>
    <w:p>
      <w:pPr>
        <w:ind w:right="120"/>
        <w:spacing w:after="0" w:line="267" w:lineRule="auto"/>
        <w:rPr>
          <w:sz w:val="20"/>
          <w:szCs w:val="20"/>
          <w:color w:val="auto"/>
        </w:rPr>
      </w:pPr>
      <w:r>
        <w:rPr>
          <w:rFonts w:ascii="Times New Roman" w:cs="Times New Roman" w:eastAsia="Times New Roman" w:hAnsi="Times New Roman"/>
          <w:sz w:val="19"/>
          <w:szCs w:val="19"/>
          <w:color w:val="231F20"/>
        </w:rPr>
        <w:t>We are sometimes involved in lawsuits, warranty claims, and environmental matters arising in the ordinary course of business. Management makes assumptions and estimates concerning the likelihood and amount of any potential loss relating to these matters.</w:t>
      </w:r>
    </w:p>
    <w:p>
      <w:pPr>
        <w:spacing w:after="0" w:line="126"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8"/>
          <w:szCs w:val="18"/>
          <w:color w:val="231F20"/>
        </w:rPr>
        <w:t>We are currently a party to various legal proceedings. We accrue a liability for litigation if an unfavorable outcome is probable and the amount of loss can be reasonably estimated. If an unfavorable outcome is probable and a reasonable estimate of the loss is a range, we accrue the best estimate within the range; however, if no amount within the range is a better estimate than any other amount, the minimum within the range is accrued. Legal fees related to litigation are expensed as incurred. We do not believe that the ultimate outcome of these matters, either individually or in the aggregate, could have a material adverse effect on our financial position or overall trends in results of operations; however, litigation is subject to inherent uncertainties. Also</w:t>
      </w:r>
    </w:p>
    <w:p>
      <w:pPr>
        <w:sectPr>
          <w:pgSz w:w="11880" w:h="15480" w:orient="portrait"/>
          <w:cols w:equalWidth="0" w:num="1">
            <w:col w:w="9760"/>
          </w:cols>
          <w:pgMar w:left="1060" w:top="963" w:right="1060" w:bottom="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F-31</w:t>
      </w:r>
    </w:p>
    <w:p>
      <w:pPr>
        <w:sectPr>
          <w:pgSz w:w="11880" w:h="15480" w:orient="portrait"/>
          <w:cols w:equalWidth="0" w:num="1">
            <w:col w:w="9760"/>
          </w:cols>
          <w:pgMar w:left="1060" w:top="963" w:right="1060" w:bottom="0" w:gutter="0" w:footer="0" w:header="0"/>
          <w:type w:val="continuous"/>
        </w:sectPr>
      </w:pPr>
    </w:p>
    <w:bookmarkStart w:id="95" w:name="page96"/>
    <w:bookmarkEnd w:id="95"/>
    <w:p>
      <w:pPr>
        <w:ind w:right="40"/>
        <w:spacing w:after="0" w:line="261" w:lineRule="auto"/>
        <w:rPr>
          <w:sz w:val="20"/>
          <w:szCs w:val="20"/>
          <w:color w:val="auto"/>
        </w:rPr>
      </w:pPr>
      <w:r>
        <w:rPr>
          <w:rFonts w:ascii="Times New Roman" w:cs="Times New Roman" w:eastAsia="Times New Roman" w:hAnsi="Times New Roman"/>
          <w:sz w:val="19"/>
          <w:szCs w:val="19"/>
          <w:color w:val="231F20"/>
        </w:rPr>
        <w:t>under our leases, tenants are typically obligated to indemnify us from and against all liabilities, costs and expenses imposed upon or asserted against us (1) as owner of the properties due to certain matters relating to the operation of the properties by the tenant, and (2) where appropriate, due to certain matters relating to the ownership of the properties prior to their acquisition by us.</w:t>
      </w:r>
    </w:p>
    <w:p>
      <w:pPr>
        <w:spacing w:after="0" w:line="133"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9"/>
          <w:szCs w:val="19"/>
          <w:color w:val="231F20"/>
        </w:rPr>
        <w:t>We are self-insured for general liability costs up to predetermined retained amounts per claim, and we believe that we maintain adequate accruals to cover our retained liability. Our accrual for self-insurance liability is determined by management and is based on claims filed and an estimate of claims incurred but not yet reported. Management considers a number of factors, including third-party actuarial analysis, previous experience in our portfolio, and future increases in costs of claims, when making these determinations. If our liability costs exceed these accruals, it will reduce our net income.</w:t>
      </w:r>
    </w:p>
    <w:p>
      <w:pPr>
        <w:spacing w:after="0" w:line="133"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9"/>
          <w:szCs w:val="19"/>
          <w:color w:val="231F20"/>
        </w:rPr>
        <w:t>At December 31, 2025 and 2024, our reserves for general liability costs were $5.0 million and $4.4 million, respectively, and are included in “accounts payable and accrued expenses” in our consolidated balance sheets. Any potential losses which exceed our estimates would result in a decrease in our net income. During 2025 and 2024, we made payments from these reserves of $2.9 million and $2.1 million, respectively. Although we consider the reserve to be adequate, there can be no assurance that the reserve will prove to be adequate over-time to cover losses due to the difference between the assumptions used to estimate the reserve and actual losses.</w:t>
      </w:r>
    </w:p>
    <w:p>
      <w:pPr>
        <w:spacing w:after="0" w:line="136" w:lineRule="exact"/>
        <w:rPr>
          <w:sz w:val="20"/>
          <w:szCs w:val="20"/>
          <w:color w:val="auto"/>
        </w:rPr>
      </w:pPr>
    </w:p>
    <w:p>
      <w:pPr>
        <w:ind w:right="300"/>
        <w:spacing w:after="0" w:line="259" w:lineRule="auto"/>
        <w:rPr>
          <w:sz w:val="20"/>
          <w:szCs w:val="20"/>
          <w:color w:val="auto"/>
        </w:rPr>
      </w:pPr>
      <w:r>
        <w:rPr>
          <w:rFonts w:ascii="Times New Roman" w:cs="Times New Roman" w:eastAsia="Times New Roman" w:hAnsi="Times New Roman"/>
          <w:sz w:val="19"/>
          <w:szCs w:val="19"/>
          <w:color w:val="231F20"/>
        </w:rPr>
        <w:t>On December 11, 2019, we received proceeds related to the sale under threat of condemnation at San Antonio Center as discussed in our Annual Report on Form 10-K for the year ended December 31, 2019. We indemnified the condemning authority for all costs incurred related to the condemnation proceedings including any payments required to tenants at the property and recorded a corresponding liability for our estimate of these costs. At December 31, 2025, we have a liability of $3.4 million to reflect our estimate of the remaining costs.</w:t>
      </w:r>
    </w:p>
    <w:p>
      <w:pPr>
        <w:spacing w:after="0" w:line="13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9"/>
          <w:szCs w:val="19"/>
          <w:color w:val="231F20"/>
        </w:rPr>
        <w:t>In June 2018, we formed a joint venture to develop Freedom Plaza (formerly Jordan Downs Plaza), for which we own 92%. The investment in this development qualified for tax credits under the New Market Tax Credit ("NMTC") Program, established by the Community Renewal Tax Relief Act of 2000. In 2018, we transferred the earned tax credits to a third-party bank in exchange for cash proceeds. The proceeds received and related transaction costs were deferred until the end of the seven-year NMTC compliance period, which concluded in June 2025. As a result, for the year ended December 31, 2025, we recognized $14.2 million ($13.0 million, net of income attributable to noncontrolling interest) in income related to the sale of the new market tax credits.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At December 31, 2025, we had letters of credit outstanding of approximately $5.5 million.</w:t>
      </w:r>
    </w:p>
    <w:p>
      <w:pPr>
        <w:spacing w:after="0" w:line="181" w:lineRule="exact"/>
        <w:rPr>
          <w:sz w:val="20"/>
          <w:szCs w:val="20"/>
          <w:color w:val="auto"/>
        </w:rPr>
      </w:pPr>
    </w:p>
    <w:p>
      <w:pPr>
        <w:ind w:right="700"/>
        <w:spacing w:after="0" w:line="284" w:lineRule="auto"/>
        <w:rPr>
          <w:sz w:val="20"/>
          <w:szCs w:val="20"/>
          <w:color w:val="auto"/>
        </w:rPr>
      </w:pPr>
      <w:r>
        <w:rPr>
          <w:rFonts w:ascii="Times New Roman" w:cs="Times New Roman" w:eastAsia="Times New Roman" w:hAnsi="Times New Roman"/>
          <w:sz w:val="19"/>
          <w:szCs w:val="19"/>
          <w:color w:val="231F20"/>
        </w:rPr>
        <w:t>As of December 31, 2025 in connection with capital improvement, development, and redevelopment projects, we have contractual obligations of approximately $314.2 million.</w:t>
      </w:r>
    </w:p>
    <w:p>
      <w:pPr>
        <w:spacing w:after="0" w:line="110" w:lineRule="exact"/>
        <w:rPr>
          <w:sz w:val="20"/>
          <w:szCs w:val="20"/>
          <w:color w:val="auto"/>
        </w:rPr>
      </w:pPr>
    </w:p>
    <w:p>
      <w:pPr>
        <w:ind w:right="60"/>
        <w:spacing w:after="0" w:line="284" w:lineRule="auto"/>
        <w:rPr>
          <w:sz w:val="20"/>
          <w:szCs w:val="20"/>
          <w:color w:val="auto"/>
        </w:rPr>
      </w:pPr>
      <w:r>
        <w:rPr>
          <w:rFonts w:ascii="Times New Roman" w:cs="Times New Roman" w:eastAsia="Times New Roman" w:hAnsi="Times New Roman"/>
          <w:sz w:val="19"/>
          <w:szCs w:val="19"/>
          <w:color w:val="231F20"/>
        </w:rPr>
        <w:t>We are obligated under operating lease agreements on several shopping centers and one office lease requiring minimum annual payments as follows, as of December 31, 2025:</w:t>
      </w:r>
    </w:p>
    <w:p>
      <w:pPr>
        <w:spacing w:after="0" w:line="390" w:lineRule="exact"/>
        <w:rPr>
          <w:sz w:val="20"/>
          <w:szCs w:val="20"/>
          <w:color w:val="auto"/>
        </w:rPr>
      </w:pPr>
    </w:p>
    <w:tbl>
      <w:tblPr>
        <w:tblLayout w:type="fixed"/>
        <w:tblInd w:w="60" w:type="dxa"/>
        <w:tblCellMar>
          <w:top w:w="0" w:type="dxa"/>
          <w:left w:w="0" w:type="dxa"/>
          <w:bottom w:w="0" w:type="dxa"/>
          <w:right w:w="0" w:type="dxa"/>
        </w:tblCellMar>
      </w:tblPr>
      <w:tr>
        <w:trPr>
          <w:trHeight w:val="202"/>
        </w:trPr>
        <w:tc>
          <w:tcPr>
            <w:tcW w:w="8540" w:type="dxa"/>
            <w:vAlign w:val="bottom"/>
          </w:tcPr>
          <w:p>
            <w:pPr>
              <w:spacing w:after="0"/>
              <w:rPr>
                <w:sz w:val="17"/>
                <w:szCs w:val="17"/>
                <w:color w:val="auto"/>
              </w:rPr>
            </w:pPr>
          </w:p>
        </w:tc>
        <w:tc>
          <w:tcPr>
            <w:tcW w:w="1140" w:type="dxa"/>
            <w:vAlign w:val="bottom"/>
            <w:gridSpan w:val="2"/>
          </w:tcPr>
          <w:p>
            <w:pPr>
              <w:jc w:val="right"/>
              <w:ind w:right="5"/>
              <w:spacing w:after="0"/>
              <w:rPr>
                <w:sz w:val="20"/>
                <w:szCs w:val="20"/>
                <w:color w:val="auto"/>
              </w:rPr>
            </w:pPr>
            <w:r>
              <w:rPr>
                <w:rFonts w:ascii="Times New Roman" w:cs="Times New Roman" w:eastAsia="Times New Roman" w:hAnsi="Times New Roman"/>
                <w:sz w:val="15"/>
                <w:szCs w:val="15"/>
                <w:b w:val="1"/>
                <w:bCs w:val="1"/>
                <w:color w:val="231F20"/>
              </w:rPr>
              <w:t>(In thousands)</w:t>
            </w:r>
          </w:p>
        </w:tc>
      </w:tr>
      <w:tr>
        <w:trPr>
          <w:trHeight w:val="255"/>
        </w:trPr>
        <w:tc>
          <w:tcPr>
            <w:tcW w:w="8540" w:type="dxa"/>
            <w:vAlign w:val="bottom"/>
          </w:tcPr>
          <w:p>
            <w:pPr>
              <w:spacing w:after="0"/>
              <w:rPr>
                <w:sz w:val="20"/>
                <w:szCs w:val="20"/>
                <w:color w:val="auto"/>
              </w:rPr>
            </w:pPr>
            <w:r>
              <w:rPr>
                <w:rFonts w:ascii="Times New Roman" w:cs="Times New Roman" w:eastAsia="Times New Roman" w:hAnsi="Times New Roman"/>
                <w:sz w:val="19"/>
                <w:szCs w:val="19"/>
                <w:color w:val="231F20"/>
              </w:rPr>
              <w:t>Year ending December 31,</w:t>
            </w: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91"/>
        </w:trPr>
        <w:tc>
          <w:tcPr>
            <w:tcW w:w="8540" w:type="dxa"/>
            <w:vAlign w:val="bottom"/>
          </w:tcPr>
          <w:p>
            <w:pPr>
              <w:spacing w:after="0"/>
              <w:rPr>
                <w:sz w:val="20"/>
                <w:szCs w:val="20"/>
                <w:color w:val="auto"/>
              </w:rPr>
            </w:pPr>
            <w:r>
              <w:rPr>
                <w:rFonts w:ascii="Times New Roman" w:cs="Times New Roman" w:eastAsia="Times New Roman" w:hAnsi="Times New Roman"/>
                <w:sz w:val="19"/>
                <w:szCs w:val="19"/>
                <w:color w:val="231F20"/>
              </w:rPr>
              <w:t>2026</w:t>
            </w:r>
          </w:p>
        </w:tc>
        <w:tc>
          <w:tcPr>
            <w:tcW w:w="260" w:type="dxa"/>
            <w:vAlign w:val="bottom"/>
          </w:tcPr>
          <w:p>
            <w:pPr>
              <w:jc w:val="right"/>
              <w:ind w:right="31"/>
              <w:spacing w:after="0"/>
              <w:rPr>
                <w:sz w:val="20"/>
                <w:szCs w:val="20"/>
                <w:color w:val="auto"/>
              </w:rPr>
            </w:pPr>
            <w:r>
              <w:rPr>
                <w:rFonts w:ascii="Times New Roman" w:cs="Times New Roman" w:eastAsia="Times New Roman" w:hAnsi="Times New Roman"/>
                <w:sz w:val="19"/>
                <w:szCs w:val="19"/>
                <w:color w:val="231F2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5,618</w:t>
            </w:r>
          </w:p>
        </w:tc>
      </w:tr>
      <w:tr>
        <w:trPr>
          <w:trHeight w:val="271"/>
        </w:trPr>
        <w:tc>
          <w:tcPr>
            <w:tcW w:w="8540" w:type="dxa"/>
            <w:vAlign w:val="bottom"/>
          </w:tcPr>
          <w:p>
            <w:pPr>
              <w:spacing w:after="0"/>
              <w:rPr>
                <w:sz w:val="20"/>
                <w:szCs w:val="20"/>
                <w:color w:val="auto"/>
              </w:rPr>
            </w:pPr>
            <w:r>
              <w:rPr>
                <w:rFonts w:ascii="Times New Roman" w:cs="Times New Roman" w:eastAsia="Times New Roman" w:hAnsi="Times New Roman"/>
                <w:sz w:val="19"/>
                <w:szCs w:val="19"/>
                <w:color w:val="231F20"/>
              </w:rPr>
              <w:t>2027</w:t>
            </w: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5,325</w:t>
            </w:r>
          </w:p>
        </w:tc>
      </w:tr>
      <w:tr>
        <w:trPr>
          <w:trHeight w:val="271"/>
        </w:trPr>
        <w:tc>
          <w:tcPr>
            <w:tcW w:w="8540" w:type="dxa"/>
            <w:vAlign w:val="bottom"/>
          </w:tcPr>
          <w:p>
            <w:pPr>
              <w:spacing w:after="0"/>
              <w:rPr>
                <w:sz w:val="20"/>
                <w:szCs w:val="20"/>
                <w:color w:val="auto"/>
              </w:rPr>
            </w:pPr>
            <w:r>
              <w:rPr>
                <w:rFonts w:ascii="Times New Roman" w:cs="Times New Roman" w:eastAsia="Times New Roman" w:hAnsi="Times New Roman"/>
                <w:sz w:val="19"/>
                <w:szCs w:val="19"/>
                <w:color w:val="231F20"/>
              </w:rPr>
              <w:t>2028</w:t>
            </w: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5,389</w:t>
            </w:r>
          </w:p>
        </w:tc>
      </w:tr>
      <w:tr>
        <w:trPr>
          <w:trHeight w:val="271"/>
        </w:trPr>
        <w:tc>
          <w:tcPr>
            <w:tcW w:w="8540" w:type="dxa"/>
            <w:vAlign w:val="bottom"/>
          </w:tcPr>
          <w:p>
            <w:pPr>
              <w:spacing w:after="0"/>
              <w:rPr>
                <w:sz w:val="20"/>
                <w:szCs w:val="20"/>
                <w:color w:val="auto"/>
              </w:rPr>
            </w:pPr>
            <w:r>
              <w:rPr>
                <w:rFonts w:ascii="Times New Roman" w:cs="Times New Roman" w:eastAsia="Times New Roman" w:hAnsi="Times New Roman"/>
                <w:sz w:val="19"/>
                <w:szCs w:val="19"/>
                <w:color w:val="231F20"/>
              </w:rPr>
              <w:t>2029</w:t>
            </w: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5,422</w:t>
            </w:r>
          </w:p>
        </w:tc>
      </w:tr>
      <w:tr>
        <w:trPr>
          <w:trHeight w:val="271"/>
        </w:trPr>
        <w:tc>
          <w:tcPr>
            <w:tcW w:w="8540" w:type="dxa"/>
            <w:vAlign w:val="bottom"/>
          </w:tcPr>
          <w:p>
            <w:pPr>
              <w:spacing w:after="0"/>
              <w:rPr>
                <w:sz w:val="20"/>
                <w:szCs w:val="20"/>
                <w:color w:val="auto"/>
              </w:rPr>
            </w:pPr>
            <w:r>
              <w:rPr>
                <w:rFonts w:ascii="Times New Roman" w:cs="Times New Roman" w:eastAsia="Times New Roman" w:hAnsi="Times New Roman"/>
                <w:sz w:val="19"/>
                <w:szCs w:val="19"/>
                <w:color w:val="231F20"/>
              </w:rPr>
              <w:t>2030</w:t>
            </w: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5,427</w:t>
            </w:r>
          </w:p>
        </w:tc>
      </w:tr>
      <w:tr>
        <w:trPr>
          <w:trHeight w:val="272"/>
        </w:trPr>
        <w:tc>
          <w:tcPr>
            <w:tcW w:w="8540" w:type="dxa"/>
            <w:vAlign w:val="bottom"/>
          </w:tcPr>
          <w:p>
            <w:pPr>
              <w:spacing w:after="0"/>
              <w:rPr>
                <w:sz w:val="20"/>
                <w:szCs w:val="20"/>
                <w:color w:val="auto"/>
              </w:rPr>
            </w:pPr>
            <w:r>
              <w:rPr>
                <w:rFonts w:ascii="Times New Roman" w:cs="Times New Roman" w:eastAsia="Times New Roman" w:hAnsi="Times New Roman"/>
                <w:sz w:val="19"/>
                <w:szCs w:val="19"/>
                <w:color w:val="231F20"/>
              </w:rPr>
              <w:t>Thereafter</w:t>
            </w:r>
          </w:p>
        </w:tc>
        <w:tc>
          <w:tcPr>
            <w:tcW w:w="260" w:type="dxa"/>
            <w:vAlign w:val="bottom"/>
            <w:tcBorders>
              <w:bottom w:val="single" w:sz="8" w:color="231F20"/>
            </w:tcBorders>
          </w:tcPr>
          <w:p>
            <w:pPr>
              <w:spacing w:after="0"/>
              <w:rPr>
                <w:sz w:val="23"/>
                <w:szCs w:val="23"/>
                <w:color w:val="auto"/>
              </w:rPr>
            </w:pPr>
          </w:p>
        </w:tc>
        <w:tc>
          <w:tcPr>
            <w:tcW w:w="8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184,020</w:t>
            </w:r>
          </w:p>
        </w:tc>
      </w:tr>
      <w:tr>
        <w:trPr>
          <w:trHeight w:val="250"/>
        </w:trPr>
        <w:tc>
          <w:tcPr>
            <w:tcW w:w="8540" w:type="dxa"/>
            <w:vAlign w:val="bottom"/>
          </w:tcPr>
          <w:p>
            <w:pPr>
              <w:spacing w:after="0"/>
              <w:rPr>
                <w:sz w:val="20"/>
                <w:szCs w:val="20"/>
                <w:color w:val="auto"/>
              </w:rPr>
            </w:pPr>
            <w:r>
              <w:rPr>
                <w:rFonts w:ascii="Times New Roman" w:cs="Times New Roman" w:eastAsia="Times New Roman" w:hAnsi="Times New Roman"/>
                <w:sz w:val="19"/>
                <w:szCs w:val="19"/>
                <w:color w:val="231F20"/>
              </w:rPr>
              <w:t>Total future minimum operating lease payments</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211,201</w:t>
            </w:r>
          </w:p>
        </w:tc>
      </w:tr>
      <w:tr>
        <w:trPr>
          <w:trHeight w:val="272"/>
        </w:trPr>
        <w:tc>
          <w:tcPr>
            <w:tcW w:w="8540" w:type="dxa"/>
            <w:vAlign w:val="bottom"/>
          </w:tcPr>
          <w:p>
            <w:pPr>
              <w:spacing w:after="0"/>
              <w:rPr>
                <w:sz w:val="20"/>
                <w:szCs w:val="20"/>
                <w:color w:val="auto"/>
              </w:rPr>
            </w:pPr>
            <w:r>
              <w:rPr>
                <w:rFonts w:ascii="Times New Roman" w:cs="Times New Roman" w:eastAsia="Times New Roman" w:hAnsi="Times New Roman"/>
                <w:sz w:val="19"/>
                <w:szCs w:val="19"/>
                <w:color w:val="231F20"/>
              </w:rPr>
              <w:t>Less amount representing interest</w:t>
            </w:r>
          </w:p>
        </w:tc>
        <w:tc>
          <w:tcPr>
            <w:tcW w:w="260" w:type="dxa"/>
            <w:vAlign w:val="bottom"/>
            <w:tcBorders>
              <w:bottom w:val="single" w:sz="8" w:color="231F20"/>
            </w:tcBorders>
          </w:tcPr>
          <w:p>
            <w:pPr>
              <w:spacing w:after="0"/>
              <w:rPr>
                <w:sz w:val="23"/>
                <w:szCs w:val="23"/>
                <w:color w:val="auto"/>
              </w:rPr>
            </w:pPr>
          </w:p>
        </w:tc>
        <w:tc>
          <w:tcPr>
            <w:tcW w:w="8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(138,897)</w:t>
            </w:r>
          </w:p>
        </w:tc>
      </w:tr>
      <w:tr>
        <w:trPr>
          <w:trHeight w:val="233"/>
        </w:trPr>
        <w:tc>
          <w:tcPr>
            <w:tcW w:w="8540" w:type="dxa"/>
            <w:vAlign w:val="bottom"/>
          </w:tcPr>
          <w:p>
            <w:pPr>
              <w:spacing w:after="0"/>
              <w:rPr>
                <w:sz w:val="20"/>
                <w:szCs w:val="20"/>
                <w:color w:val="auto"/>
              </w:rPr>
            </w:pPr>
            <w:r>
              <w:rPr>
                <w:rFonts w:ascii="Times New Roman" w:cs="Times New Roman" w:eastAsia="Times New Roman" w:hAnsi="Times New Roman"/>
                <w:sz w:val="19"/>
                <w:szCs w:val="19"/>
                <w:color w:val="231F20"/>
              </w:rPr>
              <w:t>Operating lease liabilities</w:t>
            </w:r>
          </w:p>
        </w:tc>
        <w:tc>
          <w:tcPr>
            <w:tcW w:w="260" w:type="dxa"/>
            <w:vAlign w:val="bottom"/>
            <w:tcBorders>
              <w:bottom w:val="single" w:sz="8" w:color="231F20"/>
            </w:tcBorders>
          </w:tcPr>
          <w:p>
            <w:pPr>
              <w:jc w:val="right"/>
              <w:ind w:right="31"/>
              <w:spacing w:after="0"/>
              <w:rPr>
                <w:sz w:val="20"/>
                <w:szCs w:val="20"/>
                <w:color w:val="auto"/>
              </w:rPr>
            </w:pPr>
            <w:r>
              <w:rPr>
                <w:rFonts w:ascii="Times New Roman" w:cs="Times New Roman" w:eastAsia="Times New Roman" w:hAnsi="Times New Roman"/>
                <w:sz w:val="19"/>
                <w:szCs w:val="19"/>
                <w:color w:val="231F20"/>
              </w:rPr>
              <w:t>$</w:t>
            </w:r>
          </w:p>
        </w:tc>
        <w:tc>
          <w:tcPr>
            <w:tcW w:w="8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72,304</w:t>
            </w:r>
          </w:p>
        </w:tc>
      </w:tr>
      <w:tr>
        <w:trPr>
          <w:trHeight w:val="20"/>
        </w:trPr>
        <w:tc>
          <w:tcPr>
            <w:tcW w:w="8540" w:type="dxa"/>
            <w:vAlign w:val="bottom"/>
          </w:tcPr>
          <w:p>
            <w:pPr>
              <w:spacing w:after="0" w:line="20" w:lineRule="exact"/>
              <w:rPr>
                <w:sz w:val="1"/>
                <w:szCs w:val="1"/>
                <w:color w:val="auto"/>
              </w:rPr>
            </w:pPr>
          </w:p>
        </w:tc>
        <w:tc>
          <w:tcPr>
            <w:tcW w:w="260" w:type="dxa"/>
            <w:vAlign w:val="bottom"/>
            <w:tcBorders>
              <w:bottom w:val="single" w:sz="8" w:color="231F20"/>
            </w:tcBorders>
          </w:tcPr>
          <w:p>
            <w:pPr>
              <w:spacing w:after="0" w:line="20" w:lineRule="exact"/>
              <w:rPr>
                <w:sz w:val="1"/>
                <w:szCs w:val="1"/>
                <w:color w:val="auto"/>
              </w:rPr>
            </w:pPr>
          </w:p>
        </w:tc>
        <w:tc>
          <w:tcPr>
            <w:tcW w:w="880" w:type="dxa"/>
            <w:vAlign w:val="bottom"/>
            <w:tcBorders>
              <w:bottom w:val="single" w:sz="8" w:color="231F20"/>
            </w:tcBorders>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9740"/>
          </w:cols>
          <w:pgMar w:left="1060" w:top="963"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231F20"/>
        </w:rPr>
        <w:t>F-32</w:t>
      </w:r>
    </w:p>
    <w:p>
      <w:pPr>
        <w:sectPr>
          <w:pgSz w:w="11880" w:h="15480" w:orient="portrait"/>
          <w:cols w:equalWidth="0" w:num="1">
            <w:col w:w="9740"/>
          </w:cols>
          <w:pgMar w:left="1060" w:top="963" w:right="1080" w:bottom="0" w:gutter="0" w:footer="0" w:header="0"/>
          <w:type w:val="continuous"/>
        </w:sectPr>
      </w:pPr>
    </w:p>
    <w:bookmarkStart w:id="96" w:name="page97"/>
    <w:bookmarkEnd w:id="96"/>
    <w:p>
      <w:pPr>
        <w:ind w:right="340"/>
        <w:spacing w:after="0" w:line="284" w:lineRule="auto"/>
        <w:rPr>
          <w:sz w:val="20"/>
          <w:szCs w:val="20"/>
          <w:color w:val="auto"/>
        </w:rPr>
      </w:pPr>
      <w:r>
        <w:rPr>
          <w:rFonts w:ascii="Times New Roman" w:cs="Times New Roman" w:eastAsia="Times New Roman" w:hAnsi="Times New Roman"/>
          <w:sz w:val="19"/>
          <w:szCs w:val="19"/>
          <w:color w:val="231F20"/>
        </w:rPr>
        <w:t>Future minimum lease payments and their present value for properties under finance leases as of December 31, 2025, are as follows:</w:t>
      </w:r>
    </w:p>
    <w:p>
      <w:pPr>
        <w:spacing w:after="0" w:line="200" w:lineRule="exact"/>
        <w:rPr>
          <w:sz w:val="20"/>
          <w:szCs w:val="20"/>
          <w:color w:val="auto"/>
        </w:rPr>
      </w:pPr>
    </w:p>
    <w:p>
      <w:pPr>
        <w:spacing w:after="0" w:line="361" w:lineRule="exact"/>
        <w:rPr>
          <w:sz w:val="20"/>
          <w:szCs w:val="20"/>
          <w:color w:val="auto"/>
        </w:rPr>
      </w:pPr>
    </w:p>
    <w:tbl>
      <w:tblPr>
        <w:tblLayout w:type="fixed"/>
        <w:tblInd w:w="60" w:type="dxa"/>
        <w:tblCellMar>
          <w:top w:w="0" w:type="dxa"/>
          <w:left w:w="0" w:type="dxa"/>
          <w:bottom w:w="0" w:type="dxa"/>
          <w:right w:w="0" w:type="dxa"/>
        </w:tblCellMar>
      </w:tblPr>
      <w:tr>
        <w:trPr>
          <w:trHeight w:val="202"/>
        </w:trPr>
        <w:tc>
          <w:tcPr>
            <w:tcW w:w="8540" w:type="dxa"/>
            <w:vAlign w:val="bottom"/>
          </w:tcPr>
          <w:p>
            <w:pPr>
              <w:spacing w:after="0"/>
              <w:rPr>
                <w:sz w:val="17"/>
                <w:szCs w:val="17"/>
                <w:color w:val="auto"/>
              </w:rPr>
            </w:pPr>
          </w:p>
        </w:tc>
        <w:tc>
          <w:tcPr>
            <w:tcW w:w="1140" w:type="dxa"/>
            <w:vAlign w:val="bottom"/>
            <w:gridSpan w:val="2"/>
          </w:tcPr>
          <w:p>
            <w:pPr>
              <w:jc w:val="right"/>
              <w:ind w:right="5"/>
              <w:spacing w:after="0"/>
              <w:rPr>
                <w:sz w:val="20"/>
                <w:szCs w:val="20"/>
                <w:color w:val="auto"/>
              </w:rPr>
            </w:pPr>
            <w:r>
              <w:rPr>
                <w:rFonts w:ascii="Times New Roman" w:cs="Times New Roman" w:eastAsia="Times New Roman" w:hAnsi="Times New Roman"/>
                <w:sz w:val="15"/>
                <w:szCs w:val="15"/>
                <w:b w:val="1"/>
                <w:bCs w:val="1"/>
                <w:color w:val="231F20"/>
              </w:rPr>
              <w:t>(In thousands)</w:t>
            </w:r>
          </w:p>
        </w:tc>
      </w:tr>
      <w:tr>
        <w:trPr>
          <w:trHeight w:val="255"/>
        </w:trPr>
        <w:tc>
          <w:tcPr>
            <w:tcW w:w="8540" w:type="dxa"/>
            <w:vAlign w:val="bottom"/>
          </w:tcPr>
          <w:p>
            <w:pPr>
              <w:spacing w:after="0"/>
              <w:rPr>
                <w:sz w:val="20"/>
                <w:szCs w:val="20"/>
                <w:color w:val="auto"/>
              </w:rPr>
            </w:pPr>
            <w:r>
              <w:rPr>
                <w:rFonts w:ascii="Times New Roman" w:cs="Times New Roman" w:eastAsia="Times New Roman" w:hAnsi="Times New Roman"/>
                <w:sz w:val="19"/>
                <w:szCs w:val="19"/>
                <w:color w:val="231F20"/>
              </w:rPr>
              <w:t>Year ending December 31,</w:t>
            </w:r>
          </w:p>
        </w:tc>
        <w:tc>
          <w:tcPr>
            <w:tcW w:w="32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291"/>
        </w:trPr>
        <w:tc>
          <w:tcPr>
            <w:tcW w:w="8540" w:type="dxa"/>
            <w:vAlign w:val="bottom"/>
          </w:tcPr>
          <w:p>
            <w:pPr>
              <w:spacing w:after="0"/>
              <w:rPr>
                <w:sz w:val="20"/>
                <w:szCs w:val="20"/>
                <w:color w:val="auto"/>
              </w:rPr>
            </w:pPr>
            <w:r>
              <w:rPr>
                <w:rFonts w:ascii="Times New Roman" w:cs="Times New Roman" w:eastAsia="Times New Roman" w:hAnsi="Times New Roman"/>
                <w:sz w:val="19"/>
                <w:szCs w:val="19"/>
                <w:color w:val="231F20"/>
              </w:rPr>
              <w:t>2026</w:t>
            </w:r>
          </w:p>
        </w:tc>
        <w:tc>
          <w:tcPr>
            <w:tcW w:w="320" w:type="dxa"/>
            <w:vAlign w:val="bottom"/>
          </w:tcPr>
          <w:p>
            <w:pPr>
              <w:jc w:val="right"/>
              <w:ind w:right="91"/>
              <w:spacing w:after="0"/>
              <w:rPr>
                <w:sz w:val="20"/>
                <w:szCs w:val="20"/>
                <w:color w:val="auto"/>
              </w:rPr>
            </w:pPr>
            <w:r>
              <w:rPr>
                <w:rFonts w:ascii="Times New Roman" w:cs="Times New Roman" w:eastAsia="Times New Roman" w:hAnsi="Times New Roman"/>
                <w:sz w:val="19"/>
                <w:szCs w:val="19"/>
                <w:color w:val="231F2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713</w:t>
            </w:r>
          </w:p>
        </w:tc>
      </w:tr>
      <w:tr>
        <w:trPr>
          <w:trHeight w:val="271"/>
        </w:trPr>
        <w:tc>
          <w:tcPr>
            <w:tcW w:w="8540" w:type="dxa"/>
            <w:vAlign w:val="bottom"/>
          </w:tcPr>
          <w:p>
            <w:pPr>
              <w:spacing w:after="0"/>
              <w:rPr>
                <w:sz w:val="20"/>
                <w:szCs w:val="20"/>
                <w:color w:val="auto"/>
              </w:rPr>
            </w:pPr>
            <w:r>
              <w:rPr>
                <w:rFonts w:ascii="Times New Roman" w:cs="Times New Roman" w:eastAsia="Times New Roman" w:hAnsi="Times New Roman"/>
                <w:sz w:val="19"/>
                <w:szCs w:val="19"/>
                <w:color w:val="231F20"/>
              </w:rPr>
              <w:t>2027</w:t>
            </w:r>
          </w:p>
        </w:tc>
        <w:tc>
          <w:tcPr>
            <w:tcW w:w="3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748</w:t>
            </w:r>
          </w:p>
        </w:tc>
      </w:tr>
      <w:tr>
        <w:trPr>
          <w:trHeight w:val="271"/>
        </w:trPr>
        <w:tc>
          <w:tcPr>
            <w:tcW w:w="8540" w:type="dxa"/>
            <w:vAlign w:val="bottom"/>
          </w:tcPr>
          <w:p>
            <w:pPr>
              <w:spacing w:after="0"/>
              <w:rPr>
                <w:sz w:val="20"/>
                <w:szCs w:val="20"/>
                <w:color w:val="auto"/>
              </w:rPr>
            </w:pPr>
            <w:r>
              <w:rPr>
                <w:rFonts w:ascii="Times New Roman" w:cs="Times New Roman" w:eastAsia="Times New Roman" w:hAnsi="Times New Roman"/>
                <w:sz w:val="19"/>
                <w:szCs w:val="19"/>
                <w:color w:val="231F20"/>
              </w:rPr>
              <w:t>2028</w:t>
            </w:r>
          </w:p>
        </w:tc>
        <w:tc>
          <w:tcPr>
            <w:tcW w:w="3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801</w:t>
            </w:r>
          </w:p>
        </w:tc>
      </w:tr>
      <w:tr>
        <w:trPr>
          <w:trHeight w:val="271"/>
        </w:trPr>
        <w:tc>
          <w:tcPr>
            <w:tcW w:w="8540" w:type="dxa"/>
            <w:vAlign w:val="bottom"/>
          </w:tcPr>
          <w:p>
            <w:pPr>
              <w:spacing w:after="0"/>
              <w:rPr>
                <w:sz w:val="20"/>
                <w:szCs w:val="20"/>
                <w:color w:val="auto"/>
              </w:rPr>
            </w:pPr>
            <w:r>
              <w:rPr>
                <w:rFonts w:ascii="Times New Roman" w:cs="Times New Roman" w:eastAsia="Times New Roman" w:hAnsi="Times New Roman"/>
                <w:sz w:val="19"/>
                <w:szCs w:val="19"/>
                <w:color w:val="231F20"/>
              </w:rPr>
              <w:t>2029</w:t>
            </w:r>
          </w:p>
        </w:tc>
        <w:tc>
          <w:tcPr>
            <w:tcW w:w="3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801</w:t>
            </w:r>
          </w:p>
        </w:tc>
      </w:tr>
      <w:tr>
        <w:trPr>
          <w:trHeight w:val="271"/>
        </w:trPr>
        <w:tc>
          <w:tcPr>
            <w:tcW w:w="8540" w:type="dxa"/>
            <w:vAlign w:val="bottom"/>
          </w:tcPr>
          <w:p>
            <w:pPr>
              <w:spacing w:after="0"/>
              <w:rPr>
                <w:sz w:val="20"/>
                <w:szCs w:val="20"/>
                <w:color w:val="auto"/>
              </w:rPr>
            </w:pPr>
            <w:r>
              <w:rPr>
                <w:rFonts w:ascii="Times New Roman" w:cs="Times New Roman" w:eastAsia="Times New Roman" w:hAnsi="Times New Roman"/>
                <w:sz w:val="19"/>
                <w:szCs w:val="19"/>
                <w:color w:val="231F20"/>
              </w:rPr>
              <w:t>2030</w:t>
            </w:r>
          </w:p>
        </w:tc>
        <w:tc>
          <w:tcPr>
            <w:tcW w:w="3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802</w:t>
            </w:r>
          </w:p>
        </w:tc>
      </w:tr>
      <w:tr>
        <w:trPr>
          <w:trHeight w:val="272"/>
        </w:trPr>
        <w:tc>
          <w:tcPr>
            <w:tcW w:w="8540" w:type="dxa"/>
            <w:vAlign w:val="bottom"/>
          </w:tcPr>
          <w:p>
            <w:pPr>
              <w:spacing w:after="0"/>
              <w:rPr>
                <w:sz w:val="20"/>
                <w:szCs w:val="20"/>
                <w:color w:val="auto"/>
              </w:rPr>
            </w:pPr>
            <w:r>
              <w:rPr>
                <w:rFonts w:ascii="Times New Roman" w:cs="Times New Roman" w:eastAsia="Times New Roman" w:hAnsi="Times New Roman"/>
                <w:sz w:val="19"/>
                <w:szCs w:val="19"/>
                <w:color w:val="231F20"/>
              </w:rPr>
              <w:t>Thereafter</w:t>
            </w:r>
          </w:p>
        </w:tc>
        <w:tc>
          <w:tcPr>
            <w:tcW w:w="320" w:type="dxa"/>
            <w:vAlign w:val="bottom"/>
            <w:tcBorders>
              <w:bottom w:val="single" w:sz="8" w:color="231F20"/>
            </w:tcBorders>
          </w:tcPr>
          <w:p>
            <w:pPr>
              <w:spacing w:after="0"/>
              <w:rPr>
                <w:sz w:val="23"/>
                <w:szCs w:val="23"/>
                <w:color w:val="auto"/>
              </w:rPr>
            </w:pPr>
          </w:p>
        </w:tc>
        <w:tc>
          <w:tcPr>
            <w:tcW w:w="8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66,272</w:t>
            </w:r>
          </w:p>
        </w:tc>
      </w:tr>
      <w:tr>
        <w:trPr>
          <w:trHeight w:val="250"/>
        </w:trPr>
        <w:tc>
          <w:tcPr>
            <w:tcW w:w="8540" w:type="dxa"/>
            <w:vAlign w:val="bottom"/>
          </w:tcPr>
          <w:p>
            <w:pPr>
              <w:spacing w:after="0"/>
              <w:rPr>
                <w:sz w:val="20"/>
                <w:szCs w:val="20"/>
                <w:color w:val="auto"/>
              </w:rPr>
            </w:pPr>
            <w:r>
              <w:rPr>
                <w:rFonts w:ascii="Times New Roman" w:cs="Times New Roman" w:eastAsia="Times New Roman" w:hAnsi="Times New Roman"/>
                <w:sz w:val="19"/>
                <w:szCs w:val="19"/>
                <w:color w:val="231F20"/>
              </w:rPr>
              <w:t>Total future minimum finance lease payments</w:t>
            </w: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70,137</w:t>
            </w:r>
          </w:p>
        </w:tc>
      </w:tr>
      <w:tr>
        <w:trPr>
          <w:trHeight w:val="272"/>
        </w:trPr>
        <w:tc>
          <w:tcPr>
            <w:tcW w:w="8540" w:type="dxa"/>
            <w:vAlign w:val="bottom"/>
          </w:tcPr>
          <w:p>
            <w:pPr>
              <w:spacing w:after="0"/>
              <w:rPr>
                <w:sz w:val="20"/>
                <w:szCs w:val="20"/>
                <w:color w:val="auto"/>
              </w:rPr>
            </w:pPr>
            <w:r>
              <w:rPr>
                <w:rFonts w:ascii="Times New Roman" w:cs="Times New Roman" w:eastAsia="Times New Roman" w:hAnsi="Times New Roman"/>
                <w:sz w:val="19"/>
                <w:szCs w:val="19"/>
                <w:color w:val="231F20"/>
              </w:rPr>
              <w:t>Less amount representing interest</w:t>
            </w:r>
          </w:p>
        </w:tc>
        <w:tc>
          <w:tcPr>
            <w:tcW w:w="320" w:type="dxa"/>
            <w:vAlign w:val="bottom"/>
            <w:tcBorders>
              <w:bottom w:val="single" w:sz="8" w:color="231F20"/>
            </w:tcBorders>
          </w:tcPr>
          <w:p>
            <w:pPr>
              <w:spacing w:after="0"/>
              <w:rPr>
                <w:sz w:val="23"/>
                <w:szCs w:val="23"/>
                <w:color w:val="auto"/>
              </w:rPr>
            </w:pPr>
          </w:p>
        </w:tc>
        <w:tc>
          <w:tcPr>
            <w:tcW w:w="8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(57,234)</w:t>
            </w:r>
          </w:p>
        </w:tc>
      </w:tr>
      <w:tr>
        <w:trPr>
          <w:trHeight w:val="233"/>
        </w:trPr>
        <w:tc>
          <w:tcPr>
            <w:tcW w:w="8540" w:type="dxa"/>
            <w:vAlign w:val="bottom"/>
          </w:tcPr>
          <w:p>
            <w:pPr>
              <w:spacing w:after="0"/>
              <w:rPr>
                <w:sz w:val="20"/>
                <w:szCs w:val="20"/>
                <w:color w:val="auto"/>
              </w:rPr>
            </w:pPr>
            <w:r>
              <w:rPr>
                <w:rFonts w:ascii="Times New Roman" w:cs="Times New Roman" w:eastAsia="Times New Roman" w:hAnsi="Times New Roman"/>
                <w:sz w:val="19"/>
                <w:szCs w:val="19"/>
                <w:color w:val="231F20"/>
              </w:rPr>
              <w:t>Finance lease liabilities</w:t>
            </w:r>
          </w:p>
        </w:tc>
        <w:tc>
          <w:tcPr>
            <w:tcW w:w="320" w:type="dxa"/>
            <w:vAlign w:val="bottom"/>
            <w:tcBorders>
              <w:bottom w:val="single" w:sz="8" w:color="231F20"/>
            </w:tcBorders>
          </w:tcPr>
          <w:p>
            <w:pPr>
              <w:jc w:val="right"/>
              <w:ind w:right="91"/>
              <w:spacing w:after="0"/>
              <w:rPr>
                <w:sz w:val="20"/>
                <w:szCs w:val="20"/>
                <w:color w:val="auto"/>
              </w:rPr>
            </w:pPr>
            <w:r>
              <w:rPr>
                <w:rFonts w:ascii="Times New Roman" w:cs="Times New Roman" w:eastAsia="Times New Roman" w:hAnsi="Times New Roman"/>
                <w:sz w:val="19"/>
                <w:szCs w:val="19"/>
                <w:color w:val="231F20"/>
              </w:rPr>
              <w:t>$</w:t>
            </w:r>
          </w:p>
        </w:tc>
        <w:tc>
          <w:tcPr>
            <w:tcW w:w="8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12,903</w:t>
            </w:r>
          </w:p>
        </w:tc>
      </w:tr>
      <w:tr>
        <w:trPr>
          <w:trHeight w:val="20"/>
        </w:trPr>
        <w:tc>
          <w:tcPr>
            <w:tcW w:w="8540" w:type="dxa"/>
            <w:vAlign w:val="bottom"/>
          </w:tcPr>
          <w:p>
            <w:pPr>
              <w:spacing w:after="0" w:line="20" w:lineRule="exact"/>
              <w:rPr>
                <w:sz w:val="1"/>
                <w:szCs w:val="1"/>
                <w:color w:val="auto"/>
              </w:rPr>
            </w:pPr>
          </w:p>
        </w:tc>
        <w:tc>
          <w:tcPr>
            <w:tcW w:w="320" w:type="dxa"/>
            <w:vAlign w:val="bottom"/>
            <w:tcBorders>
              <w:bottom w:val="single" w:sz="8" w:color="231F20"/>
            </w:tcBorders>
          </w:tcPr>
          <w:p>
            <w:pPr>
              <w:spacing w:after="0" w:line="20" w:lineRule="exact"/>
              <w:rPr>
                <w:sz w:val="1"/>
                <w:szCs w:val="1"/>
                <w:color w:val="auto"/>
              </w:rPr>
            </w:pPr>
          </w:p>
        </w:tc>
        <w:tc>
          <w:tcPr>
            <w:tcW w:w="820" w:type="dxa"/>
            <w:vAlign w:val="bottom"/>
            <w:tcBorders>
              <w:bottom w:val="single" w:sz="8" w:color="231F20"/>
            </w:tcBorders>
          </w:tcPr>
          <w:p>
            <w:pPr>
              <w:spacing w:after="0" w:line="20" w:lineRule="exact"/>
              <w:rPr>
                <w:sz w:val="1"/>
                <w:szCs w:val="1"/>
                <w:color w:val="auto"/>
              </w:rPr>
            </w:pPr>
          </w:p>
        </w:tc>
      </w:tr>
    </w:tbl>
    <w:p>
      <w:pPr>
        <w:spacing w:after="0" w:line="102"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9"/>
          <w:szCs w:val="19"/>
          <w:color w:val="231F20"/>
        </w:rPr>
        <w:t>Under the terms of the Congressional Plaza partnership agreement, a minority partner has the right to require us and the other minority partner to purchase its 26.63% interest in Congressional Plaza at the interest’s then-current fair market value. If the other minority partner defaults in their obligation, we must purchase the full interest. Based on management’s current estimate of fair market value as of December 31, 2025, our estimated maximum liability upon exercise of the put option would range from approximately $62 million to $63 million.</w:t>
      </w:r>
    </w:p>
    <w:p>
      <w:pPr>
        <w:spacing w:after="0" w:line="57"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9"/>
          <w:szCs w:val="19"/>
          <w:color w:val="231F20"/>
        </w:rPr>
        <w:t>The master lease for Melville Mall, as amended on January 15, 2026, includes a fixed price put option at any time on or prior to June 30, 2030 for $4.5 million. Additionally, we have the right to purchase Melville Mall in 2031 for approximately $5.0 million.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The other member in The Grove at Shrewsbury and Brook 35 has the right to require us to purchase all of its approximately</w:t>
      </w:r>
    </w:p>
    <w:p>
      <w:pPr>
        <w:spacing w:after="0" w:line="31" w:lineRule="exact"/>
        <w:rPr>
          <w:sz w:val="20"/>
          <w:szCs w:val="20"/>
          <w:color w:val="auto"/>
        </w:rPr>
      </w:pPr>
    </w:p>
    <w:p>
      <w:pPr>
        <w:jc w:val="both"/>
        <w:ind w:right="40"/>
        <w:spacing w:after="0" w:line="255" w:lineRule="auto"/>
        <w:rPr>
          <w:sz w:val="20"/>
          <w:szCs w:val="20"/>
          <w:color w:val="auto"/>
        </w:rPr>
      </w:pPr>
      <w:r>
        <w:rPr>
          <w:rFonts w:ascii="Times New Roman" w:cs="Times New Roman" w:eastAsia="Times New Roman" w:hAnsi="Times New Roman"/>
          <w:sz w:val="19"/>
          <w:szCs w:val="19"/>
          <w:color w:val="231F20"/>
        </w:rPr>
        <w:t>4.1% interest in The Grove at Shrewsbury and approximately 6.5% interest in Brook 35 at the interests' then-current fair market value. Based on management's current estimate of fair market value as of December 31, 2025, our estimated maximum liability upon exercise of the put option would range from $9 million to $10 million.</w:t>
      </w:r>
    </w:p>
    <w:p>
      <w:pPr>
        <w:spacing w:after="0" w:line="62"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9"/>
          <w:szCs w:val="19"/>
          <w:color w:val="231F20"/>
        </w:rPr>
        <w:t>The other member in Hoboken has the right to require us to purchase all of its 10.0% ownership interest at the interest's then-current fair market value. Based on management's current estimate of fair market value as of December 31, 2025, our estimated maximum liability upon exercise of the put option would range from $12 million to $13 million.</w:t>
      </w:r>
    </w:p>
    <w:p>
      <w:pPr>
        <w:spacing w:after="0" w:line="5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9"/>
          <w:szCs w:val="19"/>
          <w:color w:val="231F20"/>
        </w:rPr>
        <w:t>Effective June 14, 2026, the other member in Camelback Colonnade and The Shops at Hilton Village has the right to require us to purchase all of its 2.0% ownership interest at the interest's then-current fair market value. Based on management's current estimate of fair value as of December 31, 2025, our estimated maximum liability upon exercise of the put option would range from $4 million to $5 million.</w:t>
      </w:r>
    </w:p>
    <w:p>
      <w:pPr>
        <w:spacing w:after="0" w:line="57"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9"/>
          <w:szCs w:val="19"/>
          <w:color w:val="231F20"/>
        </w:rPr>
        <w:t>Effective October 6, 2027, the other member in the partnership that owns equity method investments in Chandler Festival and Chandler Gateway has the right to require us to purchase its 2.5% net ownership interest. Based on management's current estimate of fair value as of December 31, 2025, our estimated maximum liability upon exercise of the put option would range from $1 million and $2 million.</w:t>
      </w:r>
    </w:p>
    <w:p>
      <w:pPr>
        <w:spacing w:after="0" w:line="5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9"/>
          <w:szCs w:val="19"/>
          <w:color w:val="231F20"/>
        </w:rPr>
        <w:t>Effective June 1, 2029, the other member in Grossmont Center has the right to require us to purchase all of its 40.0% ownership interest at the interest's then-current fair market value. Based on management's current estimate of fair value as of December 31, 2025, our estimated maximum liability upon exercise of the put option would range from $68 million to $73 million.</w:t>
      </w:r>
    </w:p>
    <w:p>
      <w:pPr>
        <w:spacing w:after="0" w:line="50" w:lineRule="exact"/>
        <w:rPr>
          <w:sz w:val="20"/>
          <w:szCs w:val="20"/>
          <w:color w:val="auto"/>
        </w:rPr>
      </w:pPr>
    </w:p>
    <w:p>
      <w:pPr>
        <w:ind w:right="160"/>
        <w:spacing w:after="0" w:line="267" w:lineRule="auto"/>
        <w:rPr>
          <w:sz w:val="20"/>
          <w:szCs w:val="20"/>
          <w:color w:val="auto"/>
        </w:rPr>
      </w:pPr>
      <w:r>
        <w:rPr>
          <w:rFonts w:ascii="Times New Roman" w:cs="Times New Roman" w:eastAsia="Times New Roman" w:hAnsi="Times New Roman"/>
          <w:sz w:val="19"/>
          <w:szCs w:val="19"/>
          <w:color w:val="231F20"/>
        </w:rPr>
        <w:t>Under the terms of certain partnership agreements, the partners have the right to exchange their operating partnership units for cash or the same number of our common shares, at our option. A total of 526,915 downREIT operating partnership units are outstanding which have a total fair value of $53.1 million, based on our closing stock price on December 31, 2025.</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NOTE 8—SHAREHOLDERS’ EQUITY</w:t>
      </w:r>
    </w:p>
    <w:p>
      <w:pPr>
        <w:spacing w:after="0" w:line="110" w:lineRule="exact"/>
        <w:rPr>
          <w:sz w:val="20"/>
          <w:szCs w:val="20"/>
          <w:color w:val="auto"/>
        </w:rPr>
      </w:pPr>
    </w:p>
    <w:p>
      <w:pPr>
        <w:ind w:right="460"/>
        <w:spacing w:after="0" w:line="267" w:lineRule="auto"/>
        <w:rPr>
          <w:sz w:val="20"/>
          <w:szCs w:val="20"/>
          <w:color w:val="auto"/>
        </w:rPr>
      </w:pPr>
      <w:r>
        <w:rPr>
          <w:rFonts w:ascii="Times New Roman" w:cs="Times New Roman" w:eastAsia="Times New Roman" w:hAnsi="Times New Roman"/>
          <w:sz w:val="19"/>
          <w:szCs w:val="19"/>
          <w:color w:val="231F20"/>
        </w:rPr>
        <w:t>We have a Dividend Reinvestment Plan (the “Plan”), whereby shareholders may use their dividends and optional cash payments to purchase shares. In 2025, 2024 and 2023, 19,139 shares, 18,101 shares, and 19,847 shares, respectively, were issued under the Plan.</w:t>
      </w:r>
    </w:p>
    <w:p>
      <w:pPr>
        <w:spacing w:after="0" w:line="50" w:lineRule="exact"/>
        <w:rPr>
          <w:sz w:val="20"/>
          <w:szCs w:val="20"/>
          <w:color w:val="auto"/>
        </w:rPr>
      </w:pPr>
    </w:p>
    <w:p>
      <w:pPr>
        <w:ind w:right="180"/>
        <w:spacing w:after="0" w:line="267" w:lineRule="auto"/>
        <w:rPr>
          <w:sz w:val="20"/>
          <w:szCs w:val="20"/>
          <w:color w:val="auto"/>
        </w:rPr>
      </w:pPr>
      <w:r>
        <w:rPr>
          <w:rFonts w:ascii="Times New Roman" w:cs="Times New Roman" w:eastAsia="Times New Roman" w:hAnsi="Times New Roman"/>
          <w:sz w:val="19"/>
          <w:szCs w:val="19"/>
          <w:color w:val="231F20"/>
        </w:rPr>
        <w:t>As of December 31, 2025, 2024, and 2023, we had 6,000,000 Depositary Shares outstanding, each representing 1/1000th interest of 5.0% Series C Cumulative Redeemable Preferred Share, par value $0.01 per share ("Series C Preferred Shares"), at the liquidation preference of $25.00 per depositary share (or $25,000 per Series C Preferred share). The Series C Preferred</w:t>
      </w:r>
    </w:p>
    <w:p>
      <w:pPr>
        <w:sectPr>
          <w:pgSz w:w="11880" w:h="15480" w:orient="portrait"/>
          <w:cols w:equalWidth="0" w:num="1">
            <w:col w:w="9760"/>
          </w:cols>
          <w:pgMar w:left="1060" w:top="963" w:right="1060" w:bottom="0" w:gutter="0" w:footer="0" w:header="0"/>
        </w:sect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F-33</w:t>
      </w:r>
    </w:p>
    <w:p>
      <w:pPr>
        <w:sectPr>
          <w:pgSz w:w="11880" w:h="15480" w:orient="portrait"/>
          <w:cols w:equalWidth="0" w:num="1">
            <w:col w:w="9760"/>
          </w:cols>
          <w:pgMar w:left="1060" w:top="963" w:right="1060" w:bottom="0" w:gutter="0" w:footer="0" w:header="0"/>
          <w:type w:val="continuous"/>
        </w:sectPr>
      </w:pPr>
    </w:p>
    <w:bookmarkStart w:id="97" w:name="page98"/>
    <w:bookmarkEnd w:id="97"/>
    <w:p>
      <w:pPr>
        <w:ind w:right="480"/>
        <w:spacing w:after="0" w:line="267" w:lineRule="auto"/>
        <w:rPr>
          <w:sz w:val="20"/>
          <w:szCs w:val="20"/>
          <w:color w:val="auto"/>
        </w:rPr>
      </w:pPr>
      <w:r>
        <w:rPr>
          <w:rFonts w:ascii="Times New Roman" w:cs="Times New Roman" w:eastAsia="Times New Roman" w:hAnsi="Times New Roman"/>
          <w:sz w:val="19"/>
          <w:szCs w:val="19"/>
          <w:color w:val="231F20"/>
        </w:rPr>
        <w:t>Shares accrue dividends at a rate of 5.0% of the $25,000 liquidation preference per year and are redeemable at our option. Additionally, they are not convertible and holders of these shares generally have no voting rights, unless we fail to pay dividends for six or more quarters.</w:t>
      </w:r>
    </w:p>
    <w:p>
      <w:pPr>
        <w:spacing w:after="0" w:line="107"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9"/>
          <w:szCs w:val="19"/>
          <w:color w:val="231F20"/>
        </w:rPr>
        <w:t>As of December 31, 2025, 2024, and 2023, we had 392,878 shares of 5.417% Series 1 Cumulative Convertible Preferred Shares (“Series 1 Preferred Shares”) outstanding that have a liquidation preference of $25 per share and par value $0.01 per share. The Series 1 Preferred Shares accrue dividends at a rate of 5.417% per year and are convertible at any time by the holders to our common shares at a conversion rate of $104.69 per share. The Series 1 Preferred Shares are also convertible under certain circumstances at our election. The holders of the Series 1 Preferred Shares have no voting rights.</w:t>
      </w:r>
    </w:p>
    <w:p>
      <w:pPr>
        <w:spacing w:after="0" w:line="57"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9"/>
          <w:szCs w:val="19"/>
          <w:color w:val="231F20"/>
        </w:rPr>
        <w:t>On February 14, 2025, we amended our existing at-the-market (“ATM”) equity program under which we may from time to time offer and sell common shares. This amendment reset the aggregate offering price of the program to $750.0 million. Our ATM equity program also allows shares to be sold through forward sales contracts. We intend to use the net proceeds to fund potential acquisition opportunities, fund our development and redevelopment pipeline, repay indebtedness and/or for general corporate purposes.</w:t>
      </w:r>
    </w:p>
    <w:p>
      <w:pPr>
        <w:spacing w:after="0" w:line="57" w:lineRule="exact"/>
        <w:rPr>
          <w:sz w:val="20"/>
          <w:szCs w:val="20"/>
          <w:color w:val="auto"/>
        </w:rPr>
      </w:pPr>
    </w:p>
    <w:p>
      <w:pPr>
        <w:ind w:right="180"/>
        <w:spacing w:after="0" w:line="267" w:lineRule="auto"/>
        <w:rPr>
          <w:sz w:val="20"/>
          <w:szCs w:val="20"/>
          <w:color w:val="auto"/>
        </w:rPr>
      </w:pPr>
      <w:r>
        <w:rPr>
          <w:rFonts w:ascii="Times New Roman" w:cs="Times New Roman" w:eastAsia="Times New Roman" w:hAnsi="Times New Roman"/>
          <w:sz w:val="19"/>
          <w:szCs w:val="19"/>
          <w:color w:val="231F20"/>
        </w:rPr>
        <w:t>During 2025, there were no sales and we did not enter into any forward sales contracts under the amended ATM equity program, and therefore we have the remaining capacity to issue up to $750.0 million in common shares under this program as of December 31, 2025.</w:t>
      </w:r>
    </w:p>
    <w:p>
      <w:pPr>
        <w:spacing w:after="0" w:line="50" w:lineRule="exact"/>
        <w:rPr>
          <w:sz w:val="20"/>
          <w:szCs w:val="20"/>
          <w:color w:val="auto"/>
        </w:rPr>
      </w:pPr>
    </w:p>
    <w:p>
      <w:pPr>
        <w:jc w:val="both"/>
        <w:ind w:right="160"/>
        <w:spacing w:after="0" w:line="267" w:lineRule="auto"/>
        <w:rPr>
          <w:sz w:val="20"/>
          <w:szCs w:val="20"/>
          <w:color w:val="auto"/>
        </w:rPr>
      </w:pPr>
      <w:r>
        <w:rPr>
          <w:rFonts w:ascii="Times New Roman" w:cs="Times New Roman" w:eastAsia="Times New Roman" w:hAnsi="Times New Roman"/>
          <w:sz w:val="19"/>
          <w:szCs w:val="19"/>
          <w:color w:val="231F20"/>
        </w:rPr>
        <w:t>For the year ended December 31, 2024, we issued 2,059,654 common shares at a weighted average price per share of $109.20 for net cash proceeds of $222.3 million including paying $2.2 million in commissions and $0.4 million in additional offering expenses related to the sales of these common shares.</w:t>
      </w:r>
    </w:p>
    <w:p>
      <w:pPr>
        <w:spacing w:after="0" w:line="5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9"/>
          <w:szCs w:val="19"/>
          <w:color w:val="231F20"/>
        </w:rPr>
        <w:t>For the year ended December 31, 2024, we also entered into forward sales contracts for 1,186,422 common shares under our ATM equity program at a weighted average offering price of $115.72. During 2024, we settled a portion of the forward sales agreements entered into during the year by issuing 709,925 common shares for net proceeds of $81.7 million. During 2025, we settled our remaining open forward sales agreements by issuing 476,497 common shares for net proceeds of $54.2 million.</w:t>
      </w:r>
    </w:p>
    <w:p>
      <w:pPr>
        <w:spacing w:after="0" w:line="5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9"/>
          <w:szCs w:val="19"/>
          <w:color w:val="231F20"/>
        </w:rPr>
        <w:t>In April 2025, our Board of Trustees approved a new common share repurchase program, under which we may purchase up to $300.0 million of our outstanding common shares of beneficial interest, $0.01 par value per share from time to time using a variety of methods, including open market, privately negotiated transactions or otherwise. The specific timing and amount of common share repurchases, if any, will depend on a number of factors, including prevailing share prices, trading volume and general market conditions, along with our working capital requirements, cash flow, and other factors. The program does not require us to repurchase any dollar amount or number of common shares and may be suspended or discontinued at any time. As of December 31, 2025, no common shares have been repurchased through the program.</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NOTE 9—DIVIDENDS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The following table provides a summary of dividends declared and paid per share: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680" w:type="dxa"/>
            <w:vAlign w:val="bottom"/>
          </w:tcPr>
          <w:p>
            <w:pPr>
              <w:spacing w:after="0"/>
              <w:rPr>
                <w:sz w:val="17"/>
                <w:szCs w:val="17"/>
                <w:color w:val="auto"/>
              </w:rPr>
            </w:pPr>
          </w:p>
        </w:tc>
        <w:tc>
          <w:tcPr>
            <w:tcW w:w="220" w:type="dxa"/>
            <w:vAlign w:val="bottom"/>
            <w:tcBorders>
              <w:bottom w:val="single" w:sz="8" w:color="231F20"/>
            </w:tcBorders>
          </w:tcPr>
          <w:p>
            <w:pPr>
              <w:spacing w:after="0"/>
              <w:rPr>
                <w:sz w:val="17"/>
                <w:szCs w:val="17"/>
                <w:color w:val="auto"/>
              </w:rPr>
            </w:pPr>
          </w:p>
        </w:tc>
        <w:tc>
          <w:tcPr>
            <w:tcW w:w="560" w:type="dxa"/>
            <w:vAlign w:val="bottom"/>
            <w:tcBorders>
              <w:bottom w:val="single" w:sz="8" w:color="231F20"/>
            </w:tcBorders>
          </w:tcPr>
          <w:p>
            <w:pPr>
              <w:spacing w:after="0"/>
              <w:rPr>
                <w:sz w:val="17"/>
                <w:szCs w:val="17"/>
                <w:color w:val="auto"/>
              </w:rPr>
            </w:pPr>
          </w:p>
        </w:tc>
        <w:tc>
          <w:tcPr>
            <w:tcW w:w="80" w:type="dxa"/>
            <w:vAlign w:val="bottom"/>
            <w:tcBorders>
              <w:bottom w:val="single" w:sz="8" w:color="231F20"/>
            </w:tcBorders>
          </w:tcPr>
          <w:p>
            <w:pPr>
              <w:spacing w:after="0"/>
              <w:rPr>
                <w:sz w:val="17"/>
                <w:szCs w:val="17"/>
                <w:color w:val="auto"/>
              </w:rPr>
            </w:pPr>
          </w:p>
        </w:tc>
        <w:tc>
          <w:tcPr>
            <w:tcW w:w="200" w:type="dxa"/>
            <w:vAlign w:val="bottom"/>
            <w:tcBorders>
              <w:bottom w:val="single" w:sz="8" w:color="231F20"/>
            </w:tcBorders>
          </w:tcPr>
          <w:p>
            <w:pPr>
              <w:spacing w:after="0"/>
              <w:rPr>
                <w:sz w:val="17"/>
                <w:szCs w:val="17"/>
                <w:color w:val="auto"/>
              </w:rPr>
            </w:pPr>
          </w:p>
        </w:tc>
        <w:tc>
          <w:tcPr>
            <w:tcW w:w="580" w:type="dxa"/>
            <w:vAlign w:val="bottom"/>
            <w:tcBorders>
              <w:bottom w:val="single" w:sz="8" w:color="231F20"/>
            </w:tcBorders>
          </w:tcPr>
          <w:p>
            <w:pPr>
              <w:spacing w:after="0"/>
              <w:rPr>
                <w:sz w:val="17"/>
                <w:szCs w:val="17"/>
                <w:color w:val="auto"/>
              </w:rPr>
            </w:pPr>
          </w:p>
        </w:tc>
        <w:tc>
          <w:tcPr>
            <w:tcW w:w="1780" w:type="dxa"/>
            <w:vAlign w:val="bottom"/>
            <w:tcBorders>
              <w:bottom w:val="single" w:sz="8" w:color="231F20"/>
            </w:tcBorders>
            <w:gridSpan w:val="7"/>
          </w:tcPr>
          <w:p>
            <w:pPr>
              <w:ind w:left="40"/>
              <w:spacing w:after="0"/>
              <w:rPr>
                <w:sz w:val="20"/>
                <w:szCs w:val="20"/>
                <w:color w:val="auto"/>
              </w:rPr>
            </w:pPr>
            <w:r>
              <w:rPr>
                <w:rFonts w:ascii="Times New Roman" w:cs="Times New Roman" w:eastAsia="Times New Roman" w:hAnsi="Times New Roman"/>
                <w:sz w:val="15"/>
                <w:szCs w:val="15"/>
                <w:b w:val="1"/>
                <w:bCs w:val="1"/>
                <w:color w:val="231F20"/>
              </w:rPr>
              <w:t>Year Ended December 31,</w:t>
            </w:r>
          </w:p>
        </w:tc>
        <w:tc>
          <w:tcPr>
            <w:tcW w:w="220" w:type="dxa"/>
            <w:vAlign w:val="bottom"/>
            <w:tcBorders>
              <w:bottom w:val="single" w:sz="8" w:color="231F20"/>
            </w:tcBorders>
          </w:tcPr>
          <w:p>
            <w:pPr>
              <w:spacing w:after="0"/>
              <w:rPr>
                <w:sz w:val="17"/>
                <w:szCs w:val="17"/>
                <w:color w:val="auto"/>
              </w:rPr>
            </w:pPr>
          </w:p>
        </w:tc>
        <w:tc>
          <w:tcPr>
            <w:tcW w:w="560" w:type="dxa"/>
            <w:vAlign w:val="bottom"/>
            <w:tcBorders>
              <w:bottom w:val="single" w:sz="8" w:color="231F20"/>
            </w:tcBorders>
          </w:tcPr>
          <w:p>
            <w:pPr>
              <w:spacing w:after="0"/>
              <w:rPr>
                <w:sz w:val="17"/>
                <w:szCs w:val="17"/>
                <w:color w:val="auto"/>
              </w:rPr>
            </w:pPr>
          </w:p>
        </w:tc>
        <w:tc>
          <w:tcPr>
            <w:tcW w:w="80" w:type="dxa"/>
            <w:vAlign w:val="bottom"/>
            <w:tcBorders>
              <w:bottom w:val="single" w:sz="8" w:color="231F20"/>
            </w:tcBorders>
          </w:tcPr>
          <w:p>
            <w:pPr>
              <w:spacing w:after="0"/>
              <w:rPr>
                <w:sz w:val="17"/>
                <w:szCs w:val="17"/>
                <w:color w:val="auto"/>
              </w:rPr>
            </w:pPr>
          </w:p>
        </w:tc>
        <w:tc>
          <w:tcPr>
            <w:tcW w:w="200" w:type="dxa"/>
            <w:vAlign w:val="bottom"/>
            <w:tcBorders>
              <w:bottom w:val="single" w:sz="8" w:color="231F20"/>
            </w:tcBorders>
          </w:tcPr>
          <w:p>
            <w:pPr>
              <w:spacing w:after="0"/>
              <w:rPr>
                <w:sz w:val="17"/>
                <w:szCs w:val="17"/>
                <w:color w:val="auto"/>
              </w:rPr>
            </w:pPr>
          </w:p>
        </w:tc>
        <w:tc>
          <w:tcPr>
            <w:tcW w:w="580" w:type="dxa"/>
            <w:vAlign w:val="bottom"/>
            <w:tcBorders>
              <w:bottom w:val="single" w:sz="8" w:color="231F20"/>
            </w:tcBorders>
          </w:tcPr>
          <w:p>
            <w:pPr>
              <w:spacing w:after="0"/>
              <w:rPr>
                <w:sz w:val="17"/>
                <w:szCs w:val="17"/>
                <w:color w:val="auto"/>
              </w:rPr>
            </w:pPr>
          </w:p>
        </w:tc>
      </w:tr>
      <w:tr>
        <w:trPr>
          <w:trHeight w:val="222"/>
        </w:trPr>
        <w:tc>
          <w:tcPr>
            <w:tcW w:w="4680" w:type="dxa"/>
            <w:vAlign w:val="bottom"/>
          </w:tcPr>
          <w:p>
            <w:pPr>
              <w:spacing w:after="0"/>
              <w:rPr>
                <w:sz w:val="19"/>
                <w:szCs w:val="19"/>
                <w:color w:val="auto"/>
              </w:rPr>
            </w:pPr>
          </w:p>
        </w:tc>
        <w:tc>
          <w:tcPr>
            <w:tcW w:w="220" w:type="dxa"/>
            <w:vAlign w:val="bottom"/>
            <w:tcBorders>
              <w:bottom w:val="single" w:sz="8" w:color="231F20"/>
            </w:tcBorders>
          </w:tcPr>
          <w:p>
            <w:pPr>
              <w:spacing w:after="0"/>
              <w:rPr>
                <w:sz w:val="19"/>
                <w:szCs w:val="19"/>
                <w:color w:val="auto"/>
              </w:rPr>
            </w:pPr>
          </w:p>
        </w:tc>
        <w:tc>
          <w:tcPr>
            <w:tcW w:w="840" w:type="dxa"/>
            <w:vAlign w:val="bottom"/>
            <w:tcBorders>
              <w:bottom w:val="single" w:sz="8" w:color="231F20"/>
            </w:tcBorders>
            <w:gridSpan w:val="3"/>
          </w:tcPr>
          <w:p>
            <w:pPr>
              <w:jc w:val="right"/>
              <w:ind w:right="80"/>
              <w:spacing w:after="0"/>
              <w:rPr>
                <w:sz w:val="20"/>
                <w:szCs w:val="20"/>
                <w:color w:val="auto"/>
              </w:rPr>
            </w:pPr>
            <w:r>
              <w:rPr>
                <w:rFonts w:ascii="Times New Roman" w:cs="Times New Roman" w:eastAsia="Times New Roman" w:hAnsi="Times New Roman"/>
                <w:sz w:val="15"/>
                <w:szCs w:val="15"/>
                <w:b w:val="1"/>
                <w:bCs w:val="1"/>
                <w:color w:val="231F20"/>
              </w:rPr>
              <w:t>2025</w:t>
            </w:r>
          </w:p>
        </w:tc>
        <w:tc>
          <w:tcPr>
            <w:tcW w:w="580" w:type="dxa"/>
            <w:vAlign w:val="bottom"/>
            <w:tcBorders>
              <w:bottom w:val="single" w:sz="8" w:color="231F20"/>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231F20"/>
            </w:tcBorders>
          </w:tcPr>
          <w:p>
            <w:pPr>
              <w:spacing w:after="0"/>
              <w:rPr>
                <w:sz w:val="19"/>
                <w:szCs w:val="19"/>
                <w:color w:val="auto"/>
              </w:rPr>
            </w:pPr>
          </w:p>
        </w:tc>
        <w:tc>
          <w:tcPr>
            <w:tcW w:w="840" w:type="dxa"/>
            <w:vAlign w:val="bottom"/>
            <w:tcBorders>
              <w:bottom w:val="single" w:sz="8" w:color="231F20"/>
            </w:tcBorders>
            <w:gridSpan w:val="3"/>
          </w:tcPr>
          <w:p>
            <w:pPr>
              <w:jc w:val="right"/>
              <w:ind w:right="80"/>
              <w:spacing w:after="0"/>
              <w:rPr>
                <w:sz w:val="20"/>
                <w:szCs w:val="20"/>
                <w:color w:val="auto"/>
              </w:rPr>
            </w:pPr>
            <w:r>
              <w:rPr>
                <w:rFonts w:ascii="Times New Roman" w:cs="Times New Roman" w:eastAsia="Times New Roman" w:hAnsi="Times New Roman"/>
                <w:sz w:val="15"/>
                <w:szCs w:val="15"/>
                <w:b w:val="1"/>
                <w:bCs w:val="1"/>
                <w:color w:val="231F20"/>
              </w:rPr>
              <w:t>2024</w:t>
            </w:r>
          </w:p>
        </w:tc>
        <w:tc>
          <w:tcPr>
            <w:tcW w:w="600" w:type="dxa"/>
            <w:vAlign w:val="bottom"/>
            <w:tcBorders>
              <w:bottom w:val="single" w:sz="8" w:color="231F20"/>
            </w:tcBorders>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bottom w:val="single" w:sz="8" w:color="231F20"/>
            </w:tcBorders>
          </w:tcPr>
          <w:p>
            <w:pPr>
              <w:spacing w:after="0"/>
              <w:rPr>
                <w:sz w:val="19"/>
                <w:szCs w:val="19"/>
                <w:color w:val="auto"/>
              </w:rPr>
            </w:pPr>
          </w:p>
        </w:tc>
        <w:tc>
          <w:tcPr>
            <w:tcW w:w="840" w:type="dxa"/>
            <w:vAlign w:val="bottom"/>
            <w:tcBorders>
              <w:bottom w:val="single" w:sz="8" w:color="231F20"/>
            </w:tcBorders>
            <w:gridSpan w:val="3"/>
          </w:tcPr>
          <w:p>
            <w:pPr>
              <w:jc w:val="right"/>
              <w:ind w:right="80"/>
              <w:spacing w:after="0"/>
              <w:rPr>
                <w:sz w:val="20"/>
                <w:szCs w:val="20"/>
                <w:color w:val="auto"/>
              </w:rPr>
            </w:pPr>
            <w:r>
              <w:rPr>
                <w:rFonts w:ascii="Times New Roman" w:cs="Times New Roman" w:eastAsia="Times New Roman" w:hAnsi="Times New Roman"/>
                <w:sz w:val="15"/>
                <w:szCs w:val="15"/>
                <w:b w:val="1"/>
                <w:bCs w:val="1"/>
                <w:color w:val="231F20"/>
              </w:rPr>
              <w:t>2023</w:t>
            </w:r>
          </w:p>
        </w:tc>
        <w:tc>
          <w:tcPr>
            <w:tcW w:w="580" w:type="dxa"/>
            <w:vAlign w:val="bottom"/>
            <w:tcBorders>
              <w:bottom w:val="single" w:sz="8" w:color="231F20"/>
            </w:tcBorders>
          </w:tcPr>
          <w:p>
            <w:pPr>
              <w:spacing w:after="0"/>
              <w:rPr>
                <w:sz w:val="19"/>
                <w:szCs w:val="19"/>
                <w:color w:val="auto"/>
              </w:rPr>
            </w:pPr>
          </w:p>
        </w:tc>
      </w:tr>
      <w:tr>
        <w:trPr>
          <w:trHeight w:val="222"/>
        </w:trPr>
        <w:tc>
          <w:tcPr>
            <w:tcW w:w="4680" w:type="dxa"/>
            <w:vAlign w:val="bottom"/>
          </w:tcPr>
          <w:p>
            <w:pPr>
              <w:spacing w:after="0"/>
              <w:rPr>
                <w:sz w:val="19"/>
                <w:szCs w:val="19"/>
                <w:color w:val="auto"/>
              </w:rPr>
            </w:pPr>
          </w:p>
        </w:tc>
        <w:tc>
          <w:tcPr>
            <w:tcW w:w="780" w:type="dxa"/>
            <w:vAlign w:val="bottom"/>
            <w:tcBorders>
              <w:bottom w:val="single" w:sz="8" w:color="231F20"/>
            </w:tcBorders>
            <w:gridSpan w:val="2"/>
          </w:tcPr>
          <w:p>
            <w:pPr>
              <w:jc w:val="right"/>
              <w:ind w:right="10"/>
              <w:spacing w:after="0"/>
              <w:rPr>
                <w:sz w:val="20"/>
                <w:szCs w:val="20"/>
                <w:color w:val="auto"/>
              </w:rPr>
            </w:pPr>
            <w:r>
              <w:rPr>
                <w:rFonts w:ascii="Times New Roman" w:cs="Times New Roman" w:eastAsia="Times New Roman" w:hAnsi="Times New Roman"/>
                <w:sz w:val="15"/>
                <w:szCs w:val="15"/>
                <w:b w:val="1"/>
                <w:bCs w:val="1"/>
                <w:color w:val="231F20"/>
              </w:rPr>
              <w:t>Declared</w:t>
            </w:r>
          </w:p>
        </w:tc>
        <w:tc>
          <w:tcPr>
            <w:tcW w:w="80" w:type="dxa"/>
            <w:vAlign w:val="bottom"/>
          </w:tcPr>
          <w:p>
            <w:pPr>
              <w:spacing w:after="0"/>
              <w:rPr>
                <w:sz w:val="19"/>
                <w:szCs w:val="19"/>
                <w:color w:val="auto"/>
              </w:rPr>
            </w:pPr>
          </w:p>
        </w:tc>
        <w:tc>
          <w:tcPr>
            <w:tcW w:w="200" w:type="dxa"/>
            <w:vAlign w:val="bottom"/>
            <w:tcBorders>
              <w:bottom w:val="single" w:sz="8" w:color="231F20"/>
            </w:tcBorders>
          </w:tcPr>
          <w:p>
            <w:pPr>
              <w:spacing w:after="0"/>
              <w:rPr>
                <w:sz w:val="19"/>
                <w:szCs w:val="19"/>
                <w:color w:val="auto"/>
              </w:rPr>
            </w:pPr>
          </w:p>
        </w:tc>
        <w:tc>
          <w:tcPr>
            <w:tcW w:w="580" w:type="dxa"/>
            <w:vAlign w:val="bottom"/>
            <w:tcBorders>
              <w:bottom w:val="single" w:sz="8" w:color="231F20"/>
            </w:tcBorders>
          </w:tcPr>
          <w:p>
            <w:pPr>
              <w:jc w:val="right"/>
              <w:ind w:right="150"/>
              <w:spacing w:after="0"/>
              <w:rPr>
                <w:sz w:val="20"/>
                <w:szCs w:val="20"/>
                <w:color w:val="auto"/>
              </w:rPr>
            </w:pPr>
            <w:r>
              <w:rPr>
                <w:rFonts w:ascii="Times New Roman" w:cs="Times New Roman" w:eastAsia="Times New Roman" w:hAnsi="Times New Roman"/>
                <w:sz w:val="15"/>
                <w:szCs w:val="15"/>
                <w:b w:val="1"/>
                <w:bCs w:val="1"/>
                <w:color w:val="231F20"/>
              </w:rPr>
              <w:t>Paid</w:t>
            </w:r>
          </w:p>
        </w:tc>
        <w:tc>
          <w:tcPr>
            <w:tcW w:w="80" w:type="dxa"/>
            <w:vAlign w:val="bottom"/>
          </w:tcPr>
          <w:p>
            <w:pPr>
              <w:spacing w:after="0"/>
              <w:rPr>
                <w:sz w:val="19"/>
                <w:szCs w:val="19"/>
                <w:color w:val="auto"/>
              </w:rPr>
            </w:pPr>
          </w:p>
        </w:tc>
        <w:tc>
          <w:tcPr>
            <w:tcW w:w="780" w:type="dxa"/>
            <w:vAlign w:val="bottom"/>
            <w:tcBorders>
              <w:bottom w:val="single" w:sz="8" w:color="231F20"/>
            </w:tcBorders>
            <w:gridSpan w:val="2"/>
          </w:tcPr>
          <w:p>
            <w:pPr>
              <w:jc w:val="right"/>
              <w:ind w:right="10"/>
              <w:spacing w:after="0"/>
              <w:rPr>
                <w:sz w:val="20"/>
                <w:szCs w:val="20"/>
                <w:color w:val="auto"/>
              </w:rPr>
            </w:pPr>
            <w:r>
              <w:rPr>
                <w:rFonts w:ascii="Times New Roman" w:cs="Times New Roman" w:eastAsia="Times New Roman" w:hAnsi="Times New Roman"/>
                <w:sz w:val="15"/>
                <w:szCs w:val="15"/>
                <w:b w:val="1"/>
                <w:bCs w:val="1"/>
                <w:color w:val="231F20"/>
              </w:rPr>
              <w:t>Declared</w:t>
            </w:r>
          </w:p>
        </w:tc>
        <w:tc>
          <w:tcPr>
            <w:tcW w:w="60" w:type="dxa"/>
            <w:vAlign w:val="bottom"/>
          </w:tcPr>
          <w:p>
            <w:pPr>
              <w:spacing w:after="0"/>
              <w:rPr>
                <w:sz w:val="19"/>
                <w:szCs w:val="19"/>
                <w:color w:val="auto"/>
              </w:rPr>
            </w:pPr>
          </w:p>
        </w:tc>
        <w:tc>
          <w:tcPr>
            <w:tcW w:w="200" w:type="dxa"/>
            <w:vAlign w:val="bottom"/>
            <w:tcBorders>
              <w:bottom w:val="single" w:sz="8" w:color="231F20"/>
            </w:tcBorders>
          </w:tcPr>
          <w:p>
            <w:pPr>
              <w:spacing w:after="0"/>
              <w:rPr>
                <w:sz w:val="19"/>
                <w:szCs w:val="19"/>
                <w:color w:val="auto"/>
              </w:rPr>
            </w:pPr>
          </w:p>
        </w:tc>
        <w:tc>
          <w:tcPr>
            <w:tcW w:w="600" w:type="dxa"/>
            <w:vAlign w:val="bottom"/>
            <w:tcBorders>
              <w:bottom w:val="single" w:sz="8" w:color="231F20"/>
            </w:tcBorders>
          </w:tcPr>
          <w:p>
            <w:pPr>
              <w:jc w:val="right"/>
              <w:ind w:right="170"/>
              <w:spacing w:after="0"/>
              <w:rPr>
                <w:sz w:val="20"/>
                <w:szCs w:val="20"/>
                <w:color w:val="auto"/>
              </w:rPr>
            </w:pPr>
            <w:r>
              <w:rPr>
                <w:rFonts w:ascii="Times New Roman" w:cs="Times New Roman" w:eastAsia="Times New Roman" w:hAnsi="Times New Roman"/>
                <w:sz w:val="15"/>
                <w:szCs w:val="15"/>
                <w:b w:val="1"/>
                <w:bCs w:val="1"/>
                <w:color w:val="231F20"/>
              </w:rPr>
              <w:t>Paid</w:t>
            </w:r>
          </w:p>
        </w:tc>
        <w:tc>
          <w:tcPr>
            <w:tcW w:w="60" w:type="dxa"/>
            <w:vAlign w:val="bottom"/>
          </w:tcPr>
          <w:p>
            <w:pPr>
              <w:spacing w:after="0"/>
              <w:rPr>
                <w:sz w:val="19"/>
                <w:szCs w:val="19"/>
                <w:color w:val="auto"/>
              </w:rPr>
            </w:pPr>
          </w:p>
        </w:tc>
        <w:tc>
          <w:tcPr>
            <w:tcW w:w="780" w:type="dxa"/>
            <w:vAlign w:val="bottom"/>
            <w:tcBorders>
              <w:bottom w:val="single" w:sz="8" w:color="231F20"/>
            </w:tcBorders>
            <w:gridSpan w:val="2"/>
          </w:tcPr>
          <w:p>
            <w:pPr>
              <w:jc w:val="right"/>
              <w:ind w:right="10"/>
              <w:spacing w:after="0"/>
              <w:rPr>
                <w:sz w:val="20"/>
                <w:szCs w:val="20"/>
                <w:color w:val="auto"/>
              </w:rPr>
            </w:pPr>
            <w:r>
              <w:rPr>
                <w:rFonts w:ascii="Times New Roman" w:cs="Times New Roman" w:eastAsia="Times New Roman" w:hAnsi="Times New Roman"/>
                <w:sz w:val="15"/>
                <w:szCs w:val="15"/>
                <w:b w:val="1"/>
                <w:bCs w:val="1"/>
                <w:color w:val="231F20"/>
              </w:rPr>
              <w:t>Declared</w:t>
            </w:r>
          </w:p>
        </w:tc>
        <w:tc>
          <w:tcPr>
            <w:tcW w:w="80" w:type="dxa"/>
            <w:vAlign w:val="bottom"/>
          </w:tcPr>
          <w:p>
            <w:pPr>
              <w:spacing w:after="0"/>
              <w:rPr>
                <w:sz w:val="19"/>
                <w:szCs w:val="19"/>
                <w:color w:val="auto"/>
              </w:rPr>
            </w:pPr>
          </w:p>
        </w:tc>
        <w:tc>
          <w:tcPr>
            <w:tcW w:w="200" w:type="dxa"/>
            <w:vAlign w:val="bottom"/>
            <w:tcBorders>
              <w:bottom w:val="single" w:sz="8" w:color="231F20"/>
            </w:tcBorders>
          </w:tcPr>
          <w:p>
            <w:pPr>
              <w:spacing w:after="0"/>
              <w:rPr>
                <w:sz w:val="19"/>
                <w:szCs w:val="19"/>
                <w:color w:val="auto"/>
              </w:rPr>
            </w:pPr>
          </w:p>
        </w:tc>
        <w:tc>
          <w:tcPr>
            <w:tcW w:w="580" w:type="dxa"/>
            <w:vAlign w:val="bottom"/>
            <w:tcBorders>
              <w:bottom w:val="single" w:sz="8" w:color="231F20"/>
            </w:tcBorders>
          </w:tcPr>
          <w:p>
            <w:pPr>
              <w:jc w:val="right"/>
              <w:ind w:right="150"/>
              <w:spacing w:after="0"/>
              <w:rPr>
                <w:sz w:val="20"/>
                <w:szCs w:val="20"/>
                <w:color w:val="auto"/>
              </w:rPr>
            </w:pPr>
            <w:r>
              <w:rPr>
                <w:rFonts w:ascii="Times New Roman" w:cs="Times New Roman" w:eastAsia="Times New Roman" w:hAnsi="Times New Roman"/>
                <w:sz w:val="15"/>
                <w:szCs w:val="15"/>
                <w:b w:val="1"/>
                <w:bCs w:val="1"/>
                <w:color w:val="231F20"/>
              </w:rPr>
              <w:t>Paid</w:t>
            </w:r>
          </w:p>
        </w:tc>
      </w:tr>
      <w:tr>
        <w:trPr>
          <w:trHeight w:val="264"/>
        </w:trPr>
        <w:tc>
          <w:tcPr>
            <w:tcW w:w="4680" w:type="dxa"/>
            <w:vAlign w:val="bottom"/>
          </w:tcPr>
          <w:p>
            <w:pPr>
              <w:jc w:val="right"/>
              <w:spacing w:after="0"/>
              <w:rPr>
                <w:sz w:val="20"/>
                <w:szCs w:val="20"/>
                <w:color w:val="auto"/>
              </w:rPr>
            </w:pPr>
            <w:r>
              <w:rPr>
                <w:rFonts w:ascii="Times New Roman" w:cs="Times New Roman" w:eastAsia="Times New Roman" w:hAnsi="Times New Roman"/>
                <w:sz w:val="19"/>
                <w:szCs w:val="19"/>
                <w:color w:val="C3C5C7"/>
              </w:rPr>
              <w:t>......................................................................</w:t>
            </w:r>
            <w:r>
              <w:rPr>
                <w:rFonts w:ascii="Times New Roman" w:cs="Times New Roman" w:eastAsia="Times New Roman" w:hAnsi="Times New Roman"/>
                <w:sz w:val="19"/>
                <w:szCs w:val="19"/>
                <w:color w:val="231F20"/>
              </w:rPr>
              <w:t>Commonshares</w:t>
            </w: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4.460</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9"/>
                <w:szCs w:val="19"/>
                <w:color w:val="231F2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4.430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4.380</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9"/>
                <w:szCs w:val="19"/>
                <w:color w:val="231F2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4.370</w:t>
            </w:r>
          </w:p>
        </w:tc>
        <w:tc>
          <w:tcPr>
            <w:tcW w:w="6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4.340</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9"/>
                <w:szCs w:val="19"/>
                <w:color w:val="231F2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4.330</w:t>
            </w:r>
          </w:p>
        </w:tc>
      </w:tr>
      <w:tr>
        <w:trPr>
          <w:trHeight w:val="285"/>
        </w:trPr>
        <w:tc>
          <w:tcPr>
            <w:tcW w:w="46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 xml:space="preserve">5.417% Series 1 Cumulative Convertible Preferred shares </w:t>
            </w:r>
            <w:r>
              <w:rPr>
                <w:rFonts w:ascii="Times New Roman" w:cs="Times New Roman" w:eastAsia="Times New Roman" w:hAnsi="Times New Roman"/>
                <w:sz w:val="19"/>
                <w:szCs w:val="19"/>
                <w:color w:val="C3C5C7"/>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1.354</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9"/>
                <w:szCs w:val="19"/>
                <w:color w:val="231F2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1.354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1.354</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9"/>
                <w:szCs w:val="19"/>
                <w:color w:val="231F2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1.354</w:t>
            </w:r>
          </w:p>
        </w:tc>
        <w:tc>
          <w:tcPr>
            <w:tcW w:w="6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1.354</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9"/>
                <w:szCs w:val="19"/>
                <w:color w:val="231F2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1.354</w:t>
            </w:r>
          </w:p>
        </w:tc>
      </w:tr>
      <w:tr>
        <w:trPr>
          <w:trHeight w:val="286"/>
        </w:trPr>
        <w:tc>
          <w:tcPr>
            <w:tcW w:w="46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5.0% Series C Cumulative Redeemable Preferred shares (1)</w:t>
            </w: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1.250</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9"/>
                <w:szCs w:val="19"/>
                <w:color w:val="231F2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1.250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1.250</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9"/>
                <w:szCs w:val="19"/>
                <w:color w:val="231F2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1.250</w:t>
            </w:r>
          </w:p>
        </w:tc>
        <w:tc>
          <w:tcPr>
            <w:tcW w:w="6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1.250</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9"/>
                <w:szCs w:val="19"/>
                <w:color w:val="231F2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1.250</w:t>
            </w:r>
          </w:p>
        </w:tc>
      </w:tr>
    </w:tbl>
    <w:p>
      <w:pPr>
        <w:spacing w:after="0" w:line="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231F20"/>
        </w:rPr>
        <w:t>(1) Amount represents dividends per depositary share, each representing 1/1000th of a share.</w:t>
      </w:r>
    </w:p>
    <w:p>
      <w:pPr>
        <w:sectPr>
          <w:pgSz w:w="11880" w:h="15480" w:orient="portrait"/>
          <w:cols w:equalWidth="0" w:num="1">
            <w:col w:w="9740"/>
          </w:cols>
          <w:pgMar w:left="1060" w:top="963"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231F20"/>
        </w:rPr>
        <w:t>F-34</w:t>
      </w:r>
    </w:p>
    <w:p>
      <w:pPr>
        <w:sectPr>
          <w:pgSz w:w="11880" w:h="15480" w:orient="portrait"/>
          <w:cols w:equalWidth="0" w:num="1">
            <w:col w:w="9740"/>
          </w:cols>
          <w:pgMar w:left="1060" w:top="963" w:right="1080" w:bottom="0" w:gutter="0" w:footer="0" w:header="0"/>
          <w:type w:val="continuous"/>
        </w:sectPr>
      </w:pPr>
    </w:p>
    <w:bookmarkStart w:id="98" w:name="page99"/>
    <w:bookmarkEnd w:id="98"/>
    <w:p>
      <w:pPr>
        <w:spacing w:after="0"/>
        <w:rPr>
          <w:sz w:val="20"/>
          <w:szCs w:val="20"/>
          <w:color w:val="auto"/>
        </w:rPr>
      </w:pPr>
      <w:r>
        <w:rPr>
          <w:rFonts w:ascii="Times New Roman" w:cs="Times New Roman" w:eastAsia="Times New Roman" w:hAnsi="Times New Roman"/>
          <w:sz w:val="19"/>
          <w:szCs w:val="19"/>
          <w:color w:val="231F20"/>
        </w:rPr>
        <w:t>A summary of the income tax status of dividends per share paid is as follows:</w:t>
      </w:r>
    </w:p>
    <w:p>
      <w:pPr>
        <w:spacing w:after="0" w:line="176" w:lineRule="exact"/>
        <w:rPr>
          <w:sz w:val="20"/>
          <w:szCs w:val="20"/>
          <w:color w:val="auto"/>
        </w:rPr>
      </w:pPr>
    </w:p>
    <w:tbl>
      <w:tblPr>
        <w:tblLayout w:type="fixed"/>
        <w:tblInd w:w="60" w:type="dxa"/>
        <w:tblCellMar>
          <w:top w:w="0" w:type="dxa"/>
          <w:left w:w="0" w:type="dxa"/>
          <w:bottom w:w="0" w:type="dxa"/>
          <w:right w:w="0" w:type="dxa"/>
        </w:tblCellMar>
      </w:tblPr>
      <w:tr>
        <w:trPr>
          <w:trHeight w:val="206"/>
        </w:trPr>
        <w:tc>
          <w:tcPr>
            <w:tcW w:w="6100" w:type="dxa"/>
            <w:vAlign w:val="bottom"/>
          </w:tcPr>
          <w:p>
            <w:pPr>
              <w:spacing w:after="0"/>
              <w:rPr>
                <w:sz w:val="17"/>
                <w:szCs w:val="17"/>
                <w:color w:val="auto"/>
              </w:rPr>
            </w:pPr>
          </w:p>
        </w:tc>
        <w:tc>
          <w:tcPr>
            <w:tcW w:w="280" w:type="dxa"/>
            <w:vAlign w:val="bottom"/>
            <w:tcBorders>
              <w:bottom w:val="single" w:sz="8" w:color="231F20"/>
            </w:tcBorders>
          </w:tcPr>
          <w:p>
            <w:pPr>
              <w:spacing w:after="0"/>
              <w:rPr>
                <w:sz w:val="17"/>
                <w:szCs w:val="17"/>
                <w:color w:val="auto"/>
              </w:rPr>
            </w:pPr>
          </w:p>
        </w:tc>
        <w:tc>
          <w:tcPr>
            <w:tcW w:w="2460" w:type="dxa"/>
            <w:vAlign w:val="bottom"/>
            <w:tcBorders>
              <w:bottom w:val="single" w:sz="8" w:color="231F20"/>
            </w:tcBorders>
            <w:gridSpan w:val="6"/>
          </w:tcPr>
          <w:p>
            <w:pPr>
              <w:jc w:val="right"/>
              <w:ind w:right="100"/>
              <w:spacing w:after="0"/>
              <w:rPr>
                <w:sz w:val="20"/>
                <w:szCs w:val="20"/>
                <w:color w:val="auto"/>
              </w:rPr>
            </w:pPr>
            <w:r>
              <w:rPr>
                <w:rFonts w:ascii="Times New Roman" w:cs="Times New Roman" w:eastAsia="Times New Roman" w:hAnsi="Times New Roman"/>
                <w:sz w:val="15"/>
                <w:szCs w:val="15"/>
                <w:b w:val="1"/>
                <w:bCs w:val="1"/>
                <w:color w:val="231F20"/>
              </w:rPr>
              <w:t>Year Ended December 31,</w:t>
            </w:r>
          </w:p>
        </w:tc>
        <w:tc>
          <w:tcPr>
            <w:tcW w:w="820" w:type="dxa"/>
            <w:vAlign w:val="bottom"/>
            <w:tcBorders>
              <w:bottom w:val="single" w:sz="8" w:color="231F20"/>
            </w:tcBorders>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100" w:type="dxa"/>
            <w:vAlign w:val="bottom"/>
          </w:tcPr>
          <w:p>
            <w:pPr>
              <w:spacing w:after="0"/>
              <w:rPr>
                <w:sz w:val="18"/>
                <w:szCs w:val="18"/>
                <w:color w:val="auto"/>
              </w:rPr>
            </w:pPr>
          </w:p>
        </w:tc>
        <w:tc>
          <w:tcPr>
            <w:tcW w:w="280" w:type="dxa"/>
            <w:vAlign w:val="bottom"/>
            <w:tcBorders>
              <w:bottom w:val="single" w:sz="8" w:color="231F20"/>
            </w:tcBorders>
          </w:tcPr>
          <w:p>
            <w:pPr>
              <w:spacing w:after="0"/>
              <w:rPr>
                <w:sz w:val="18"/>
                <w:szCs w:val="18"/>
                <w:color w:val="auto"/>
              </w:rPr>
            </w:pPr>
          </w:p>
        </w:tc>
        <w:tc>
          <w:tcPr>
            <w:tcW w:w="860" w:type="dxa"/>
            <w:vAlign w:val="bottom"/>
            <w:tcBorders>
              <w:bottom w:val="single" w:sz="8" w:color="231F20"/>
            </w:tcBorders>
          </w:tcPr>
          <w:p>
            <w:pPr>
              <w:jc w:val="right"/>
              <w:ind w:right="328"/>
              <w:spacing w:after="0"/>
              <w:rPr>
                <w:sz w:val="20"/>
                <w:szCs w:val="20"/>
                <w:color w:val="auto"/>
              </w:rPr>
            </w:pPr>
            <w:r>
              <w:rPr>
                <w:rFonts w:ascii="Times New Roman" w:cs="Times New Roman" w:eastAsia="Times New Roman" w:hAnsi="Times New Roman"/>
                <w:sz w:val="15"/>
                <w:szCs w:val="15"/>
                <w:b w:val="1"/>
                <w:bCs w:val="1"/>
                <w:color w:val="231F20"/>
              </w:rPr>
              <w:t>2025</w:t>
            </w:r>
          </w:p>
        </w:tc>
        <w:tc>
          <w:tcPr>
            <w:tcW w:w="80" w:type="dxa"/>
            <w:vAlign w:val="bottom"/>
          </w:tcPr>
          <w:p>
            <w:pPr>
              <w:spacing w:after="0"/>
              <w:rPr>
                <w:sz w:val="18"/>
                <w:szCs w:val="18"/>
                <w:color w:val="auto"/>
              </w:rPr>
            </w:pPr>
          </w:p>
        </w:tc>
        <w:tc>
          <w:tcPr>
            <w:tcW w:w="280" w:type="dxa"/>
            <w:vAlign w:val="bottom"/>
            <w:tcBorders>
              <w:bottom w:val="single" w:sz="8" w:color="231F20"/>
            </w:tcBorders>
          </w:tcPr>
          <w:p>
            <w:pPr>
              <w:spacing w:after="0"/>
              <w:rPr>
                <w:sz w:val="18"/>
                <w:szCs w:val="18"/>
                <w:color w:val="auto"/>
              </w:rPr>
            </w:pPr>
          </w:p>
        </w:tc>
        <w:tc>
          <w:tcPr>
            <w:tcW w:w="860" w:type="dxa"/>
            <w:vAlign w:val="bottom"/>
            <w:tcBorders>
              <w:bottom w:val="single" w:sz="8" w:color="231F20"/>
            </w:tcBorders>
          </w:tcPr>
          <w:p>
            <w:pPr>
              <w:jc w:val="right"/>
              <w:ind w:right="327"/>
              <w:spacing w:after="0"/>
              <w:rPr>
                <w:sz w:val="20"/>
                <w:szCs w:val="20"/>
                <w:color w:val="auto"/>
              </w:rPr>
            </w:pPr>
            <w:r>
              <w:rPr>
                <w:rFonts w:ascii="Times New Roman" w:cs="Times New Roman" w:eastAsia="Times New Roman" w:hAnsi="Times New Roman"/>
                <w:sz w:val="15"/>
                <w:szCs w:val="15"/>
                <w:b w:val="1"/>
                <w:bCs w:val="1"/>
                <w:color w:val="231F20"/>
              </w:rPr>
              <w:t>2024</w:t>
            </w:r>
          </w:p>
        </w:tc>
        <w:tc>
          <w:tcPr>
            <w:tcW w:w="60" w:type="dxa"/>
            <w:vAlign w:val="bottom"/>
          </w:tcPr>
          <w:p>
            <w:pPr>
              <w:spacing w:after="0"/>
              <w:rPr>
                <w:sz w:val="18"/>
                <w:szCs w:val="18"/>
                <w:color w:val="auto"/>
              </w:rPr>
            </w:pPr>
          </w:p>
        </w:tc>
        <w:tc>
          <w:tcPr>
            <w:tcW w:w="320" w:type="dxa"/>
            <w:vAlign w:val="bottom"/>
            <w:tcBorders>
              <w:bottom w:val="single" w:sz="8" w:color="231F20"/>
            </w:tcBorders>
          </w:tcPr>
          <w:p>
            <w:pPr>
              <w:spacing w:after="0"/>
              <w:rPr>
                <w:sz w:val="18"/>
                <w:szCs w:val="18"/>
                <w:color w:val="auto"/>
              </w:rPr>
            </w:pPr>
          </w:p>
        </w:tc>
        <w:tc>
          <w:tcPr>
            <w:tcW w:w="820" w:type="dxa"/>
            <w:vAlign w:val="bottom"/>
            <w:tcBorders>
              <w:bottom w:val="single" w:sz="8" w:color="231F20"/>
            </w:tcBorders>
          </w:tcPr>
          <w:p>
            <w:pPr>
              <w:jc w:val="right"/>
              <w:ind w:right="307"/>
              <w:spacing w:after="0"/>
              <w:rPr>
                <w:sz w:val="20"/>
                <w:szCs w:val="20"/>
                <w:color w:val="auto"/>
              </w:rPr>
            </w:pPr>
            <w:r>
              <w:rPr>
                <w:rFonts w:ascii="Times New Roman" w:cs="Times New Roman" w:eastAsia="Times New Roman" w:hAnsi="Times New Roman"/>
                <w:sz w:val="15"/>
                <w:szCs w:val="15"/>
                <w:b w:val="1"/>
                <w:bCs w:val="1"/>
                <w:color w:val="231F20"/>
              </w:rPr>
              <w:t>2023</w:t>
            </w:r>
          </w:p>
        </w:tc>
        <w:tc>
          <w:tcPr>
            <w:tcW w:w="0" w:type="dxa"/>
            <w:vAlign w:val="bottom"/>
          </w:tcPr>
          <w:p>
            <w:pPr>
              <w:spacing w:after="0"/>
              <w:rPr>
                <w:sz w:val="1"/>
                <w:szCs w:val="1"/>
                <w:color w:val="auto"/>
              </w:rPr>
            </w:pPr>
          </w:p>
        </w:tc>
      </w:tr>
      <w:tr>
        <w:trPr>
          <w:trHeight w:val="230"/>
        </w:trPr>
        <w:tc>
          <w:tcPr>
            <w:tcW w:w="6100" w:type="dxa"/>
            <w:vAlign w:val="bottom"/>
          </w:tcPr>
          <w:p>
            <w:pPr>
              <w:spacing w:after="0"/>
              <w:rPr>
                <w:sz w:val="20"/>
                <w:szCs w:val="20"/>
                <w:color w:val="auto"/>
              </w:rPr>
            </w:pPr>
            <w:r>
              <w:rPr>
                <w:rFonts w:ascii="Times New Roman" w:cs="Times New Roman" w:eastAsia="Times New Roman" w:hAnsi="Times New Roman"/>
                <w:sz w:val="19"/>
                <w:szCs w:val="19"/>
                <w:color w:val="231F20"/>
              </w:rPr>
              <w:t>Common shares</w:t>
            </w: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1"/>
        </w:trPr>
        <w:tc>
          <w:tcPr>
            <w:tcW w:w="6100" w:type="dxa"/>
            <w:vAlign w:val="bottom"/>
          </w:tcPr>
          <w:p>
            <w:pPr>
              <w:ind w:left="340"/>
              <w:spacing w:after="0"/>
              <w:rPr>
                <w:sz w:val="20"/>
                <w:szCs w:val="20"/>
                <w:color w:val="auto"/>
              </w:rPr>
            </w:pPr>
            <w:r>
              <w:rPr>
                <w:rFonts w:ascii="Times New Roman" w:cs="Times New Roman" w:eastAsia="Times New Roman" w:hAnsi="Times New Roman"/>
                <w:sz w:val="19"/>
                <w:szCs w:val="19"/>
                <w:color w:val="231F20"/>
              </w:rPr>
              <w:t>Ordinary dividend</w:t>
            </w:r>
          </w:p>
        </w:tc>
        <w:tc>
          <w:tcPr>
            <w:tcW w:w="280" w:type="dxa"/>
            <w:vAlign w:val="bottom"/>
          </w:tcPr>
          <w:p>
            <w:pPr>
              <w:jc w:val="right"/>
              <w:ind w:right="45"/>
              <w:spacing w:after="0"/>
              <w:rPr>
                <w:sz w:val="20"/>
                <w:szCs w:val="20"/>
                <w:color w:val="auto"/>
              </w:rPr>
            </w:pPr>
            <w:r>
              <w:rPr>
                <w:rFonts w:ascii="Times New Roman" w:cs="Times New Roman" w:eastAsia="Times New Roman" w:hAnsi="Times New Roman"/>
                <w:sz w:val="19"/>
                <w:szCs w:val="19"/>
                <w:color w:val="231F2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3.810</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9"/>
                <w:szCs w:val="19"/>
                <w:color w:val="231F2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3.583</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9"/>
                <w:szCs w:val="19"/>
                <w:color w:val="231F2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3.551</w:t>
            </w:r>
          </w:p>
        </w:tc>
        <w:tc>
          <w:tcPr>
            <w:tcW w:w="0" w:type="dxa"/>
            <w:vAlign w:val="bottom"/>
          </w:tcPr>
          <w:p>
            <w:pPr>
              <w:spacing w:after="0"/>
              <w:rPr>
                <w:sz w:val="1"/>
                <w:szCs w:val="1"/>
                <w:color w:val="auto"/>
              </w:rPr>
            </w:pPr>
          </w:p>
        </w:tc>
      </w:tr>
      <w:tr>
        <w:trPr>
          <w:trHeight w:val="271"/>
        </w:trPr>
        <w:tc>
          <w:tcPr>
            <w:tcW w:w="6100" w:type="dxa"/>
            <w:vAlign w:val="bottom"/>
          </w:tcPr>
          <w:p>
            <w:pPr>
              <w:ind w:left="340"/>
              <w:spacing w:after="0"/>
              <w:rPr>
                <w:sz w:val="20"/>
                <w:szCs w:val="20"/>
                <w:color w:val="auto"/>
              </w:rPr>
            </w:pPr>
            <w:r>
              <w:rPr>
                <w:rFonts w:ascii="Times New Roman" w:cs="Times New Roman" w:eastAsia="Times New Roman" w:hAnsi="Times New Roman"/>
                <w:sz w:val="19"/>
                <w:szCs w:val="19"/>
                <w:color w:val="231F20"/>
              </w:rPr>
              <w:t>Capital gain</w:t>
            </w: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0.620</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0.656</w:t>
            </w: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0.130</w:t>
            </w:r>
          </w:p>
        </w:tc>
        <w:tc>
          <w:tcPr>
            <w:tcW w:w="0" w:type="dxa"/>
            <w:vAlign w:val="bottom"/>
          </w:tcPr>
          <w:p>
            <w:pPr>
              <w:spacing w:after="0"/>
              <w:rPr>
                <w:sz w:val="1"/>
                <w:szCs w:val="1"/>
                <w:color w:val="auto"/>
              </w:rPr>
            </w:pPr>
          </w:p>
        </w:tc>
      </w:tr>
      <w:tr>
        <w:trPr>
          <w:trHeight w:val="272"/>
        </w:trPr>
        <w:tc>
          <w:tcPr>
            <w:tcW w:w="6100" w:type="dxa"/>
            <w:vAlign w:val="bottom"/>
          </w:tcPr>
          <w:p>
            <w:pPr>
              <w:ind w:left="340"/>
              <w:spacing w:after="0"/>
              <w:rPr>
                <w:sz w:val="20"/>
                <w:szCs w:val="20"/>
                <w:color w:val="auto"/>
              </w:rPr>
            </w:pPr>
            <w:r>
              <w:rPr>
                <w:rFonts w:ascii="Times New Roman" w:cs="Times New Roman" w:eastAsia="Times New Roman" w:hAnsi="Times New Roman"/>
                <w:sz w:val="19"/>
                <w:szCs w:val="19"/>
                <w:color w:val="231F20"/>
              </w:rPr>
              <w:t>Return of capital</w:t>
            </w:r>
          </w:p>
        </w:tc>
        <w:tc>
          <w:tcPr>
            <w:tcW w:w="280" w:type="dxa"/>
            <w:vAlign w:val="bottom"/>
            <w:tcBorders>
              <w:bottom w:val="single" w:sz="8" w:color="231F20"/>
            </w:tcBorders>
          </w:tcPr>
          <w:p>
            <w:pPr>
              <w:spacing w:after="0"/>
              <w:rPr>
                <w:sz w:val="23"/>
                <w:szCs w:val="23"/>
                <w:color w:val="auto"/>
              </w:rPr>
            </w:pPr>
          </w:p>
        </w:tc>
        <w:tc>
          <w:tcPr>
            <w:tcW w:w="8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80" w:type="dxa"/>
            <w:vAlign w:val="bottom"/>
          </w:tcPr>
          <w:p>
            <w:pPr>
              <w:spacing w:after="0"/>
              <w:rPr>
                <w:sz w:val="23"/>
                <w:szCs w:val="23"/>
                <w:color w:val="auto"/>
              </w:rPr>
            </w:pPr>
          </w:p>
        </w:tc>
        <w:tc>
          <w:tcPr>
            <w:tcW w:w="280" w:type="dxa"/>
            <w:vAlign w:val="bottom"/>
            <w:tcBorders>
              <w:bottom w:val="single" w:sz="8" w:color="231F20"/>
            </w:tcBorders>
          </w:tcPr>
          <w:p>
            <w:pPr>
              <w:spacing w:after="0"/>
              <w:rPr>
                <w:sz w:val="23"/>
                <w:szCs w:val="23"/>
                <w:color w:val="auto"/>
              </w:rPr>
            </w:pPr>
          </w:p>
        </w:tc>
        <w:tc>
          <w:tcPr>
            <w:tcW w:w="8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0.131</w:t>
            </w:r>
          </w:p>
        </w:tc>
        <w:tc>
          <w:tcPr>
            <w:tcW w:w="60" w:type="dxa"/>
            <w:vAlign w:val="bottom"/>
          </w:tcPr>
          <w:p>
            <w:pPr>
              <w:spacing w:after="0"/>
              <w:rPr>
                <w:sz w:val="23"/>
                <w:szCs w:val="23"/>
                <w:color w:val="auto"/>
              </w:rPr>
            </w:pPr>
          </w:p>
        </w:tc>
        <w:tc>
          <w:tcPr>
            <w:tcW w:w="320" w:type="dxa"/>
            <w:vAlign w:val="bottom"/>
            <w:tcBorders>
              <w:bottom w:val="single" w:sz="8" w:color="231F20"/>
            </w:tcBorders>
          </w:tcPr>
          <w:p>
            <w:pPr>
              <w:spacing w:after="0"/>
              <w:rPr>
                <w:sz w:val="23"/>
                <w:szCs w:val="23"/>
                <w:color w:val="auto"/>
              </w:rPr>
            </w:pPr>
          </w:p>
        </w:tc>
        <w:tc>
          <w:tcPr>
            <w:tcW w:w="8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0.649</w:t>
            </w:r>
          </w:p>
        </w:tc>
        <w:tc>
          <w:tcPr>
            <w:tcW w:w="0" w:type="dxa"/>
            <w:vAlign w:val="bottom"/>
          </w:tcPr>
          <w:p>
            <w:pPr>
              <w:spacing w:after="0"/>
              <w:rPr>
                <w:sz w:val="1"/>
                <w:szCs w:val="1"/>
                <w:color w:val="auto"/>
              </w:rPr>
            </w:pPr>
          </w:p>
        </w:tc>
      </w:tr>
      <w:tr>
        <w:trPr>
          <w:trHeight w:val="233"/>
        </w:trPr>
        <w:tc>
          <w:tcPr>
            <w:tcW w:w="6100" w:type="dxa"/>
            <w:vAlign w:val="bottom"/>
          </w:tcPr>
          <w:p>
            <w:pPr>
              <w:spacing w:after="0"/>
              <w:rPr>
                <w:sz w:val="20"/>
                <w:szCs w:val="20"/>
                <w:color w:val="auto"/>
              </w:rPr>
            </w:pPr>
          </w:p>
        </w:tc>
        <w:tc>
          <w:tcPr>
            <w:tcW w:w="280" w:type="dxa"/>
            <w:vAlign w:val="bottom"/>
          </w:tcPr>
          <w:p>
            <w:pPr>
              <w:jc w:val="right"/>
              <w:ind w:right="45"/>
              <w:spacing w:after="0"/>
              <w:rPr>
                <w:sz w:val="20"/>
                <w:szCs w:val="20"/>
                <w:color w:val="auto"/>
              </w:rPr>
            </w:pPr>
            <w:r>
              <w:rPr>
                <w:rFonts w:ascii="Times New Roman" w:cs="Times New Roman" w:eastAsia="Times New Roman" w:hAnsi="Times New Roman"/>
                <w:sz w:val="19"/>
                <w:szCs w:val="19"/>
                <w:color w:val="231F2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4.430</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9"/>
                <w:szCs w:val="19"/>
                <w:color w:val="231F2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4.370</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9"/>
                <w:szCs w:val="19"/>
                <w:color w:val="231F2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4.330</w:t>
            </w:r>
          </w:p>
        </w:tc>
        <w:tc>
          <w:tcPr>
            <w:tcW w:w="0" w:type="dxa"/>
            <w:vAlign w:val="bottom"/>
          </w:tcPr>
          <w:p>
            <w:pPr>
              <w:spacing w:after="0"/>
              <w:rPr>
                <w:sz w:val="1"/>
                <w:szCs w:val="1"/>
                <w:color w:val="auto"/>
              </w:rPr>
            </w:pPr>
          </w:p>
        </w:tc>
      </w:tr>
      <w:tr>
        <w:trPr>
          <w:trHeight w:val="20"/>
        </w:trPr>
        <w:tc>
          <w:tcPr>
            <w:tcW w:w="6100" w:type="dxa"/>
            <w:vAlign w:val="bottom"/>
            <w:vMerge w:val="restart"/>
          </w:tcPr>
          <w:p>
            <w:pPr>
              <w:spacing w:after="0"/>
              <w:rPr>
                <w:sz w:val="20"/>
                <w:szCs w:val="20"/>
                <w:color w:val="auto"/>
              </w:rPr>
            </w:pPr>
            <w:r>
              <w:rPr>
                <w:rFonts w:ascii="Times New Roman" w:cs="Times New Roman" w:eastAsia="Times New Roman" w:hAnsi="Times New Roman"/>
                <w:sz w:val="19"/>
                <w:szCs w:val="19"/>
                <w:color w:val="231F20"/>
              </w:rPr>
              <w:t>5.417% Series 1 Cumulative Convertible Preferred shares</w:t>
            </w:r>
          </w:p>
        </w:tc>
        <w:tc>
          <w:tcPr>
            <w:tcW w:w="280" w:type="dxa"/>
            <w:vAlign w:val="bottom"/>
            <w:tcBorders>
              <w:top w:val="single" w:sz="8" w:color="231F20"/>
              <w:bottom w:val="single" w:sz="8" w:color="231F20"/>
            </w:tcBorders>
          </w:tcPr>
          <w:p>
            <w:pPr>
              <w:spacing w:after="0" w:line="20" w:lineRule="exact"/>
              <w:rPr>
                <w:sz w:val="1"/>
                <w:szCs w:val="1"/>
                <w:color w:val="auto"/>
              </w:rPr>
            </w:pPr>
          </w:p>
        </w:tc>
        <w:tc>
          <w:tcPr>
            <w:tcW w:w="86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231F20"/>
              <w:bottom w:val="single" w:sz="8" w:color="231F20"/>
            </w:tcBorders>
          </w:tcPr>
          <w:p>
            <w:pPr>
              <w:spacing w:after="0" w:line="20" w:lineRule="exact"/>
              <w:rPr>
                <w:sz w:val="1"/>
                <w:szCs w:val="1"/>
                <w:color w:val="auto"/>
              </w:rPr>
            </w:pPr>
          </w:p>
        </w:tc>
        <w:tc>
          <w:tcPr>
            <w:tcW w:w="86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231F20"/>
              <w:bottom w:val="single" w:sz="8" w:color="231F20"/>
            </w:tcBorders>
          </w:tcPr>
          <w:p>
            <w:pPr>
              <w:spacing w:after="0" w:line="20" w:lineRule="exact"/>
              <w:rPr>
                <w:sz w:val="1"/>
                <w:szCs w:val="1"/>
                <w:color w:val="auto"/>
              </w:rPr>
            </w:pPr>
          </w:p>
        </w:tc>
        <w:tc>
          <w:tcPr>
            <w:tcW w:w="820" w:type="dxa"/>
            <w:vAlign w:val="bottom"/>
            <w:tcBorders>
              <w:top w:val="single" w:sz="8" w:color="231F20"/>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10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6100" w:type="dxa"/>
            <w:vAlign w:val="bottom"/>
          </w:tcPr>
          <w:p>
            <w:pPr>
              <w:ind w:left="340"/>
              <w:spacing w:after="0"/>
              <w:rPr>
                <w:sz w:val="20"/>
                <w:szCs w:val="20"/>
                <w:color w:val="auto"/>
              </w:rPr>
            </w:pPr>
            <w:r>
              <w:rPr>
                <w:rFonts w:ascii="Times New Roman" w:cs="Times New Roman" w:eastAsia="Times New Roman" w:hAnsi="Times New Roman"/>
                <w:sz w:val="19"/>
                <w:szCs w:val="19"/>
                <w:color w:val="231F20"/>
              </w:rPr>
              <w:t>Ordinary dividend</w:t>
            </w:r>
          </w:p>
        </w:tc>
        <w:tc>
          <w:tcPr>
            <w:tcW w:w="280" w:type="dxa"/>
            <w:vAlign w:val="bottom"/>
          </w:tcPr>
          <w:p>
            <w:pPr>
              <w:jc w:val="right"/>
              <w:ind w:right="45"/>
              <w:spacing w:after="0"/>
              <w:rPr>
                <w:sz w:val="20"/>
                <w:szCs w:val="20"/>
                <w:color w:val="auto"/>
              </w:rPr>
            </w:pPr>
            <w:r>
              <w:rPr>
                <w:rFonts w:ascii="Times New Roman" w:cs="Times New Roman" w:eastAsia="Times New Roman" w:hAnsi="Times New Roman"/>
                <w:sz w:val="19"/>
                <w:szCs w:val="19"/>
                <w:color w:val="231F2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1.164</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9"/>
                <w:szCs w:val="19"/>
                <w:color w:val="231F2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1.151</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9"/>
                <w:szCs w:val="19"/>
                <w:color w:val="231F2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1.313</w:t>
            </w:r>
          </w:p>
        </w:tc>
        <w:tc>
          <w:tcPr>
            <w:tcW w:w="0" w:type="dxa"/>
            <w:vAlign w:val="bottom"/>
          </w:tcPr>
          <w:p>
            <w:pPr>
              <w:spacing w:after="0"/>
              <w:rPr>
                <w:sz w:val="1"/>
                <w:szCs w:val="1"/>
                <w:color w:val="auto"/>
              </w:rPr>
            </w:pPr>
          </w:p>
        </w:tc>
      </w:tr>
      <w:tr>
        <w:trPr>
          <w:trHeight w:val="272"/>
        </w:trPr>
        <w:tc>
          <w:tcPr>
            <w:tcW w:w="6100" w:type="dxa"/>
            <w:vAlign w:val="bottom"/>
          </w:tcPr>
          <w:p>
            <w:pPr>
              <w:ind w:left="340"/>
              <w:spacing w:after="0"/>
              <w:rPr>
                <w:sz w:val="20"/>
                <w:szCs w:val="20"/>
                <w:color w:val="auto"/>
              </w:rPr>
            </w:pPr>
            <w:r>
              <w:rPr>
                <w:rFonts w:ascii="Times New Roman" w:cs="Times New Roman" w:eastAsia="Times New Roman" w:hAnsi="Times New Roman"/>
                <w:sz w:val="19"/>
                <w:szCs w:val="19"/>
                <w:color w:val="231F20"/>
              </w:rPr>
              <w:t>Capital gain</w:t>
            </w:r>
          </w:p>
        </w:tc>
        <w:tc>
          <w:tcPr>
            <w:tcW w:w="280" w:type="dxa"/>
            <w:vAlign w:val="bottom"/>
            <w:tcBorders>
              <w:bottom w:val="single" w:sz="8" w:color="231F20"/>
            </w:tcBorders>
          </w:tcPr>
          <w:p>
            <w:pPr>
              <w:spacing w:after="0"/>
              <w:rPr>
                <w:sz w:val="23"/>
                <w:szCs w:val="23"/>
                <w:color w:val="auto"/>
              </w:rPr>
            </w:pPr>
          </w:p>
        </w:tc>
        <w:tc>
          <w:tcPr>
            <w:tcW w:w="8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0.190</w:t>
            </w:r>
          </w:p>
        </w:tc>
        <w:tc>
          <w:tcPr>
            <w:tcW w:w="80" w:type="dxa"/>
            <w:vAlign w:val="bottom"/>
          </w:tcPr>
          <w:p>
            <w:pPr>
              <w:spacing w:after="0"/>
              <w:rPr>
                <w:sz w:val="23"/>
                <w:szCs w:val="23"/>
                <w:color w:val="auto"/>
              </w:rPr>
            </w:pPr>
          </w:p>
        </w:tc>
        <w:tc>
          <w:tcPr>
            <w:tcW w:w="280" w:type="dxa"/>
            <w:vAlign w:val="bottom"/>
            <w:tcBorders>
              <w:bottom w:val="single" w:sz="8" w:color="231F20"/>
            </w:tcBorders>
          </w:tcPr>
          <w:p>
            <w:pPr>
              <w:spacing w:after="0"/>
              <w:rPr>
                <w:sz w:val="23"/>
                <w:szCs w:val="23"/>
                <w:color w:val="auto"/>
              </w:rPr>
            </w:pPr>
          </w:p>
        </w:tc>
        <w:tc>
          <w:tcPr>
            <w:tcW w:w="8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0.203</w:t>
            </w:r>
          </w:p>
        </w:tc>
        <w:tc>
          <w:tcPr>
            <w:tcW w:w="60" w:type="dxa"/>
            <w:vAlign w:val="bottom"/>
          </w:tcPr>
          <w:p>
            <w:pPr>
              <w:spacing w:after="0"/>
              <w:rPr>
                <w:sz w:val="23"/>
                <w:szCs w:val="23"/>
                <w:color w:val="auto"/>
              </w:rPr>
            </w:pPr>
          </w:p>
        </w:tc>
        <w:tc>
          <w:tcPr>
            <w:tcW w:w="320" w:type="dxa"/>
            <w:vAlign w:val="bottom"/>
            <w:tcBorders>
              <w:bottom w:val="single" w:sz="8" w:color="231F20"/>
            </w:tcBorders>
          </w:tcPr>
          <w:p>
            <w:pPr>
              <w:spacing w:after="0"/>
              <w:rPr>
                <w:sz w:val="23"/>
                <w:szCs w:val="23"/>
                <w:color w:val="auto"/>
              </w:rPr>
            </w:pPr>
          </w:p>
        </w:tc>
        <w:tc>
          <w:tcPr>
            <w:tcW w:w="8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0.041</w:t>
            </w:r>
          </w:p>
        </w:tc>
        <w:tc>
          <w:tcPr>
            <w:tcW w:w="0" w:type="dxa"/>
            <w:vAlign w:val="bottom"/>
          </w:tcPr>
          <w:p>
            <w:pPr>
              <w:spacing w:after="0"/>
              <w:rPr>
                <w:sz w:val="1"/>
                <w:szCs w:val="1"/>
                <w:color w:val="auto"/>
              </w:rPr>
            </w:pPr>
          </w:p>
        </w:tc>
      </w:tr>
      <w:tr>
        <w:trPr>
          <w:trHeight w:val="233"/>
        </w:trPr>
        <w:tc>
          <w:tcPr>
            <w:tcW w:w="6100" w:type="dxa"/>
            <w:vAlign w:val="bottom"/>
          </w:tcPr>
          <w:p>
            <w:pPr>
              <w:spacing w:after="0"/>
              <w:rPr>
                <w:sz w:val="20"/>
                <w:szCs w:val="20"/>
                <w:color w:val="auto"/>
              </w:rPr>
            </w:pPr>
          </w:p>
        </w:tc>
        <w:tc>
          <w:tcPr>
            <w:tcW w:w="280" w:type="dxa"/>
            <w:vAlign w:val="bottom"/>
          </w:tcPr>
          <w:p>
            <w:pPr>
              <w:jc w:val="right"/>
              <w:ind w:right="45"/>
              <w:spacing w:after="0"/>
              <w:rPr>
                <w:sz w:val="20"/>
                <w:szCs w:val="20"/>
                <w:color w:val="auto"/>
              </w:rPr>
            </w:pPr>
            <w:r>
              <w:rPr>
                <w:rFonts w:ascii="Times New Roman" w:cs="Times New Roman" w:eastAsia="Times New Roman" w:hAnsi="Times New Roman"/>
                <w:sz w:val="19"/>
                <w:szCs w:val="19"/>
                <w:color w:val="231F2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1.354</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9"/>
                <w:szCs w:val="19"/>
                <w:color w:val="231F2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1.354</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9"/>
                <w:szCs w:val="19"/>
                <w:color w:val="231F2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1.354</w:t>
            </w:r>
          </w:p>
        </w:tc>
        <w:tc>
          <w:tcPr>
            <w:tcW w:w="0" w:type="dxa"/>
            <w:vAlign w:val="bottom"/>
          </w:tcPr>
          <w:p>
            <w:pPr>
              <w:spacing w:after="0"/>
              <w:rPr>
                <w:sz w:val="1"/>
                <w:szCs w:val="1"/>
                <w:color w:val="auto"/>
              </w:rPr>
            </w:pPr>
          </w:p>
        </w:tc>
      </w:tr>
      <w:tr>
        <w:trPr>
          <w:trHeight w:val="20"/>
        </w:trPr>
        <w:tc>
          <w:tcPr>
            <w:tcW w:w="6100" w:type="dxa"/>
            <w:vAlign w:val="bottom"/>
            <w:vMerge w:val="restart"/>
          </w:tcPr>
          <w:p>
            <w:pPr>
              <w:spacing w:after="0"/>
              <w:rPr>
                <w:sz w:val="20"/>
                <w:szCs w:val="20"/>
                <w:color w:val="auto"/>
              </w:rPr>
            </w:pPr>
            <w:r>
              <w:rPr>
                <w:rFonts w:ascii="Times New Roman" w:cs="Times New Roman" w:eastAsia="Times New Roman" w:hAnsi="Times New Roman"/>
                <w:sz w:val="19"/>
                <w:szCs w:val="19"/>
                <w:color w:val="231F20"/>
              </w:rPr>
              <w:t>5.0% Series C Cumulative Redeemable Preferred shares</w:t>
            </w:r>
          </w:p>
        </w:tc>
        <w:tc>
          <w:tcPr>
            <w:tcW w:w="280" w:type="dxa"/>
            <w:vAlign w:val="bottom"/>
            <w:tcBorders>
              <w:top w:val="single" w:sz="8" w:color="231F20"/>
              <w:bottom w:val="single" w:sz="8" w:color="231F20"/>
            </w:tcBorders>
          </w:tcPr>
          <w:p>
            <w:pPr>
              <w:spacing w:after="0" w:line="20" w:lineRule="exact"/>
              <w:rPr>
                <w:sz w:val="1"/>
                <w:szCs w:val="1"/>
                <w:color w:val="auto"/>
              </w:rPr>
            </w:pPr>
          </w:p>
        </w:tc>
        <w:tc>
          <w:tcPr>
            <w:tcW w:w="86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231F20"/>
              <w:bottom w:val="single" w:sz="8" w:color="231F20"/>
            </w:tcBorders>
          </w:tcPr>
          <w:p>
            <w:pPr>
              <w:spacing w:after="0" w:line="20" w:lineRule="exact"/>
              <w:rPr>
                <w:sz w:val="1"/>
                <w:szCs w:val="1"/>
                <w:color w:val="auto"/>
              </w:rPr>
            </w:pPr>
          </w:p>
        </w:tc>
        <w:tc>
          <w:tcPr>
            <w:tcW w:w="86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231F20"/>
              <w:bottom w:val="single" w:sz="8" w:color="231F20"/>
            </w:tcBorders>
          </w:tcPr>
          <w:p>
            <w:pPr>
              <w:spacing w:after="0" w:line="20" w:lineRule="exact"/>
              <w:rPr>
                <w:sz w:val="1"/>
                <w:szCs w:val="1"/>
                <w:color w:val="auto"/>
              </w:rPr>
            </w:pPr>
          </w:p>
        </w:tc>
        <w:tc>
          <w:tcPr>
            <w:tcW w:w="820" w:type="dxa"/>
            <w:vAlign w:val="bottom"/>
            <w:tcBorders>
              <w:top w:val="single" w:sz="8" w:color="231F20"/>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10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6100" w:type="dxa"/>
            <w:vAlign w:val="bottom"/>
          </w:tcPr>
          <w:p>
            <w:pPr>
              <w:ind w:left="340"/>
              <w:spacing w:after="0"/>
              <w:rPr>
                <w:sz w:val="20"/>
                <w:szCs w:val="20"/>
                <w:color w:val="auto"/>
              </w:rPr>
            </w:pPr>
            <w:r>
              <w:rPr>
                <w:rFonts w:ascii="Times New Roman" w:cs="Times New Roman" w:eastAsia="Times New Roman" w:hAnsi="Times New Roman"/>
                <w:sz w:val="19"/>
                <w:szCs w:val="19"/>
                <w:color w:val="231F20"/>
              </w:rPr>
              <w:t>Ordinary dividend</w:t>
            </w:r>
          </w:p>
        </w:tc>
        <w:tc>
          <w:tcPr>
            <w:tcW w:w="280" w:type="dxa"/>
            <w:vAlign w:val="bottom"/>
          </w:tcPr>
          <w:p>
            <w:pPr>
              <w:jc w:val="right"/>
              <w:ind w:right="45"/>
              <w:spacing w:after="0"/>
              <w:rPr>
                <w:sz w:val="20"/>
                <w:szCs w:val="20"/>
                <w:color w:val="auto"/>
              </w:rPr>
            </w:pPr>
            <w:r>
              <w:rPr>
                <w:rFonts w:ascii="Times New Roman" w:cs="Times New Roman" w:eastAsia="Times New Roman" w:hAnsi="Times New Roman"/>
                <w:sz w:val="19"/>
                <w:szCs w:val="19"/>
                <w:color w:val="231F2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1.075</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9"/>
                <w:szCs w:val="19"/>
                <w:color w:val="231F2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1.063</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1.213</w:t>
            </w:r>
          </w:p>
        </w:tc>
        <w:tc>
          <w:tcPr>
            <w:tcW w:w="0" w:type="dxa"/>
            <w:vAlign w:val="bottom"/>
          </w:tcPr>
          <w:p>
            <w:pPr>
              <w:spacing w:after="0"/>
              <w:rPr>
                <w:sz w:val="1"/>
                <w:szCs w:val="1"/>
                <w:color w:val="auto"/>
              </w:rPr>
            </w:pPr>
          </w:p>
        </w:tc>
      </w:tr>
      <w:tr>
        <w:trPr>
          <w:trHeight w:val="272"/>
        </w:trPr>
        <w:tc>
          <w:tcPr>
            <w:tcW w:w="6100" w:type="dxa"/>
            <w:vAlign w:val="bottom"/>
          </w:tcPr>
          <w:p>
            <w:pPr>
              <w:ind w:left="340"/>
              <w:spacing w:after="0"/>
              <w:rPr>
                <w:sz w:val="20"/>
                <w:szCs w:val="20"/>
                <w:color w:val="auto"/>
              </w:rPr>
            </w:pPr>
            <w:r>
              <w:rPr>
                <w:rFonts w:ascii="Times New Roman" w:cs="Times New Roman" w:eastAsia="Times New Roman" w:hAnsi="Times New Roman"/>
                <w:sz w:val="19"/>
                <w:szCs w:val="19"/>
                <w:color w:val="231F20"/>
              </w:rPr>
              <w:t>Capital gain</w:t>
            </w:r>
          </w:p>
        </w:tc>
        <w:tc>
          <w:tcPr>
            <w:tcW w:w="280" w:type="dxa"/>
            <w:vAlign w:val="bottom"/>
            <w:tcBorders>
              <w:bottom w:val="single" w:sz="8" w:color="231F20"/>
            </w:tcBorders>
          </w:tcPr>
          <w:p>
            <w:pPr>
              <w:spacing w:after="0"/>
              <w:rPr>
                <w:sz w:val="23"/>
                <w:szCs w:val="23"/>
                <w:color w:val="auto"/>
              </w:rPr>
            </w:pPr>
          </w:p>
        </w:tc>
        <w:tc>
          <w:tcPr>
            <w:tcW w:w="8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0.175</w:t>
            </w:r>
          </w:p>
        </w:tc>
        <w:tc>
          <w:tcPr>
            <w:tcW w:w="80" w:type="dxa"/>
            <w:vAlign w:val="bottom"/>
          </w:tcPr>
          <w:p>
            <w:pPr>
              <w:spacing w:after="0"/>
              <w:rPr>
                <w:sz w:val="23"/>
                <w:szCs w:val="23"/>
                <w:color w:val="auto"/>
              </w:rPr>
            </w:pPr>
          </w:p>
        </w:tc>
        <w:tc>
          <w:tcPr>
            <w:tcW w:w="280" w:type="dxa"/>
            <w:vAlign w:val="bottom"/>
            <w:tcBorders>
              <w:bottom w:val="single" w:sz="8" w:color="231F20"/>
            </w:tcBorders>
          </w:tcPr>
          <w:p>
            <w:pPr>
              <w:spacing w:after="0"/>
              <w:rPr>
                <w:sz w:val="23"/>
                <w:szCs w:val="23"/>
                <w:color w:val="auto"/>
              </w:rPr>
            </w:pPr>
          </w:p>
        </w:tc>
        <w:tc>
          <w:tcPr>
            <w:tcW w:w="8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0.187</w:t>
            </w:r>
          </w:p>
        </w:tc>
        <w:tc>
          <w:tcPr>
            <w:tcW w:w="60" w:type="dxa"/>
            <w:vAlign w:val="bottom"/>
          </w:tcPr>
          <w:p>
            <w:pPr>
              <w:spacing w:after="0"/>
              <w:rPr>
                <w:sz w:val="23"/>
                <w:szCs w:val="23"/>
                <w:color w:val="auto"/>
              </w:rPr>
            </w:pPr>
          </w:p>
        </w:tc>
        <w:tc>
          <w:tcPr>
            <w:tcW w:w="320" w:type="dxa"/>
            <w:vAlign w:val="bottom"/>
            <w:tcBorders>
              <w:bottom w:val="single" w:sz="8" w:color="231F20"/>
            </w:tcBorders>
          </w:tcPr>
          <w:p>
            <w:pPr>
              <w:spacing w:after="0"/>
              <w:rPr>
                <w:sz w:val="23"/>
                <w:szCs w:val="23"/>
                <w:color w:val="auto"/>
              </w:rPr>
            </w:pPr>
          </w:p>
        </w:tc>
        <w:tc>
          <w:tcPr>
            <w:tcW w:w="8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0.037</w:t>
            </w:r>
          </w:p>
        </w:tc>
        <w:tc>
          <w:tcPr>
            <w:tcW w:w="0" w:type="dxa"/>
            <w:vAlign w:val="bottom"/>
          </w:tcPr>
          <w:p>
            <w:pPr>
              <w:spacing w:after="0"/>
              <w:rPr>
                <w:sz w:val="1"/>
                <w:szCs w:val="1"/>
                <w:color w:val="auto"/>
              </w:rPr>
            </w:pPr>
          </w:p>
        </w:tc>
      </w:tr>
      <w:tr>
        <w:trPr>
          <w:trHeight w:val="233"/>
        </w:trPr>
        <w:tc>
          <w:tcPr>
            <w:tcW w:w="6100" w:type="dxa"/>
            <w:vAlign w:val="bottom"/>
          </w:tcPr>
          <w:p>
            <w:pPr>
              <w:spacing w:after="0"/>
              <w:rPr>
                <w:sz w:val="20"/>
                <w:szCs w:val="20"/>
                <w:color w:val="auto"/>
              </w:rPr>
            </w:pPr>
          </w:p>
        </w:tc>
        <w:tc>
          <w:tcPr>
            <w:tcW w:w="280" w:type="dxa"/>
            <w:vAlign w:val="bottom"/>
          </w:tcPr>
          <w:p>
            <w:pPr>
              <w:jc w:val="right"/>
              <w:ind w:right="45"/>
              <w:spacing w:after="0"/>
              <w:rPr>
                <w:sz w:val="20"/>
                <w:szCs w:val="20"/>
                <w:color w:val="auto"/>
              </w:rPr>
            </w:pPr>
            <w:r>
              <w:rPr>
                <w:rFonts w:ascii="Times New Roman" w:cs="Times New Roman" w:eastAsia="Times New Roman" w:hAnsi="Times New Roman"/>
                <w:sz w:val="19"/>
                <w:szCs w:val="19"/>
                <w:color w:val="231F2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1.250</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9"/>
                <w:szCs w:val="19"/>
                <w:color w:val="231F2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1.250</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9"/>
                <w:szCs w:val="19"/>
                <w:color w:val="231F2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1.250</w:t>
            </w: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280" w:type="dxa"/>
            <w:vAlign w:val="bottom"/>
            <w:tcBorders>
              <w:top w:val="single" w:sz="8" w:color="231F20"/>
              <w:bottom w:val="single" w:sz="8" w:color="231F20"/>
            </w:tcBorders>
          </w:tcPr>
          <w:p>
            <w:pPr>
              <w:spacing w:after="0" w:line="20" w:lineRule="exact"/>
              <w:rPr>
                <w:sz w:val="1"/>
                <w:szCs w:val="1"/>
                <w:color w:val="auto"/>
              </w:rPr>
            </w:pPr>
          </w:p>
        </w:tc>
        <w:tc>
          <w:tcPr>
            <w:tcW w:w="86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231F20"/>
              <w:bottom w:val="single" w:sz="8" w:color="231F20"/>
            </w:tcBorders>
          </w:tcPr>
          <w:p>
            <w:pPr>
              <w:spacing w:after="0" w:line="20" w:lineRule="exact"/>
              <w:rPr>
                <w:sz w:val="1"/>
                <w:szCs w:val="1"/>
                <w:color w:val="auto"/>
              </w:rPr>
            </w:pPr>
          </w:p>
        </w:tc>
        <w:tc>
          <w:tcPr>
            <w:tcW w:w="86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231F20"/>
              <w:bottom w:val="single" w:sz="8" w:color="231F20"/>
            </w:tcBorders>
          </w:tcPr>
          <w:p>
            <w:pPr>
              <w:spacing w:after="0" w:line="20" w:lineRule="exact"/>
              <w:rPr>
                <w:sz w:val="1"/>
                <w:szCs w:val="1"/>
                <w:color w:val="auto"/>
              </w:rPr>
            </w:pPr>
          </w:p>
        </w:tc>
        <w:tc>
          <w:tcPr>
            <w:tcW w:w="820" w:type="dxa"/>
            <w:vAlign w:val="bottom"/>
            <w:tcBorders>
              <w:top w:val="single" w:sz="8" w:color="231F20"/>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3" w:lineRule="exact"/>
        <w:rPr>
          <w:sz w:val="20"/>
          <w:szCs w:val="20"/>
          <w:color w:val="auto"/>
        </w:rPr>
      </w:pPr>
    </w:p>
    <w:p>
      <w:pPr>
        <w:jc w:val="both"/>
        <w:ind w:right="100"/>
        <w:spacing w:after="0" w:line="284" w:lineRule="auto"/>
        <w:rPr>
          <w:sz w:val="20"/>
          <w:szCs w:val="20"/>
          <w:color w:val="auto"/>
        </w:rPr>
      </w:pPr>
      <w:r>
        <w:rPr>
          <w:rFonts w:ascii="Times New Roman" w:cs="Times New Roman" w:eastAsia="Times New Roman" w:hAnsi="Times New Roman"/>
          <w:sz w:val="19"/>
          <w:szCs w:val="19"/>
          <w:color w:val="231F20"/>
        </w:rPr>
        <w:t>On October 31, 2025, the Trustees declared a quarterly cash dividend of $1.13 per common share, payable January 15, 2026 to common shareholders of record on January 2, 2026.</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NOTE 10— LEASES</w:t>
      </w:r>
    </w:p>
    <w:p>
      <w:pPr>
        <w:spacing w:after="0" w:line="11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9"/>
          <w:szCs w:val="19"/>
          <w:color w:val="231F20"/>
        </w:rPr>
        <w:t>At December 31, 2025, our 104 predominantly retail shopping center and mixed-use properties are located in 14 states and the District of Columbia. There are approximately 3,700 commercial leases and 2,700 residential leases. Our commercial tenants range from sole proprietorships to national retailers and corporations. At December 31, 2025, no one tenant or corporate group of tenants accounted for more than 2.4% of annualized base rent.</w:t>
      </w:r>
    </w:p>
    <w:p>
      <w:pPr>
        <w:spacing w:after="0" w:line="133"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9"/>
          <w:szCs w:val="19"/>
          <w:color w:val="231F20"/>
        </w:rPr>
        <w:t>Our leases with commercial property and residential tenants are classified as operating leases. Commercial property leases generally range from three to ten years (certain leases with anchor tenants may be longer), and in addition to minimum rents, may provide for percentage rents based on the tenant’s level of sales achieved and cost recoveries for the tenant’s share of certain operating costs. Leases on apartments are generally for a period of 1 year or less.</w:t>
      </w:r>
    </w:p>
    <w:p>
      <w:pPr>
        <w:spacing w:after="0" w:line="133" w:lineRule="exact"/>
        <w:rPr>
          <w:sz w:val="20"/>
          <w:szCs w:val="20"/>
          <w:color w:val="auto"/>
        </w:rPr>
      </w:pPr>
    </w:p>
    <w:p>
      <w:pPr>
        <w:ind w:right="380"/>
        <w:spacing w:after="0" w:line="284" w:lineRule="auto"/>
        <w:rPr>
          <w:sz w:val="20"/>
          <w:szCs w:val="20"/>
          <w:color w:val="auto"/>
        </w:rPr>
      </w:pPr>
      <w:r>
        <w:rPr>
          <w:rFonts w:ascii="Times New Roman" w:cs="Times New Roman" w:eastAsia="Times New Roman" w:hAnsi="Times New Roman"/>
          <w:sz w:val="19"/>
          <w:szCs w:val="19"/>
          <w:color w:val="231F20"/>
        </w:rPr>
        <w:t>As of December 31, 2025, future minimum rentals from noncancelable commercial operating leases (excluding both tenant reimbursements of operating expenses and percentage rent based on tenants' sales) are as follows:</w:t>
      </w:r>
    </w:p>
    <w:p>
      <w:pPr>
        <w:spacing w:after="0" w:line="391" w:lineRule="exact"/>
        <w:rPr>
          <w:sz w:val="20"/>
          <w:szCs w:val="20"/>
          <w:color w:val="auto"/>
        </w:rPr>
      </w:pPr>
    </w:p>
    <w:tbl>
      <w:tblPr>
        <w:tblLayout w:type="fixed"/>
        <w:tblInd w:w="60" w:type="dxa"/>
        <w:tblCellMar>
          <w:top w:w="0" w:type="dxa"/>
          <w:left w:w="0" w:type="dxa"/>
          <w:bottom w:w="0" w:type="dxa"/>
          <w:right w:w="0" w:type="dxa"/>
        </w:tblCellMar>
      </w:tblPr>
      <w:tr>
        <w:trPr>
          <w:trHeight w:val="202"/>
        </w:trPr>
        <w:tc>
          <w:tcPr>
            <w:tcW w:w="8540" w:type="dxa"/>
            <w:vAlign w:val="bottom"/>
          </w:tcPr>
          <w:p>
            <w:pPr>
              <w:spacing w:after="0"/>
              <w:rPr>
                <w:sz w:val="17"/>
                <w:szCs w:val="17"/>
                <w:color w:val="auto"/>
              </w:rPr>
            </w:pPr>
          </w:p>
        </w:tc>
        <w:tc>
          <w:tcPr>
            <w:tcW w:w="1140" w:type="dxa"/>
            <w:vAlign w:val="bottom"/>
            <w:gridSpan w:val="2"/>
          </w:tcPr>
          <w:p>
            <w:pPr>
              <w:jc w:val="right"/>
              <w:ind w:right="5"/>
              <w:spacing w:after="0"/>
              <w:rPr>
                <w:sz w:val="20"/>
                <w:szCs w:val="20"/>
                <w:color w:val="auto"/>
              </w:rPr>
            </w:pPr>
            <w:r>
              <w:rPr>
                <w:rFonts w:ascii="Times New Roman" w:cs="Times New Roman" w:eastAsia="Times New Roman" w:hAnsi="Times New Roman"/>
                <w:sz w:val="15"/>
                <w:szCs w:val="15"/>
                <w:b w:val="1"/>
                <w:bCs w:val="1"/>
                <w:color w:val="231F20"/>
              </w:rPr>
              <w:t>(In thousands)</w:t>
            </w:r>
          </w:p>
        </w:tc>
      </w:tr>
      <w:tr>
        <w:trPr>
          <w:trHeight w:val="255"/>
        </w:trPr>
        <w:tc>
          <w:tcPr>
            <w:tcW w:w="8540" w:type="dxa"/>
            <w:vAlign w:val="bottom"/>
          </w:tcPr>
          <w:p>
            <w:pPr>
              <w:spacing w:after="0"/>
              <w:rPr>
                <w:sz w:val="20"/>
                <w:szCs w:val="20"/>
                <w:color w:val="auto"/>
              </w:rPr>
            </w:pPr>
            <w:r>
              <w:rPr>
                <w:rFonts w:ascii="Times New Roman" w:cs="Times New Roman" w:eastAsia="Times New Roman" w:hAnsi="Times New Roman"/>
                <w:sz w:val="19"/>
                <w:szCs w:val="19"/>
                <w:color w:val="231F20"/>
              </w:rPr>
              <w:t>Year ending December 31,</w:t>
            </w: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91"/>
        </w:trPr>
        <w:tc>
          <w:tcPr>
            <w:tcW w:w="8540" w:type="dxa"/>
            <w:vAlign w:val="bottom"/>
          </w:tcPr>
          <w:p>
            <w:pPr>
              <w:spacing w:after="0"/>
              <w:rPr>
                <w:sz w:val="20"/>
                <w:szCs w:val="20"/>
                <w:color w:val="auto"/>
              </w:rPr>
            </w:pPr>
            <w:r>
              <w:rPr>
                <w:rFonts w:ascii="Times New Roman" w:cs="Times New Roman" w:eastAsia="Times New Roman" w:hAnsi="Times New Roman"/>
                <w:sz w:val="19"/>
                <w:szCs w:val="19"/>
                <w:color w:val="231F20"/>
              </w:rPr>
              <w:t>2026</w:t>
            </w: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849,788</w:t>
            </w:r>
          </w:p>
        </w:tc>
      </w:tr>
      <w:tr>
        <w:trPr>
          <w:trHeight w:val="271"/>
        </w:trPr>
        <w:tc>
          <w:tcPr>
            <w:tcW w:w="8540" w:type="dxa"/>
            <w:vAlign w:val="bottom"/>
          </w:tcPr>
          <w:p>
            <w:pPr>
              <w:spacing w:after="0"/>
              <w:rPr>
                <w:sz w:val="20"/>
                <w:szCs w:val="20"/>
                <w:color w:val="auto"/>
              </w:rPr>
            </w:pPr>
            <w:r>
              <w:rPr>
                <w:rFonts w:ascii="Times New Roman" w:cs="Times New Roman" w:eastAsia="Times New Roman" w:hAnsi="Times New Roman"/>
                <w:sz w:val="19"/>
                <w:szCs w:val="19"/>
                <w:color w:val="231F20"/>
              </w:rPr>
              <w:t>2027</w:t>
            </w:r>
          </w:p>
        </w:tc>
        <w:tc>
          <w:tcPr>
            <w:tcW w:w="2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809,503</w:t>
            </w:r>
          </w:p>
        </w:tc>
      </w:tr>
      <w:tr>
        <w:trPr>
          <w:trHeight w:val="271"/>
        </w:trPr>
        <w:tc>
          <w:tcPr>
            <w:tcW w:w="8540" w:type="dxa"/>
            <w:vAlign w:val="bottom"/>
          </w:tcPr>
          <w:p>
            <w:pPr>
              <w:spacing w:after="0"/>
              <w:rPr>
                <w:sz w:val="20"/>
                <w:szCs w:val="20"/>
                <w:color w:val="auto"/>
              </w:rPr>
            </w:pPr>
            <w:r>
              <w:rPr>
                <w:rFonts w:ascii="Times New Roman" w:cs="Times New Roman" w:eastAsia="Times New Roman" w:hAnsi="Times New Roman"/>
                <w:sz w:val="19"/>
                <w:szCs w:val="19"/>
                <w:color w:val="231F20"/>
              </w:rPr>
              <w:t>2028</w:t>
            </w:r>
          </w:p>
        </w:tc>
        <w:tc>
          <w:tcPr>
            <w:tcW w:w="2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714,912</w:t>
            </w:r>
          </w:p>
        </w:tc>
      </w:tr>
      <w:tr>
        <w:trPr>
          <w:trHeight w:val="271"/>
        </w:trPr>
        <w:tc>
          <w:tcPr>
            <w:tcW w:w="8540" w:type="dxa"/>
            <w:vAlign w:val="bottom"/>
          </w:tcPr>
          <w:p>
            <w:pPr>
              <w:spacing w:after="0"/>
              <w:rPr>
                <w:sz w:val="20"/>
                <w:szCs w:val="20"/>
                <w:color w:val="auto"/>
              </w:rPr>
            </w:pPr>
            <w:r>
              <w:rPr>
                <w:rFonts w:ascii="Times New Roman" w:cs="Times New Roman" w:eastAsia="Times New Roman" w:hAnsi="Times New Roman"/>
                <w:sz w:val="19"/>
                <w:szCs w:val="19"/>
                <w:color w:val="231F20"/>
              </w:rPr>
              <w:t>2029</w:t>
            </w:r>
          </w:p>
        </w:tc>
        <w:tc>
          <w:tcPr>
            <w:tcW w:w="2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618,592</w:t>
            </w:r>
          </w:p>
        </w:tc>
      </w:tr>
      <w:tr>
        <w:trPr>
          <w:trHeight w:val="271"/>
        </w:trPr>
        <w:tc>
          <w:tcPr>
            <w:tcW w:w="8540" w:type="dxa"/>
            <w:vAlign w:val="bottom"/>
          </w:tcPr>
          <w:p>
            <w:pPr>
              <w:spacing w:after="0"/>
              <w:rPr>
                <w:sz w:val="20"/>
                <w:szCs w:val="20"/>
                <w:color w:val="auto"/>
              </w:rPr>
            </w:pPr>
            <w:r>
              <w:rPr>
                <w:rFonts w:ascii="Times New Roman" w:cs="Times New Roman" w:eastAsia="Times New Roman" w:hAnsi="Times New Roman"/>
                <w:sz w:val="19"/>
                <w:szCs w:val="19"/>
                <w:color w:val="231F20"/>
              </w:rPr>
              <w:t>2030</w:t>
            </w:r>
          </w:p>
        </w:tc>
        <w:tc>
          <w:tcPr>
            <w:tcW w:w="2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514,022</w:t>
            </w:r>
          </w:p>
        </w:tc>
      </w:tr>
      <w:tr>
        <w:trPr>
          <w:trHeight w:val="272"/>
        </w:trPr>
        <w:tc>
          <w:tcPr>
            <w:tcW w:w="8540" w:type="dxa"/>
            <w:vAlign w:val="bottom"/>
          </w:tcPr>
          <w:p>
            <w:pPr>
              <w:spacing w:after="0"/>
              <w:rPr>
                <w:sz w:val="20"/>
                <w:szCs w:val="20"/>
                <w:color w:val="auto"/>
              </w:rPr>
            </w:pPr>
            <w:r>
              <w:rPr>
                <w:rFonts w:ascii="Times New Roman" w:cs="Times New Roman" w:eastAsia="Times New Roman" w:hAnsi="Times New Roman"/>
                <w:sz w:val="19"/>
                <w:szCs w:val="19"/>
                <w:color w:val="231F20"/>
              </w:rPr>
              <w:t>Thereafter</w:t>
            </w:r>
          </w:p>
        </w:tc>
        <w:tc>
          <w:tcPr>
            <w:tcW w:w="220" w:type="dxa"/>
            <w:vAlign w:val="bottom"/>
            <w:tcBorders>
              <w:bottom w:val="single" w:sz="8" w:color="231F20"/>
            </w:tcBorders>
          </w:tcPr>
          <w:p>
            <w:pPr>
              <w:spacing w:after="0"/>
              <w:rPr>
                <w:sz w:val="23"/>
                <w:szCs w:val="23"/>
                <w:color w:val="auto"/>
              </w:rPr>
            </w:pPr>
          </w:p>
        </w:tc>
        <w:tc>
          <w:tcPr>
            <w:tcW w:w="9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1,938,559</w:t>
            </w:r>
          </w:p>
        </w:tc>
      </w:tr>
      <w:tr>
        <w:trPr>
          <w:trHeight w:val="233"/>
        </w:trPr>
        <w:tc>
          <w:tcPr>
            <w:tcW w:w="8540" w:type="dxa"/>
            <w:vAlign w:val="bottom"/>
          </w:tcPr>
          <w:p>
            <w:pPr>
              <w:spacing w:after="0"/>
              <w:rPr>
                <w:sz w:val="20"/>
                <w:szCs w:val="20"/>
                <w:color w:val="auto"/>
              </w:rPr>
            </w:pPr>
          </w:p>
        </w:tc>
        <w:tc>
          <w:tcPr>
            <w:tcW w:w="2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9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5,445,376</w:t>
            </w:r>
          </w:p>
        </w:tc>
      </w:tr>
      <w:tr>
        <w:trPr>
          <w:trHeight w:val="20"/>
        </w:trPr>
        <w:tc>
          <w:tcPr>
            <w:tcW w:w="8540" w:type="dxa"/>
            <w:vAlign w:val="bottom"/>
          </w:tcPr>
          <w:p>
            <w:pPr>
              <w:spacing w:after="0" w:line="20" w:lineRule="exact"/>
              <w:rPr>
                <w:sz w:val="1"/>
                <w:szCs w:val="1"/>
                <w:color w:val="auto"/>
              </w:rPr>
            </w:pPr>
          </w:p>
        </w:tc>
        <w:tc>
          <w:tcPr>
            <w:tcW w:w="220" w:type="dxa"/>
            <w:vAlign w:val="bottom"/>
            <w:tcBorders>
              <w:bottom w:val="single" w:sz="8" w:color="231F20"/>
            </w:tcBorders>
          </w:tcPr>
          <w:p>
            <w:pPr>
              <w:spacing w:after="0" w:line="20" w:lineRule="exact"/>
              <w:rPr>
                <w:sz w:val="1"/>
                <w:szCs w:val="1"/>
                <w:color w:val="auto"/>
              </w:rPr>
            </w:pPr>
          </w:p>
        </w:tc>
        <w:tc>
          <w:tcPr>
            <w:tcW w:w="920" w:type="dxa"/>
            <w:vAlign w:val="bottom"/>
            <w:tcBorders>
              <w:bottom w:val="single" w:sz="8" w:color="231F20"/>
            </w:tcBorders>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9740"/>
          </w:cols>
          <w:pgMar w:left="1060" w:top="963"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231F20"/>
        </w:rPr>
        <w:t>F-35</w:t>
      </w:r>
    </w:p>
    <w:p>
      <w:pPr>
        <w:sectPr>
          <w:pgSz w:w="11880" w:h="15480" w:orient="portrait"/>
          <w:cols w:equalWidth="0" w:num="1">
            <w:col w:w="9740"/>
          </w:cols>
          <w:pgMar w:left="1060" w:top="963" w:right="1080" w:bottom="0" w:gutter="0" w:footer="0" w:header="0"/>
          <w:type w:val="continuous"/>
        </w:sectPr>
      </w:pPr>
    </w:p>
    <w:bookmarkStart w:id="99" w:name="page100"/>
    <w:bookmarkEnd w:id="99"/>
    <w:p>
      <w:pPr>
        <w:spacing w:after="0"/>
        <w:rPr>
          <w:sz w:val="20"/>
          <w:szCs w:val="20"/>
          <w:color w:val="auto"/>
        </w:rPr>
      </w:pPr>
      <w:r>
        <w:rPr>
          <w:rFonts w:ascii="Times New Roman" w:cs="Times New Roman" w:eastAsia="Times New Roman" w:hAnsi="Times New Roman"/>
          <w:sz w:val="19"/>
          <w:szCs w:val="19"/>
          <w:color w:val="231F20"/>
        </w:rPr>
        <w:t>The following table provides additional information on our operating and finance leases where we are the lessee:</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560" w:type="dxa"/>
            <w:vAlign w:val="bottom"/>
          </w:tcPr>
          <w:p>
            <w:pPr>
              <w:spacing w:after="0"/>
              <w:rPr>
                <w:sz w:val="17"/>
                <w:szCs w:val="17"/>
                <w:color w:val="auto"/>
              </w:rPr>
            </w:pPr>
          </w:p>
        </w:tc>
        <w:tc>
          <w:tcPr>
            <w:tcW w:w="360" w:type="dxa"/>
            <w:vAlign w:val="bottom"/>
            <w:tcBorders>
              <w:bottom w:val="single" w:sz="8" w:color="231F20"/>
            </w:tcBorders>
          </w:tcPr>
          <w:p>
            <w:pPr>
              <w:spacing w:after="0"/>
              <w:rPr>
                <w:sz w:val="17"/>
                <w:szCs w:val="17"/>
                <w:color w:val="auto"/>
              </w:rPr>
            </w:pPr>
          </w:p>
        </w:tc>
        <w:tc>
          <w:tcPr>
            <w:tcW w:w="520" w:type="dxa"/>
            <w:vAlign w:val="bottom"/>
            <w:tcBorders>
              <w:bottom w:val="single" w:sz="8" w:color="231F20"/>
            </w:tcBorders>
          </w:tcPr>
          <w:p>
            <w:pPr>
              <w:spacing w:after="0"/>
              <w:rPr>
                <w:sz w:val="17"/>
                <w:szCs w:val="17"/>
                <w:color w:val="auto"/>
              </w:rPr>
            </w:pPr>
          </w:p>
        </w:tc>
        <w:tc>
          <w:tcPr>
            <w:tcW w:w="160" w:type="dxa"/>
            <w:vAlign w:val="bottom"/>
            <w:tcBorders>
              <w:bottom w:val="single" w:sz="8" w:color="231F20"/>
            </w:tcBorders>
          </w:tcPr>
          <w:p>
            <w:pPr>
              <w:spacing w:after="0"/>
              <w:rPr>
                <w:sz w:val="17"/>
                <w:szCs w:val="17"/>
                <w:color w:val="auto"/>
              </w:rPr>
            </w:pPr>
          </w:p>
        </w:tc>
        <w:tc>
          <w:tcPr>
            <w:tcW w:w="2000" w:type="dxa"/>
            <w:vAlign w:val="bottom"/>
            <w:tcBorders>
              <w:bottom w:val="single" w:sz="8" w:color="231F20"/>
            </w:tcBorders>
            <w:gridSpan w:val="9"/>
          </w:tcPr>
          <w:p>
            <w:pPr>
              <w:jc w:val="center"/>
              <w:ind w:left="8"/>
              <w:spacing w:after="0"/>
              <w:rPr>
                <w:sz w:val="20"/>
                <w:szCs w:val="20"/>
                <w:color w:val="auto"/>
              </w:rPr>
            </w:pPr>
            <w:r>
              <w:rPr>
                <w:rFonts w:ascii="Times New Roman" w:cs="Times New Roman" w:eastAsia="Times New Roman" w:hAnsi="Times New Roman"/>
                <w:sz w:val="15"/>
                <w:szCs w:val="15"/>
                <w:b w:val="1"/>
                <w:bCs w:val="1"/>
                <w:color w:val="231F20"/>
              </w:rPr>
              <w:t>Year Ended December 31,</w:t>
            </w:r>
          </w:p>
        </w:tc>
        <w:tc>
          <w:tcPr>
            <w:tcW w:w="80" w:type="dxa"/>
            <w:vAlign w:val="bottom"/>
            <w:tcBorders>
              <w:bottom w:val="single" w:sz="8" w:color="231F20"/>
            </w:tcBorders>
          </w:tcPr>
          <w:p>
            <w:pPr>
              <w:spacing w:after="0"/>
              <w:rPr>
                <w:sz w:val="17"/>
                <w:szCs w:val="17"/>
                <w:color w:val="auto"/>
              </w:rPr>
            </w:pPr>
          </w:p>
        </w:tc>
        <w:tc>
          <w:tcPr>
            <w:tcW w:w="200" w:type="dxa"/>
            <w:vAlign w:val="bottom"/>
            <w:tcBorders>
              <w:bottom w:val="single" w:sz="8" w:color="231F20"/>
            </w:tcBorders>
          </w:tcPr>
          <w:p>
            <w:pPr>
              <w:spacing w:after="0"/>
              <w:rPr>
                <w:sz w:val="17"/>
                <w:szCs w:val="17"/>
                <w:color w:val="auto"/>
              </w:rPr>
            </w:pPr>
          </w:p>
        </w:tc>
        <w:tc>
          <w:tcPr>
            <w:tcW w:w="660" w:type="dxa"/>
            <w:vAlign w:val="bottom"/>
            <w:tcBorders>
              <w:bottom w:val="single" w:sz="8" w:color="231F20"/>
            </w:tcBorders>
          </w:tcPr>
          <w:p>
            <w:pPr>
              <w:spacing w:after="0"/>
              <w:rPr>
                <w:sz w:val="17"/>
                <w:szCs w:val="17"/>
                <w:color w:val="auto"/>
              </w:rPr>
            </w:pPr>
          </w:p>
        </w:tc>
        <w:tc>
          <w:tcPr>
            <w:tcW w:w="180" w:type="dxa"/>
            <w:vAlign w:val="bottom"/>
            <w:tcBorders>
              <w:bottom w:val="single" w:sz="8" w:color="231F20"/>
            </w:tcBorders>
          </w:tcPr>
          <w:p>
            <w:pPr>
              <w:spacing w:after="0"/>
              <w:rPr>
                <w:sz w:val="17"/>
                <w:szCs w:val="17"/>
                <w:color w:val="auto"/>
              </w:rPr>
            </w:pPr>
          </w:p>
        </w:tc>
        <w:tc>
          <w:tcPr>
            <w:tcW w:w="20" w:type="dxa"/>
            <w:vAlign w:val="bottom"/>
            <w:tcBorders>
              <w:bottom w:val="single" w:sz="8" w:color="231F20"/>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5560" w:type="dxa"/>
            <w:vAlign w:val="bottom"/>
          </w:tcPr>
          <w:p>
            <w:pPr>
              <w:spacing w:after="0"/>
              <w:rPr>
                <w:sz w:val="16"/>
                <w:szCs w:val="16"/>
                <w:color w:val="auto"/>
              </w:rPr>
            </w:pPr>
          </w:p>
        </w:tc>
        <w:tc>
          <w:tcPr>
            <w:tcW w:w="360" w:type="dxa"/>
            <w:vAlign w:val="bottom"/>
            <w:tcBorders>
              <w:bottom w:val="single" w:sz="8" w:color="231F20"/>
            </w:tcBorders>
          </w:tcPr>
          <w:p>
            <w:pPr>
              <w:spacing w:after="0"/>
              <w:rPr>
                <w:sz w:val="16"/>
                <w:szCs w:val="16"/>
                <w:color w:val="auto"/>
              </w:rPr>
            </w:pPr>
          </w:p>
        </w:tc>
        <w:tc>
          <w:tcPr>
            <w:tcW w:w="5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5"/>
                <w:szCs w:val="15"/>
                <w:b w:val="1"/>
                <w:bCs w:val="1"/>
                <w:color w:val="231F20"/>
              </w:rPr>
              <w:t>2025</w:t>
            </w:r>
          </w:p>
        </w:tc>
        <w:tc>
          <w:tcPr>
            <w:tcW w:w="160" w:type="dxa"/>
            <w:vAlign w:val="bottom"/>
            <w:tcBorders>
              <w:bottom w:val="single" w:sz="8" w:color="231F20"/>
            </w:tcBorders>
          </w:tcPr>
          <w:p>
            <w:pPr>
              <w:spacing w:after="0"/>
              <w:rPr>
                <w:sz w:val="16"/>
                <w:szCs w:val="16"/>
                <w:color w:val="auto"/>
              </w:rPr>
            </w:pPr>
          </w:p>
        </w:tc>
        <w:tc>
          <w:tcPr>
            <w:tcW w:w="380" w:type="dxa"/>
            <w:vAlign w:val="bottom"/>
            <w:tcBorders>
              <w:bottom w:val="single" w:sz="8" w:color="231F20"/>
            </w:tcBorders>
          </w:tcPr>
          <w:p>
            <w:pPr>
              <w:spacing w:after="0"/>
              <w:rPr>
                <w:sz w:val="16"/>
                <w:szCs w:val="16"/>
                <w:color w:val="auto"/>
              </w:rPr>
            </w:pPr>
          </w:p>
        </w:tc>
        <w:tc>
          <w:tcPr>
            <w:tcW w:w="60" w:type="dxa"/>
            <w:vAlign w:val="bottom"/>
            <w:tcBorders>
              <w:bottom w:val="single" w:sz="8" w:color="231F20"/>
            </w:tcBorders>
          </w:tcPr>
          <w:p>
            <w:pPr>
              <w:spacing w:after="0"/>
              <w:rPr>
                <w:sz w:val="16"/>
                <w:szCs w:val="16"/>
                <w:color w:val="auto"/>
              </w:rPr>
            </w:pPr>
          </w:p>
        </w:tc>
        <w:tc>
          <w:tcPr>
            <w:tcW w:w="440" w:type="dxa"/>
            <w:vAlign w:val="bottom"/>
            <w:tcBorders>
              <w:bottom w:val="single" w:sz="8" w:color="231F20"/>
            </w:tcBorders>
          </w:tcPr>
          <w:p>
            <w:pPr>
              <w:spacing w:after="0"/>
              <w:rPr>
                <w:sz w:val="16"/>
                <w:szCs w:val="16"/>
                <w:color w:val="auto"/>
              </w:rPr>
            </w:pPr>
          </w:p>
        </w:tc>
        <w:tc>
          <w:tcPr>
            <w:tcW w:w="620" w:type="dxa"/>
            <w:vAlign w:val="bottom"/>
            <w:tcBorders>
              <w:bottom w:val="single" w:sz="8" w:color="231F20"/>
            </w:tcBorders>
            <w:gridSpan w:val="3"/>
          </w:tcPr>
          <w:p>
            <w:pPr>
              <w:jc w:val="right"/>
              <w:ind w:right="167"/>
              <w:spacing w:after="0"/>
              <w:rPr>
                <w:sz w:val="20"/>
                <w:szCs w:val="20"/>
                <w:color w:val="auto"/>
              </w:rPr>
            </w:pPr>
            <w:r>
              <w:rPr>
                <w:rFonts w:ascii="Times New Roman" w:cs="Times New Roman" w:eastAsia="Times New Roman" w:hAnsi="Times New Roman"/>
                <w:sz w:val="15"/>
                <w:szCs w:val="15"/>
                <w:b w:val="1"/>
                <w:bCs w:val="1"/>
                <w:color w:val="231F20"/>
              </w:rPr>
              <w:t>2024</w:t>
            </w:r>
          </w:p>
        </w:tc>
        <w:tc>
          <w:tcPr>
            <w:tcW w:w="240" w:type="dxa"/>
            <w:vAlign w:val="bottom"/>
            <w:tcBorders>
              <w:bottom w:val="single" w:sz="8" w:color="231F20"/>
            </w:tcBorders>
          </w:tcPr>
          <w:p>
            <w:pPr>
              <w:spacing w:after="0"/>
              <w:rPr>
                <w:sz w:val="16"/>
                <w:szCs w:val="16"/>
                <w:color w:val="auto"/>
              </w:rPr>
            </w:pPr>
          </w:p>
        </w:tc>
        <w:tc>
          <w:tcPr>
            <w:tcW w:w="40" w:type="dxa"/>
            <w:vAlign w:val="bottom"/>
            <w:tcBorders>
              <w:bottom w:val="single" w:sz="8" w:color="231F20"/>
            </w:tcBorders>
          </w:tcPr>
          <w:p>
            <w:pPr>
              <w:spacing w:after="0"/>
              <w:rPr>
                <w:sz w:val="16"/>
                <w:szCs w:val="16"/>
                <w:color w:val="auto"/>
              </w:rPr>
            </w:pPr>
          </w:p>
        </w:tc>
        <w:tc>
          <w:tcPr>
            <w:tcW w:w="220" w:type="dxa"/>
            <w:vAlign w:val="bottom"/>
            <w:tcBorders>
              <w:bottom w:val="single" w:sz="8" w:color="231F20"/>
            </w:tcBorders>
          </w:tcPr>
          <w:p>
            <w:pPr>
              <w:spacing w:after="0"/>
              <w:rPr>
                <w:sz w:val="16"/>
                <w:szCs w:val="16"/>
                <w:color w:val="auto"/>
              </w:rPr>
            </w:pPr>
          </w:p>
        </w:tc>
        <w:tc>
          <w:tcPr>
            <w:tcW w:w="80" w:type="dxa"/>
            <w:vAlign w:val="bottom"/>
            <w:tcBorders>
              <w:bottom w:val="single" w:sz="8" w:color="231F20"/>
            </w:tcBorders>
          </w:tcPr>
          <w:p>
            <w:pPr>
              <w:spacing w:after="0"/>
              <w:rPr>
                <w:sz w:val="16"/>
                <w:szCs w:val="16"/>
                <w:color w:val="auto"/>
              </w:rPr>
            </w:pPr>
          </w:p>
        </w:tc>
        <w:tc>
          <w:tcPr>
            <w:tcW w:w="200" w:type="dxa"/>
            <w:vAlign w:val="bottom"/>
            <w:tcBorders>
              <w:bottom w:val="single" w:sz="8" w:color="231F20"/>
            </w:tcBorders>
          </w:tcPr>
          <w:p>
            <w:pPr>
              <w:spacing w:after="0"/>
              <w:rPr>
                <w:sz w:val="16"/>
                <w:szCs w:val="16"/>
                <w:color w:val="auto"/>
              </w:rPr>
            </w:pPr>
          </w:p>
        </w:tc>
        <w:tc>
          <w:tcPr>
            <w:tcW w:w="660" w:type="dxa"/>
            <w:vAlign w:val="bottom"/>
            <w:tcBorders>
              <w:bottom w:val="single" w:sz="8" w:color="231F20"/>
            </w:tcBorders>
          </w:tcPr>
          <w:p>
            <w:pPr>
              <w:ind w:left="40"/>
              <w:spacing w:after="0"/>
              <w:rPr>
                <w:sz w:val="20"/>
                <w:szCs w:val="20"/>
                <w:color w:val="auto"/>
              </w:rPr>
            </w:pPr>
            <w:r>
              <w:rPr>
                <w:rFonts w:ascii="Times New Roman" w:cs="Times New Roman" w:eastAsia="Times New Roman" w:hAnsi="Times New Roman"/>
                <w:sz w:val="15"/>
                <w:szCs w:val="15"/>
                <w:b w:val="1"/>
                <w:bCs w:val="1"/>
                <w:color w:val="231F20"/>
              </w:rPr>
              <w:t>2023</w:t>
            </w:r>
          </w:p>
        </w:tc>
        <w:tc>
          <w:tcPr>
            <w:tcW w:w="180" w:type="dxa"/>
            <w:vAlign w:val="bottom"/>
            <w:tcBorders>
              <w:bottom w:val="single" w:sz="8" w:color="231F20"/>
            </w:tcBorders>
          </w:tcPr>
          <w:p>
            <w:pPr>
              <w:spacing w:after="0"/>
              <w:rPr>
                <w:sz w:val="16"/>
                <w:szCs w:val="16"/>
                <w:color w:val="auto"/>
              </w:rPr>
            </w:pPr>
          </w:p>
        </w:tc>
        <w:tc>
          <w:tcPr>
            <w:tcW w:w="20" w:type="dxa"/>
            <w:vAlign w:val="bottom"/>
            <w:tcBorders>
              <w:bottom w:val="single" w:sz="8" w:color="231F20"/>
            </w:tcBorders>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5560" w:type="dxa"/>
            <w:vAlign w:val="bottom"/>
            <w:vMerge w:val="restart"/>
          </w:tcPr>
          <w:p>
            <w:pPr>
              <w:ind w:left="60"/>
              <w:spacing w:after="0"/>
              <w:rPr>
                <w:sz w:val="20"/>
                <w:szCs w:val="20"/>
                <w:color w:val="auto"/>
              </w:rPr>
            </w:pPr>
            <w:r>
              <w:rPr>
                <w:rFonts w:ascii="Times New Roman" w:cs="Times New Roman" w:eastAsia="Times New Roman" w:hAnsi="Times New Roman"/>
                <w:sz w:val="19"/>
                <w:szCs w:val="19"/>
                <w:color w:val="231F20"/>
              </w:rPr>
              <w:t>LEASE COST:</w:t>
            </w: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60" w:type="dxa"/>
            <w:vAlign w:val="bottom"/>
            <w:gridSpan w:val="7"/>
          </w:tcPr>
          <w:p>
            <w:pPr>
              <w:jc w:val="center"/>
              <w:ind w:right="245"/>
              <w:spacing w:after="0"/>
              <w:rPr>
                <w:sz w:val="20"/>
                <w:szCs w:val="20"/>
                <w:color w:val="auto"/>
              </w:rPr>
            </w:pPr>
            <w:r>
              <w:rPr>
                <w:rFonts w:ascii="Times New Roman" w:cs="Times New Roman" w:eastAsia="Times New Roman" w:hAnsi="Times New Roman"/>
                <w:sz w:val="15"/>
                <w:szCs w:val="15"/>
                <w:b w:val="1"/>
                <w:bCs w:val="1"/>
                <w:color w:val="231F20"/>
              </w:rPr>
              <w:t>(In thousands)</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56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5560" w:type="dxa"/>
            <w:vAlign w:val="bottom"/>
          </w:tcPr>
          <w:p>
            <w:pPr>
              <w:ind w:left="60"/>
              <w:spacing w:after="0"/>
              <w:rPr>
                <w:sz w:val="20"/>
                <w:szCs w:val="20"/>
                <w:color w:val="auto"/>
              </w:rPr>
            </w:pPr>
            <w:r>
              <w:rPr>
                <w:rFonts w:ascii="Times New Roman" w:cs="Times New Roman" w:eastAsia="Times New Roman" w:hAnsi="Times New Roman"/>
                <w:sz w:val="19"/>
                <w:szCs w:val="19"/>
                <w:color w:val="231F20"/>
              </w:rPr>
              <w:t>Finance lease cost:</w:t>
            </w:r>
          </w:p>
        </w:tc>
        <w:tc>
          <w:tcPr>
            <w:tcW w:w="3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560" w:type="dxa"/>
            <w:vAlign w:val="bottom"/>
          </w:tcPr>
          <w:p>
            <w:pPr>
              <w:ind w:left="300"/>
              <w:spacing w:after="0"/>
              <w:rPr>
                <w:sz w:val="20"/>
                <w:szCs w:val="20"/>
                <w:color w:val="auto"/>
              </w:rPr>
            </w:pPr>
            <w:r>
              <w:rPr>
                <w:rFonts w:ascii="Times New Roman" w:cs="Times New Roman" w:eastAsia="Times New Roman" w:hAnsi="Times New Roman"/>
                <w:sz w:val="19"/>
                <w:szCs w:val="19"/>
                <w:color w:val="231F20"/>
              </w:rPr>
              <w:t>Amortization of right-of-use assets</w:t>
            </w:r>
          </w:p>
        </w:tc>
        <w:tc>
          <w:tcPr>
            <w:tcW w:w="360" w:type="dxa"/>
            <w:vAlign w:val="bottom"/>
          </w:tcPr>
          <w:p>
            <w:pPr>
              <w:jc w:val="right"/>
              <w:ind w:right="125"/>
              <w:spacing w:after="0"/>
              <w:rPr>
                <w:sz w:val="20"/>
                <w:szCs w:val="20"/>
                <w:color w:val="auto"/>
              </w:rPr>
            </w:pPr>
            <w:r>
              <w:rPr>
                <w:rFonts w:ascii="Times New Roman" w:cs="Times New Roman" w:eastAsia="Times New Roman" w:hAnsi="Times New Roman"/>
                <w:sz w:val="19"/>
                <w:szCs w:val="19"/>
                <w:color w:val="231F20"/>
              </w:rPr>
              <w:t>$</w:t>
            </w:r>
          </w:p>
        </w:tc>
        <w:tc>
          <w:tcPr>
            <w:tcW w:w="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9"/>
                <w:szCs w:val="19"/>
                <w:color w:val="231F20"/>
                <w:w w:val="98"/>
              </w:rPr>
              <w:t>220</w:t>
            </w:r>
          </w:p>
        </w:tc>
        <w:tc>
          <w:tcPr>
            <w:tcW w:w="500" w:type="dxa"/>
            <w:vAlign w:val="bottom"/>
            <w:gridSpan w:val="2"/>
          </w:tcPr>
          <w:p>
            <w:pPr>
              <w:jc w:val="right"/>
              <w:ind w:right="218"/>
              <w:spacing w:after="0"/>
              <w:rPr>
                <w:sz w:val="20"/>
                <w:szCs w:val="20"/>
                <w:color w:val="auto"/>
              </w:rPr>
            </w:pPr>
            <w:r>
              <w:rPr>
                <w:rFonts w:ascii="Times New Roman" w:cs="Times New Roman" w:eastAsia="Times New Roman" w:hAnsi="Times New Roman"/>
                <w:sz w:val="19"/>
                <w:szCs w:val="19"/>
                <w:color w:val="231F20"/>
              </w:rPr>
              <w:t>$</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220</w:t>
            </w: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998</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560" w:type="dxa"/>
            <w:vAlign w:val="bottom"/>
          </w:tcPr>
          <w:p>
            <w:pPr>
              <w:ind w:left="300"/>
              <w:spacing w:after="0"/>
              <w:rPr>
                <w:sz w:val="20"/>
                <w:szCs w:val="20"/>
                <w:color w:val="auto"/>
              </w:rPr>
            </w:pPr>
            <w:r>
              <w:rPr>
                <w:rFonts w:ascii="Times New Roman" w:cs="Times New Roman" w:eastAsia="Times New Roman" w:hAnsi="Times New Roman"/>
                <w:sz w:val="19"/>
                <w:szCs w:val="19"/>
                <w:color w:val="231F20"/>
              </w:rPr>
              <w:t>Interest on lease liabilities</w:t>
            </w:r>
          </w:p>
        </w:tc>
        <w:tc>
          <w:tcPr>
            <w:tcW w:w="3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9"/>
                <w:szCs w:val="19"/>
                <w:color w:val="231F20"/>
                <w:w w:val="98"/>
              </w:rPr>
              <w:t>833</w:t>
            </w: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825</w:t>
            </w: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4,332</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560" w:type="dxa"/>
            <w:vAlign w:val="bottom"/>
          </w:tcPr>
          <w:p>
            <w:pPr>
              <w:ind w:left="60"/>
              <w:spacing w:after="0"/>
              <w:rPr>
                <w:sz w:val="20"/>
                <w:szCs w:val="20"/>
                <w:color w:val="auto"/>
              </w:rPr>
            </w:pPr>
            <w:r>
              <w:rPr>
                <w:rFonts w:ascii="Times New Roman" w:cs="Times New Roman" w:eastAsia="Times New Roman" w:hAnsi="Times New Roman"/>
                <w:sz w:val="19"/>
                <w:szCs w:val="19"/>
                <w:color w:val="231F20"/>
              </w:rPr>
              <w:t>Operating lease cost</w:t>
            </w:r>
          </w:p>
        </w:tc>
        <w:tc>
          <w:tcPr>
            <w:tcW w:w="360" w:type="dxa"/>
            <w:vAlign w:val="bottom"/>
          </w:tcPr>
          <w:p>
            <w:pPr>
              <w:spacing w:after="0"/>
              <w:rPr>
                <w:sz w:val="21"/>
                <w:szCs w:val="21"/>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231F20"/>
              </w:rPr>
              <w:t>5,914</w:t>
            </w: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231F20"/>
              </w:rPr>
              <w:t>6,048</w:t>
            </w: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6,232</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560" w:type="dxa"/>
            <w:vAlign w:val="bottom"/>
          </w:tcPr>
          <w:p>
            <w:pPr>
              <w:ind w:left="60"/>
              <w:spacing w:after="0"/>
              <w:rPr>
                <w:sz w:val="20"/>
                <w:szCs w:val="20"/>
                <w:color w:val="auto"/>
              </w:rPr>
            </w:pPr>
            <w:r>
              <w:rPr>
                <w:rFonts w:ascii="Times New Roman" w:cs="Times New Roman" w:eastAsia="Times New Roman" w:hAnsi="Times New Roman"/>
                <w:sz w:val="19"/>
                <w:szCs w:val="19"/>
                <w:color w:val="231F20"/>
              </w:rPr>
              <w:t>Variable lease cost</w:t>
            </w:r>
          </w:p>
        </w:tc>
        <w:tc>
          <w:tcPr>
            <w:tcW w:w="360" w:type="dxa"/>
            <w:vAlign w:val="bottom"/>
            <w:tcBorders>
              <w:bottom w:val="single" w:sz="8" w:color="231F20"/>
            </w:tcBorders>
          </w:tcPr>
          <w:p>
            <w:pPr>
              <w:spacing w:after="0"/>
              <w:rPr>
                <w:sz w:val="21"/>
                <w:szCs w:val="21"/>
                <w:color w:val="auto"/>
              </w:rPr>
            </w:pPr>
          </w:p>
        </w:tc>
        <w:tc>
          <w:tcPr>
            <w:tcW w:w="520" w:type="dxa"/>
            <w:vAlign w:val="bottom"/>
            <w:tcBorders>
              <w:bottom w:val="single" w:sz="8" w:color="231F20"/>
            </w:tcBorders>
          </w:tcPr>
          <w:p>
            <w:pPr>
              <w:spacing w:after="0"/>
              <w:rPr>
                <w:sz w:val="21"/>
                <w:szCs w:val="21"/>
                <w:color w:val="auto"/>
              </w:rPr>
            </w:pPr>
          </w:p>
        </w:tc>
        <w:tc>
          <w:tcPr>
            <w:tcW w:w="160" w:type="dxa"/>
            <w:vAlign w:val="bottom"/>
            <w:tcBorders>
              <w:bottom w:val="single" w:sz="8" w:color="231F20"/>
            </w:tcBorders>
          </w:tcPr>
          <w:p>
            <w:pPr>
              <w:spacing w:after="0"/>
              <w:rPr>
                <w:sz w:val="21"/>
                <w:szCs w:val="21"/>
                <w:color w:val="auto"/>
              </w:rPr>
            </w:pPr>
          </w:p>
        </w:tc>
        <w:tc>
          <w:tcPr>
            <w:tcW w:w="3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w w:val="98"/>
              </w:rPr>
              <w:t>401</w:t>
            </w:r>
          </w:p>
        </w:tc>
        <w:tc>
          <w:tcPr>
            <w:tcW w:w="60" w:type="dxa"/>
            <w:vAlign w:val="bottom"/>
          </w:tcPr>
          <w:p>
            <w:pPr>
              <w:spacing w:after="0"/>
              <w:rPr>
                <w:sz w:val="21"/>
                <w:szCs w:val="21"/>
                <w:color w:val="auto"/>
              </w:rPr>
            </w:pPr>
          </w:p>
        </w:tc>
        <w:tc>
          <w:tcPr>
            <w:tcW w:w="440" w:type="dxa"/>
            <w:vAlign w:val="bottom"/>
            <w:tcBorders>
              <w:bottom w:val="single" w:sz="8" w:color="231F20"/>
            </w:tcBorders>
          </w:tcPr>
          <w:p>
            <w:pPr>
              <w:spacing w:after="0"/>
              <w:rPr>
                <w:sz w:val="21"/>
                <w:szCs w:val="21"/>
                <w:color w:val="auto"/>
              </w:rPr>
            </w:pPr>
          </w:p>
        </w:tc>
        <w:tc>
          <w:tcPr>
            <w:tcW w:w="80" w:type="dxa"/>
            <w:vAlign w:val="bottom"/>
            <w:tcBorders>
              <w:bottom w:val="single" w:sz="8" w:color="231F20"/>
            </w:tcBorders>
          </w:tcPr>
          <w:p>
            <w:pPr>
              <w:spacing w:after="0"/>
              <w:rPr>
                <w:sz w:val="21"/>
                <w:szCs w:val="21"/>
                <w:color w:val="auto"/>
              </w:rPr>
            </w:pPr>
          </w:p>
        </w:tc>
        <w:tc>
          <w:tcPr>
            <w:tcW w:w="200" w:type="dxa"/>
            <w:vAlign w:val="bottom"/>
            <w:tcBorders>
              <w:bottom w:val="single" w:sz="8" w:color="231F20"/>
            </w:tcBorders>
          </w:tcPr>
          <w:p>
            <w:pPr>
              <w:spacing w:after="0"/>
              <w:rPr>
                <w:sz w:val="21"/>
                <w:szCs w:val="21"/>
                <w:color w:val="auto"/>
              </w:rPr>
            </w:pPr>
          </w:p>
        </w:tc>
        <w:tc>
          <w:tcPr>
            <w:tcW w:w="3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413</w:t>
            </w:r>
          </w:p>
        </w:tc>
        <w:tc>
          <w:tcPr>
            <w:tcW w:w="240" w:type="dxa"/>
            <w:vAlign w:val="bottom"/>
            <w:tcBorders>
              <w:bottom w:val="single" w:sz="8" w:color="231F20"/>
            </w:tcBorders>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Borders>
              <w:bottom w:val="single" w:sz="8" w:color="231F20"/>
            </w:tcBorders>
          </w:tcPr>
          <w:p>
            <w:pPr>
              <w:spacing w:after="0"/>
              <w:rPr>
                <w:sz w:val="21"/>
                <w:szCs w:val="21"/>
                <w:color w:val="auto"/>
              </w:rPr>
            </w:pPr>
          </w:p>
        </w:tc>
        <w:tc>
          <w:tcPr>
            <w:tcW w:w="80" w:type="dxa"/>
            <w:vAlign w:val="bottom"/>
            <w:tcBorders>
              <w:bottom w:val="single" w:sz="8" w:color="231F20"/>
            </w:tcBorders>
          </w:tcPr>
          <w:p>
            <w:pPr>
              <w:spacing w:after="0"/>
              <w:rPr>
                <w:sz w:val="21"/>
                <w:szCs w:val="21"/>
                <w:color w:val="auto"/>
              </w:rPr>
            </w:pPr>
          </w:p>
        </w:tc>
        <w:tc>
          <w:tcPr>
            <w:tcW w:w="200" w:type="dxa"/>
            <w:vAlign w:val="bottom"/>
            <w:tcBorders>
              <w:bottom w:val="single" w:sz="8" w:color="231F20"/>
            </w:tcBorders>
          </w:tcPr>
          <w:p>
            <w:pPr>
              <w:spacing w:after="0"/>
              <w:rPr>
                <w:sz w:val="21"/>
                <w:szCs w:val="21"/>
                <w:color w:val="auto"/>
              </w:rPr>
            </w:pPr>
          </w:p>
        </w:tc>
        <w:tc>
          <w:tcPr>
            <w:tcW w:w="6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348</w:t>
            </w:r>
          </w:p>
        </w:tc>
        <w:tc>
          <w:tcPr>
            <w:tcW w:w="180" w:type="dxa"/>
            <w:vAlign w:val="bottom"/>
            <w:tcBorders>
              <w:bottom w:val="single" w:sz="8" w:color="231F20"/>
            </w:tcBorders>
          </w:tcPr>
          <w:p>
            <w:pPr>
              <w:spacing w:after="0"/>
              <w:rPr>
                <w:sz w:val="21"/>
                <w:szCs w:val="21"/>
                <w:color w:val="auto"/>
              </w:rPr>
            </w:pPr>
          </w:p>
        </w:tc>
        <w:tc>
          <w:tcPr>
            <w:tcW w:w="20" w:type="dxa"/>
            <w:vAlign w:val="bottom"/>
            <w:tcBorders>
              <w:bottom w:val="single" w:sz="8" w:color="231F20"/>
            </w:tcBorders>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5560" w:type="dxa"/>
            <w:vAlign w:val="bottom"/>
          </w:tcPr>
          <w:p>
            <w:pPr>
              <w:ind w:left="60"/>
              <w:spacing w:after="0" w:line="204" w:lineRule="exact"/>
              <w:rPr>
                <w:sz w:val="20"/>
                <w:szCs w:val="20"/>
                <w:color w:val="auto"/>
              </w:rPr>
            </w:pPr>
            <w:r>
              <w:rPr>
                <w:rFonts w:ascii="Times New Roman" w:cs="Times New Roman" w:eastAsia="Times New Roman" w:hAnsi="Times New Roman"/>
                <w:sz w:val="19"/>
                <w:szCs w:val="19"/>
                <w:color w:val="231F20"/>
              </w:rPr>
              <w:t>Total lease cost</w:t>
            </w:r>
          </w:p>
        </w:tc>
        <w:tc>
          <w:tcPr>
            <w:tcW w:w="360" w:type="dxa"/>
            <w:vAlign w:val="bottom"/>
            <w:tcBorders>
              <w:bottom w:val="single" w:sz="8" w:color="231F20"/>
            </w:tcBorders>
          </w:tcPr>
          <w:p>
            <w:pPr>
              <w:jc w:val="right"/>
              <w:ind w:right="105"/>
              <w:spacing w:after="0" w:line="204" w:lineRule="exact"/>
              <w:rPr>
                <w:sz w:val="20"/>
                <w:szCs w:val="20"/>
                <w:color w:val="auto"/>
              </w:rPr>
            </w:pPr>
            <w:r>
              <w:rPr>
                <w:rFonts w:ascii="Times New Roman" w:cs="Times New Roman" w:eastAsia="Times New Roman" w:hAnsi="Times New Roman"/>
                <w:sz w:val="19"/>
                <w:szCs w:val="19"/>
                <w:color w:val="231F20"/>
              </w:rPr>
              <w:t>$</w:t>
            </w:r>
          </w:p>
        </w:tc>
        <w:tc>
          <w:tcPr>
            <w:tcW w:w="1060" w:type="dxa"/>
            <w:vAlign w:val="bottom"/>
            <w:tcBorders>
              <w:bottom w:val="single" w:sz="8" w:color="231F20"/>
            </w:tcBorders>
            <w:gridSpan w:val="3"/>
          </w:tcPr>
          <w:p>
            <w:pPr>
              <w:jc w:val="right"/>
              <w:spacing w:after="0" w:line="204" w:lineRule="exact"/>
              <w:rPr>
                <w:sz w:val="20"/>
                <w:szCs w:val="20"/>
                <w:color w:val="auto"/>
              </w:rPr>
            </w:pPr>
            <w:r>
              <w:rPr>
                <w:rFonts w:ascii="Times New Roman" w:cs="Times New Roman" w:eastAsia="Times New Roman" w:hAnsi="Times New Roman"/>
                <w:sz w:val="19"/>
                <w:szCs w:val="19"/>
                <w:color w:val="231F20"/>
              </w:rPr>
              <w:t>7,368</w:t>
            </w:r>
          </w:p>
        </w:tc>
        <w:tc>
          <w:tcPr>
            <w:tcW w:w="60" w:type="dxa"/>
            <w:vAlign w:val="bottom"/>
          </w:tcPr>
          <w:p>
            <w:pPr>
              <w:spacing w:after="0"/>
              <w:rPr>
                <w:sz w:val="17"/>
                <w:szCs w:val="17"/>
                <w:color w:val="auto"/>
              </w:rPr>
            </w:pPr>
          </w:p>
        </w:tc>
        <w:tc>
          <w:tcPr>
            <w:tcW w:w="440" w:type="dxa"/>
            <w:vAlign w:val="bottom"/>
            <w:tcBorders>
              <w:bottom w:val="single" w:sz="8" w:color="231F20"/>
            </w:tcBorders>
          </w:tcPr>
          <w:p>
            <w:pPr>
              <w:jc w:val="right"/>
              <w:ind w:right="218"/>
              <w:spacing w:after="0" w:line="204" w:lineRule="exact"/>
              <w:rPr>
                <w:sz w:val="20"/>
                <w:szCs w:val="20"/>
                <w:color w:val="auto"/>
              </w:rPr>
            </w:pPr>
            <w:r>
              <w:rPr>
                <w:rFonts w:ascii="Times New Roman" w:cs="Times New Roman" w:eastAsia="Times New Roman" w:hAnsi="Times New Roman"/>
                <w:sz w:val="19"/>
                <w:szCs w:val="19"/>
                <w:color w:val="231F20"/>
              </w:rPr>
              <w:t>$</w:t>
            </w:r>
          </w:p>
        </w:tc>
        <w:tc>
          <w:tcPr>
            <w:tcW w:w="620" w:type="dxa"/>
            <w:vAlign w:val="bottom"/>
            <w:tcBorders>
              <w:bottom w:val="single" w:sz="8" w:color="231F20"/>
            </w:tcBorders>
            <w:gridSpan w:val="3"/>
          </w:tcPr>
          <w:p>
            <w:pPr>
              <w:jc w:val="right"/>
              <w:spacing w:after="0" w:line="204" w:lineRule="exact"/>
              <w:rPr>
                <w:sz w:val="20"/>
                <w:szCs w:val="20"/>
                <w:color w:val="auto"/>
              </w:rPr>
            </w:pPr>
            <w:r>
              <w:rPr>
                <w:rFonts w:ascii="Times New Roman" w:cs="Times New Roman" w:eastAsia="Times New Roman" w:hAnsi="Times New Roman"/>
                <w:sz w:val="19"/>
                <w:szCs w:val="19"/>
                <w:color w:val="231F20"/>
              </w:rPr>
              <w:t>7,506</w:t>
            </w:r>
          </w:p>
        </w:tc>
        <w:tc>
          <w:tcPr>
            <w:tcW w:w="240" w:type="dxa"/>
            <w:vAlign w:val="bottom"/>
            <w:tcBorders>
              <w:bottom w:val="single" w:sz="8" w:color="231F20"/>
            </w:tcBorders>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Borders>
              <w:bottom w:val="single" w:sz="8" w:color="231F20"/>
            </w:tcBorders>
          </w:tcPr>
          <w:p>
            <w:pPr>
              <w:jc w:val="right"/>
              <w:spacing w:after="0" w:line="204" w:lineRule="exact"/>
              <w:rPr>
                <w:sz w:val="20"/>
                <w:szCs w:val="20"/>
                <w:color w:val="auto"/>
              </w:rPr>
            </w:pPr>
            <w:r>
              <w:rPr>
                <w:rFonts w:ascii="Times New Roman" w:cs="Times New Roman" w:eastAsia="Times New Roman" w:hAnsi="Times New Roman"/>
                <w:sz w:val="19"/>
                <w:szCs w:val="19"/>
                <w:color w:val="231F20"/>
              </w:rPr>
              <w:t>$</w:t>
            </w:r>
          </w:p>
        </w:tc>
        <w:tc>
          <w:tcPr>
            <w:tcW w:w="80" w:type="dxa"/>
            <w:vAlign w:val="bottom"/>
            <w:tcBorders>
              <w:bottom w:val="single" w:sz="8" w:color="231F20"/>
            </w:tcBorders>
          </w:tcPr>
          <w:p>
            <w:pPr>
              <w:spacing w:after="0"/>
              <w:rPr>
                <w:sz w:val="17"/>
                <w:szCs w:val="17"/>
                <w:color w:val="auto"/>
              </w:rPr>
            </w:pPr>
          </w:p>
        </w:tc>
        <w:tc>
          <w:tcPr>
            <w:tcW w:w="200" w:type="dxa"/>
            <w:vAlign w:val="bottom"/>
            <w:tcBorders>
              <w:bottom w:val="single" w:sz="8" w:color="231F20"/>
            </w:tcBorders>
          </w:tcPr>
          <w:p>
            <w:pPr>
              <w:spacing w:after="0"/>
              <w:rPr>
                <w:sz w:val="17"/>
                <w:szCs w:val="17"/>
                <w:color w:val="auto"/>
              </w:rPr>
            </w:pPr>
          </w:p>
        </w:tc>
        <w:tc>
          <w:tcPr>
            <w:tcW w:w="660" w:type="dxa"/>
            <w:vAlign w:val="bottom"/>
            <w:tcBorders>
              <w:bottom w:val="single" w:sz="8" w:color="231F20"/>
            </w:tcBorders>
          </w:tcPr>
          <w:p>
            <w:pPr>
              <w:jc w:val="right"/>
              <w:spacing w:after="0" w:line="204" w:lineRule="exact"/>
              <w:rPr>
                <w:sz w:val="20"/>
                <w:szCs w:val="20"/>
                <w:color w:val="auto"/>
              </w:rPr>
            </w:pPr>
            <w:r>
              <w:rPr>
                <w:rFonts w:ascii="Times New Roman" w:cs="Times New Roman" w:eastAsia="Times New Roman" w:hAnsi="Times New Roman"/>
                <w:sz w:val="19"/>
                <w:szCs w:val="19"/>
                <w:color w:val="231F20"/>
              </w:rPr>
              <w:t>11,910</w:t>
            </w:r>
          </w:p>
        </w:tc>
        <w:tc>
          <w:tcPr>
            <w:tcW w:w="180" w:type="dxa"/>
            <w:vAlign w:val="bottom"/>
            <w:tcBorders>
              <w:bottom w:val="single" w:sz="8" w:color="231F20"/>
            </w:tcBorders>
          </w:tcPr>
          <w:p>
            <w:pPr>
              <w:spacing w:after="0"/>
              <w:rPr>
                <w:sz w:val="17"/>
                <w:szCs w:val="17"/>
                <w:color w:val="auto"/>
              </w:rPr>
            </w:pPr>
          </w:p>
        </w:tc>
        <w:tc>
          <w:tcPr>
            <w:tcW w:w="20" w:type="dxa"/>
            <w:vAlign w:val="bottom"/>
            <w:tcBorders>
              <w:bottom w:val="single" w:sz="8" w:color="231F20"/>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560" w:type="dxa"/>
            <w:vAlign w:val="bottom"/>
            <w:vMerge w:val="restart"/>
          </w:tcPr>
          <w:p>
            <w:pPr>
              <w:ind w:left="60"/>
              <w:spacing w:after="0"/>
              <w:rPr>
                <w:sz w:val="20"/>
                <w:szCs w:val="20"/>
                <w:color w:val="auto"/>
              </w:rPr>
            </w:pPr>
            <w:r>
              <w:rPr>
                <w:rFonts w:ascii="Times New Roman" w:cs="Times New Roman" w:eastAsia="Times New Roman" w:hAnsi="Times New Roman"/>
                <w:sz w:val="19"/>
                <w:szCs w:val="19"/>
                <w:color w:val="231F20"/>
              </w:rPr>
              <w:t>OTHER INFORMATION:</w:t>
            </w:r>
          </w:p>
        </w:tc>
        <w:tc>
          <w:tcPr>
            <w:tcW w:w="360" w:type="dxa"/>
            <w:vAlign w:val="bottom"/>
            <w:tcBorders>
              <w:bottom w:val="single" w:sz="8" w:color="231F20"/>
            </w:tcBorders>
          </w:tcPr>
          <w:p>
            <w:pPr>
              <w:spacing w:after="0" w:line="20" w:lineRule="exact"/>
              <w:rPr>
                <w:sz w:val="1"/>
                <w:szCs w:val="1"/>
                <w:color w:val="auto"/>
              </w:rPr>
            </w:pPr>
          </w:p>
        </w:tc>
        <w:tc>
          <w:tcPr>
            <w:tcW w:w="520" w:type="dxa"/>
            <w:vAlign w:val="bottom"/>
            <w:tcBorders>
              <w:bottom w:val="single" w:sz="8" w:color="231F20"/>
            </w:tcBorders>
          </w:tcPr>
          <w:p>
            <w:pPr>
              <w:spacing w:after="0" w:line="20" w:lineRule="exact"/>
              <w:rPr>
                <w:sz w:val="1"/>
                <w:szCs w:val="1"/>
                <w:color w:val="auto"/>
              </w:rPr>
            </w:pPr>
          </w:p>
        </w:tc>
        <w:tc>
          <w:tcPr>
            <w:tcW w:w="160" w:type="dxa"/>
            <w:vAlign w:val="bottom"/>
            <w:tcBorders>
              <w:bottom w:val="single" w:sz="8" w:color="231F20"/>
            </w:tcBorders>
          </w:tcPr>
          <w:p>
            <w:pPr>
              <w:spacing w:after="0" w:line="20" w:lineRule="exact"/>
              <w:rPr>
                <w:sz w:val="1"/>
                <w:szCs w:val="1"/>
                <w:color w:val="auto"/>
              </w:rPr>
            </w:pPr>
          </w:p>
        </w:tc>
        <w:tc>
          <w:tcPr>
            <w:tcW w:w="38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bottom w:val="single" w:sz="8" w:color="231F20"/>
            </w:tcBorders>
          </w:tcPr>
          <w:p>
            <w:pPr>
              <w:spacing w:after="0" w:line="20" w:lineRule="exact"/>
              <w:rPr>
                <w:sz w:val="1"/>
                <w:szCs w:val="1"/>
                <w:color w:val="auto"/>
              </w:rPr>
            </w:pPr>
          </w:p>
        </w:tc>
        <w:tc>
          <w:tcPr>
            <w:tcW w:w="80" w:type="dxa"/>
            <w:vAlign w:val="bottom"/>
            <w:tcBorders>
              <w:bottom w:val="single" w:sz="8" w:color="231F20"/>
            </w:tcBorders>
          </w:tcPr>
          <w:p>
            <w:pPr>
              <w:spacing w:after="0" w:line="20" w:lineRule="exact"/>
              <w:rPr>
                <w:sz w:val="1"/>
                <w:szCs w:val="1"/>
                <w:color w:val="auto"/>
              </w:rPr>
            </w:pPr>
          </w:p>
        </w:tc>
        <w:tc>
          <w:tcPr>
            <w:tcW w:w="200" w:type="dxa"/>
            <w:vAlign w:val="bottom"/>
            <w:tcBorders>
              <w:bottom w:val="single" w:sz="8" w:color="231F20"/>
            </w:tcBorders>
          </w:tcPr>
          <w:p>
            <w:pPr>
              <w:spacing w:after="0" w:line="20" w:lineRule="exact"/>
              <w:rPr>
                <w:sz w:val="1"/>
                <w:szCs w:val="1"/>
                <w:color w:val="auto"/>
              </w:rPr>
            </w:pPr>
          </w:p>
        </w:tc>
        <w:tc>
          <w:tcPr>
            <w:tcW w:w="340" w:type="dxa"/>
            <w:vAlign w:val="bottom"/>
            <w:tcBorders>
              <w:bottom w:val="single" w:sz="8" w:color="231F20"/>
            </w:tcBorders>
          </w:tcPr>
          <w:p>
            <w:pPr>
              <w:spacing w:after="0" w:line="20" w:lineRule="exact"/>
              <w:rPr>
                <w:sz w:val="1"/>
                <w:szCs w:val="1"/>
                <w:color w:val="auto"/>
              </w:rPr>
            </w:pPr>
          </w:p>
        </w:tc>
        <w:tc>
          <w:tcPr>
            <w:tcW w:w="240" w:type="dxa"/>
            <w:vAlign w:val="bottom"/>
            <w:tcBorders>
              <w:bottom w:val="single" w:sz="8" w:color="231F2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231F20"/>
            </w:tcBorders>
          </w:tcPr>
          <w:p>
            <w:pPr>
              <w:spacing w:after="0" w:line="20" w:lineRule="exact"/>
              <w:rPr>
                <w:sz w:val="1"/>
                <w:szCs w:val="1"/>
                <w:color w:val="auto"/>
              </w:rPr>
            </w:pPr>
          </w:p>
        </w:tc>
        <w:tc>
          <w:tcPr>
            <w:tcW w:w="80" w:type="dxa"/>
            <w:vAlign w:val="bottom"/>
            <w:tcBorders>
              <w:bottom w:val="single" w:sz="8" w:color="231F20"/>
            </w:tcBorders>
          </w:tcPr>
          <w:p>
            <w:pPr>
              <w:spacing w:after="0" w:line="20" w:lineRule="exact"/>
              <w:rPr>
                <w:sz w:val="1"/>
                <w:szCs w:val="1"/>
                <w:color w:val="auto"/>
              </w:rPr>
            </w:pPr>
          </w:p>
        </w:tc>
        <w:tc>
          <w:tcPr>
            <w:tcW w:w="200" w:type="dxa"/>
            <w:vAlign w:val="bottom"/>
            <w:tcBorders>
              <w:bottom w:val="single" w:sz="8" w:color="231F20"/>
            </w:tcBorders>
          </w:tcPr>
          <w:p>
            <w:pPr>
              <w:spacing w:after="0" w:line="20" w:lineRule="exact"/>
              <w:rPr>
                <w:sz w:val="1"/>
                <w:szCs w:val="1"/>
                <w:color w:val="auto"/>
              </w:rPr>
            </w:pPr>
          </w:p>
        </w:tc>
        <w:tc>
          <w:tcPr>
            <w:tcW w:w="660" w:type="dxa"/>
            <w:vAlign w:val="bottom"/>
            <w:tcBorders>
              <w:bottom w:val="single" w:sz="8" w:color="231F20"/>
            </w:tcBorders>
          </w:tcPr>
          <w:p>
            <w:pPr>
              <w:spacing w:after="0" w:line="20" w:lineRule="exact"/>
              <w:rPr>
                <w:sz w:val="1"/>
                <w:szCs w:val="1"/>
                <w:color w:val="auto"/>
              </w:rPr>
            </w:pPr>
          </w:p>
        </w:tc>
        <w:tc>
          <w:tcPr>
            <w:tcW w:w="180" w:type="dxa"/>
            <w:vAlign w:val="bottom"/>
            <w:tcBorders>
              <w:bottom w:val="single" w:sz="8" w:color="231F20"/>
            </w:tcBorders>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0"/>
        </w:trPr>
        <w:tc>
          <w:tcPr>
            <w:tcW w:w="556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5560" w:type="dxa"/>
            <w:vAlign w:val="bottom"/>
          </w:tcPr>
          <w:p>
            <w:pPr>
              <w:ind w:left="60"/>
              <w:spacing w:after="0"/>
              <w:rPr>
                <w:sz w:val="20"/>
                <w:szCs w:val="20"/>
                <w:color w:val="auto"/>
              </w:rPr>
            </w:pPr>
            <w:r>
              <w:rPr>
                <w:rFonts w:ascii="Times New Roman" w:cs="Times New Roman" w:eastAsia="Times New Roman" w:hAnsi="Times New Roman"/>
                <w:sz w:val="19"/>
                <w:szCs w:val="19"/>
                <w:color w:val="231F20"/>
              </w:rPr>
              <w:t>Cash paid for amounts included in the measurement of lease liabilities</w:t>
            </w:r>
          </w:p>
        </w:tc>
        <w:tc>
          <w:tcPr>
            <w:tcW w:w="3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560" w:type="dxa"/>
            <w:vAlign w:val="bottom"/>
          </w:tcPr>
          <w:p>
            <w:pPr>
              <w:ind w:left="300"/>
              <w:spacing w:after="0"/>
              <w:rPr>
                <w:sz w:val="20"/>
                <w:szCs w:val="20"/>
                <w:color w:val="auto"/>
              </w:rPr>
            </w:pPr>
            <w:r>
              <w:rPr>
                <w:rFonts w:ascii="Times New Roman" w:cs="Times New Roman" w:eastAsia="Times New Roman" w:hAnsi="Times New Roman"/>
                <w:sz w:val="19"/>
                <w:szCs w:val="19"/>
                <w:color w:val="231F20"/>
              </w:rPr>
              <w:t>Operating cash flows for finance leases</w:t>
            </w:r>
          </w:p>
        </w:tc>
        <w:tc>
          <w:tcPr>
            <w:tcW w:w="360" w:type="dxa"/>
            <w:vAlign w:val="bottom"/>
          </w:tcPr>
          <w:p>
            <w:pPr>
              <w:jc w:val="right"/>
              <w:ind w:right="105"/>
              <w:spacing w:after="0"/>
              <w:rPr>
                <w:sz w:val="20"/>
                <w:szCs w:val="20"/>
                <w:color w:val="auto"/>
              </w:rPr>
            </w:pPr>
            <w:r>
              <w:rPr>
                <w:rFonts w:ascii="Times New Roman" w:cs="Times New Roman" w:eastAsia="Times New Roman" w:hAnsi="Times New Roman"/>
                <w:sz w:val="19"/>
                <w:szCs w:val="19"/>
                <w:color w:val="231F20"/>
              </w:rPr>
              <w:t>$</w:t>
            </w:r>
          </w:p>
        </w:tc>
        <w:tc>
          <w:tcPr>
            <w:tcW w:w="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9"/>
                <w:szCs w:val="19"/>
                <w:color w:val="231F20"/>
                <w:w w:val="98"/>
              </w:rPr>
              <w:t>713</w:t>
            </w:r>
          </w:p>
        </w:tc>
        <w:tc>
          <w:tcPr>
            <w:tcW w:w="500" w:type="dxa"/>
            <w:vAlign w:val="bottom"/>
            <w:gridSpan w:val="2"/>
          </w:tcPr>
          <w:p>
            <w:pPr>
              <w:jc w:val="right"/>
              <w:ind w:right="218"/>
              <w:spacing w:after="0"/>
              <w:rPr>
                <w:sz w:val="20"/>
                <w:szCs w:val="20"/>
                <w:color w:val="auto"/>
              </w:rPr>
            </w:pPr>
            <w:r>
              <w:rPr>
                <w:rFonts w:ascii="Times New Roman" w:cs="Times New Roman" w:eastAsia="Times New Roman" w:hAnsi="Times New Roman"/>
                <w:sz w:val="19"/>
                <w:szCs w:val="19"/>
                <w:color w:val="231F20"/>
              </w:rPr>
              <w:t>$</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713</w:t>
            </w: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4,227</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560" w:type="dxa"/>
            <w:vAlign w:val="bottom"/>
          </w:tcPr>
          <w:p>
            <w:pPr>
              <w:ind w:left="300"/>
              <w:spacing w:after="0"/>
              <w:rPr>
                <w:sz w:val="20"/>
                <w:szCs w:val="20"/>
                <w:color w:val="auto"/>
              </w:rPr>
            </w:pPr>
            <w:r>
              <w:rPr>
                <w:rFonts w:ascii="Times New Roman" w:cs="Times New Roman" w:eastAsia="Times New Roman" w:hAnsi="Times New Roman"/>
                <w:sz w:val="19"/>
                <w:szCs w:val="19"/>
                <w:color w:val="231F20"/>
              </w:rPr>
              <w:t>Operating cash flows for operating leases</w:t>
            </w:r>
          </w:p>
        </w:tc>
        <w:tc>
          <w:tcPr>
            <w:tcW w:w="360" w:type="dxa"/>
            <w:vAlign w:val="bottom"/>
          </w:tcPr>
          <w:p>
            <w:pPr>
              <w:jc w:val="right"/>
              <w:ind w:right="105"/>
              <w:spacing w:after="0"/>
              <w:rPr>
                <w:sz w:val="20"/>
                <w:szCs w:val="20"/>
                <w:color w:val="auto"/>
              </w:rPr>
            </w:pPr>
            <w:r>
              <w:rPr>
                <w:rFonts w:ascii="Times New Roman" w:cs="Times New Roman" w:eastAsia="Times New Roman" w:hAnsi="Times New Roman"/>
                <w:sz w:val="19"/>
                <w:szCs w:val="19"/>
                <w:color w:val="231F20"/>
              </w:rPr>
              <w:t>$</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231F20"/>
              </w:rPr>
              <w:t>6,214</w:t>
            </w:r>
          </w:p>
        </w:tc>
        <w:tc>
          <w:tcPr>
            <w:tcW w:w="500" w:type="dxa"/>
            <w:vAlign w:val="bottom"/>
            <w:gridSpan w:val="2"/>
          </w:tcPr>
          <w:p>
            <w:pPr>
              <w:jc w:val="right"/>
              <w:ind w:right="218"/>
              <w:spacing w:after="0"/>
              <w:rPr>
                <w:sz w:val="20"/>
                <w:szCs w:val="20"/>
                <w:color w:val="auto"/>
              </w:rPr>
            </w:pPr>
            <w:r>
              <w:rPr>
                <w:rFonts w:ascii="Times New Roman" w:cs="Times New Roman" w:eastAsia="Times New Roman" w:hAnsi="Times New Roman"/>
                <w:sz w:val="19"/>
                <w:szCs w:val="19"/>
                <w:color w:val="231F20"/>
              </w:rPr>
              <w:t>$</w:t>
            </w: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231F20"/>
              </w:rPr>
              <w:t>6,276</w:t>
            </w: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6,146</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5560" w:type="dxa"/>
            <w:vAlign w:val="bottom"/>
          </w:tcPr>
          <w:p>
            <w:pPr>
              <w:ind w:left="300"/>
              <w:spacing w:after="0"/>
              <w:rPr>
                <w:sz w:val="20"/>
                <w:szCs w:val="20"/>
                <w:color w:val="auto"/>
              </w:rPr>
            </w:pPr>
            <w:r>
              <w:rPr>
                <w:rFonts w:ascii="Times New Roman" w:cs="Times New Roman" w:eastAsia="Times New Roman" w:hAnsi="Times New Roman"/>
                <w:sz w:val="19"/>
                <w:szCs w:val="19"/>
                <w:color w:val="231F20"/>
              </w:rPr>
              <w:t>Financing cash flows for finance leases</w:t>
            </w:r>
          </w:p>
        </w:tc>
        <w:tc>
          <w:tcPr>
            <w:tcW w:w="360" w:type="dxa"/>
            <w:vAlign w:val="bottom"/>
          </w:tcPr>
          <w:p>
            <w:pPr>
              <w:jc w:val="right"/>
              <w:ind w:right="105"/>
              <w:spacing w:after="0"/>
              <w:rPr>
                <w:sz w:val="20"/>
                <w:szCs w:val="20"/>
                <w:color w:val="auto"/>
              </w:rPr>
            </w:pPr>
            <w:r>
              <w:rPr>
                <w:rFonts w:ascii="Times New Roman" w:cs="Times New Roman" w:eastAsia="Times New Roman" w:hAnsi="Times New Roman"/>
                <w:sz w:val="19"/>
                <w:szCs w:val="19"/>
                <w:color w:val="231F20"/>
              </w:rPr>
              <w:t>$</w:t>
            </w:r>
          </w:p>
        </w:tc>
        <w:tc>
          <w:tcPr>
            <w:tcW w:w="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500" w:type="dxa"/>
            <w:vAlign w:val="bottom"/>
            <w:gridSpan w:val="2"/>
          </w:tcPr>
          <w:p>
            <w:pPr>
              <w:jc w:val="right"/>
              <w:ind w:right="218"/>
              <w:spacing w:after="0"/>
              <w:rPr>
                <w:sz w:val="20"/>
                <w:szCs w:val="20"/>
                <w:color w:val="auto"/>
              </w:rPr>
            </w:pPr>
            <w:r>
              <w:rPr>
                <w:rFonts w:ascii="Times New Roman" w:cs="Times New Roman" w:eastAsia="Times New Roman" w:hAnsi="Times New Roman"/>
                <w:sz w:val="19"/>
                <w:szCs w:val="19"/>
                <w:color w:val="231F20"/>
              </w:rPr>
              <w:t>$</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55,228</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0"/>
        </w:trPr>
        <w:tc>
          <w:tcPr>
            <w:tcW w:w="5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Borders>
              <w:bottom w:val="single" w:sz="8" w:color="231F20"/>
            </w:tcBorders>
          </w:tcPr>
          <w:p>
            <w:pPr>
              <w:spacing w:after="0"/>
              <w:rPr>
                <w:sz w:val="24"/>
                <w:szCs w:val="24"/>
                <w:color w:val="auto"/>
              </w:rPr>
            </w:pPr>
          </w:p>
        </w:tc>
        <w:tc>
          <w:tcPr>
            <w:tcW w:w="80" w:type="dxa"/>
            <w:vAlign w:val="bottom"/>
            <w:tcBorders>
              <w:bottom w:val="single" w:sz="8" w:color="231F20"/>
            </w:tcBorders>
          </w:tcPr>
          <w:p>
            <w:pPr>
              <w:spacing w:after="0"/>
              <w:rPr>
                <w:sz w:val="24"/>
                <w:szCs w:val="24"/>
                <w:color w:val="auto"/>
              </w:rPr>
            </w:pPr>
          </w:p>
        </w:tc>
        <w:tc>
          <w:tcPr>
            <w:tcW w:w="200" w:type="dxa"/>
            <w:vAlign w:val="bottom"/>
            <w:tcBorders>
              <w:bottom w:val="single" w:sz="8" w:color="231F20"/>
            </w:tcBorders>
          </w:tcPr>
          <w:p>
            <w:pPr>
              <w:spacing w:after="0"/>
              <w:rPr>
                <w:sz w:val="24"/>
                <w:szCs w:val="24"/>
                <w:color w:val="auto"/>
              </w:rPr>
            </w:pPr>
          </w:p>
        </w:tc>
        <w:tc>
          <w:tcPr>
            <w:tcW w:w="1120" w:type="dxa"/>
            <w:vAlign w:val="bottom"/>
            <w:tcBorders>
              <w:bottom w:val="single" w:sz="8" w:color="231F20"/>
            </w:tcBorders>
            <w:gridSpan w:val="6"/>
          </w:tcPr>
          <w:p>
            <w:pPr>
              <w:jc w:val="right"/>
              <w:ind w:right="40"/>
              <w:spacing w:after="0"/>
              <w:rPr>
                <w:sz w:val="20"/>
                <w:szCs w:val="20"/>
                <w:color w:val="auto"/>
              </w:rPr>
            </w:pPr>
            <w:r>
              <w:rPr>
                <w:rFonts w:ascii="Times New Roman" w:cs="Times New Roman" w:eastAsia="Times New Roman" w:hAnsi="Times New Roman"/>
                <w:sz w:val="15"/>
                <w:szCs w:val="15"/>
                <w:b w:val="1"/>
                <w:bCs w:val="1"/>
                <w:color w:val="231F20"/>
              </w:rPr>
              <w:t>December 31,</w:t>
            </w:r>
          </w:p>
        </w:tc>
        <w:tc>
          <w:tcPr>
            <w:tcW w:w="660" w:type="dxa"/>
            <w:vAlign w:val="bottom"/>
            <w:tcBorders>
              <w:bottom w:val="single" w:sz="8" w:color="231F20"/>
            </w:tcBorders>
          </w:tcPr>
          <w:p>
            <w:pPr>
              <w:spacing w:after="0"/>
              <w:rPr>
                <w:sz w:val="24"/>
                <w:szCs w:val="24"/>
                <w:color w:val="auto"/>
              </w:rPr>
            </w:pPr>
          </w:p>
        </w:tc>
        <w:tc>
          <w:tcPr>
            <w:tcW w:w="180" w:type="dxa"/>
            <w:vAlign w:val="bottom"/>
            <w:tcBorders>
              <w:bottom w:val="single" w:sz="8" w:color="231F20"/>
            </w:tcBorders>
          </w:tcPr>
          <w:p>
            <w:pPr>
              <w:spacing w:after="0"/>
              <w:rPr>
                <w:sz w:val="24"/>
                <w:szCs w:val="24"/>
                <w:color w:val="auto"/>
              </w:rPr>
            </w:pPr>
          </w:p>
        </w:tc>
        <w:tc>
          <w:tcPr>
            <w:tcW w:w="20" w:type="dxa"/>
            <w:vAlign w:val="bottom"/>
            <w:tcBorders>
              <w:bottom w:val="single" w:sz="8" w:color="231F20"/>
            </w:tcBorders>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5560" w:type="dxa"/>
            <w:vAlign w:val="bottom"/>
            <w:vMerge w:val="restart"/>
          </w:tcPr>
          <w:p>
            <w:pPr>
              <w:ind w:left="60"/>
              <w:spacing w:after="0"/>
              <w:rPr>
                <w:sz w:val="20"/>
                <w:szCs w:val="20"/>
                <w:color w:val="auto"/>
              </w:rPr>
            </w:pPr>
            <w:r>
              <w:rPr>
                <w:rFonts w:ascii="Times New Roman" w:cs="Times New Roman" w:eastAsia="Times New Roman" w:hAnsi="Times New Roman"/>
                <w:sz w:val="19"/>
                <w:szCs w:val="19"/>
                <w:color w:val="231F20"/>
              </w:rPr>
              <w:t>Weighted-average remaining term - finance leases</w:t>
            </w: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Borders>
              <w:bottom w:val="single" w:sz="8" w:color="231F20"/>
            </w:tcBorders>
          </w:tcPr>
          <w:p>
            <w:pPr>
              <w:spacing w:after="0"/>
              <w:rPr>
                <w:sz w:val="18"/>
                <w:szCs w:val="18"/>
                <w:color w:val="auto"/>
              </w:rPr>
            </w:pPr>
          </w:p>
        </w:tc>
        <w:tc>
          <w:tcPr>
            <w:tcW w:w="620" w:type="dxa"/>
            <w:vAlign w:val="bottom"/>
            <w:tcBorders>
              <w:bottom w:val="single" w:sz="8" w:color="231F20"/>
            </w:tcBorders>
            <w:gridSpan w:val="3"/>
          </w:tcPr>
          <w:p>
            <w:pPr>
              <w:jc w:val="right"/>
              <w:ind w:right="167"/>
              <w:spacing w:after="0"/>
              <w:rPr>
                <w:sz w:val="20"/>
                <w:szCs w:val="20"/>
                <w:color w:val="auto"/>
              </w:rPr>
            </w:pPr>
            <w:r>
              <w:rPr>
                <w:rFonts w:ascii="Times New Roman" w:cs="Times New Roman" w:eastAsia="Times New Roman" w:hAnsi="Times New Roman"/>
                <w:sz w:val="15"/>
                <w:szCs w:val="15"/>
                <w:b w:val="1"/>
                <w:bCs w:val="1"/>
                <w:color w:val="231F20"/>
              </w:rPr>
              <w:t>2025</w:t>
            </w:r>
          </w:p>
        </w:tc>
        <w:tc>
          <w:tcPr>
            <w:tcW w:w="240" w:type="dxa"/>
            <w:vAlign w:val="bottom"/>
            <w:tcBorders>
              <w:bottom w:val="single" w:sz="8" w:color="231F20"/>
            </w:tcBorders>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Borders>
              <w:bottom w:val="single" w:sz="8" w:color="231F20"/>
            </w:tcBorders>
          </w:tcPr>
          <w:p>
            <w:pPr>
              <w:spacing w:after="0"/>
              <w:rPr>
                <w:sz w:val="18"/>
                <w:szCs w:val="18"/>
                <w:color w:val="auto"/>
              </w:rPr>
            </w:pPr>
          </w:p>
        </w:tc>
        <w:tc>
          <w:tcPr>
            <w:tcW w:w="80" w:type="dxa"/>
            <w:vAlign w:val="bottom"/>
            <w:tcBorders>
              <w:bottom w:val="single" w:sz="8" w:color="231F20"/>
            </w:tcBorders>
          </w:tcPr>
          <w:p>
            <w:pPr>
              <w:spacing w:after="0"/>
              <w:rPr>
                <w:sz w:val="18"/>
                <w:szCs w:val="18"/>
                <w:color w:val="auto"/>
              </w:rPr>
            </w:pPr>
          </w:p>
        </w:tc>
        <w:tc>
          <w:tcPr>
            <w:tcW w:w="200" w:type="dxa"/>
            <w:vAlign w:val="bottom"/>
            <w:tcBorders>
              <w:bottom w:val="single" w:sz="8" w:color="231F20"/>
            </w:tcBorders>
          </w:tcPr>
          <w:p>
            <w:pPr>
              <w:spacing w:after="0"/>
              <w:rPr>
                <w:sz w:val="18"/>
                <w:szCs w:val="18"/>
                <w:color w:val="auto"/>
              </w:rPr>
            </w:pPr>
          </w:p>
        </w:tc>
        <w:tc>
          <w:tcPr>
            <w:tcW w:w="660" w:type="dxa"/>
            <w:vAlign w:val="bottom"/>
            <w:tcBorders>
              <w:bottom w:val="single" w:sz="8" w:color="231F20"/>
            </w:tcBorders>
          </w:tcPr>
          <w:p>
            <w:pPr>
              <w:ind w:left="40"/>
              <w:spacing w:after="0"/>
              <w:rPr>
                <w:sz w:val="20"/>
                <w:szCs w:val="20"/>
                <w:color w:val="auto"/>
              </w:rPr>
            </w:pPr>
            <w:r>
              <w:rPr>
                <w:rFonts w:ascii="Times New Roman" w:cs="Times New Roman" w:eastAsia="Times New Roman" w:hAnsi="Times New Roman"/>
                <w:sz w:val="15"/>
                <w:szCs w:val="15"/>
                <w:b w:val="1"/>
                <w:bCs w:val="1"/>
                <w:color w:val="231F20"/>
              </w:rPr>
              <w:t>2024</w:t>
            </w:r>
          </w:p>
        </w:tc>
        <w:tc>
          <w:tcPr>
            <w:tcW w:w="180" w:type="dxa"/>
            <w:vAlign w:val="bottom"/>
            <w:tcBorders>
              <w:bottom w:val="single" w:sz="8" w:color="231F20"/>
            </w:tcBorders>
          </w:tcPr>
          <w:p>
            <w:pPr>
              <w:spacing w:after="0"/>
              <w:rPr>
                <w:sz w:val="18"/>
                <w:szCs w:val="18"/>
                <w:color w:val="auto"/>
              </w:rPr>
            </w:pPr>
          </w:p>
        </w:tc>
        <w:tc>
          <w:tcPr>
            <w:tcW w:w="20" w:type="dxa"/>
            <w:vAlign w:val="bottom"/>
            <w:tcBorders>
              <w:bottom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56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gridSpan w:val="4"/>
          </w:tcPr>
          <w:p>
            <w:pPr>
              <w:jc w:val="right"/>
              <w:spacing w:after="0" w:line="214" w:lineRule="exact"/>
              <w:rPr>
                <w:sz w:val="20"/>
                <w:szCs w:val="20"/>
                <w:color w:val="auto"/>
              </w:rPr>
            </w:pPr>
            <w:r>
              <w:rPr>
                <w:rFonts w:ascii="Times New Roman" w:cs="Times New Roman" w:eastAsia="Times New Roman" w:hAnsi="Times New Roman"/>
                <w:sz w:val="19"/>
                <w:szCs w:val="19"/>
                <w:color w:val="231F20"/>
                <w:w w:val="99"/>
              </w:rPr>
              <w:t>68.7 years</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3"/>
          </w:tcPr>
          <w:p>
            <w:pPr>
              <w:ind w:left="40"/>
              <w:spacing w:after="0" w:line="214" w:lineRule="exact"/>
              <w:rPr>
                <w:sz w:val="20"/>
                <w:szCs w:val="20"/>
                <w:color w:val="auto"/>
              </w:rPr>
            </w:pPr>
            <w:r>
              <w:rPr>
                <w:rFonts w:ascii="Times New Roman" w:cs="Times New Roman" w:eastAsia="Times New Roman" w:hAnsi="Times New Roman"/>
                <w:sz w:val="19"/>
                <w:szCs w:val="19"/>
                <w:color w:val="231F20"/>
              </w:rPr>
              <w:t>69.7 years</w:t>
            </w:r>
          </w:p>
        </w:tc>
        <w:tc>
          <w:tcPr>
            <w:tcW w:w="0" w:type="dxa"/>
            <w:vAlign w:val="bottom"/>
          </w:tcPr>
          <w:p>
            <w:pPr>
              <w:spacing w:after="0"/>
              <w:rPr>
                <w:sz w:val="1"/>
                <w:szCs w:val="1"/>
                <w:color w:val="auto"/>
              </w:rPr>
            </w:pPr>
          </w:p>
        </w:tc>
      </w:tr>
      <w:tr>
        <w:trPr>
          <w:trHeight w:val="242"/>
        </w:trPr>
        <w:tc>
          <w:tcPr>
            <w:tcW w:w="5560" w:type="dxa"/>
            <w:vAlign w:val="bottom"/>
          </w:tcPr>
          <w:p>
            <w:pPr>
              <w:ind w:left="60"/>
              <w:spacing w:after="0"/>
              <w:rPr>
                <w:sz w:val="20"/>
                <w:szCs w:val="20"/>
                <w:color w:val="auto"/>
              </w:rPr>
            </w:pPr>
            <w:r>
              <w:rPr>
                <w:rFonts w:ascii="Times New Roman" w:cs="Times New Roman" w:eastAsia="Times New Roman" w:hAnsi="Times New Roman"/>
                <w:sz w:val="19"/>
                <w:szCs w:val="19"/>
                <w:color w:val="231F20"/>
              </w:rPr>
              <w:t>Weighted-average remaining term - operating leases</w:t>
            </w:r>
          </w:p>
        </w:tc>
        <w:tc>
          <w:tcPr>
            <w:tcW w:w="3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20" w:type="dxa"/>
            <w:vAlign w:val="bottom"/>
            <w:gridSpan w:val="6"/>
          </w:tcPr>
          <w:p>
            <w:pPr>
              <w:jc w:val="right"/>
              <w:ind w:right="225"/>
              <w:spacing w:after="0"/>
              <w:rPr>
                <w:sz w:val="20"/>
                <w:szCs w:val="20"/>
                <w:color w:val="auto"/>
              </w:rPr>
            </w:pPr>
            <w:r>
              <w:rPr>
                <w:rFonts w:ascii="Times New Roman" w:cs="Times New Roman" w:eastAsia="Times New Roman" w:hAnsi="Times New Roman"/>
                <w:sz w:val="19"/>
                <w:szCs w:val="19"/>
                <w:color w:val="231F20"/>
                <w:w w:val="99"/>
              </w:rPr>
              <w:t>53.7 years</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gridSpan w:val="3"/>
          </w:tcPr>
          <w:p>
            <w:pPr>
              <w:ind w:left="40"/>
              <w:spacing w:after="0"/>
              <w:rPr>
                <w:sz w:val="20"/>
                <w:szCs w:val="20"/>
                <w:color w:val="auto"/>
              </w:rPr>
            </w:pPr>
            <w:r>
              <w:rPr>
                <w:rFonts w:ascii="Times New Roman" w:cs="Times New Roman" w:eastAsia="Times New Roman" w:hAnsi="Times New Roman"/>
                <w:sz w:val="19"/>
                <w:szCs w:val="19"/>
                <w:color w:val="231F20"/>
              </w:rPr>
              <w:t>53.2 years</w:t>
            </w:r>
          </w:p>
        </w:tc>
        <w:tc>
          <w:tcPr>
            <w:tcW w:w="0" w:type="dxa"/>
            <w:vAlign w:val="bottom"/>
          </w:tcPr>
          <w:p>
            <w:pPr>
              <w:spacing w:after="0"/>
              <w:rPr>
                <w:sz w:val="1"/>
                <w:szCs w:val="1"/>
                <w:color w:val="auto"/>
              </w:rPr>
            </w:pPr>
          </w:p>
        </w:tc>
      </w:tr>
      <w:tr>
        <w:trPr>
          <w:trHeight w:val="242"/>
        </w:trPr>
        <w:tc>
          <w:tcPr>
            <w:tcW w:w="5560" w:type="dxa"/>
            <w:vAlign w:val="bottom"/>
          </w:tcPr>
          <w:p>
            <w:pPr>
              <w:ind w:left="60"/>
              <w:spacing w:after="0"/>
              <w:rPr>
                <w:sz w:val="20"/>
                <w:szCs w:val="20"/>
                <w:color w:val="auto"/>
              </w:rPr>
            </w:pPr>
            <w:r>
              <w:rPr>
                <w:rFonts w:ascii="Times New Roman" w:cs="Times New Roman" w:eastAsia="Times New Roman" w:hAnsi="Times New Roman"/>
                <w:sz w:val="19"/>
                <w:szCs w:val="19"/>
                <w:color w:val="231F20"/>
              </w:rPr>
              <w:t>Weighted-average discount rate - finance leases</w:t>
            </w:r>
          </w:p>
        </w:tc>
        <w:tc>
          <w:tcPr>
            <w:tcW w:w="3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6.5</w:t>
            </w:r>
          </w:p>
        </w:tc>
        <w:tc>
          <w:tcPr>
            <w:tcW w:w="2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6.5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0" w:type="dxa"/>
            <w:vAlign w:val="bottom"/>
          </w:tcPr>
          <w:p>
            <w:pPr>
              <w:spacing w:after="0"/>
              <w:rPr>
                <w:sz w:val="1"/>
                <w:szCs w:val="1"/>
                <w:color w:val="auto"/>
              </w:rPr>
            </w:pPr>
          </w:p>
        </w:tc>
      </w:tr>
      <w:tr>
        <w:trPr>
          <w:trHeight w:val="249"/>
        </w:trPr>
        <w:tc>
          <w:tcPr>
            <w:tcW w:w="5560" w:type="dxa"/>
            <w:vAlign w:val="bottom"/>
          </w:tcPr>
          <w:p>
            <w:pPr>
              <w:ind w:left="60"/>
              <w:spacing w:after="0"/>
              <w:rPr>
                <w:sz w:val="20"/>
                <w:szCs w:val="20"/>
                <w:color w:val="auto"/>
              </w:rPr>
            </w:pPr>
            <w:r>
              <w:rPr>
                <w:rFonts w:ascii="Times New Roman" w:cs="Times New Roman" w:eastAsia="Times New Roman" w:hAnsi="Times New Roman"/>
                <w:sz w:val="19"/>
                <w:szCs w:val="19"/>
                <w:color w:val="231F20"/>
              </w:rPr>
              <w:t>Weighted-average discount rate - operating leases</w:t>
            </w:r>
          </w:p>
        </w:tc>
        <w:tc>
          <w:tcPr>
            <w:tcW w:w="3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4.8</w:t>
            </w:r>
          </w:p>
        </w:tc>
        <w:tc>
          <w:tcPr>
            <w:tcW w:w="2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4.8</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0" w:type="dxa"/>
            <w:vAlign w:val="bottom"/>
          </w:tcPr>
          <w:p>
            <w:pPr>
              <w:spacing w:after="0"/>
              <w:rPr>
                <w:sz w:val="1"/>
                <w:szCs w:val="1"/>
                <w:color w:val="auto"/>
              </w:rPr>
            </w:pPr>
          </w:p>
        </w:tc>
      </w:tr>
      <w:tr>
        <w:trPr>
          <w:trHeight w:val="597"/>
        </w:trPr>
        <w:tc>
          <w:tcPr>
            <w:tcW w:w="5560" w:type="dxa"/>
            <w:vAlign w:val="bottom"/>
          </w:tcPr>
          <w:p>
            <w:pPr>
              <w:spacing w:after="0"/>
              <w:rPr>
                <w:sz w:val="20"/>
                <w:szCs w:val="20"/>
                <w:color w:val="auto"/>
              </w:rPr>
            </w:pPr>
            <w:r>
              <w:rPr>
                <w:rFonts w:ascii="Times New Roman" w:cs="Times New Roman" w:eastAsia="Times New Roman" w:hAnsi="Times New Roman"/>
                <w:sz w:val="19"/>
                <w:szCs w:val="19"/>
                <w:b w:val="1"/>
                <w:bCs w:val="1"/>
                <w:color w:val="231F20"/>
              </w:rPr>
              <w:t>NOTE 11—COMPONENTS OF RENTAL EXPENSES</w:t>
            </w: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2"/>
        </w:trPr>
        <w:tc>
          <w:tcPr>
            <w:tcW w:w="5560" w:type="dxa"/>
            <w:vAlign w:val="bottom"/>
          </w:tcPr>
          <w:p>
            <w:pPr>
              <w:spacing w:after="0"/>
              <w:rPr>
                <w:sz w:val="20"/>
                <w:szCs w:val="20"/>
                <w:color w:val="auto"/>
              </w:rPr>
            </w:pPr>
            <w:r>
              <w:rPr>
                <w:rFonts w:ascii="Times New Roman" w:cs="Times New Roman" w:eastAsia="Times New Roman" w:hAnsi="Times New Roman"/>
                <w:sz w:val="19"/>
                <w:szCs w:val="19"/>
                <w:color w:val="231F20"/>
              </w:rPr>
              <w:t>The principal components of rental expenses are as follows:</w:t>
            </w: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5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Borders>
              <w:bottom w:val="single" w:sz="8" w:color="231F20"/>
            </w:tcBorders>
          </w:tcPr>
          <w:p>
            <w:pPr>
              <w:spacing w:after="0"/>
              <w:rPr>
                <w:sz w:val="24"/>
                <w:szCs w:val="24"/>
                <w:color w:val="auto"/>
              </w:rPr>
            </w:pPr>
          </w:p>
        </w:tc>
        <w:tc>
          <w:tcPr>
            <w:tcW w:w="380" w:type="dxa"/>
            <w:vAlign w:val="bottom"/>
            <w:tcBorders>
              <w:bottom w:val="single" w:sz="8" w:color="231F20"/>
            </w:tcBorders>
          </w:tcPr>
          <w:p>
            <w:pPr>
              <w:spacing w:after="0"/>
              <w:rPr>
                <w:sz w:val="24"/>
                <w:szCs w:val="24"/>
                <w:color w:val="auto"/>
              </w:rPr>
            </w:pPr>
          </w:p>
        </w:tc>
        <w:tc>
          <w:tcPr>
            <w:tcW w:w="60" w:type="dxa"/>
            <w:vAlign w:val="bottom"/>
            <w:tcBorders>
              <w:bottom w:val="single" w:sz="8" w:color="231F20"/>
            </w:tcBorders>
          </w:tcPr>
          <w:p>
            <w:pPr>
              <w:spacing w:after="0"/>
              <w:rPr>
                <w:sz w:val="24"/>
                <w:szCs w:val="24"/>
                <w:color w:val="auto"/>
              </w:rPr>
            </w:pPr>
          </w:p>
        </w:tc>
        <w:tc>
          <w:tcPr>
            <w:tcW w:w="2500" w:type="dxa"/>
            <w:vAlign w:val="bottom"/>
            <w:tcBorders>
              <w:bottom w:val="single" w:sz="8" w:color="231F20"/>
            </w:tcBorders>
            <w:gridSpan w:val="10"/>
          </w:tcPr>
          <w:p>
            <w:pPr>
              <w:jc w:val="center"/>
              <w:ind w:right="327"/>
              <w:spacing w:after="0"/>
              <w:rPr>
                <w:sz w:val="20"/>
                <w:szCs w:val="20"/>
                <w:color w:val="auto"/>
              </w:rPr>
            </w:pPr>
            <w:r>
              <w:rPr>
                <w:rFonts w:ascii="Times New Roman" w:cs="Times New Roman" w:eastAsia="Times New Roman" w:hAnsi="Times New Roman"/>
                <w:sz w:val="15"/>
                <w:szCs w:val="15"/>
                <w:b w:val="1"/>
                <w:bCs w:val="1"/>
                <w:color w:val="231F20"/>
              </w:rPr>
              <w:t>Year Ended December 31,</w:t>
            </w:r>
          </w:p>
        </w:tc>
        <w:tc>
          <w:tcPr>
            <w:tcW w:w="180" w:type="dxa"/>
            <w:vAlign w:val="bottom"/>
            <w:tcBorders>
              <w:bottom w:val="single" w:sz="8" w:color="231F20"/>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5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Borders>
              <w:bottom w:val="single" w:sz="8" w:color="231F20"/>
            </w:tcBorders>
          </w:tcPr>
          <w:p>
            <w:pPr>
              <w:spacing w:after="0"/>
              <w:rPr>
                <w:sz w:val="18"/>
                <w:szCs w:val="18"/>
                <w:color w:val="auto"/>
              </w:rPr>
            </w:pPr>
          </w:p>
        </w:tc>
        <w:tc>
          <w:tcPr>
            <w:tcW w:w="880" w:type="dxa"/>
            <w:vAlign w:val="bottom"/>
            <w:tcBorders>
              <w:bottom w:val="single" w:sz="8" w:color="231F20"/>
            </w:tcBorders>
            <w:gridSpan w:val="3"/>
          </w:tcPr>
          <w:p>
            <w:pPr>
              <w:jc w:val="right"/>
              <w:ind w:right="278"/>
              <w:spacing w:after="0"/>
              <w:rPr>
                <w:sz w:val="20"/>
                <w:szCs w:val="20"/>
                <w:color w:val="auto"/>
              </w:rPr>
            </w:pPr>
            <w:r>
              <w:rPr>
                <w:rFonts w:ascii="Times New Roman" w:cs="Times New Roman" w:eastAsia="Times New Roman" w:hAnsi="Times New Roman"/>
                <w:sz w:val="15"/>
                <w:szCs w:val="15"/>
                <w:b w:val="1"/>
                <w:bCs w:val="1"/>
                <w:color w:val="231F20"/>
              </w:rPr>
              <w:t>2025</w:t>
            </w:r>
          </w:p>
        </w:tc>
        <w:tc>
          <w:tcPr>
            <w:tcW w:w="80" w:type="dxa"/>
            <w:vAlign w:val="bottom"/>
            <w:tcBorders>
              <w:bottom w:val="single" w:sz="8" w:color="231F20"/>
            </w:tcBorders>
          </w:tcPr>
          <w:p>
            <w:pPr>
              <w:spacing w:after="0"/>
              <w:rPr>
                <w:sz w:val="18"/>
                <w:szCs w:val="18"/>
                <w:color w:val="auto"/>
              </w:rPr>
            </w:pPr>
          </w:p>
        </w:tc>
        <w:tc>
          <w:tcPr>
            <w:tcW w:w="200" w:type="dxa"/>
            <w:vAlign w:val="bottom"/>
            <w:tcBorders>
              <w:bottom w:val="single" w:sz="8" w:color="231F20"/>
            </w:tcBorders>
          </w:tcPr>
          <w:p>
            <w:pPr>
              <w:spacing w:after="0"/>
              <w:rPr>
                <w:sz w:val="18"/>
                <w:szCs w:val="18"/>
                <w:color w:val="auto"/>
              </w:rPr>
            </w:pPr>
          </w:p>
        </w:tc>
        <w:tc>
          <w:tcPr>
            <w:tcW w:w="580" w:type="dxa"/>
            <w:vAlign w:val="bottom"/>
            <w:tcBorders>
              <w:bottom w:val="single" w:sz="8" w:color="231F20"/>
            </w:tcBorders>
            <w:gridSpan w:val="2"/>
          </w:tcPr>
          <w:p>
            <w:pPr>
              <w:jc w:val="center"/>
              <w:spacing w:after="0"/>
              <w:rPr>
                <w:sz w:val="20"/>
                <w:szCs w:val="20"/>
                <w:color w:val="auto"/>
              </w:rPr>
            </w:pPr>
            <w:r>
              <w:rPr>
                <w:rFonts w:ascii="Times New Roman" w:cs="Times New Roman" w:eastAsia="Times New Roman" w:hAnsi="Times New Roman"/>
                <w:sz w:val="15"/>
                <w:szCs w:val="15"/>
                <w:b w:val="1"/>
                <w:bCs w:val="1"/>
                <w:color w:val="231F20"/>
              </w:rPr>
              <w:t>2024</w:t>
            </w:r>
          </w:p>
        </w:tc>
        <w:tc>
          <w:tcPr>
            <w:tcW w:w="40" w:type="dxa"/>
            <w:vAlign w:val="bottom"/>
            <w:tcBorders>
              <w:bottom w:val="single" w:sz="8" w:color="231F20"/>
            </w:tcBorders>
          </w:tcPr>
          <w:p>
            <w:pPr>
              <w:spacing w:after="0"/>
              <w:rPr>
                <w:sz w:val="18"/>
                <w:szCs w:val="18"/>
                <w:color w:val="auto"/>
              </w:rPr>
            </w:pPr>
          </w:p>
        </w:tc>
        <w:tc>
          <w:tcPr>
            <w:tcW w:w="220" w:type="dxa"/>
            <w:vAlign w:val="bottom"/>
            <w:tcBorders>
              <w:bottom w:val="single" w:sz="8" w:color="231F20"/>
            </w:tcBorders>
          </w:tcPr>
          <w:p>
            <w:pPr>
              <w:spacing w:after="0"/>
              <w:rPr>
                <w:sz w:val="18"/>
                <w:szCs w:val="18"/>
                <w:color w:val="auto"/>
              </w:rPr>
            </w:pPr>
          </w:p>
        </w:tc>
        <w:tc>
          <w:tcPr>
            <w:tcW w:w="80" w:type="dxa"/>
            <w:vAlign w:val="bottom"/>
            <w:tcBorders>
              <w:bottom w:val="single" w:sz="8" w:color="231F20"/>
            </w:tcBorders>
          </w:tcPr>
          <w:p>
            <w:pPr>
              <w:spacing w:after="0"/>
              <w:rPr>
                <w:sz w:val="18"/>
                <w:szCs w:val="18"/>
                <w:color w:val="auto"/>
              </w:rPr>
            </w:pPr>
          </w:p>
        </w:tc>
        <w:tc>
          <w:tcPr>
            <w:tcW w:w="200" w:type="dxa"/>
            <w:vAlign w:val="bottom"/>
            <w:tcBorders>
              <w:bottom w:val="single" w:sz="8" w:color="231F20"/>
            </w:tcBorders>
          </w:tcPr>
          <w:p>
            <w:pPr>
              <w:spacing w:after="0"/>
              <w:rPr>
                <w:sz w:val="18"/>
                <w:szCs w:val="18"/>
                <w:color w:val="auto"/>
              </w:rPr>
            </w:pPr>
          </w:p>
        </w:tc>
        <w:tc>
          <w:tcPr>
            <w:tcW w:w="660" w:type="dxa"/>
            <w:vAlign w:val="bottom"/>
            <w:tcBorders>
              <w:bottom w:val="single" w:sz="8" w:color="231F20"/>
            </w:tcBorders>
          </w:tcPr>
          <w:p>
            <w:pPr>
              <w:jc w:val="right"/>
              <w:ind w:right="107"/>
              <w:spacing w:after="0"/>
              <w:rPr>
                <w:sz w:val="20"/>
                <w:szCs w:val="20"/>
                <w:color w:val="auto"/>
              </w:rPr>
            </w:pPr>
            <w:r>
              <w:rPr>
                <w:rFonts w:ascii="Times New Roman" w:cs="Times New Roman" w:eastAsia="Times New Roman" w:hAnsi="Times New Roman"/>
                <w:sz w:val="15"/>
                <w:szCs w:val="15"/>
                <w:b w:val="1"/>
                <w:bCs w:val="1"/>
                <w:color w:val="231F20"/>
              </w:rPr>
              <w:t>2023</w:t>
            </w:r>
          </w:p>
        </w:tc>
        <w:tc>
          <w:tcPr>
            <w:tcW w:w="180" w:type="dxa"/>
            <w:vAlign w:val="bottom"/>
            <w:tcBorders>
              <w:bottom w:val="single" w:sz="8" w:color="231F20"/>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5"/>
          </w:tcPr>
          <w:p>
            <w:pPr>
              <w:jc w:val="center"/>
              <w:spacing w:after="0"/>
              <w:rPr>
                <w:sz w:val="20"/>
                <w:szCs w:val="20"/>
                <w:color w:val="auto"/>
              </w:rPr>
            </w:pPr>
            <w:r>
              <w:rPr>
                <w:rFonts w:ascii="Times New Roman" w:cs="Times New Roman" w:eastAsia="Times New Roman" w:hAnsi="Times New Roman"/>
                <w:sz w:val="15"/>
                <w:szCs w:val="15"/>
                <w:b w:val="1"/>
                <w:bCs w:val="1"/>
                <w:color w:val="231F20"/>
              </w:rPr>
              <w:t>(In thousands)</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5"/>
        </w:trPr>
        <w:tc>
          <w:tcPr>
            <w:tcW w:w="5560" w:type="dxa"/>
            <w:vAlign w:val="bottom"/>
          </w:tcPr>
          <w:p>
            <w:pPr>
              <w:ind w:left="60"/>
              <w:spacing w:after="0"/>
              <w:rPr>
                <w:sz w:val="20"/>
                <w:szCs w:val="20"/>
                <w:color w:val="auto"/>
              </w:rPr>
            </w:pPr>
            <w:r>
              <w:rPr>
                <w:rFonts w:ascii="Times New Roman" w:cs="Times New Roman" w:eastAsia="Times New Roman" w:hAnsi="Times New Roman"/>
                <w:sz w:val="19"/>
                <w:szCs w:val="19"/>
                <w:color w:val="231F20"/>
              </w:rPr>
              <w:t>Repairs and maintenance</w:t>
            </w:r>
          </w:p>
        </w:tc>
        <w:tc>
          <w:tcPr>
            <w:tcW w:w="360" w:type="dxa"/>
            <w:vAlign w:val="bottom"/>
          </w:tcPr>
          <w:p>
            <w:pPr>
              <w:spacing w:after="0"/>
              <w:rPr>
                <w:sz w:val="23"/>
                <w:szCs w:val="23"/>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231F20"/>
              </w:rPr>
              <w:t>108,267</w:t>
            </w:r>
          </w:p>
        </w:tc>
        <w:tc>
          <w:tcPr>
            <w:tcW w:w="280" w:type="dxa"/>
            <w:vAlign w:val="bottom"/>
            <w:gridSpan w:val="2"/>
          </w:tcPr>
          <w:p>
            <w:pPr>
              <w:jc w:val="center"/>
              <w:spacing w:after="0"/>
              <w:rPr>
                <w:sz w:val="20"/>
                <w:szCs w:val="20"/>
                <w:color w:val="auto"/>
              </w:rPr>
            </w:pPr>
            <w:r>
              <w:rPr>
                <w:rFonts w:ascii="Times New Roman" w:cs="Times New Roman" w:eastAsia="Times New Roman" w:hAnsi="Times New Roman"/>
                <w:sz w:val="19"/>
                <w:szCs w:val="19"/>
                <w:color w:val="231F20"/>
                <w:w w:val="83"/>
              </w:rPr>
              <w:t>$</w:t>
            </w:r>
          </w:p>
        </w:tc>
        <w:tc>
          <w:tcPr>
            <w:tcW w:w="840" w:type="dxa"/>
            <w:vAlign w:val="bottom"/>
            <w:gridSpan w:val="4"/>
          </w:tcPr>
          <w:p>
            <w:pPr>
              <w:jc w:val="right"/>
              <w:spacing w:after="0"/>
              <w:rPr>
                <w:sz w:val="20"/>
                <w:szCs w:val="20"/>
                <w:color w:val="auto"/>
              </w:rPr>
            </w:pPr>
            <w:r>
              <w:rPr>
                <w:rFonts w:ascii="Times New Roman" w:cs="Times New Roman" w:eastAsia="Times New Roman" w:hAnsi="Times New Roman"/>
                <w:sz w:val="19"/>
                <w:szCs w:val="19"/>
                <w:color w:val="231F20"/>
              </w:rPr>
              <w:t>99,367</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9"/>
                <w:szCs w:val="19"/>
                <w:color w:val="231F20"/>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87,349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5560" w:type="dxa"/>
            <w:vAlign w:val="bottom"/>
          </w:tcPr>
          <w:p>
            <w:pPr>
              <w:ind w:left="60"/>
              <w:spacing w:after="0"/>
              <w:rPr>
                <w:sz w:val="20"/>
                <w:szCs w:val="20"/>
                <w:color w:val="auto"/>
              </w:rPr>
            </w:pPr>
            <w:r>
              <w:rPr>
                <w:rFonts w:ascii="Times New Roman" w:cs="Times New Roman" w:eastAsia="Times New Roman" w:hAnsi="Times New Roman"/>
                <w:sz w:val="19"/>
                <w:szCs w:val="19"/>
                <w:color w:val="231F20"/>
              </w:rPr>
              <w:t>Utilities</w:t>
            </w:r>
          </w:p>
        </w:tc>
        <w:tc>
          <w:tcPr>
            <w:tcW w:w="3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231F20"/>
              </w:rPr>
              <w:t>42,703</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gridSpan w:val="4"/>
          </w:tcPr>
          <w:p>
            <w:pPr>
              <w:jc w:val="right"/>
              <w:spacing w:after="0"/>
              <w:rPr>
                <w:sz w:val="20"/>
                <w:szCs w:val="20"/>
                <w:color w:val="auto"/>
              </w:rPr>
            </w:pPr>
            <w:r>
              <w:rPr>
                <w:rFonts w:ascii="Times New Roman" w:cs="Times New Roman" w:eastAsia="Times New Roman" w:hAnsi="Times New Roman"/>
                <w:sz w:val="19"/>
                <w:szCs w:val="19"/>
                <w:color w:val="231F20"/>
              </w:rPr>
              <w:t>38,676</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35,109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5560" w:type="dxa"/>
            <w:vAlign w:val="bottom"/>
          </w:tcPr>
          <w:p>
            <w:pPr>
              <w:ind w:left="60"/>
              <w:spacing w:after="0"/>
              <w:rPr>
                <w:sz w:val="20"/>
                <w:szCs w:val="20"/>
                <w:color w:val="auto"/>
              </w:rPr>
            </w:pPr>
            <w:r>
              <w:rPr>
                <w:rFonts w:ascii="Times New Roman" w:cs="Times New Roman" w:eastAsia="Times New Roman" w:hAnsi="Times New Roman"/>
                <w:sz w:val="19"/>
                <w:szCs w:val="19"/>
                <w:color w:val="231F20"/>
              </w:rPr>
              <w:t>Management fees and costs</w:t>
            </w:r>
          </w:p>
        </w:tc>
        <w:tc>
          <w:tcPr>
            <w:tcW w:w="3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231F20"/>
              </w:rPr>
              <w:t>34,558</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gridSpan w:val="4"/>
          </w:tcPr>
          <w:p>
            <w:pPr>
              <w:jc w:val="right"/>
              <w:spacing w:after="0"/>
              <w:rPr>
                <w:sz w:val="20"/>
                <w:szCs w:val="20"/>
                <w:color w:val="auto"/>
              </w:rPr>
            </w:pPr>
            <w:r>
              <w:rPr>
                <w:rFonts w:ascii="Times New Roman" w:cs="Times New Roman" w:eastAsia="Times New Roman" w:hAnsi="Times New Roman"/>
                <w:sz w:val="19"/>
                <w:szCs w:val="19"/>
                <w:color w:val="231F20"/>
              </w:rPr>
              <w:t>32,203</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30,203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5560" w:type="dxa"/>
            <w:vAlign w:val="bottom"/>
          </w:tcPr>
          <w:p>
            <w:pPr>
              <w:ind w:left="60"/>
              <w:spacing w:after="0"/>
              <w:rPr>
                <w:sz w:val="20"/>
                <w:szCs w:val="20"/>
                <w:color w:val="auto"/>
              </w:rPr>
            </w:pPr>
            <w:r>
              <w:rPr>
                <w:rFonts w:ascii="Times New Roman" w:cs="Times New Roman" w:eastAsia="Times New Roman" w:hAnsi="Times New Roman"/>
                <w:sz w:val="19"/>
                <w:szCs w:val="19"/>
                <w:color w:val="231F20"/>
              </w:rPr>
              <w:t>Payroll</w:t>
            </w:r>
          </w:p>
        </w:tc>
        <w:tc>
          <w:tcPr>
            <w:tcW w:w="3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231F20"/>
              </w:rPr>
              <w:t>22,876</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gridSpan w:val="4"/>
          </w:tcPr>
          <w:p>
            <w:pPr>
              <w:jc w:val="right"/>
              <w:spacing w:after="0"/>
              <w:rPr>
                <w:sz w:val="20"/>
                <w:szCs w:val="20"/>
                <w:color w:val="auto"/>
              </w:rPr>
            </w:pPr>
            <w:r>
              <w:rPr>
                <w:rFonts w:ascii="Times New Roman" w:cs="Times New Roman" w:eastAsia="Times New Roman" w:hAnsi="Times New Roman"/>
                <w:sz w:val="19"/>
                <w:szCs w:val="19"/>
                <w:color w:val="231F20"/>
              </w:rPr>
              <w:t>22,302</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20,598</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5560" w:type="dxa"/>
            <w:vAlign w:val="bottom"/>
          </w:tcPr>
          <w:p>
            <w:pPr>
              <w:ind w:left="60"/>
              <w:spacing w:after="0"/>
              <w:rPr>
                <w:sz w:val="20"/>
                <w:szCs w:val="20"/>
                <w:color w:val="auto"/>
              </w:rPr>
            </w:pPr>
            <w:r>
              <w:rPr>
                <w:rFonts w:ascii="Times New Roman" w:cs="Times New Roman" w:eastAsia="Times New Roman" w:hAnsi="Times New Roman"/>
                <w:sz w:val="19"/>
                <w:szCs w:val="19"/>
                <w:color w:val="231F20"/>
              </w:rPr>
              <w:t>Insurance</w:t>
            </w:r>
          </w:p>
        </w:tc>
        <w:tc>
          <w:tcPr>
            <w:tcW w:w="3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231F20"/>
              </w:rPr>
              <w:t>19,412</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gridSpan w:val="4"/>
          </w:tcPr>
          <w:p>
            <w:pPr>
              <w:jc w:val="right"/>
              <w:spacing w:after="0"/>
              <w:rPr>
                <w:sz w:val="20"/>
                <w:szCs w:val="20"/>
                <w:color w:val="auto"/>
              </w:rPr>
            </w:pPr>
            <w:r>
              <w:rPr>
                <w:rFonts w:ascii="Times New Roman" w:cs="Times New Roman" w:eastAsia="Times New Roman" w:hAnsi="Times New Roman"/>
                <w:sz w:val="19"/>
                <w:szCs w:val="19"/>
                <w:color w:val="231F20"/>
              </w:rPr>
              <w:t>19,383</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18,273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5560" w:type="dxa"/>
            <w:vAlign w:val="bottom"/>
          </w:tcPr>
          <w:p>
            <w:pPr>
              <w:ind w:left="60"/>
              <w:spacing w:after="0"/>
              <w:rPr>
                <w:sz w:val="20"/>
                <w:szCs w:val="20"/>
                <w:color w:val="auto"/>
              </w:rPr>
            </w:pPr>
            <w:r>
              <w:rPr>
                <w:rFonts w:ascii="Times New Roman" w:cs="Times New Roman" w:eastAsia="Times New Roman" w:hAnsi="Times New Roman"/>
                <w:sz w:val="19"/>
                <w:szCs w:val="19"/>
                <w:color w:val="231F20"/>
              </w:rPr>
              <w:t>Marketing</w:t>
            </w:r>
          </w:p>
        </w:tc>
        <w:tc>
          <w:tcPr>
            <w:tcW w:w="3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w w:val="98"/>
              </w:rPr>
              <w:t>7,934</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231F20"/>
                <w:w w:val="93"/>
              </w:rPr>
              <w:t>7,536</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7,978</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5560" w:type="dxa"/>
            <w:vAlign w:val="bottom"/>
          </w:tcPr>
          <w:p>
            <w:pPr>
              <w:ind w:left="60"/>
              <w:spacing w:after="0"/>
              <w:rPr>
                <w:sz w:val="20"/>
                <w:szCs w:val="20"/>
                <w:color w:val="auto"/>
              </w:rPr>
            </w:pPr>
            <w:r>
              <w:rPr>
                <w:rFonts w:ascii="Times New Roman" w:cs="Times New Roman" w:eastAsia="Times New Roman" w:hAnsi="Times New Roman"/>
                <w:sz w:val="19"/>
                <w:szCs w:val="19"/>
                <w:color w:val="231F20"/>
              </w:rPr>
              <w:t>Ground rent</w:t>
            </w:r>
          </w:p>
        </w:tc>
        <w:tc>
          <w:tcPr>
            <w:tcW w:w="3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w w:val="98"/>
              </w:rPr>
              <w:t>5,892</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231F20"/>
                <w:w w:val="93"/>
              </w:rPr>
              <w:t>5,259</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5,303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2"/>
        </w:trPr>
        <w:tc>
          <w:tcPr>
            <w:tcW w:w="5560" w:type="dxa"/>
            <w:vAlign w:val="bottom"/>
          </w:tcPr>
          <w:p>
            <w:pPr>
              <w:ind w:left="60"/>
              <w:spacing w:after="0"/>
              <w:rPr>
                <w:sz w:val="20"/>
                <w:szCs w:val="20"/>
                <w:color w:val="auto"/>
              </w:rPr>
            </w:pPr>
            <w:r>
              <w:rPr>
                <w:rFonts w:ascii="Times New Roman" w:cs="Times New Roman" w:eastAsia="Times New Roman" w:hAnsi="Times New Roman"/>
                <w:sz w:val="19"/>
                <w:szCs w:val="19"/>
                <w:color w:val="231F20"/>
              </w:rPr>
              <w:t>Other operating</w:t>
            </w:r>
          </w:p>
        </w:tc>
        <w:tc>
          <w:tcPr>
            <w:tcW w:w="3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60" w:type="dxa"/>
            <w:vAlign w:val="bottom"/>
            <w:tcBorders>
              <w:bottom w:val="single" w:sz="8" w:color="231F20"/>
            </w:tcBorders>
          </w:tcPr>
          <w:p>
            <w:pPr>
              <w:spacing w:after="0"/>
              <w:rPr>
                <w:sz w:val="23"/>
                <w:szCs w:val="23"/>
                <w:color w:val="auto"/>
              </w:rPr>
            </w:pPr>
          </w:p>
        </w:tc>
        <w:tc>
          <w:tcPr>
            <w:tcW w:w="880" w:type="dxa"/>
            <w:vAlign w:val="bottom"/>
            <w:tcBorders>
              <w:bottom w:val="single" w:sz="8" w:color="231F20"/>
            </w:tcBorders>
            <w:gridSpan w:val="3"/>
          </w:tcPr>
          <w:p>
            <w:pPr>
              <w:jc w:val="right"/>
              <w:spacing w:after="0"/>
              <w:rPr>
                <w:sz w:val="20"/>
                <w:szCs w:val="20"/>
                <w:color w:val="auto"/>
              </w:rPr>
            </w:pPr>
            <w:r>
              <w:rPr>
                <w:rFonts w:ascii="Times New Roman" w:cs="Times New Roman" w:eastAsia="Times New Roman" w:hAnsi="Times New Roman"/>
                <w:sz w:val="19"/>
                <w:szCs w:val="19"/>
                <w:color w:val="231F20"/>
              </w:rPr>
              <w:t>25,803</w:t>
            </w:r>
          </w:p>
        </w:tc>
        <w:tc>
          <w:tcPr>
            <w:tcW w:w="80" w:type="dxa"/>
            <w:vAlign w:val="bottom"/>
          </w:tcPr>
          <w:p>
            <w:pPr>
              <w:spacing w:after="0"/>
              <w:rPr>
                <w:sz w:val="23"/>
                <w:szCs w:val="23"/>
                <w:color w:val="auto"/>
              </w:rPr>
            </w:pPr>
          </w:p>
        </w:tc>
        <w:tc>
          <w:tcPr>
            <w:tcW w:w="200" w:type="dxa"/>
            <w:vAlign w:val="bottom"/>
            <w:tcBorders>
              <w:bottom w:val="single" w:sz="8" w:color="231F20"/>
            </w:tcBorders>
          </w:tcPr>
          <w:p>
            <w:pPr>
              <w:spacing w:after="0"/>
              <w:rPr>
                <w:sz w:val="23"/>
                <w:szCs w:val="23"/>
                <w:color w:val="auto"/>
              </w:rPr>
            </w:pPr>
          </w:p>
        </w:tc>
        <w:tc>
          <w:tcPr>
            <w:tcW w:w="840" w:type="dxa"/>
            <w:vAlign w:val="bottom"/>
            <w:tcBorders>
              <w:bottom w:val="single" w:sz="8" w:color="231F20"/>
            </w:tcBorders>
            <w:gridSpan w:val="4"/>
          </w:tcPr>
          <w:p>
            <w:pPr>
              <w:jc w:val="right"/>
              <w:spacing w:after="0"/>
              <w:rPr>
                <w:sz w:val="20"/>
                <w:szCs w:val="20"/>
                <w:color w:val="auto"/>
              </w:rPr>
            </w:pPr>
            <w:r>
              <w:rPr>
                <w:rFonts w:ascii="Times New Roman" w:cs="Times New Roman" w:eastAsia="Times New Roman" w:hAnsi="Times New Roman"/>
                <w:sz w:val="19"/>
                <w:szCs w:val="19"/>
                <w:color w:val="231F20"/>
              </w:rPr>
              <w:t>24,843</w:t>
            </w:r>
          </w:p>
        </w:tc>
        <w:tc>
          <w:tcPr>
            <w:tcW w:w="80" w:type="dxa"/>
            <w:vAlign w:val="bottom"/>
          </w:tcPr>
          <w:p>
            <w:pPr>
              <w:spacing w:after="0"/>
              <w:rPr>
                <w:sz w:val="23"/>
                <w:szCs w:val="23"/>
                <w:color w:val="auto"/>
              </w:rPr>
            </w:pPr>
          </w:p>
        </w:tc>
        <w:tc>
          <w:tcPr>
            <w:tcW w:w="200" w:type="dxa"/>
            <w:vAlign w:val="bottom"/>
            <w:tcBorders>
              <w:bottom w:val="single" w:sz="8" w:color="231F20"/>
            </w:tcBorders>
          </w:tcPr>
          <w:p>
            <w:pPr>
              <w:spacing w:after="0"/>
              <w:rPr>
                <w:sz w:val="23"/>
                <w:szCs w:val="23"/>
                <w:color w:val="auto"/>
              </w:rPr>
            </w:pPr>
          </w:p>
        </w:tc>
        <w:tc>
          <w:tcPr>
            <w:tcW w:w="840" w:type="dxa"/>
            <w:vAlign w:val="bottom"/>
            <w:tcBorders>
              <w:bottom w:val="single" w:sz="8" w:color="231F20"/>
            </w:tcBorders>
            <w:gridSpan w:val="2"/>
          </w:tcPr>
          <w:p>
            <w:pPr>
              <w:jc w:val="right"/>
              <w:spacing w:after="0"/>
              <w:rPr>
                <w:sz w:val="20"/>
                <w:szCs w:val="20"/>
                <w:color w:val="auto"/>
              </w:rPr>
            </w:pPr>
            <w:r>
              <w:rPr>
                <w:rFonts w:ascii="Times New Roman" w:cs="Times New Roman" w:eastAsia="Times New Roman" w:hAnsi="Times New Roman"/>
                <w:sz w:val="19"/>
                <w:szCs w:val="19"/>
                <w:color w:val="231F20"/>
              </w:rPr>
              <w:t>26,853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3"/>
        </w:trPr>
        <w:tc>
          <w:tcPr>
            <w:tcW w:w="5560" w:type="dxa"/>
            <w:vAlign w:val="bottom"/>
          </w:tcPr>
          <w:p>
            <w:pPr>
              <w:ind w:left="60"/>
              <w:spacing w:after="0"/>
              <w:rPr>
                <w:sz w:val="20"/>
                <w:szCs w:val="20"/>
                <w:color w:val="auto"/>
              </w:rPr>
            </w:pPr>
            <w:r>
              <w:rPr>
                <w:rFonts w:ascii="Times New Roman" w:cs="Times New Roman" w:eastAsia="Times New Roman" w:hAnsi="Times New Roman"/>
                <w:sz w:val="19"/>
                <w:szCs w:val="19"/>
                <w:color w:val="231F20"/>
              </w:rPr>
              <w:t>Total rental expenses</w:t>
            </w:r>
          </w:p>
        </w:tc>
        <w:tc>
          <w:tcPr>
            <w:tcW w:w="36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231F20"/>
              </w:rPr>
              <w:t>267,445</w:t>
            </w:r>
          </w:p>
        </w:tc>
        <w:tc>
          <w:tcPr>
            <w:tcW w:w="280" w:type="dxa"/>
            <w:vAlign w:val="bottom"/>
            <w:gridSpan w:val="2"/>
          </w:tcPr>
          <w:p>
            <w:pPr>
              <w:jc w:val="center"/>
              <w:spacing w:after="0"/>
              <w:rPr>
                <w:sz w:val="20"/>
                <w:szCs w:val="20"/>
                <w:color w:val="auto"/>
              </w:rPr>
            </w:pPr>
            <w:r>
              <w:rPr>
                <w:rFonts w:ascii="Times New Roman" w:cs="Times New Roman" w:eastAsia="Times New Roman" w:hAnsi="Times New Roman"/>
                <w:sz w:val="19"/>
                <w:szCs w:val="19"/>
                <w:color w:val="231F20"/>
                <w:w w:val="83"/>
              </w:rPr>
              <w:t>$</w:t>
            </w:r>
          </w:p>
        </w:tc>
        <w:tc>
          <w:tcPr>
            <w:tcW w:w="840" w:type="dxa"/>
            <w:vAlign w:val="bottom"/>
            <w:gridSpan w:val="4"/>
          </w:tcPr>
          <w:p>
            <w:pPr>
              <w:jc w:val="right"/>
              <w:spacing w:after="0"/>
              <w:rPr>
                <w:sz w:val="20"/>
                <w:szCs w:val="20"/>
                <w:color w:val="auto"/>
              </w:rPr>
            </w:pPr>
            <w:r>
              <w:rPr>
                <w:rFonts w:ascii="Times New Roman" w:cs="Times New Roman" w:eastAsia="Times New Roman" w:hAnsi="Times New Roman"/>
                <w:sz w:val="19"/>
                <w:szCs w:val="19"/>
                <w:color w:val="231F20"/>
              </w:rPr>
              <w:t>249,569</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9"/>
                <w:szCs w:val="19"/>
                <w:color w:val="231F20"/>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231,666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231F20"/>
              <w:bottom w:val="single" w:sz="8" w:color="231F20"/>
            </w:tcBorders>
          </w:tcPr>
          <w:p>
            <w:pPr>
              <w:spacing w:after="0" w:line="20" w:lineRule="exact"/>
              <w:rPr>
                <w:sz w:val="1"/>
                <w:szCs w:val="1"/>
                <w:color w:val="auto"/>
              </w:rPr>
            </w:pPr>
          </w:p>
        </w:tc>
        <w:tc>
          <w:tcPr>
            <w:tcW w:w="38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Borders>
              <w:top w:val="single" w:sz="8" w:color="231F20"/>
              <w:bottom w:val="single" w:sz="8" w:color="231F20"/>
            </w:tcBorders>
          </w:tcPr>
          <w:p>
            <w:pPr>
              <w:spacing w:after="0" w:line="20" w:lineRule="exact"/>
              <w:rPr>
                <w:sz w:val="1"/>
                <w:szCs w:val="1"/>
                <w:color w:val="auto"/>
              </w:rPr>
            </w:pPr>
          </w:p>
        </w:tc>
        <w:tc>
          <w:tcPr>
            <w:tcW w:w="44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231F20"/>
              <w:bottom w:val="single" w:sz="8" w:color="231F20"/>
            </w:tcBorders>
          </w:tcPr>
          <w:p>
            <w:pPr>
              <w:spacing w:after="0" w:line="20" w:lineRule="exact"/>
              <w:rPr>
                <w:sz w:val="1"/>
                <w:szCs w:val="1"/>
                <w:color w:val="auto"/>
              </w:rPr>
            </w:pPr>
          </w:p>
        </w:tc>
        <w:tc>
          <w:tcPr>
            <w:tcW w:w="340" w:type="dxa"/>
            <w:vAlign w:val="bottom"/>
            <w:tcBorders>
              <w:top w:val="single" w:sz="8" w:color="231F20"/>
              <w:bottom w:val="single" w:sz="8" w:color="231F20"/>
            </w:tcBorders>
          </w:tcPr>
          <w:p>
            <w:pPr>
              <w:spacing w:after="0" w:line="20" w:lineRule="exact"/>
              <w:rPr>
                <w:sz w:val="1"/>
                <w:szCs w:val="1"/>
                <w:color w:val="auto"/>
              </w:rPr>
            </w:pPr>
          </w:p>
        </w:tc>
        <w:tc>
          <w:tcPr>
            <w:tcW w:w="240" w:type="dxa"/>
            <w:vAlign w:val="bottom"/>
            <w:tcBorders>
              <w:top w:val="single" w:sz="8" w:color="231F20"/>
              <w:bottom w:val="single" w:sz="8" w:color="231F20"/>
            </w:tcBorders>
          </w:tcPr>
          <w:p>
            <w:pPr>
              <w:spacing w:after="0" w:line="20" w:lineRule="exact"/>
              <w:rPr>
                <w:sz w:val="1"/>
                <w:szCs w:val="1"/>
                <w:color w:val="auto"/>
              </w:rPr>
            </w:pPr>
          </w:p>
        </w:tc>
        <w:tc>
          <w:tcPr>
            <w:tcW w:w="40" w:type="dxa"/>
            <w:vAlign w:val="bottom"/>
            <w:tcBorders>
              <w:top w:val="single" w:sz="8" w:color="231F20"/>
              <w:bottom w:val="single" w:sz="8" w:color="231F20"/>
            </w:tcBorders>
          </w:tcPr>
          <w:p>
            <w:pPr>
              <w:spacing w:after="0" w:line="20" w:lineRule="exact"/>
              <w:rPr>
                <w:sz w:val="1"/>
                <w:szCs w:val="1"/>
                <w:color w:val="auto"/>
              </w:rPr>
            </w:pPr>
          </w:p>
        </w:tc>
        <w:tc>
          <w:tcPr>
            <w:tcW w:w="22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231F20"/>
              <w:bottom w:val="single" w:sz="8" w:color="231F20"/>
            </w:tcBorders>
          </w:tcPr>
          <w:p>
            <w:pPr>
              <w:spacing w:after="0" w:line="20" w:lineRule="exact"/>
              <w:rPr>
                <w:sz w:val="1"/>
                <w:szCs w:val="1"/>
                <w:color w:val="auto"/>
              </w:rPr>
            </w:pPr>
          </w:p>
        </w:tc>
        <w:tc>
          <w:tcPr>
            <w:tcW w:w="660" w:type="dxa"/>
            <w:vAlign w:val="bottom"/>
            <w:tcBorders>
              <w:top w:val="single" w:sz="8" w:color="231F20"/>
              <w:bottom w:val="single" w:sz="8" w:color="231F20"/>
            </w:tcBorders>
          </w:tcPr>
          <w:p>
            <w:pPr>
              <w:spacing w:after="0" w:line="20" w:lineRule="exact"/>
              <w:rPr>
                <w:sz w:val="1"/>
                <w:szCs w:val="1"/>
                <w:color w:val="auto"/>
              </w:rPr>
            </w:pPr>
          </w:p>
        </w:tc>
        <w:tc>
          <w:tcPr>
            <w:tcW w:w="18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5494655</wp:posOffset>
            </wp:positionH>
            <wp:positionV relativeFrom="paragraph">
              <wp:posOffset>-1723390</wp:posOffset>
            </wp:positionV>
            <wp:extent cx="68643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3">
                      <a:extLst>
                        <a:ext uri="{28A0092B-C50C-407E-A947-70E740481C1C}"/>
                      </a:extLst>
                    </a:blip>
                    <a:srcRect/>
                    <a:stretch>
                      <a:fillRect/>
                    </a:stretch>
                  </pic:blipFill>
                  <pic:spPr bwMode="auto">
                    <a:xfrm>
                      <a:off x="0" y="0"/>
                      <a:ext cx="686435" cy="25400"/>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NOTE 12—SHARE-BASED COMPENSATION PLANS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A summary of share-based compensation expense included in net income is as follows:</w:t>
      </w:r>
    </w:p>
    <w:p>
      <w:pPr>
        <w:spacing w:after="0" w:line="190" w:lineRule="exact"/>
        <w:rPr>
          <w:sz w:val="20"/>
          <w:szCs w:val="20"/>
          <w:color w:val="auto"/>
        </w:rPr>
      </w:pPr>
    </w:p>
    <w:tbl>
      <w:tblPr>
        <w:tblLayout w:type="fixed"/>
        <w:tblInd w:w="60" w:type="dxa"/>
        <w:tblCellMar>
          <w:top w:w="0" w:type="dxa"/>
          <w:left w:w="0" w:type="dxa"/>
          <w:bottom w:w="0" w:type="dxa"/>
          <w:right w:w="0" w:type="dxa"/>
        </w:tblCellMar>
      </w:tblPr>
      <w:tr>
        <w:trPr>
          <w:trHeight w:val="206"/>
        </w:trPr>
        <w:tc>
          <w:tcPr>
            <w:tcW w:w="6100" w:type="dxa"/>
            <w:vAlign w:val="bottom"/>
          </w:tcPr>
          <w:p>
            <w:pPr>
              <w:spacing w:after="0"/>
              <w:rPr>
                <w:sz w:val="17"/>
                <w:szCs w:val="17"/>
                <w:color w:val="auto"/>
              </w:rPr>
            </w:pPr>
          </w:p>
        </w:tc>
        <w:tc>
          <w:tcPr>
            <w:tcW w:w="280" w:type="dxa"/>
            <w:vAlign w:val="bottom"/>
            <w:tcBorders>
              <w:bottom w:val="single" w:sz="8" w:color="231F20"/>
            </w:tcBorders>
          </w:tcPr>
          <w:p>
            <w:pPr>
              <w:spacing w:after="0"/>
              <w:rPr>
                <w:sz w:val="17"/>
                <w:szCs w:val="17"/>
                <w:color w:val="auto"/>
              </w:rPr>
            </w:pPr>
          </w:p>
        </w:tc>
        <w:tc>
          <w:tcPr>
            <w:tcW w:w="2460" w:type="dxa"/>
            <w:vAlign w:val="bottom"/>
            <w:tcBorders>
              <w:bottom w:val="single" w:sz="8" w:color="231F20"/>
            </w:tcBorders>
            <w:gridSpan w:val="6"/>
          </w:tcPr>
          <w:p>
            <w:pPr>
              <w:jc w:val="center"/>
              <w:ind w:left="473"/>
              <w:spacing w:after="0"/>
              <w:rPr>
                <w:sz w:val="20"/>
                <w:szCs w:val="20"/>
                <w:color w:val="auto"/>
              </w:rPr>
            </w:pPr>
            <w:r>
              <w:rPr>
                <w:rFonts w:ascii="Times New Roman" w:cs="Times New Roman" w:eastAsia="Times New Roman" w:hAnsi="Times New Roman"/>
                <w:sz w:val="15"/>
                <w:szCs w:val="15"/>
                <w:b w:val="1"/>
                <w:bCs w:val="1"/>
                <w:color w:val="231F20"/>
              </w:rPr>
              <w:t>Year Ended December 31,</w:t>
            </w:r>
          </w:p>
        </w:tc>
        <w:tc>
          <w:tcPr>
            <w:tcW w:w="820" w:type="dxa"/>
            <w:vAlign w:val="bottom"/>
            <w:tcBorders>
              <w:bottom w:val="single" w:sz="8" w:color="231F20"/>
            </w:tcBorders>
          </w:tcPr>
          <w:p>
            <w:pPr>
              <w:spacing w:after="0"/>
              <w:rPr>
                <w:sz w:val="17"/>
                <w:szCs w:val="17"/>
                <w:color w:val="auto"/>
              </w:rPr>
            </w:pPr>
          </w:p>
        </w:tc>
      </w:tr>
      <w:tr>
        <w:trPr>
          <w:trHeight w:val="222"/>
        </w:trPr>
        <w:tc>
          <w:tcPr>
            <w:tcW w:w="6100" w:type="dxa"/>
            <w:vAlign w:val="bottom"/>
          </w:tcPr>
          <w:p>
            <w:pPr>
              <w:spacing w:after="0"/>
              <w:rPr>
                <w:sz w:val="19"/>
                <w:szCs w:val="19"/>
                <w:color w:val="auto"/>
              </w:rPr>
            </w:pPr>
          </w:p>
        </w:tc>
        <w:tc>
          <w:tcPr>
            <w:tcW w:w="280" w:type="dxa"/>
            <w:vAlign w:val="bottom"/>
            <w:tcBorders>
              <w:bottom w:val="single" w:sz="8" w:color="231F20"/>
            </w:tcBorders>
          </w:tcPr>
          <w:p>
            <w:pPr>
              <w:spacing w:after="0"/>
              <w:rPr>
                <w:sz w:val="19"/>
                <w:szCs w:val="19"/>
                <w:color w:val="auto"/>
              </w:rPr>
            </w:pPr>
          </w:p>
        </w:tc>
        <w:tc>
          <w:tcPr>
            <w:tcW w:w="860" w:type="dxa"/>
            <w:vAlign w:val="bottom"/>
            <w:tcBorders>
              <w:bottom w:val="single" w:sz="8" w:color="231F20"/>
            </w:tcBorders>
          </w:tcPr>
          <w:p>
            <w:pPr>
              <w:jc w:val="right"/>
              <w:ind w:right="333"/>
              <w:spacing w:after="0"/>
              <w:rPr>
                <w:sz w:val="20"/>
                <w:szCs w:val="20"/>
                <w:color w:val="auto"/>
              </w:rPr>
            </w:pPr>
            <w:r>
              <w:rPr>
                <w:rFonts w:ascii="Times New Roman" w:cs="Times New Roman" w:eastAsia="Times New Roman" w:hAnsi="Times New Roman"/>
                <w:sz w:val="15"/>
                <w:szCs w:val="15"/>
                <w:b w:val="1"/>
                <w:bCs w:val="1"/>
                <w:color w:val="231F20"/>
              </w:rPr>
              <w:t>2025</w:t>
            </w:r>
          </w:p>
        </w:tc>
        <w:tc>
          <w:tcPr>
            <w:tcW w:w="80" w:type="dxa"/>
            <w:vAlign w:val="bottom"/>
          </w:tcPr>
          <w:p>
            <w:pPr>
              <w:spacing w:after="0"/>
              <w:rPr>
                <w:sz w:val="19"/>
                <w:szCs w:val="19"/>
                <w:color w:val="auto"/>
              </w:rPr>
            </w:pPr>
          </w:p>
        </w:tc>
        <w:tc>
          <w:tcPr>
            <w:tcW w:w="280" w:type="dxa"/>
            <w:vAlign w:val="bottom"/>
            <w:tcBorders>
              <w:bottom w:val="single" w:sz="8" w:color="231F20"/>
            </w:tcBorders>
          </w:tcPr>
          <w:p>
            <w:pPr>
              <w:spacing w:after="0"/>
              <w:rPr>
                <w:sz w:val="19"/>
                <w:szCs w:val="19"/>
                <w:color w:val="auto"/>
              </w:rPr>
            </w:pPr>
          </w:p>
        </w:tc>
        <w:tc>
          <w:tcPr>
            <w:tcW w:w="860" w:type="dxa"/>
            <w:vAlign w:val="bottom"/>
            <w:tcBorders>
              <w:bottom w:val="single" w:sz="8" w:color="231F20"/>
            </w:tcBorders>
          </w:tcPr>
          <w:p>
            <w:pPr>
              <w:jc w:val="center"/>
              <w:ind w:right="190"/>
              <w:spacing w:after="0"/>
              <w:rPr>
                <w:sz w:val="20"/>
                <w:szCs w:val="20"/>
                <w:color w:val="auto"/>
              </w:rPr>
            </w:pPr>
            <w:r>
              <w:rPr>
                <w:rFonts w:ascii="Times New Roman" w:cs="Times New Roman" w:eastAsia="Times New Roman" w:hAnsi="Times New Roman"/>
                <w:sz w:val="15"/>
                <w:szCs w:val="15"/>
                <w:b w:val="1"/>
                <w:bCs w:val="1"/>
                <w:color w:val="231F20"/>
                <w:w w:val="99"/>
              </w:rPr>
              <w:t>2024</w:t>
            </w:r>
          </w:p>
        </w:tc>
        <w:tc>
          <w:tcPr>
            <w:tcW w:w="60" w:type="dxa"/>
            <w:vAlign w:val="bottom"/>
          </w:tcPr>
          <w:p>
            <w:pPr>
              <w:spacing w:after="0"/>
              <w:rPr>
                <w:sz w:val="19"/>
                <w:szCs w:val="19"/>
                <w:color w:val="auto"/>
              </w:rPr>
            </w:pPr>
          </w:p>
        </w:tc>
        <w:tc>
          <w:tcPr>
            <w:tcW w:w="320" w:type="dxa"/>
            <w:vAlign w:val="bottom"/>
            <w:tcBorders>
              <w:bottom w:val="single" w:sz="8" w:color="231F20"/>
            </w:tcBorders>
          </w:tcPr>
          <w:p>
            <w:pPr>
              <w:spacing w:after="0"/>
              <w:rPr>
                <w:sz w:val="19"/>
                <w:szCs w:val="19"/>
                <w:color w:val="auto"/>
              </w:rPr>
            </w:pPr>
          </w:p>
        </w:tc>
        <w:tc>
          <w:tcPr>
            <w:tcW w:w="820" w:type="dxa"/>
            <w:vAlign w:val="bottom"/>
            <w:tcBorders>
              <w:bottom w:val="single" w:sz="8" w:color="231F20"/>
            </w:tcBorders>
          </w:tcPr>
          <w:p>
            <w:pPr>
              <w:jc w:val="right"/>
              <w:ind w:right="310"/>
              <w:spacing w:after="0"/>
              <w:rPr>
                <w:sz w:val="20"/>
                <w:szCs w:val="20"/>
                <w:color w:val="auto"/>
              </w:rPr>
            </w:pPr>
            <w:r>
              <w:rPr>
                <w:rFonts w:ascii="Times New Roman" w:cs="Times New Roman" w:eastAsia="Times New Roman" w:hAnsi="Times New Roman"/>
                <w:sz w:val="15"/>
                <w:szCs w:val="15"/>
                <w:b w:val="1"/>
                <w:bCs w:val="1"/>
                <w:color w:val="231F20"/>
              </w:rPr>
              <w:t>2023</w:t>
            </w:r>
          </w:p>
        </w:tc>
      </w:tr>
      <w:tr>
        <w:trPr>
          <w:trHeight w:val="218"/>
        </w:trPr>
        <w:tc>
          <w:tcPr>
            <w:tcW w:w="6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5"/>
                <w:szCs w:val="15"/>
                <w:b w:val="1"/>
                <w:bCs w:val="1"/>
                <w:color w:val="231F20"/>
              </w:rPr>
              <w:t>(In thousands)</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574"/>
        </w:trPr>
        <w:tc>
          <w:tcPr>
            <w:tcW w:w="6100" w:type="dxa"/>
            <w:vAlign w:val="bottom"/>
          </w:tcPr>
          <w:p>
            <w:pPr>
              <w:spacing w:after="0"/>
              <w:rPr>
                <w:sz w:val="20"/>
                <w:szCs w:val="20"/>
                <w:color w:val="auto"/>
              </w:rPr>
            </w:pPr>
            <w:r>
              <w:rPr>
                <w:rFonts w:ascii="Times New Roman" w:cs="Times New Roman" w:eastAsia="Times New Roman" w:hAnsi="Times New Roman"/>
                <w:sz w:val="19"/>
                <w:szCs w:val="19"/>
                <w:color w:val="231F20"/>
              </w:rPr>
              <w:t>Grants of common shares, restricted stock units, and options</w:t>
            </w:r>
          </w:p>
        </w:tc>
        <w:tc>
          <w:tcPr>
            <w:tcW w:w="280" w:type="dxa"/>
            <w:vAlign w:val="bottom"/>
          </w:tcPr>
          <w:p>
            <w:pPr>
              <w:jc w:val="right"/>
              <w:ind w:right="45"/>
              <w:spacing w:after="0"/>
              <w:rPr>
                <w:sz w:val="20"/>
                <w:szCs w:val="20"/>
                <w:color w:val="auto"/>
              </w:rPr>
            </w:pPr>
            <w:r>
              <w:rPr>
                <w:rFonts w:ascii="Times New Roman" w:cs="Times New Roman" w:eastAsia="Times New Roman" w:hAnsi="Times New Roman"/>
                <w:sz w:val="19"/>
                <w:szCs w:val="19"/>
                <w:color w:val="231F2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15,561</w:t>
            </w:r>
          </w:p>
        </w:tc>
        <w:tc>
          <w:tcPr>
            <w:tcW w:w="360" w:type="dxa"/>
            <w:vAlign w:val="bottom"/>
            <w:gridSpan w:val="2"/>
          </w:tcPr>
          <w:p>
            <w:pPr>
              <w:jc w:val="right"/>
              <w:ind w:right="64"/>
              <w:spacing w:after="0"/>
              <w:rPr>
                <w:sz w:val="20"/>
                <w:szCs w:val="20"/>
                <w:color w:val="auto"/>
              </w:rPr>
            </w:pPr>
            <w:r>
              <w:rPr>
                <w:rFonts w:ascii="Times New Roman" w:cs="Times New Roman" w:eastAsia="Times New Roman" w:hAnsi="Times New Roman"/>
                <w:sz w:val="19"/>
                <w:szCs w:val="19"/>
                <w:color w:val="231F2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17,379</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9"/>
                <w:szCs w:val="19"/>
                <w:color w:val="231F2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15,427</w:t>
            </w:r>
          </w:p>
        </w:tc>
      </w:tr>
      <w:tr>
        <w:trPr>
          <w:trHeight w:val="286"/>
        </w:trPr>
        <w:tc>
          <w:tcPr>
            <w:tcW w:w="6100" w:type="dxa"/>
            <w:vAlign w:val="bottom"/>
          </w:tcPr>
          <w:p>
            <w:pPr>
              <w:spacing w:after="0"/>
              <w:rPr>
                <w:sz w:val="20"/>
                <w:szCs w:val="20"/>
                <w:color w:val="auto"/>
              </w:rPr>
            </w:pPr>
            <w:r>
              <w:rPr>
                <w:rFonts w:ascii="Times New Roman" w:cs="Times New Roman" w:eastAsia="Times New Roman" w:hAnsi="Times New Roman"/>
                <w:sz w:val="19"/>
                <w:szCs w:val="19"/>
                <w:color w:val="231F20"/>
              </w:rPr>
              <w:t>Capitalized share-based compensation</w:t>
            </w:r>
          </w:p>
        </w:tc>
        <w:tc>
          <w:tcPr>
            <w:tcW w:w="280" w:type="dxa"/>
            <w:vAlign w:val="bottom"/>
            <w:tcBorders>
              <w:bottom w:val="single" w:sz="8" w:color="231F20"/>
            </w:tcBorders>
          </w:tcPr>
          <w:p>
            <w:pPr>
              <w:spacing w:after="0"/>
              <w:rPr>
                <w:sz w:val="24"/>
                <w:szCs w:val="24"/>
                <w:color w:val="auto"/>
              </w:rPr>
            </w:pPr>
          </w:p>
        </w:tc>
        <w:tc>
          <w:tcPr>
            <w:tcW w:w="8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(953)</w:t>
            </w:r>
          </w:p>
        </w:tc>
        <w:tc>
          <w:tcPr>
            <w:tcW w:w="80" w:type="dxa"/>
            <w:vAlign w:val="bottom"/>
          </w:tcPr>
          <w:p>
            <w:pPr>
              <w:spacing w:after="0"/>
              <w:rPr>
                <w:sz w:val="24"/>
                <w:szCs w:val="24"/>
                <w:color w:val="auto"/>
              </w:rPr>
            </w:pPr>
          </w:p>
        </w:tc>
        <w:tc>
          <w:tcPr>
            <w:tcW w:w="280" w:type="dxa"/>
            <w:vAlign w:val="bottom"/>
            <w:tcBorders>
              <w:bottom w:val="single" w:sz="8" w:color="231F20"/>
            </w:tcBorders>
          </w:tcPr>
          <w:p>
            <w:pPr>
              <w:spacing w:after="0"/>
              <w:rPr>
                <w:sz w:val="24"/>
                <w:szCs w:val="24"/>
                <w:color w:val="auto"/>
              </w:rPr>
            </w:pPr>
          </w:p>
        </w:tc>
        <w:tc>
          <w:tcPr>
            <w:tcW w:w="8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(1,022)</w:t>
            </w:r>
          </w:p>
        </w:tc>
        <w:tc>
          <w:tcPr>
            <w:tcW w:w="60" w:type="dxa"/>
            <w:vAlign w:val="bottom"/>
          </w:tcPr>
          <w:p>
            <w:pPr>
              <w:spacing w:after="0"/>
              <w:rPr>
                <w:sz w:val="24"/>
                <w:szCs w:val="24"/>
                <w:color w:val="auto"/>
              </w:rPr>
            </w:pPr>
          </w:p>
        </w:tc>
        <w:tc>
          <w:tcPr>
            <w:tcW w:w="320" w:type="dxa"/>
            <w:vAlign w:val="bottom"/>
            <w:tcBorders>
              <w:bottom w:val="single" w:sz="8" w:color="231F20"/>
            </w:tcBorders>
          </w:tcPr>
          <w:p>
            <w:pPr>
              <w:spacing w:after="0"/>
              <w:rPr>
                <w:sz w:val="24"/>
                <w:szCs w:val="24"/>
                <w:color w:val="auto"/>
              </w:rPr>
            </w:pPr>
          </w:p>
        </w:tc>
        <w:tc>
          <w:tcPr>
            <w:tcW w:w="8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(1,119)</w:t>
            </w:r>
          </w:p>
        </w:tc>
      </w:tr>
      <w:tr>
        <w:trPr>
          <w:trHeight w:val="247"/>
        </w:trPr>
        <w:tc>
          <w:tcPr>
            <w:tcW w:w="6100" w:type="dxa"/>
            <w:vAlign w:val="bottom"/>
          </w:tcPr>
          <w:p>
            <w:pPr>
              <w:spacing w:after="0"/>
              <w:rPr>
                <w:sz w:val="20"/>
                <w:szCs w:val="20"/>
                <w:color w:val="auto"/>
              </w:rPr>
            </w:pPr>
            <w:r>
              <w:rPr>
                <w:rFonts w:ascii="Times New Roman" w:cs="Times New Roman" w:eastAsia="Times New Roman" w:hAnsi="Times New Roman"/>
                <w:sz w:val="19"/>
                <w:szCs w:val="19"/>
                <w:color w:val="231F20"/>
              </w:rPr>
              <w:t>Share-based compensation expense</w:t>
            </w:r>
          </w:p>
        </w:tc>
        <w:tc>
          <w:tcPr>
            <w:tcW w:w="280" w:type="dxa"/>
            <w:vAlign w:val="bottom"/>
          </w:tcPr>
          <w:p>
            <w:pPr>
              <w:jc w:val="right"/>
              <w:ind w:right="45"/>
              <w:spacing w:after="0"/>
              <w:rPr>
                <w:sz w:val="20"/>
                <w:szCs w:val="20"/>
                <w:color w:val="auto"/>
              </w:rPr>
            </w:pPr>
            <w:r>
              <w:rPr>
                <w:rFonts w:ascii="Times New Roman" w:cs="Times New Roman" w:eastAsia="Times New Roman" w:hAnsi="Times New Roman"/>
                <w:sz w:val="19"/>
                <w:szCs w:val="19"/>
                <w:color w:val="231F2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14,608</w:t>
            </w:r>
          </w:p>
        </w:tc>
        <w:tc>
          <w:tcPr>
            <w:tcW w:w="360" w:type="dxa"/>
            <w:vAlign w:val="bottom"/>
            <w:gridSpan w:val="2"/>
          </w:tcPr>
          <w:p>
            <w:pPr>
              <w:jc w:val="right"/>
              <w:ind w:right="64"/>
              <w:spacing w:after="0"/>
              <w:rPr>
                <w:sz w:val="20"/>
                <w:szCs w:val="20"/>
                <w:color w:val="auto"/>
              </w:rPr>
            </w:pPr>
            <w:r>
              <w:rPr>
                <w:rFonts w:ascii="Times New Roman" w:cs="Times New Roman" w:eastAsia="Times New Roman" w:hAnsi="Times New Roman"/>
                <w:sz w:val="19"/>
                <w:szCs w:val="19"/>
                <w:color w:val="231F2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16,357</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9"/>
                <w:szCs w:val="19"/>
                <w:color w:val="231F2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14,308</w:t>
            </w:r>
          </w:p>
        </w:tc>
      </w:tr>
      <w:tr>
        <w:trPr>
          <w:trHeight w:val="20"/>
        </w:trPr>
        <w:tc>
          <w:tcPr>
            <w:tcW w:w="6100" w:type="dxa"/>
            <w:vAlign w:val="bottom"/>
          </w:tcPr>
          <w:p>
            <w:pPr>
              <w:spacing w:after="0" w:line="20" w:lineRule="exact"/>
              <w:rPr>
                <w:sz w:val="1"/>
                <w:szCs w:val="1"/>
                <w:color w:val="auto"/>
              </w:rPr>
            </w:pPr>
          </w:p>
        </w:tc>
        <w:tc>
          <w:tcPr>
            <w:tcW w:w="280" w:type="dxa"/>
            <w:vAlign w:val="bottom"/>
            <w:tcBorders>
              <w:top w:val="single" w:sz="8" w:color="231F20"/>
              <w:bottom w:val="single" w:sz="8" w:color="231F20"/>
            </w:tcBorders>
          </w:tcPr>
          <w:p>
            <w:pPr>
              <w:spacing w:after="0" w:line="20" w:lineRule="exact"/>
              <w:rPr>
                <w:sz w:val="1"/>
                <w:szCs w:val="1"/>
                <w:color w:val="auto"/>
              </w:rPr>
            </w:pPr>
          </w:p>
        </w:tc>
        <w:tc>
          <w:tcPr>
            <w:tcW w:w="86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231F20"/>
              <w:bottom w:val="single" w:sz="8" w:color="231F20"/>
            </w:tcBorders>
          </w:tcPr>
          <w:p>
            <w:pPr>
              <w:spacing w:after="0" w:line="20" w:lineRule="exact"/>
              <w:rPr>
                <w:sz w:val="1"/>
                <w:szCs w:val="1"/>
                <w:color w:val="auto"/>
              </w:rPr>
            </w:pPr>
          </w:p>
        </w:tc>
        <w:tc>
          <w:tcPr>
            <w:tcW w:w="86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231F20"/>
              <w:bottom w:val="single" w:sz="8" w:color="231F20"/>
            </w:tcBorders>
          </w:tcPr>
          <w:p>
            <w:pPr>
              <w:spacing w:after="0" w:line="20" w:lineRule="exact"/>
              <w:rPr>
                <w:sz w:val="1"/>
                <w:szCs w:val="1"/>
                <w:color w:val="auto"/>
              </w:rPr>
            </w:pPr>
          </w:p>
        </w:tc>
        <w:tc>
          <w:tcPr>
            <w:tcW w:w="820" w:type="dxa"/>
            <w:vAlign w:val="bottom"/>
            <w:tcBorders>
              <w:top w:val="single" w:sz="8" w:color="231F20"/>
              <w:bottom w:val="single" w:sz="8" w:color="231F20"/>
            </w:tcBorders>
          </w:tcPr>
          <w:p>
            <w:pPr>
              <w:spacing w:after="0" w:line="20" w:lineRule="exact"/>
              <w:rPr>
                <w:sz w:val="1"/>
                <w:szCs w:val="1"/>
                <w:color w:val="auto"/>
              </w:rPr>
            </w:pPr>
          </w:p>
        </w:tc>
      </w:tr>
    </w:tbl>
    <w:p>
      <w:pPr>
        <w:spacing w:after="0" w:line="83" w:lineRule="exact"/>
        <w:rPr>
          <w:sz w:val="20"/>
          <w:szCs w:val="20"/>
          <w:color w:val="auto"/>
        </w:rPr>
      </w:pPr>
    </w:p>
    <w:p>
      <w:pPr>
        <w:ind w:right="340"/>
        <w:spacing w:after="0" w:line="284" w:lineRule="auto"/>
        <w:rPr>
          <w:sz w:val="20"/>
          <w:szCs w:val="20"/>
          <w:color w:val="auto"/>
        </w:rPr>
      </w:pPr>
      <w:r>
        <w:rPr>
          <w:rFonts w:ascii="Times New Roman" w:cs="Times New Roman" w:eastAsia="Times New Roman" w:hAnsi="Times New Roman"/>
          <w:sz w:val="19"/>
          <w:szCs w:val="19"/>
          <w:color w:val="231F20"/>
        </w:rPr>
        <w:t>As of December 31, 2025, we have grants outstanding under two share-based compensation plans. In May 2020, our shareholders approved the 2020 Performance Incentive Plan ("the 2020 Plan"), which authorized the grant of share options,</w:t>
      </w: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231F20"/>
        </w:rPr>
        <w:t>F-36</w:t>
      </w:r>
    </w:p>
    <w:p>
      <w:pPr>
        <w:sectPr>
          <w:pgSz w:w="11880" w:h="15480" w:orient="portrait"/>
          <w:cols w:equalWidth="0" w:num="1">
            <w:col w:w="9740"/>
          </w:cols>
          <w:pgMar w:left="1060" w:top="963" w:right="1080" w:bottom="0" w:gutter="0" w:footer="0" w:header="0"/>
        </w:sectPr>
      </w:pPr>
    </w:p>
    <w:bookmarkStart w:id="100" w:name="page101"/>
    <w:bookmarkEnd w:id="100"/>
    <w:p>
      <w:pPr>
        <w:ind w:right="140"/>
        <w:spacing w:after="0" w:line="267" w:lineRule="auto"/>
        <w:rPr>
          <w:sz w:val="20"/>
          <w:szCs w:val="20"/>
          <w:color w:val="auto"/>
        </w:rPr>
      </w:pPr>
      <w:r>
        <w:rPr>
          <w:rFonts w:ascii="Times New Roman" w:cs="Times New Roman" w:eastAsia="Times New Roman" w:hAnsi="Times New Roman"/>
          <w:sz w:val="19"/>
          <w:szCs w:val="19"/>
          <w:color w:val="231F20"/>
        </w:rPr>
        <w:t>common shares, and other share-based awards for up to 1,750,000 common shares of beneficial interest. Our 2010 Long Term Incentive Plan, as amended (the "2010 Plan”), which expired in May 2020, authorized the grant of share options, common shares and other share-based awards for up to 2,450,000 common shares of beneficial interest.</w:t>
      </w:r>
    </w:p>
    <w:p>
      <w:pPr>
        <w:spacing w:after="0" w:line="126"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9"/>
          <w:szCs w:val="19"/>
          <w:color w:val="231F20"/>
        </w:rPr>
        <w:t>Option awards under the plans are required to have an exercise price at least equal to the closing trading price of our common shares on the date of grant. Options and restricted share awards under the plan generally vest over three to seven years and option awards typically have a ten-year contractual term. We pay dividends on unvested shares. Certain options and share awards provide for accelerated vesting if there is a change in control. Additionally, the vesting on certain option and share awards can accelerate in part or in full upon termination without cause.</w:t>
      </w:r>
    </w:p>
    <w:p>
      <w:pPr>
        <w:spacing w:after="0" w:line="133"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9"/>
          <w:szCs w:val="19"/>
          <w:color w:val="231F20"/>
        </w:rPr>
        <w:t>The fair value of each option award is estimated on the date of grant using the Black-Scholes model. Expected volatilities, term, dividend yields, employee exercises and estimated forfeitures are primarily based on historical data. The risk-free interest rate is based on the U.S. Treasury yield curve in effect at the time of grant. The fair value of each share award is determined based on the closing trading price of our common shares on the grant date. No options were granted in 2025 and 2023. The following table provides a summary of the assumptions used to value options granted in 2024:</w:t>
      </w:r>
    </w:p>
    <w:p>
      <w:pPr>
        <w:spacing w:after="0" w:line="301" w:lineRule="exact"/>
        <w:rPr>
          <w:sz w:val="20"/>
          <w:szCs w:val="20"/>
          <w:color w:val="auto"/>
        </w:rPr>
      </w:pPr>
    </w:p>
    <w:tbl>
      <w:tblPr>
        <w:tblLayout w:type="fixed"/>
        <w:tblInd w:w="60" w:type="dxa"/>
        <w:tblCellMar>
          <w:top w:w="0" w:type="dxa"/>
          <w:left w:w="0" w:type="dxa"/>
          <w:bottom w:w="0" w:type="dxa"/>
          <w:right w:w="0" w:type="dxa"/>
        </w:tblCellMar>
      </w:tblPr>
      <w:tr>
        <w:trPr>
          <w:trHeight w:val="172"/>
        </w:trPr>
        <w:tc>
          <w:tcPr>
            <w:tcW w:w="854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231F20"/>
              </w:rPr>
              <w:t>Year Ended</w:t>
            </w:r>
          </w:p>
        </w:tc>
      </w:tr>
      <w:tr>
        <w:trPr>
          <w:trHeight w:val="203"/>
        </w:trPr>
        <w:tc>
          <w:tcPr>
            <w:tcW w:w="8540" w:type="dxa"/>
            <w:vAlign w:val="bottom"/>
          </w:tcPr>
          <w:p>
            <w:pPr>
              <w:spacing w:after="0"/>
              <w:rPr>
                <w:sz w:val="17"/>
                <w:szCs w:val="17"/>
                <w:color w:val="auto"/>
              </w:rPr>
            </w:pPr>
          </w:p>
        </w:tc>
        <w:tc>
          <w:tcPr>
            <w:tcW w:w="114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5"/>
                <w:szCs w:val="15"/>
                <w:b w:val="1"/>
                <w:bCs w:val="1"/>
                <w:color w:val="231F20"/>
              </w:rPr>
              <w:t>December 31,</w:t>
            </w:r>
          </w:p>
        </w:tc>
      </w:tr>
      <w:tr>
        <w:trPr>
          <w:trHeight w:val="208"/>
        </w:trPr>
        <w:tc>
          <w:tcPr>
            <w:tcW w:w="8540" w:type="dxa"/>
            <w:vAlign w:val="bottom"/>
          </w:tcPr>
          <w:p>
            <w:pPr>
              <w:spacing w:after="0"/>
              <w:rPr>
                <w:sz w:val="18"/>
                <w:szCs w:val="18"/>
                <w:color w:val="auto"/>
              </w:rPr>
            </w:pPr>
          </w:p>
        </w:tc>
        <w:tc>
          <w:tcPr>
            <w:tcW w:w="114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5"/>
                <w:szCs w:val="15"/>
                <w:b w:val="1"/>
                <w:bCs w:val="1"/>
                <w:color w:val="231F20"/>
              </w:rPr>
              <w:t>2024</w:t>
            </w:r>
          </w:p>
        </w:tc>
      </w:tr>
      <w:tr>
        <w:trPr>
          <w:trHeight w:val="264"/>
        </w:trPr>
        <w:tc>
          <w:tcPr>
            <w:tcW w:w="8540" w:type="dxa"/>
            <w:vAlign w:val="bottom"/>
          </w:tcPr>
          <w:p>
            <w:pPr>
              <w:spacing w:after="0"/>
              <w:rPr>
                <w:sz w:val="20"/>
                <w:szCs w:val="20"/>
                <w:color w:val="auto"/>
              </w:rPr>
            </w:pPr>
            <w:r>
              <w:rPr>
                <w:rFonts w:ascii="Times New Roman" w:cs="Times New Roman" w:eastAsia="Times New Roman" w:hAnsi="Times New Roman"/>
                <w:sz w:val="19"/>
                <w:szCs w:val="19"/>
                <w:color w:val="231F20"/>
              </w:rPr>
              <w:t>Volatility</w:t>
            </w:r>
          </w:p>
        </w:tc>
        <w:tc>
          <w:tcPr>
            <w:tcW w:w="11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31.9 %</w:t>
            </w:r>
          </w:p>
        </w:tc>
      </w:tr>
      <w:tr>
        <w:trPr>
          <w:trHeight w:val="285"/>
        </w:trPr>
        <w:tc>
          <w:tcPr>
            <w:tcW w:w="8540" w:type="dxa"/>
            <w:vAlign w:val="bottom"/>
          </w:tcPr>
          <w:p>
            <w:pPr>
              <w:spacing w:after="0"/>
              <w:rPr>
                <w:sz w:val="20"/>
                <w:szCs w:val="20"/>
                <w:color w:val="auto"/>
              </w:rPr>
            </w:pPr>
            <w:r>
              <w:rPr>
                <w:rFonts w:ascii="Times New Roman" w:cs="Times New Roman" w:eastAsia="Times New Roman" w:hAnsi="Times New Roman"/>
                <w:sz w:val="19"/>
                <w:szCs w:val="19"/>
                <w:color w:val="231F20"/>
              </w:rPr>
              <w:t>Expected dividend yield</w:t>
            </w:r>
          </w:p>
        </w:tc>
        <w:tc>
          <w:tcPr>
            <w:tcW w:w="11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4.3 %</w:t>
            </w:r>
          </w:p>
        </w:tc>
      </w:tr>
      <w:tr>
        <w:trPr>
          <w:trHeight w:val="285"/>
        </w:trPr>
        <w:tc>
          <w:tcPr>
            <w:tcW w:w="8540" w:type="dxa"/>
            <w:vAlign w:val="bottom"/>
          </w:tcPr>
          <w:p>
            <w:pPr>
              <w:spacing w:after="0"/>
              <w:rPr>
                <w:sz w:val="20"/>
                <w:szCs w:val="20"/>
                <w:color w:val="auto"/>
              </w:rPr>
            </w:pPr>
            <w:r>
              <w:rPr>
                <w:rFonts w:ascii="Times New Roman" w:cs="Times New Roman" w:eastAsia="Times New Roman" w:hAnsi="Times New Roman"/>
                <w:sz w:val="19"/>
                <w:szCs w:val="19"/>
                <w:color w:val="231F20"/>
              </w:rPr>
              <w:t>Expected term (in years)</w:t>
            </w:r>
          </w:p>
        </w:tc>
        <w:tc>
          <w:tcPr>
            <w:tcW w:w="11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7.5</w:t>
            </w:r>
          </w:p>
        </w:tc>
      </w:tr>
      <w:tr>
        <w:trPr>
          <w:trHeight w:val="285"/>
        </w:trPr>
        <w:tc>
          <w:tcPr>
            <w:tcW w:w="8540" w:type="dxa"/>
            <w:vAlign w:val="bottom"/>
          </w:tcPr>
          <w:p>
            <w:pPr>
              <w:spacing w:after="0"/>
              <w:rPr>
                <w:sz w:val="20"/>
                <w:szCs w:val="20"/>
                <w:color w:val="auto"/>
              </w:rPr>
            </w:pPr>
            <w:r>
              <w:rPr>
                <w:rFonts w:ascii="Times New Roman" w:cs="Times New Roman" w:eastAsia="Times New Roman" w:hAnsi="Times New Roman"/>
                <w:sz w:val="19"/>
                <w:szCs w:val="19"/>
                <w:color w:val="231F20"/>
              </w:rPr>
              <w:t>Risk free interest rate</w:t>
            </w:r>
          </w:p>
        </w:tc>
        <w:tc>
          <w:tcPr>
            <w:tcW w:w="11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4.1 %</w:t>
            </w:r>
          </w:p>
        </w:tc>
      </w:tr>
    </w:tbl>
    <w:p>
      <w:pPr>
        <w:spacing w:after="0" w:line="123" w:lineRule="exact"/>
        <w:rPr>
          <w:sz w:val="20"/>
          <w:szCs w:val="20"/>
          <w:color w:val="auto"/>
        </w:rPr>
      </w:pPr>
    </w:p>
    <w:p>
      <w:pPr>
        <w:ind w:right="320"/>
        <w:spacing w:after="0" w:line="284" w:lineRule="auto"/>
        <w:rPr>
          <w:sz w:val="20"/>
          <w:szCs w:val="20"/>
          <w:color w:val="auto"/>
        </w:rPr>
      </w:pPr>
      <w:r>
        <w:rPr>
          <w:rFonts w:ascii="Times New Roman" w:cs="Times New Roman" w:eastAsia="Times New Roman" w:hAnsi="Times New Roman"/>
          <w:sz w:val="19"/>
          <w:szCs w:val="19"/>
          <w:color w:val="231F20"/>
        </w:rPr>
        <w:t>The weighted-average grant-date fair value of options granted in 2024 was $24.59 per share. The following table provides a summary of option activity for 2025:</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180" w:type="dxa"/>
            <w:vAlign w:val="bottom"/>
          </w:tcPr>
          <w:p>
            <w:pPr>
              <w:spacing w:after="0"/>
              <w:rPr>
                <w:sz w:val="15"/>
                <w:szCs w:val="15"/>
                <w:color w:val="auto"/>
              </w:rPr>
            </w:pPr>
          </w:p>
        </w:tc>
        <w:tc>
          <w:tcPr>
            <w:tcW w:w="1320" w:type="dxa"/>
            <w:vAlign w:val="bottom"/>
            <w:vMerge w:val="restart"/>
          </w:tcPr>
          <w:p>
            <w:pPr>
              <w:ind w:left="440"/>
              <w:spacing w:after="0"/>
              <w:rPr>
                <w:sz w:val="20"/>
                <w:szCs w:val="20"/>
                <w:color w:val="auto"/>
              </w:rPr>
            </w:pPr>
            <w:r>
              <w:rPr>
                <w:rFonts w:ascii="Times New Roman" w:cs="Times New Roman" w:eastAsia="Times New Roman" w:hAnsi="Times New Roman"/>
                <w:sz w:val="15"/>
                <w:szCs w:val="15"/>
                <w:b w:val="1"/>
                <w:bCs w:val="1"/>
                <w:color w:val="231F20"/>
              </w:rPr>
              <w:t>Shares</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jc w:val="center"/>
              <w:ind w:right="153"/>
              <w:spacing w:after="0"/>
              <w:rPr>
                <w:sz w:val="20"/>
                <w:szCs w:val="20"/>
                <w:color w:val="auto"/>
              </w:rPr>
            </w:pPr>
            <w:r>
              <w:rPr>
                <w:rFonts w:ascii="Times New Roman" w:cs="Times New Roman" w:eastAsia="Times New Roman" w:hAnsi="Times New Roman"/>
                <w:sz w:val="15"/>
                <w:szCs w:val="15"/>
                <w:b w:val="1"/>
                <w:bCs w:val="1"/>
                <w:color w:val="231F20"/>
              </w:rPr>
              <w:t>Weighted-</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80" w:type="dxa"/>
            <w:vAlign w:val="bottom"/>
            <w:gridSpan w:val="3"/>
          </w:tcPr>
          <w:p>
            <w:pPr>
              <w:jc w:val="center"/>
              <w:ind w:right="100"/>
              <w:spacing w:after="0"/>
              <w:rPr>
                <w:sz w:val="20"/>
                <w:szCs w:val="20"/>
                <w:color w:val="auto"/>
              </w:rPr>
            </w:pPr>
            <w:r>
              <w:rPr>
                <w:rFonts w:ascii="Times New Roman" w:cs="Times New Roman" w:eastAsia="Times New Roman" w:hAnsi="Times New Roman"/>
                <w:sz w:val="15"/>
                <w:szCs w:val="15"/>
                <w:b w:val="1"/>
                <w:bCs w:val="1"/>
                <w:color w:val="231F20"/>
              </w:rPr>
              <w:t>Weighted-</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vMerge w:val="restart"/>
          </w:tcPr>
          <w:p>
            <w:pPr>
              <w:jc w:val="center"/>
              <w:ind w:right="93"/>
              <w:spacing w:after="0"/>
              <w:rPr>
                <w:sz w:val="20"/>
                <w:szCs w:val="20"/>
                <w:color w:val="auto"/>
              </w:rPr>
            </w:pPr>
            <w:r>
              <w:rPr>
                <w:rFonts w:ascii="Times New Roman" w:cs="Times New Roman" w:eastAsia="Times New Roman" w:hAnsi="Times New Roman"/>
                <w:sz w:val="15"/>
                <w:szCs w:val="15"/>
                <w:b w:val="1"/>
                <w:bCs w:val="1"/>
                <w:color w:val="231F20"/>
              </w:rPr>
              <w:t>Aggregate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4180" w:type="dxa"/>
            <w:vAlign w:val="bottom"/>
          </w:tcPr>
          <w:p>
            <w:pPr>
              <w:spacing w:after="0"/>
              <w:rPr>
                <w:sz w:val="13"/>
                <w:szCs w:val="13"/>
                <w:color w:val="auto"/>
              </w:rPr>
            </w:pPr>
          </w:p>
        </w:tc>
        <w:tc>
          <w:tcPr>
            <w:tcW w:w="13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jc w:val="center"/>
              <w:ind w:right="133"/>
              <w:spacing w:after="0" w:line="152" w:lineRule="exact"/>
              <w:rPr>
                <w:sz w:val="20"/>
                <w:szCs w:val="20"/>
                <w:color w:val="auto"/>
              </w:rPr>
            </w:pPr>
            <w:r>
              <w:rPr>
                <w:rFonts w:ascii="Times New Roman" w:cs="Times New Roman" w:eastAsia="Times New Roman" w:hAnsi="Times New Roman"/>
                <w:sz w:val="15"/>
                <w:szCs w:val="15"/>
                <w:b w:val="1"/>
                <w:bCs w:val="1"/>
                <w:color w:val="231F20"/>
              </w:rPr>
              <w:t>Average</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80" w:type="dxa"/>
            <w:vAlign w:val="bottom"/>
            <w:gridSpan w:val="3"/>
          </w:tcPr>
          <w:p>
            <w:pPr>
              <w:jc w:val="center"/>
              <w:ind w:right="120"/>
              <w:spacing w:after="0" w:line="152" w:lineRule="exact"/>
              <w:rPr>
                <w:sz w:val="20"/>
                <w:szCs w:val="20"/>
                <w:color w:val="auto"/>
              </w:rPr>
            </w:pPr>
            <w:r>
              <w:rPr>
                <w:rFonts w:ascii="Times New Roman" w:cs="Times New Roman" w:eastAsia="Times New Roman" w:hAnsi="Times New Roman"/>
                <w:sz w:val="15"/>
                <w:szCs w:val="15"/>
                <w:b w:val="1"/>
                <w:bCs w:val="1"/>
                <w:color w:val="231F20"/>
              </w:rPr>
              <w:t>Average</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4180" w:type="dxa"/>
            <w:vAlign w:val="bottom"/>
          </w:tcPr>
          <w:p>
            <w:pPr>
              <w:spacing w:after="0"/>
              <w:rPr>
                <w:sz w:val="13"/>
                <w:szCs w:val="13"/>
                <w:color w:val="auto"/>
              </w:rPr>
            </w:pPr>
          </w:p>
        </w:tc>
        <w:tc>
          <w:tcPr>
            <w:tcW w:w="1320" w:type="dxa"/>
            <w:vAlign w:val="bottom"/>
          </w:tcPr>
          <w:p>
            <w:pPr>
              <w:ind w:left="460"/>
              <w:spacing w:after="0" w:line="152" w:lineRule="exact"/>
              <w:rPr>
                <w:sz w:val="20"/>
                <w:szCs w:val="20"/>
                <w:color w:val="auto"/>
              </w:rPr>
            </w:pPr>
            <w:r>
              <w:rPr>
                <w:rFonts w:ascii="Times New Roman" w:cs="Times New Roman" w:eastAsia="Times New Roman" w:hAnsi="Times New Roman"/>
                <w:sz w:val="15"/>
                <w:szCs w:val="15"/>
                <w:b w:val="1"/>
                <w:bCs w:val="1"/>
                <w:color w:val="231F20"/>
              </w:rPr>
              <w:t>Under</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jc w:val="center"/>
              <w:ind w:right="153"/>
              <w:spacing w:after="0" w:line="152" w:lineRule="exact"/>
              <w:rPr>
                <w:sz w:val="20"/>
                <w:szCs w:val="20"/>
                <w:color w:val="auto"/>
              </w:rPr>
            </w:pPr>
            <w:r>
              <w:rPr>
                <w:rFonts w:ascii="Times New Roman" w:cs="Times New Roman" w:eastAsia="Times New Roman" w:hAnsi="Times New Roman"/>
                <w:sz w:val="15"/>
                <w:szCs w:val="15"/>
                <w:b w:val="1"/>
                <w:bCs w:val="1"/>
                <w:color w:val="231F20"/>
              </w:rPr>
              <w:t>Exercise</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80" w:type="dxa"/>
            <w:vAlign w:val="bottom"/>
            <w:gridSpan w:val="3"/>
          </w:tcPr>
          <w:p>
            <w:pPr>
              <w:jc w:val="center"/>
              <w:ind w:right="100"/>
              <w:spacing w:after="0" w:line="152" w:lineRule="exact"/>
              <w:rPr>
                <w:sz w:val="20"/>
                <w:szCs w:val="20"/>
                <w:color w:val="auto"/>
              </w:rPr>
            </w:pPr>
            <w:r>
              <w:rPr>
                <w:rFonts w:ascii="Times New Roman" w:cs="Times New Roman" w:eastAsia="Times New Roman" w:hAnsi="Times New Roman"/>
                <w:sz w:val="15"/>
                <w:szCs w:val="15"/>
                <w:b w:val="1"/>
                <w:bCs w:val="1"/>
                <w:color w:val="231F20"/>
              </w:rPr>
              <w:t>Remaining</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jc w:val="center"/>
              <w:ind w:right="93"/>
              <w:spacing w:after="0" w:line="152" w:lineRule="exact"/>
              <w:rPr>
                <w:sz w:val="20"/>
                <w:szCs w:val="20"/>
                <w:color w:val="auto"/>
              </w:rPr>
            </w:pPr>
            <w:r>
              <w:rPr>
                <w:rFonts w:ascii="Times New Roman" w:cs="Times New Roman" w:eastAsia="Times New Roman" w:hAnsi="Times New Roman"/>
                <w:sz w:val="15"/>
                <w:szCs w:val="15"/>
                <w:b w:val="1"/>
                <w:bCs w:val="1"/>
                <w:color w:val="231F20"/>
              </w:rPr>
              <w:t>Intrinsic</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4180" w:type="dxa"/>
            <w:vAlign w:val="bottom"/>
          </w:tcPr>
          <w:p>
            <w:pPr>
              <w:spacing w:after="0"/>
              <w:rPr>
                <w:sz w:val="17"/>
                <w:szCs w:val="17"/>
                <w:color w:val="auto"/>
              </w:rPr>
            </w:pPr>
          </w:p>
        </w:tc>
        <w:tc>
          <w:tcPr>
            <w:tcW w:w="1320" w:type="dxa"/>
            <w:vAlign w:val="bottom"/>
            <w:tcBorders>
              <w:bottom w:val="single" w:sz="8" w:color="231F20"/>
            </w:tcBorders>
          </w:tcPr>
          <w:p>
            <w:pPr>
              <w:ind w:left="440"/>
              <w:spacing w:after="0"/>
              <w:rPr>
                <w:sz w:val="20"/>
                <w:szCs w:val="20"/>
                <w:color w:val="auto"/>
              </w:rPr>
            </w:pPr>
            <w:r>
              <w:rPr>
                <w:rFonts w:ascii="Times New Roman" w:cs="Times New Roman" w:eastAsia="Times New Roman" w:hAnsi="Times New Roman"/>
                <w:sz w:val="15"/>
                <w:szCs w:val="15"/>
                <w:b w:val="1"/>
                <w:bCs w:val="1"/>
                <w:color w:val="231F20"/>
              </w:rPr>
              <w:t>Option</w:t>
            </w:r>
          </w:p>
        </w:tc>
        <w:tc>
          <w:tcPr>
            <w:tcW w:w="80" w:type="dxa"/>
            <w:vAlign w:val="bottom"/>
          </w:tcPr>
          <w:p>
            <w:pPr>
              <w:spacing w:after="0"/>
              <w:rPr>
                <w:sz w:val="17"/>
                <w:szCs w:val="17"/>
                <w:color w:val="auto"/>
              </w:rPr>
            </w:pPr>
          </w:p>
        </w:tc>
        <w:tc>
          <w:tcPr>
            <w:tcW w:w="240" w:type="dxa"/>
            <w:vAlign w:val="bottom"/>
            <w:tcBorders>
              <w:bottom w:val="single" w:sz="8" w:color="231F20"/>
            </w:tcBorders>
          </w:tcPr>
          <w:p>
            <w:pPr>
              <w:spacing w:after="0"/>
              <w:rPr>
                <w:sz w:val="17"/>
                <w:szCs w:val="17"/>
                <w:color w:val="auto"/>
              </w:rPr>
            </w:pPr>
          </w:p>
        </w:tc>
        <w:tc>
          <w:tcPr>
            <w:tcW w:w="1080" w:type="dxa"/>
            <w:vAlign w:val="bottom"/>
            <w:tcBorders>
              <w:bottom w:val="single" w:sz="8" w:color="231F20"/>
            </w:tcBorders>
          </w:tcPr>
          <w:p>
            <w:pPr>
              <w:jc w:val="center"/>
              <w:ind w:right="133"/>
              <w:spacing w:after="0"/>
              <w:rPr>
                <w:sz w:val="20"/>
                <w:szCs w:val="20"/>
                <w:color w:val="auto"/>
              </w:rPr>
            </w:pPr>
            <w:r>
              <w:rPr>
                <w:rFonts w:ascii="Times New Roman" w:cs="Times New Roman" w:eastAsia="Times New Roman" w:hAnsi="Times New Roman"/>
                <w:sz w:val="15"/>
                <w:szCs w:val="15"/>
                <w:b w:val="1"/>
                <w:bCs w:val="1"/>
                <w:color w:val="231F20"/>
              </w:rPr>
              <w:t>Price</w:t>
            </w:r>
          </w:p>
        </w:tc>
        <w:tc>
          <w:tcPr>
            <w:tcW w:w="80" w:type="dxa"/>
            <w:vAlign w:val="bottom"/>
          </w:tcPr>
          <w:p>
            <w:pPr>
              <w:spacing w:after="0"/>
              <w:rPr>
                <w:sz w:val="17"/>
                <w:szCs w:val="17"/>
                <w:color w:val="auto"/>
              </w:rPr>
            </w:pPr>
          </w:p>
        </w:tc>
        <w:tc>
          <w:tcPr>
            <w:tcW w:w="20" w:type="dxa"/>
            <w:vAlign w:val="bottom"/>
            <w:tcBorders>
              <w:bottom w:val="single" w:sz="8" w:color="231F20"/>
            </w:tcBorders>
          </w:tcPr>
          <w:p>
            <w:pPr>
              <w:spacing w:after="0"/>
              <w:rPr>
                <w:sz w:val="17"/>
                <w:szCs w:val="17"/>
                <w:color w:val="auto"/>
              </w:rPr>
            </w:pPr>
          </w:p>
        </w:tc>
        <w:tc>
          <w:tcPr>
            <w:tcW w:w="130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5"/>
                <w:szCs w:val="15"/>
                <w:b w:val="1"/>
                <w:bCs w:val="1"/>
                <w:color w:val="231F20"/>
              </w:rPr>
              <w:t>Contractual Term</w:t>
            </w:r>
          </w:p>
        </w:tc>
        <w:tc>
          <w:tcPr>
            <w:tcW w:w="80" w:type="dxa"/>
            <w:vAlign w:val="bottom"/>
            <w:gridSpan w:val="2"/>
          </w:tcPr>
          <w:p>
            <w:pPr>
              <w:spacing w:after="0"/>
              <w:rPr>
                <w:sz w:val="17"/>
                <w:szCs w:val="17"/>
                <w:color w:val="auto"/>
              </w:rPr>
            </w:pPr>
          </w:p>
        </w:tc>
        <w:tc>
          <w:tcPr>
            <w:tcW w:w="20" w:type="dxa"/>
            <w:vAlign w:val="bottom"/>
            <w:tcBorders>
              <w:bottom w:val="single" w:sz="8" w:color="231F20"/>
            </w:tcBorders>
          </w:tcPr>
          <w:p>
            <w:pPr>
              <w:spacing w:after="0"/>
              <w:rPr>
                <w:sz w:val="17"/>
                <w:szCs w:val="17"/>
                <w:color w:val="auto"/>
              </w:rPr>
            </w:pPr>
          </w:p>
        </w:tc>
        <w:tc>
          <w:tcPr>
            <w:tcW w:w="160" w:type="dxa"/>
            <w:vAlign w:val="bottom"/>
            <w:tcBorders>
              <w:bottom w:val="single" w:sz="8" w:color="231F20"/>
            </w:tcBorders>
          </w:tcPr>
          <w:p>
            <w:pPr>
              <w:spacing w:after="0"/>
              <w:rPr>
                <w:sz w:val="17"/>
                <w:szCs w:val="17"/>
                <w:color w:val="auto"/>
              </w:rPr>
            </w:pPr>
          </w:p>
        </w:tc>
        <w:tc>
          <w:tcPr>
            <w:tcW w:w="1140" w:type="dxa"/>
            <w:vAlign w:val="bottom"/>
            <w:tcBorders>
              <w:bottom w:val="single" w:sz="8" w:color="231F20"/>
            </w:tcBorders>
          </w:tcPr>
          <w:p>
            <w:pPr>
              <w:jc w:val="center"/>
              <w:ind w:right="113"/>
              <w:spacing w:after="0"/>
              <w:rPr>
                <w:sz w:val="20"/>
                <w:szCs w:val="20"/>
                <w:color w:val="auto"/>
              </w:rPr>
            </w:pPr>
            <w:r>
              <w:rPr>
                <w:rFonts w:ascii="Times New Roman" w:cs="Times New Roman" w:eastAsia="Times New Roman" w:hAnsi="Times New Roman"/>
                <w:sz w:val="15"/>
                <w:szCs w:val="15"/>
                <w:b w:val="1"/>
                <w:bCs w:val="1"/>
                <w:color w:val="231F20"/>
              </w:rPr>
              <w:t>Value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80" w:type="dxa"/>
            <w:vAlign w:val="bottom"/>
            <w:gridSpan w:val="3"/>
          </w:tcPr>
          <w:p>
            <w:pPr>
              <w:jc w:val="center"/>
              <w:ind w:right="100"/>
              <w:spacing w:after="0"/>
              <w:rPr>
                <w:sz w:val="20"/>
                <w:szCs w:val="20"/>
                <w:color w:val="auto"/>
              </w:rPr>
            </w:pPr>
            <w:r>
              <w:rPr>
                <w:rFonts w:ascii="Times New Roman" w:cs="Times New Roman" w:eastAsia="Times New Roman" w:hAnsi="Times New Roman"/>
                <w:sz w:val="15"/>
                <w:szCs w:val="15"/>
                <w:b w:val="1"/>
                <w:bCs w:val="1"/>
                <w:color w:val="231F20"/>
              </w:rPr>
              <w:t>(In years)</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center"/>
              <w:ind w:right="113"/>
              <w:spacing w:after="0"/>
              <w:rPr>
                <w:sz w:val="20"/>
                <w:szCs w:val="20"/>
                <w:color w:val="auto"/>
              </w:rPr>
            </w:pPr>
            <w:r>
              <w:rPr>
                <w:rFonts w:ascii="Times New Roman" w:cs="Times New Roman" w:eastAsia="Times New Roman" w:hAnsi="Times New Roman"/>
                <w:sz w:val="15"/>
                <w:szCs w:val="15"/>
                <w:b w:val="1"/>
                <w:bCs w:val="1"/>
                <w:color w:val="231F20"/>
              </w:rPr>
              <w:t>(In thousands)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5"/>
        </w:trPr>
        <w:tc>
          <w:tcPr>
            <w:tcW w:w="4180" w:type="dxa"/>
            <w:vAlign w:val="bottom"/>
          </w:tcPr>
          <w:p>
            <w:pPr>
              <w:ind w:left="60"/>
              <w:spacing w:after="0"/>
              <w:rPr>
                <w:sz w:val="20"/>
                <w:szCs w:val="20"/>
                <w:color w:val="auto"/>
              </w:rPr>
            </w:pPr>
            <w:r>
              <w:rPr>
                <w:rFonts w:ascii="Times New Roman" w:cs="Times New Roman" w:eastAsia="Times New Roman" w:hAnsi="Times New Roman"/>
                <w:sz w:val="19"/>
                <w:szCs w:val="19"/>
                <w:color w:val="231F20"/>
              </w:rPr>
              <w:t>Outstanding at December 31, 2024</w:t>
            </w:r>
          </w:p>
        </w:tc>
        <w:tc>
          <w:tcPr>
            <w:tcW w:w="13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3,019</w:t>
            </w:r>
          </w:p>
        </w:tc>
        <w:tc>
          <w:tcPr>
            <w:tcW w:w="320" w:type="dxa"/>
            <w:vAlign w:val="bottom"/>
            <w:gridSpan w:val="2"/>
          </w:tcPr>
          <w:p>
            <w:pPr>
              <w:jc w:val="right"/>
              <w:ind w:right="5"/>
              <w:spacing w:after="0"/>
              <w:rPr>
                <w:sz w:val="20"/>
                <w:szCs w:val="20"/>
                <w:color w:val="auto"/>
              </w:rPr>
            </w:pPr>
            <w:r>
              <w:rPr>
                <w:rFonts w:ascii="Times New Roman" w:cs="Times New Roman" w:eastAsia="Times New Roman" w:hAnsi="Times New Roman"/>
                <w:sz w:val="19"/>
                <w:szCs w:val="19"/>
                <w:color w:val="231F2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98.09</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4180" w:type="dxa"/>
            <w:vAlign w:val="bottom"/>
          </w:tcPr>
          <w:p>
            <w:pPr>
              <w:ind w:left="60"/>
              <w:spacing w:after="0"/>
              <w:rPr>
                <w:sz w:val="20"/>
                <w:szCs w:val="20"/>
                <w:color w:val="auto"/>
              </w:rPr>
            </w:pPr>
            <w:r>
              <w:rPr>
                <w:rFonts w:ascii="Times New Roman" w:cs="Times New Roman" w:eastAsia="Times New Roman" w:hAnsi="Times New Roman"/>
                <w:sz w:val="19"/>
                <w:szCs w:val="19"/>
                <w:color w:val="231F20"/>
              </w:rPr>
              <w:t>Granted</w:t>
            </w:r>
          </w:p>
        </w:tc>
        <w:tc>
          <w:tcPr>
            <w:tcW w:w="13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4180" w:type="dxa"/>
            <w:vAlign w:val="bottom"/>
          </w:tcPr>
          <w:p>
            <w:pPr>
              <w:ind w:left="60"/>
              <w:spacing w:after="0"/>
              <w:rPr>
                <w:sz w:val="20"/>
                <w:szCs w:val="20"/>
                <w:color w:val="auto"/>
              </w:rPr>
            </w:pPr>
            <w:r>
              <w:rPr>
                <w:rFonts w:ascii="Times New Roman" w:cs="Times New Roman" w:eastAsia="Times New Roman" w:hAnsi="Times New Roman"/>
                <w:sz w:val="19"/>
                <w:szCs w:val="19"/>
                <w:color w:val="231F20"/>
              </w:rPr>
              <w:t>Exercised</w:t>
            </w:r>
          </w:p>
        </w:tc>
        <w:tc>
          <w:tcPr>
            <w:tcW w:w="132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2"/>
        </w:trPr>
        <w:tc>
          <w:tcPr>
            <w:tcW w:w="4180" w:type="dxa"/>
            <w:vAlign w:val="bottom"/>
          </w:tcPr>
          <w:p>
            <w:pPr>
              <w:ind w:left="60"/>
              <w:spacing w:after="0"/>
              <w:rPr>
                <w:sz w:val="20"/>
                <w:szCs w:val="20"/>
                <w:color w:val="auto"/>
              </w:rPr>
            </w:pPr>
            <w:r>
              <w:rPr>
                <w:rFonts w:ascii="Times New Roman" w:cs="Times New Roman" w:eastAsia="Times New Roman" w:hAnsi="Times New Roman"/>
                <w:sz w:val="19"/>
                <w:szCs w:val="19"/>
                <w:color w:val="231F20"/>
              </w:rPr>
              <w:t>Forfeited or expired</w:t>
            </w:r>
          </w:p>
        </w:tc>
        <w:tc>
          <w:tcPr>
            <w:tcW w:w="13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3"/>
        </w:trPr>
        <w:tc>
          <w:tcPr>
            <w:tcW w:w="4180" w:type="dxa"/>
            <w:vAlign w:val="bottom"/>
          </w:tcPr>
          <w:p>
            <w:pPr>
              <w:ind w:left="60"/>
              <w:spacing w:after="0"/>
              <w:rPr>
                <w:sz w:val="20"/>
                <w:szCs w:val="20"/>
                <w:color w:val="auto"/>
              </w:rPr>
            </w:pPr>
            <w:r>
              <w:rPr>
                <w:rFonts w:ascii="Times New Roman" w:cs="Times New Roman" w:eastAsia="Times New Roman" w:hAnsi="Times New Roman"/>
                <w:sz w:val="19"/>
                <w:szCs w:val="19"/>
                <w:color w:val="231F20"/>
              </w:rPr>
              <w:t>Outstanding at December 31, 2025</w:t>
            </w:r>
          </w:p>
        </w:tc>
        <w:tc>
          <w:tcPr>
            <w:tcW w:w="13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3,019</w:t>
            </w:r>
          </w:p>
        </w:tc>
        <w:tc>
          <w:tcPr>
            <w:tcW w:w="80" w:type="dxa"/>
            <w:vAlign w:val="bottom"/>
          </w:tcPr>
          <w:p>
            <w:pPr>
              <w:spacing w:after="0"/>
              <w:rPr>
                <w:sz w:val="20"/>
                <w:szCs w:val="20"/>
                <w:color w:val="auto"/>
              </w:rPr>
            </w:pPr>
          </w:p>
        </w:tc>
        <w:tc>
          <w:tcPr>
            <w:tcW w:w="240" w:type="dxa"/>
            <w:vAlign w:val="bottom"/>
            <w:tcBorders>
              <w:bottom w:val="single" w:sz="8" w:color="231F20"/>
            </w:tcBorders>
          </w:tcPr>
          <w:p>
            <w:pPr>
              <w:jc w:val="right"/>
              <w:ind w:right="5"/>
              <w:spacing w:after="0"/>
              <w:rPr>
                <w:sz w:val="20"/>
                <w:szCs w:val="20"/>
                <w:color w:val="auto"/>
              </w:rPr>
            </w:pPr>
            <w:r>
              <w:rPr>
                <w:rFonts w:ascii="Times New Roman" w:cs="Times New Roman" w:eastAsia="Times New Roman" w:hAnsi="Times New Roman"/>
                <w:sz w:val="19"/>
                <w:szCs w:val="19"/>
                <w:color w:val="231F20"/>
              </w:rPr>
              <w:t>$</w:t>
            </w:r>
          </w:p>
        </w:tc>
        <w:tc>
          <w:tcPr>
            <w:tcW w:w="10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98.09</w:t>
            </w:r>
          </w:p>
        </w:tc>
        <w:tc>
          <w:tcPr>
            <w:tcW w:w="80" w:type="dxa"/>
            <w:vAlign w:val="bottom"/>
          </w:tcPr>
          <w:p>
            <w:pPr>
              <w:spacing w:after="0"/>
              <w:rPr>
                <w:sz w:val="20"/>
                <w:szCs w:val="20"/>
                <w:color w:val="auto"/>
              </w:rPr>
            </w:pPr>
          </w:p>
        </w:tc>
        <w:tc>
          <w:tcPr>
            <w:tcW w:w="1320" w:type="dxa"/>
            <w:vAlign w:val="bottom"/>
            <w:tcBorders>
              <w:bottom w:val="single" w:sz="8" w:color="231F20"/>
            </w:tcBorders>
            <w:gridSpan w:val="2"/>
          </w:tcPr>
          <w:p>
            <w:pPr>
              <w:jc w:val="right"/>
              <w:spacing w:after="0"/>
              <w:rPr>
                <w:sz w:val="20"/>
                <w:szCs w:val="20"/>
                <w:color w:val="auto"/>
              </w:rPr>
            </w:pPr>
            <w:r>
              <w:rPr>
                <w:rFonts w:ascii="Times New Roman" w:cs="Times New Roman" w:eastAsia="Times New Roman" w:hAnsi="Times New Roman"/>
                <w:sz w:val="19"/>
                <w:szCs w:val="19"/>
                <w:color w:val="231F20"/>
              </w:rPr>
              <w:t>6.3</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Borders>
              <w:bottom w:val="single" w:sz="8" w:color="231F20"/>
            </w:tcBorders>
            <w:gridSpan w:val="2"/>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11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80" w:type="dxa"/>
            <w:vAlign w:val="bottom"/>
            <w:vMerge w:val="restart"/>
          </w:tcPr>
          <w:p>
            <w:pPr>
              <w:ind w:left="60"/>
              <w:spacing w:after="0"/>
              <w:rPr>
                <w:sz w:val="20"/>
                <w:szCs w:val="20"/>
                <w:color w:val="auto"/>
              </w:rPr>
            </w:pPr>
            <w:r>
              <w:rPr>
                <w:rFonts w:ascii="Times New Roman" w:cs="Times New Roman" w:eastAsia="Times New Roman" w:hAnsi="Times New Roman"/>
                <w:sz w:val="19"/>
                <w:szCs w:val="19"/>
                <w:color w:val="231F20"/>
              </w:rPr>
              <w:t>Exercisable at December 31, 2025</w:t>
            </w:r>
          </w:p>
        </w:tc>
        <w:tc>
          <w:tcPr>
            <w:tcW w:w="13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180" w:type="dxa"/>
            <w:vAlign w:val="bottom"/>
            <w:vMerge w:val="continue"/>
          </w:tcPr>
          <w:p>
            <w:pPr>
              <w:spacing w:after="0"/>
              <w:rPr>
                <w:sz w:val="18"/>
                <w:szCs w:val="18"/>
                <w:color w:val="auto"/>
              </w:rPr>
            </w:pPr>
          </w:p>
        </w:tc>
        <w:tc>
          <w:tcPr>
            <w:tcW w:w="1320" w:type="dxa"/>
            <w:vAlign w:val="bottom"/>
            <w:tcBorders>
              <w:top w:val="single" w:sz="8" w:color="231F20"/>
              <w:bottom w:val="single" w:sz="8" w:color="231F20"/>
            </w:tcBorders>
          </w:tcPr>
          <w:p>
            <w:pPr>
              <w:jc w:val="right"/>
              <w:spacing w:after="0" w:line="211" w:lineRule="exact"/>
              <w:rPr>
                <w:sz w:val="20"/>
                <w:szCs w:val="20"/>
                <w:color w:val="auto"/>
              </w:rPr>
            </w:pPr>
            <w:r>
              <w:rPr>
                <w:rFonts w:ascii="Times New Roman" w:cs="Times New Roman" w:eastAsia="Times New Roman" w:hAnsi="Times New Roman"/>
                <w:sz w:val="19"/>
                <w:szCs w:val="19"/>
                <w:color w:val="231F20"/>
              </w:rPr>
              <w:t>1,701</w:t>
            </w:r>
          </w:p>
        </w:tc>
        <w:tc>
          <w:tcPr>
            <w:tcW w:w="80" w:type="dxa"/>
            <w:vAlign w:val="bottom"/>
          </w:tcPr>
          <w:p>
            <w:pPr>
              <w:spacing w:after="0"/>
              <w:rPr>
                <w:sz w:val="18"/>
                <w:szCs w:val="18"/>
                <w:color w:val="auto"/>
              </w:rPr>
            </w:pPr>
          </w:p>
        </w:tc>
        <w:tc>
          <w:tcPr>
            <w:tcW w:w="240" w:type="dxa"/>
            <w:vAlign w:val="bottom"/>
            <w:tcBorders>
              <w:top w:val="single" w:sz="8" w:color="231F20"/>
              <w:bottom w:val="single" w:sz="8" w:color="231F20"/>
            </w:tcBorders>
          </w:tcPr>
          <w:p>
            <w:pPr>
              <w:jc w:val="right"/>
              <w:ind w:right="5"/>
              <w:spacing w:after="0" w:line="211" w:lineRule="exact"/>
              <w:rPr>
                <w:sz w:val="20"/>
                <w:szCs w:val="20"/>
                <w:color w:val="auto"/>
              </w:rPr>
            </w:pPr>
            <w:r>
              <w:rPr>
                <w:rFonts w:ascii="Times New Roman" w:cs="Times New Roman" w:eastAsia="Times New Roman" w:hAnsi="Times New Roman"/>
                <w:sz w:val="19"/>
                <w:szCs w:val="19"/>
                <w:color w:val="231F20"/>
              </w:rPr>
              <w:t>$</w:t>
            </w:r>
          </w:p>
        </w:tc>
        <w:tc>
          <w:tcPr>
            <w:tcW w:w="1080" w:type="dxa"/>
            <w:vAlign w:val="bottom"/>
            <w:tcBorders>
              <w:top w:val="single" w:sz="8" w:color="231F20"/>
              <w:bottom w:val="single" w:sz="8" w:color="231F20"/>
            </w:tcBorders>
          </w:tcPr>
          <w:p>
            <w:pPr>
              <w:jc w:val="right"/>
              <w:spacing w:after="0" w:line="211" w:lineRule="exact"/>
              <w:rPr>
                <w:sz w:val="20"/>
                <w:szCs w:val="20"/>
                <w:color w:val="auto"/>
              </w:rPr>
            </w:pPr>
            <w:r>
              <w:rPr>
                <w:rFonts w:ascii="Times New Roman" w:cs="Times New Roman" w:eastAsia="Times New Roman" w:hAnsi="Times New Roman"/>
                <w:sz w:val="19"/>
                <w:szCs w:val="19"/>
                <w:color w:val="231F20"/>
              </w:rPr>
              <w:t>96.59</w:t>
            </w:r>
          </w:p>
        </w:tc>
        <w:tc>
          <w:tcPr>
            <w:tcW w:w="80" w:type="dxa"/>
            <w:vAlign w:val="bottom"/>
          </w:tcPr>
          <w:p>
            <w:pPr>
              <w:spacing w:after="0"/>
              <w:rPr>
                <w:sz w:val="18"/>
                <w:szCs w:val="18"/>
                <w:color w:val="auto"/>
              </w:rPr>
            </w:pPr>
          </w:p>
        </w:tc>
        <w:tc>
          <w:tcPr>
            <w:tcW w:w="1320" w:type="dxa"/>
            <w:vAlign w:val="bottom"/>
            <w:tcBorders>
              <w:top w:val="single" w:sz="8" w:color="231F20"/>
              <w:bottom w:val="single" w:sz="8" w:color="231F20"/>
            </w:tcBorders>
            <w:gridSpan w:val="2"/>
          </w:tcPr>
          <w:p>
            <w:pPr>
              <w:jc w:val="right"/>
              <w:spacing w:after="0" w:line="211" w:lineRule="exact"/>
              <w:rPr>
                <w:sz w:val="20"/>
                <w:szCs w:val="20"/>
                <w:color w:val="auto"/>
              </w:rPr>
            </w:pPr>
            <w:r>
              <w:rPr>
                <w:rFonts w:ascii="Times New Roman" w:cs="Times New Roman" w:eastAsia="Times New Roman" w:hAnsi="Times New Roman"/>
                <w:sz w:val="19"/>
                <w:szCs w:val="19"/>
                <w:color w:val="231F20"/>
              </w:rPr>
              <w:t>5.5</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top w:val="single" w:sz="8" w:color="231F20"/>
              <w:bottom w:val="single" w:sz="8" w:color="231F20"/>
            </w:tcBorders>
            <w:gridSpan w:val="2"/>
          </w:tcPr>
          <w:p>
            <w:pPr>
              <w:jc w:val="right"/>
              <w:spacing w:after="0" w:line="211" w:lineRule="exact"/>
              <w:rPr>
                <w:sz w:val="20"/>
                <w:szCs w:val="20"/>
                <w:color w:val="auto"/>
              </w:rPr>
            </w:pPr>
            <w:r>
              <w:rPr>
                <w:rFonts w:ascii="Times New Roman" w:cs="Times New Roman" w:eastAsia="Times New Roman" w:hAnsi="Times New Roman"/>
                <w:sz w:val="19"/>
                <w:szCs w:val="19"/>
                <w:color w:val="231F20"/>
              </w:rPr>
              <w:t>$</w:t>
            </w:r>
          </w:p>
        </w:tc>
        <w:tc>
          <w:tcPr>
            <w:tcW w:w="1140" w:type="dxa"/>
            <w:vAlign w:val="bottom"/>
            <w:tcBorders>
              <w:top w:val="single" w:sz="8" w:color="231F20"/>
              <w:bottom w:val="single" w:sz="8" w:color="231F20"/>
            </w:tcBorders>
          </w:tcPr>
          <w:p>
            <w:pPr>
              <w:jc w:val="right"/>
              <w:spacing w:after="0" w:line="211" w:lineRule="exact"/>
              <w:rPr>
                <w:sz w:val="20"/>
                <w:szCs w:val="20"/>
                <w:color w:val="auto"/>
              </w:rPr>
            </w:pPr>
            <w:r>
              <w:rPr>
                <w:rFonts w:ascii="Times New Roman" w:cs="Times New Roman" w:eastAsia="Times New Roman" w:hAnsi="Times New Roman"/>
                <w:sz w:val="19"/>
                <w:szCs w:val="19"/>
                <w:color w:val="231F20"/>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32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Borders>
              <w:bottom w:val="single" w:sz="8" w:color="231F20"/>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1300" w:type="dxa"/>
            <w:vAlign w:val="bottom"/>
            <w:tcBorders>
              <w:bottom w:val="single" w:sz="8" w:color="231F2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160" w:type="dxa"/>
            <w:vAlign w:val="bottom"/>
            <w:tcBorders>
              <w:bottom w:val="single" w:sz="8" w:color="231F20"/>
            </w:tcBorders>
          </w:tcPr>
          <w:p>
            <w:pPr>
              <w:spacing w:after="0" w:line="20" w:lineRule="exact"/>
              <w:rPr>
                <w:sz w:val="1"/>
                <w:szCs w:val="1"/>
                <w:color w:val="auto"/>
              </w:rPr>
            </w:pPr>
          </w:p>
        </w:tc>
        <w:tc>
          <w:tcPr>
            <w:tcW w:w="1140" w:type="dxa"/>
            <w:vAlign w:val="bottom"/>
            <w:tcBorders>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4"/>
        </w:trPr>
        <w:tc>
          <w:tcPr>
            <w:tcW w:w="6900" w:type="dxa"/>
            <w:vAlign w:val="bottom"/>
            <w:gridSpan w:val="5"/>
          </w:tcPr>
          <w:p>
            <w:pPr>
              <w:spacing w:after="0"/>
              <w:rPr>
                <w:sz w:val="20"/>
                <w:szCs w:val="20"/>
                <w:color w:val="auto"/>
              </w:rPr>
            </w:pPr>
            <w:r>
              <w:rPr>
                <w:rFonts w:ascii="Times New Roman" w:cs="Times New Roman" w:eastAsia="Times New Roman" w:hAnsi="Times New Roman"/>
                <w:sz w:val="19"/>
                <w:szCs w:val="19"/>
                <w:color w:val="231F20"/>
              </w:rPr>
              <w:t>The following table provides a summary of restricted share award activity for 2025:</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4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5"/>
                <w:szCs w:val="15"/>
                <w:b w:val="1"/>
                <w:bCs w:val="1"/>
                <w:color w:val="231F20"/>
              </w:rPr>
              <w:t>Weighted-Average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1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4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5"/>
                <w:szCs w:val="15"/>
                <w:b w:val="1"/>
                <w:bCs w:val="1"/>
                <w:color w:val="231F20"/>
              </w:rPr>
              <w:t>Shares</w:t>
            </w:r>
          </w:p>
        </w:tc>
        <w:tc>
          <w:tcPr>
            <w:tcW w:w="40" w:type="dxa"/>
            <w:vAlign w:val="bottom"/>
            <w:vMerge w:val="restart"/>
          </w:tcPr>
          <w:p>
            <w:pPr>
              <w:spacing w:after="0"/>
              <w:rPr>
                <w:sz w:val="13"/>
                <w:szCs w:val="13"/>
                <w:color w:val="auto"/>
              </w:rPr>
            </w:pPr>
          </w:p>
        </w:tc>
        <w:tc>
          <w:tcPr>
            <w:tcW w:w="20" w:type="dxa"/>
            <w:vAlign w:val="bottom"/>
          </w:tcPr>
          <w:p>
            <w:pPr>
              <w:spacing w:after="0"/>
              <w:rPr>
                <w:sz w:val="13"/>
                <w:szCs w:val="13"/>
                <w:color w:val="auto"/>
              </w:rPr>
            </w:pPr>
          </w:p>
        </w:tc>
        <w:tc>
          <w:tcPr>
            <w:tcW w:w="1300" w:type="dxa"/>
            <w:vAlign w:val="bottom"/>
            <w:gridSpan w:val="2"/>
          </w:tcPr>
          <w:p>
            <w:pPr>
              <w:jc w:val="right"/>
              <w:ind w:right="13"/>
              <w:spacing w:after="0" w:line="152" w:lineRule="exact"/>
              <w:rPr>
                <w:sz w:val="20"/>
                <w:szCs w:val="20"/>
                <w:color w:val="auto"/>
              </w:rPr>
            </w:pPr>
            <w:r>
              <w:rPr>
                <w:rFonts w:ascii="Times New Roman" w:cs="Times New Roman" w:eastAsia="Times New Roman" w:hAnsi="Times New Roman"/>
                <w:sz w:val="15"/>
                <w:szCs w:val="15"/>
                <w:b w:val="1"/>
                <w:bCs w:val="1"/>
                <w:color w:val="231F20"/>
              </w:rPr>
              <w:t>Grant-Date Fair</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4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40" w:type="dxa"/>
            <w:vAlign w:val="bottom"/>
            <w:tcBorders>
              <w:bottom w:val="single" w:sz="8" w:color="231F20"/>
            </w:tcBorders>
            <w:gridSpan w:val="2"/>
            <w:vMerge w:val="continue"/>
          </w:tcPr>
          <w:p>
            <w:pPr>
              <w:spacing w:after="0"/>
              <w:rPr>
                <w:sz w:val="17"/>
                <w:szCs w:val="17"/>
                <w:color w:val="auto"/>
              </w:rPr>
            </w:pPr>
          </w:p>
        </w:tc>
        <w:tc>
          <w:tcPr>
            <w:tcW w:w="4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bottom w:val="single" w:sz="8" w:color="231F20"/>
            </w:tcBorders>
          </w:tcPr>
          <w:p>
            <w:pPr>
              <w:spacing w:after="0"/>
              <w:rPr>
                <w:sz w:val="17"/>
                <w:szCs w:val="17"/>
                <w:color w:val="auto"/>
              </w:rPr>
            </w:pPr>
          </w:p>
        </w:tc>
        <w:tc>
          <w:tcPr>
            <w:tcW w:w="1140" w:type="dxa"/>
            <w:vAlign w:val="bottom"/>
            <w:tcBorders>
              <w:bottom w:val="single" w:sz="8" w:color="231F20"/>
            </w:tcBorders>
          </w:tcPr>
          <w:p>
            <w:pPr>
              <w:jc w:val="right"/>
              <w:ind w:right="353"/>
              <w:spacing w:after="0"/>
              <w:rPr>
                <w:sz w:val="20"/>
                <w:szCs w:val="20"/>
                <w:color w:val="auto"/>
              </w:rPr>
            </w:pPr>
            <w:r>
              <w:rPr>
                <w:rFonts w:ascii="Times New Roman" w:cs="Times New Roman" w:eastAsia="Times New Roman" w:hAnsi="Times New Roman"/>
                <w:sz w:val="15"/>
                <w:szCs w:val="15"/>
                <w:b w:val="1"/>
                <w:bCs w:val="1"/>
                <w:color w:val="231F20"/>
              </w:rPr>
              <w:t>Value</w:t>
            </w:r>
          </w:p>
        </w:tc>
        <w:tc>
          <w:tcPr>
            <w:tcW w:w="20" w:type="dxa"/>
            <w:vAlign w:val="bottom"/>
            <w:tcBorders>
              <w:bottom w:val="single" w:sz="8" w:color="231F20"/>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4180" w:type="dxa"/>
            <w:vAlign w:val="bottom"/>
          </w:tcPr>
          <w:p>
            <w:pPr>
              <w:ind w:left="60"/>
              <w:spacing w:after="0"/>
              <w:rPr>
                <w:sz w:val="20"/>
                <w:szCs w:val="20"/>
                <w:color w:val="auto"/>
              </w:rPr>
            </w:pPr>
            <w:r>
              <w:rPr>
                <w:rFonts w:ascii="Times New Roman" w:cs="Times New Roman" w:eastAsia="Times New Roman" w:hAnsi="Times New Roman"/>
                <w:sz w:val="19"/>
                <w:szCs w:val="19"/>
                <w:color w:val="231F20"/>
              </w:rPr>
              <w:t>Unvested at December 31, 2024</w:t>
            </w: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231F20"/>
              </w:rPr>
              <w:t>268,220</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9"/>
                <w:szCs w:val="19"/>
                <w:color w:val="231F20"/>
                <w:w w:val="8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107.57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4180" w:type="dxa"/>
            <w:vAlign w:val="bottom"/>
          </w:tcPr>
          <w:p>
            <w:pPr>
              <w:ind w:left="60"/>
              <w:spacing w:after="0"/>
              <w:rPr>
                <w:sz w:val="20"/>
                <w:szCs w:val="20"/>
                <w:color w:val="auto"/>
              </w:rPr>
            </w:pPr>
            <w:r>
              <w:rPr>
                <w:rFonts w:ascii="Times New Roman" w:cs="Times New Roman" w:eastAsia="Times New Roman" w:hAnsi="Times New Roman"/>
                <w:sz w:val="19"/>
                <w:szCs w:val="19"/>
                <w:color w:val="231F20"/>
              </w:rPr>
              <w:t>Granted</w:t>
            </w:r>
          </w:p>
        </w:tc>
        <w:tc>
          <w:tcPr>
            <w:tcW w:w="1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231F20"/>
              </w:rPr>
              <w:t>146,086</w:t>
            </w: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110.17</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4180" w:type="dxa"/>
            <w:vAlign w:val="bottom"/>
          </w:tcPr>
          <w:p>
            <w:pPr>
              <w:ind w:left="60"/>
              <w:spacing w:after="0"/>
              <w:rPr>
                <w:sz w:val="20"/>
                <w:szCs w:val="20"/>
                <w:color w:val="auto"/>
              </w:rPr>
            </w:pPr>
            <w:r>
              <w:rPr>
                <w:rFonts w:ascii="Times New Roman" w:cs="Times New Roman" w:eastAsia="Times New Roman" w:hAnsi="Times New Roman"/>
                <w:sz w:val="19"/>
                <w:szCs w:val="19"/>
                <w:color w:val="231F20"/>
              </w:rPr>
              <w:t>Vested</w:t>
            </w:r>
          </w:p>
        </w:tc>
        <w:tc>
          <w:tcPr>
            <w:tcW w:w="1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440" w:type="dxa"/>
            <w:vAlign w:val="bottom"/>
            <w:gridSpan w:val="4"/>
          </w:tcPr>
          <w:p>
            <w:pPr>
              <w:jc w:val="right"/>
              <w:ind w:right="20"/>
              <w:spacing w:after="0"/>
              <w:rPr>
                <w:sz w:val="20"/>
                <w:szCs w:val="20"/>
                <w:color w:val="auto"/>
              </w:rPr>
            </w:pPr>
            <w:r>
              <w:rPr>
                <w:rFonts w:ascii="Times New Roman" w:cs="Times New Roman" w:eastAsia="Times New Roman" w:hAnsi="Times New Roman"/>
                <w:sz w:val="19"/>
                <w:szCs w:val="19"/>
                <w:color w:val="231F20"/>
              </w:rPr>
              <w:t>(128,262)</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110.26</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2"/>
        </w:trPr>
        <w:tc>
          <w:tcPr>
            <w:tcW w:w="4180" w:type="dxa"/>
            <w:vAlign w:val="bottom"/>
          </w:tcPr>
          <w:p>
            <w:pPr>
              <w:ind w:left="60"/>
              <w:spacing w:after="0"/>
              <w:rPr>
                <w:sz w:val="20"/>
                <w:szCs w:val="20"/>
                <w:color w:val="auto"/>
              </w:rPr>
            </w:pPr>
            <w:r>
              <w:rPr>
                <w:rFonts w:ascii="Times New Roman" w:cs="Times New Roman" w:eastAsia="Times New Roman" w:hAnsi="Times New Roman"/>
                <w:sz w:val="19"/>
                <w:szCs w:val="19"/>
                <w:color w:val="231F20"/>
              </w:rPr>
              <w:t>Forfeited</w:t>
            </w:r>
          </w:p>
        </w:tc>
        <w:tc>
          <w:tcPr>
            <w:tcW w:w="1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gridSpan w:val="2"/>
          </w:tcPr>
          <w:p>
            <w:pPr>
              <w:spacing w:after="0"/>
              <w:rPr>
                <w:sz w:val="23"/>
                <w:szCs w:val="23"/>
                <w:color w:val="auto"/>
              </w:rPr>
            </w:pPr>
          </w:p>
        </w:tc>
        <w:tc>
          <w:tcPr>
            <w:tcW w:w="1340" w:type="dxa"/>
            <w:vAlign w:val="bottom"/>
            <w:tcBorders>
              <w:bottom w:val="single" w:sz="8" w:color="231F20"/>
            </w:tcBorders>
            <w:gridSpan w:val="2"/>
          </w:tcPr>
          <w:p>
            <w:pPr>
              <w:jc w:val="right"/>
              <w:ind w:right="20"/>
              <w:spacing w:after="0"/>
              <w:rPr>
                <w:sz w:val="20"/>
                <w:szCs w:val="20"/>
                <w:color w:val="auto"/>
              </w:rPr>
            </w:pPr>
            <w:r>
              <w:rPr>
                <w:rFonts w:ascii="Times New Roman" w:cs="Times New Roman" w:eastAsia="Times New Roman" w:hAnsi="Times New Roman"/>
                <w:sz w:val="19"/>
                <w:szCs w:val="19"/>
                <w:color w:val="231F20"/>
              </w:rPr>
              <w:t>(5,489)</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121.76</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3"/>
        </w:trPr>
        <w:tc>
          <w:tcPr>
            <w:tcW w:w="4180" w:type="dxa"/>
            <w:vAlign w:val="bottom"/>
          </w:tcPr>
          <w:p>
            <w:pPr>
              <w:ind w:left="60"/>
              <w:spacing w:after="0"/>
              <w:rPr>
                <w:sz w:val="20"/>
                <w:szCs w:val="20"/>
                <w:color w:val="auto"/>
              </w:rPr>
            </w:pPr>
            <w:r>
              <w:rPr>
                <w:rFonts w:ascii="Times New Roman" w:cs="Times New Roman" w:eastAsia="Times New Roman" w:hAnsi="Times New Roman"/>
                <w:sz w:val="19"/>
                <w:szCs w:val="19"/>
                <w:color w:val="231F20"/>
              </w:rPr>
              <w:t>Unvested at December 31, 2025</w:t>
            </w: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231F20"/>
              </w:rPr>
              <w:t>280,555</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9"/>
                <w:szCs w:val="19"/>
                <w:color w:val="231F20"/>
                <w:w w:val="8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107.42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Borders>
              <w:top w:val="single" w:sz="8" w:color="231F20"/>
              <w:bottom w:val="single" w:sz="8" w:color="231F20"/>
            </w:tcBorders>
          </w:tcPr>
          <w:p>
            <w:pPr>
              <w:spacing w:after="0" w:line="20" w:lineRule="exact"/>
              <w:rPr>
                <w:sz w:val="1"/>
                <w:szCs w:val="1"/>
                <w:color w:val="auto"/>
              </w:rPr>
            </w:pPr>
          </w:p>
        </w:tc>
        <w:tc>
          <w:tcPr>
            <w:tcW w:w="40" w:type="dxa"/>
            <w:vAlign w:val="bottom"/>
            <w:tcBorders>
              <w:top w:val="single" w:sz="8" w:color="231F20"/>
              <w:bottom w:val="single" w:sz="8" w:color="231F2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3" w:lineRule="exact"/>
        <w:rPr>
          <w:sz w:val="20"/>
          <w:szCs w:val="20"/>
          <w:color w:val="auto"/>
        </w:rPr>
      </w:pPr>
    </w:p>
    <w:p>
      <w:pPr>
        <w:ind w:right="180"/>
        <w:spacing w:after="0" w:line="267" w:lineRule="auto"/>
        <w:rPr>
          <w:sz w:val="20"/>
          <w:szCs w:val="20"/>
          <w:color w:val="auto"/>
        </w:rPr>
      </w:pPr>
      <w:r>
        <w:rPr>
          <w:rFonts w:ascii="Times New Roman" w:cs="Times New Roman" w:eastAsia="Times New Roman" w:hAnsi="Times New Roman"/>
          <w:sz w:val="19"/>
          <w:szCs w:val="19"/>
          <w:color w:val="231F20"/>
        </w:rPr>
        <w:t>The weighted-average grant-date fair value of stock awarded in 2025, 2024 and 2023 was $110.17, $101.84 and $109.44, respectively. The total vesting-date fair value of shares vested during the year ended December 31, 2025, 2024 and 2023, was $14.0 million, $17.3 million and $14.4 million, respectively.</w:t>
      </w:r>
    </w:p>
    <w:p>
      <w:pPr>
        <w:spacing w:after="0" w:line="5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9"/>
          <w:szCs w:val="19"/>
          <w:color w:val="231F20"/>
        </w:rPr>
        <w:t>On February 10, 2021, 10,441 restricted stock units were awarded to an officer, of which 7,204 vested on January 7, 2025, based on meeting certain market based performance criteria. The amount of dividend equivalent rights related to these units is approximately $0.1 million, and was recorded against retained earnings for the year ended December 31, 2024. The weighted-average grant-date fair value of the restricted stock units awarded in 2021 was $97.01.</w:t>
      </w:r>
    </w:p>
    <w:p>
      <w:pPr>
        <w:sectPr>
          <w:pgSz w:w="11880" w:h="15480" w:orient="portrait"/>
          <w:cols w:equalWidth="0" w:num="1">
            <w:col w:w="9740"/>
          </w:cols>
          <w:pgMar w:left="1060" w:top="963"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231F20"/>
        </w:rPr>
        <w:t>F-37</w:t>
      </w:r>
    </w:p>
    <w:p>
      <w:pPr>
        <w:sectPr>
          <w:pgSz w:w="11880" w:h="15480" w:orient="portrait"/>
          <w:cols w:equalWidth="0" w:num="1">
            <w:col w:w="9740"/>
          </w:cols>
          <w:pgMar w:left="1060" w:top="963" w:right="1080" w:bottom="0" w:gutter="0" w:footer="0" w:header="0"/>
          <w:type w:val="continuous"/>
        </w:sectPr>
      </w:pPr>
    </w:p>
    <w:bookmarkStart w:id="101" w:name="page102"/>
    <w:bookmarkEnd w:id="101"/>
    <w:p>
      <w:pPr>
        <w:ind w:right="200"/>
        <w:spacing w:after="0" w:line="267" w:lineRule="auto"/>
        <w:rPr>
          <w:sz w:val="20"/>
          <w:szCs w:val="20"/>
          <w:color w:val="auto"/>
        </w:rPr>
      </w:pPr>
      <w:r>
        <w:rPr>
          <w:rFonts w:ascii="Times New Roman" w:cs="Times New Roman" w:eastAsia="Times New Roman" w:hAnsi="Times New Roman"/>
          <w:sz w:val="19"/>
          <w:szCs w:val="19"/>
          <w:color w:val="231F20"/>
        </w:rPr>
        <w:t>As of December 31, 2025, there was $17.2 million of total unrecognized compensation cost related to unvested share-based compensation arrangements (i.e. options and unvested shares) granted under our plans. This cost is expected to be recognized over the next 4.3 years with a weighted-average period of 1.8 years.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Subsequent to December 31, 2025, common shares were awarded under various compensation plans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960" w:type="dxa"/>
            <w:vAlign w:val="bottom"/>
            <w:tcBorders>
              <w:bottom w:val="single" w:sz="8" w:color="231F20"/>
            </w:tcBorders>
          </w:tcPr>
          <w:p>
            <w:pPr>
              <w:ind w:left="820"/>
              <w:spacing w:after="0"/>
              <w:rPr>
                <w:sz w:val="20"/>
                <w:szCs w:val="20"/>
                <w:color w:val="auto"/>
              </w:rPr>
            </w:pPr>
            <w:r>
              <w:rPr>
                <w:rFonts w:ascii="Times New Roman" w:cs="Times New Roman" w:eastAsia="Times New Roman" w:hAnsi="Times New Roman"/>
                <w:sz w:val="15"/>
                <w:szCs w:val="15"/>
                <w:b w:val="1"/>
                <w:bCs w:val="1"/>
                <w:color w:val="231F20"/>
              </w:rPr>
              <w:t>Date</w:t>
            </w:r>
          </w:p>
        </w:tc>
        <w:tc>
          <w:tcPr>
            <w:tcW w:w="60" w:type="dxa"/>
            <w:vAlign w:val="bottom"/>
          </w:tcPr>
          <w:p>
            <w:pPr>
              <w:spacing w:after="0"/>
              <w:rPr>
                <w:sz w:val="17"/>
                <w:szCs w:val="17"/>
                <w:color w:val="auto"/>
              </w:rPr>
            </w:pPr>
          </w:p>
        </w:tc>
        <w:tc>
          <w:tcPr>
            <w:tcW w:w="940" w:type="dxa"/>
            <w:vAlign w:val="bottom"/>
            <w:tcBorders>
              <w:bottom w:val="single" w:sz="8" w:color="231F20"/>
            </w:tcBorders>
          </w:tcPr>
          <w:p>
            <w:pPr>
              <w:spacing w:after="0"/>
              <w:rPr>
                <w:sz w:val="17"/>
                <w:szCs w:val="17"/>
                <w:color w:val="auto"/>
              </w:rPr>
            </w:pPr>
          </w:p>
        </w:tc>
        <w:tc>
          <w:tcPr>
            <w:tcW w:w="1920" w:type="dxa"/>
            <w:vAlign w:val="bottom"/>
            <w:tcBorders>
              <w:bottom w:val="single" w:sz="8" w:color="231F20"/>
            </w:tcBorders>
          </w:tcPr>
          <w:p>
            <w:pPr>
              <w:ind w:left="280"/>
              <w:spacing w:after="0"/>
              <w:rPr>
                <w:sz w:val="20"/>
                <w:szCs w:val="20"/>
                <w:color w:val="auto"/>
              </w:rPr>
            </w:pPr>
            <w:r>
              <w:rPr>
                <w:rFonts w:ascii="Times New Roman" w:cs="Times New Roman" w:eastAsia="Times New Roman" w:hAnsi="Times New Roman"/>
                <w:sz w:val="15"/>
                <w:szCs w:val="15"/>
                <w:b w:val="1"/>
                <w:bCs w:val="1"/>
                <w:color w:val="231F20"/>
              </w:rPr>
              <w:t>Award</w:t>
            </w:r>
          </w:p>
        </w:tc>
        <w:tc>
          <w:tcPr>
            <w:tcW w:w="80" w:type="dxa"/>
            <w:vAlign w:val="bottom"/>
          </w:tcPr>
          <w:p>
            <w:pPr>
              <w:spacing w:after="0"/>
              <w:rPr>
                <w:sz w:val="17"/>
                <w:szCs w:val="17"/>
                <w:color w:val="auto"/>
              </w:rPr>
            </w:pPr>
          </w:p>
        </w:tc>
        <w:tc>
          <w:tcPr>
            <w:tcW w:w="1980" w:type="dxa"/>
            <w:vAlign w:val="bottom"/>
            <w:tcBorders>
              <w:bottom w:val="single" w:sz="8" w:color="231F20"/>
            </w:tcBorders>
          </w:tcPr>
          <w:p>
            <w:pPr>
              <w:ind w:left="540"/>
              <w:spacing w:after="0"/>
              <w:rPr>
                <w:sz w:val="20"/>
                <w:szCs w:val="20"/>
                <w:color w:val="auto"/>
              </w:rPr>
            </w:pPr>
            <w:r>
              <w:rPr>
                <w:rFonts w:ascii="Times New Roman" w:cs="Times New Roman" w:eastAsia="Times New Roman" w:hAnsi="Times New Roman"/>
                <w:sz w:val="15"/>
                <w:szCs w:val="15"/>
                <w:b w:val="1"/>
                <w:bCs w:val="1"/>
                <w:color w:val="231F20"/>
              </w:rPr>
              <w:t>Vesting Term</w:t>
            </w:r>
          </w:p>
        </w:tc>
        <w:tc>
          <w:tcPr>
            <w:tcW w:w="60" w:type="dxa"/>
            <w:vAlign w:val="bottom"/>
          </w:tcPr>
          <w:p>
            <w:pPr>
              <w:spacing w:after="0"/>
              <w:rPr>
                <w:sz w:val="17"/>
                <w:szCs w:val="17"/>
                <w:color w:val="auto"/>
              </w:rPr>
            </w:pPr>
          </w:p>
        </w:tc>
        <w:tc>
          <w:tcPr>
            <w:tcW w:w="2720" w:type="dxa"/>
            <w:vAlign w:val="bottom"/>
            <w:tcBorders>
              <w:bottom w:val="single" w:sz="8" w:color="231F20"/>
            </w:tcBorders>
          </w:tcPr>
          <w:p>
            <w:pPr>
              <w:ind w:left="1000"/>
              <w:spacing w:after="0"/>
              <w:rPr>
                <w:sz w:val="20"/>
                <w:szCs w:val="20"/>
                <w:color w:val="auto"/>
              </w:rPr>
            </w:pPr>
            <w:r>
              <w:rPr>
                <w:rFonts w:ascii="Times New Roman" w:cs="Times New Roman" w:eastAsia="Times New Roman" w:hAnsi="Times New Roman"/>
                <w:sz w:val="15"/>
                <w:szCs w:val="15"/>
                <w:b w:val="1"/>
                <w:bCs w:val="1"/>
                <w:color w:val="231F20"/>
              </w:rPr>
              <w:t>Beneficiary</w:t>
            </w:r>
          </w:p>
        </w:tc>
      </w:tr>
      <w:tr>
        <w:trPr>
          <w:trHeight w:val="264"/>
        </w:trPr>
        <w:tc>
          <w:tcPr>
            <w:tcW w:w="1960" w:type="dxa"/>
            <w:vAlign w:val="bottom"/>
          </w:tcPr>
          <w:p>
            <w:pPr>
              <w:ind w:left="60"/>
              <w:spacing w:after="0"/>
              <w:rPr>
                <w:sz w:val="20"/>
                <w:szCs w:val="20"/>
                <w:color w:val="auto"/>
              </w:rPr>
            </w:pPr>
            <w:r>
              <w:rPr>
                <w:rFonts w:ascii="Times New Roman" w:cs="Times New Roman" w:eastAsia="Times New Roman" w:hAnsi="Times New Roman"/>
                <w:sz w:val="19"/>
                <w:szCs w:val="19"/>
                <w:color w:val="231F20"/>
              </w:rPr>
              <w:t>January 2, 2026</w:t>
            </w:r>
          </w:p>
        </w:tc>
        <w:tc>
          <w:tcPr>
            <w:tcW w:w="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7,786</w:t>
            </w:r>
          </w:p>
        </w:tc>
        <w:tc>
          <w:tcPr>
            <w:tcW w:w="1920" w:type="dxa"/>
            <w:vAlign w:val="bottom"/>
          </w:tcPr>
          <w:p>
            <w:pPr>
              <w:ind w:left="80"/>
              <w:spacing w:after="0"/>
              <w:rPr>
                <w:sz w:val="20"/>
                <w:szCs w:val="20"/>
                <w:color w:val="auto"/>
              </w:rPr>
            </w:pPr>
            <w:r>
              <w:rPr>
                <w:rFonts w:ascii="Times New Roman" w:cs="Times New Roman" w:eastAsia="Times New Roman" w:hAnsi="Times New Roman"/>
                <w:sz w:val="19"/>
                <w:szCs w:val="19"/>
                <w:color w:val="231F20"/>
              </w:rPr>
              <w:t>Shares</w:t>
            </w:r>
          </w:p>
        </w:tc>
        <w:tc>
          <w:tcPr>
            <w:tcW w:w="80" w:type="dxa"/>
            <w:vAlign w:val="bottom"/>
          </w:tcPr>
          <w:p>
            <w:pPr>
              <w:spacing w:after="0"/>
              <w:rPr>
                <w:sz w:val="22"/>
                <w:szCs w:val="22"/>
                <w:color w:val="auto"/>
              </w:rPr>
            </w:pPr>
          </w:p>
        </w:tc>
        <w:tc>
          <w:tcPr>
            <w:tcW w:w="1980" w:type="dxa"/>
            <w:vAlign w:val="bottom"/>
          </w:tcPr>
          <w:p>
            <w:pPr>
              <w:ind w:left="40"/>
              <w:spacing w:after="0"/>
              <w:rPr>
                <w:sz w:val="20"/>
                <w:szCs w:val="20"/>
                <w:color w:val="auto"/>
              </w:rPr>
            </w:pPr>
            <w:r>
              <w:rPr>
                <w:rFonts w:ascii="Times New Roman" w:cs="Times New Roman" w:eastAsia="Times New Roman" w:hAnsi="Times New Roman"/>
                <w:sz w:val="19"/>
                <w:szCs w:val="19"/>
                <w:color w:val="231F20"/>
              </w:rPr>
              <w:t>Immediate</w:t>
            </w:r>
          </w:p>
        </w:tc>
        <w:tc>
          <w:tcPr>
            <w:tcW w:w="60" w:type="dxa"/>
            <w:vAlign w:val="bottom"/>
          </w:tcPr>
          <w:p>
            <w:pPr>
              <w:spacing w:after="0"/>
              <w:rPr>
                <w:sz w:val="22"/>
                <w:szCs w:val="22"/>
                <w:color w:val="auto"/>
              </w:rPr>
            </w:pPr>
          </w:p>
        </w:tc>
        <w:tc>
          <w:tcPr>
            <w:tcW w:w="2720" w:type="dxa"/>
            <w:vAlign w:val="bottom"/>
          </w:tcPr>
          <w:p>
            <w:pPr>
              <w:ind w:left="60"/>
              <w:spacing w:after="0"/>
              <w:rPr>
                <w:sz w:val="20"/>
                <w:szCs w:val="20"/>
                <w:color w:val="auto"/>
              </w:rPr>
            </w:pPr>
            <w:r>
              <w:rPr>
                <w:rFonts w:ascii="Times New Roman" w:cs="Times New Roman" w:eastAsia="Times New Roman" w:hAnsi="Times New Roman"/>
                <w:sz w:val="19"/>
                <w:szCs w:val="19"/>
                <w:color w:val="231F20"/>
              </w:rPr>
              <w:t>Trustees</w:t>
            </w:r>
          </w:p>
        </w:tc>
      </w:tr>
      <w:tr>
        <w:trPr>
          <w:trHeight w:val="285"/>
        </w:trPr>
        <w:tc>
          <w:tcPr>
            <w:tcW w:w="1960" w:type="dxa"/>
            <w:vAlign w:val="bottom"/>
          </w:tcPr>
          <w:p>
            <w:pPr>
              <w:ind w:left="60"/>
              <w:spacing w:after="0"/>
              <w:rPr>
                <w:sz w:val="20"/>
                <w:szCs w:val="20"/>
                <w:color w:val="auto"/>
              </w:rPr>
            </w:pPr>
            <w:r>
              <w:rPr>
                <w:rFonts w:ascii="Times New Roman" w:cs="Times New Roman" w:eastAsia="Times New Roman" w:hAnsi="Times New Roman"/>
                <w:sz w:val="19"/>
                <w:szCs w:val="19"/>
                <w:color w:val="231F20"/>
              </w:rPr>
              <w:t>February 11, 2026</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231F20"/>
              </w:rPr>
              <w:t>157,723</w:t>
            </w:r>
          </w:p>
        </w:tc>
        <w:tc>
          <w:tcPr>
            <w:tcW w:w="1920" w:type="dxa"/>
            <w:vAlign w:val="bottom"/>
          </w:tcPr>
          <w:p>
            <w:pPr>
              <w:ind w:left="80"/>
              <w:spacing w:after="0"/>
              <w:rPr>
                <w:sz w:val="20"/>
                <w:szCs w:val="20"/>
                <w:color w:val="auto"/>
              </w:rPr>
            </w:pPr>
            <w:r>
              <w:rPr>
                <w:rFonts w:ascii="Times New Roman" w:cs="Times New Roman" w:eastAsia="Times New Roman" w:hAnsi="Times New Roman"/>
                <w:sz w:val="19"/>
                <w:szCs w:val="19"/>
                <w:color w:val="231F20"/>
              </w:rPr>
              <w:t>Restricted Shares</w:t>
            </w:r>
          </w:p>
        </w:tc>
        <w:tc>
          <w:tcPr>
            <w:tcW w:w="80" w:type="dxa"/>
            <w:vAlign w:val="bottom"/>
          </w:tcPr>
          <w:p>
            <w:pPr>
              <w:spacing w:after="0"/>
              <w:rPr>
                <w:sz w:val="24"/>
                <w:szCs w:val="24"/>
                <w:color w:val="auto"/>
              </w:rPr>
            </w:pPr>
          </w:p>
        </w:tc>
        <w:tc>
          <w:tcPr>
            <w:tcW w:w="1980" w:type="dxa"/>
            <w:vAlign w:val="bottom"/>
          </w:tcPr>
          <w:p>
            <w:pPr>
              <w:ind w:left="40"/>
              <w:spacing w:after="0"/>
              <w:rPr>
                <w:sz w:val="20"/>
                <w:szCs w:val="20"/>
                <w:color w:val="auto"/>
              </w:rPr>
            </w:pPr>
            <w:r>
              <w:rPr>
                <w:rFonts w:ascii="Times New Roman" w:cs="Times New Roman" w:eastAsia="Times New Roman" w:hAnsi="Times New Roman"/>
                <w:sz w:val="19"/>
                <w:szCs w:val="19"/>
                <w:color w:val="231F20"/>
              </w:rPr>
              <w:t>3-5 years</w:t>
            </w:r>
          </w:p>
        </w:tc>
        <w:tc>
          <w:tcPr>
            <w:tcW w:w="60" w:type="dxa"/>
            <w:vAlign w:val="bottom"/>
          </w:tcPr>
          <w:p>
            <w:pPr>
              <w:spacing w:after="0"/>
              <w:rPr>
                <w:sz w:val="24"/>
                <w:szCs w:val="24"/>
                <w:color w:val="auto"/>
              </w:rPr>
            </w:pPr>
          </w:p>
        </w:tc>
        <w:tc>
          <w:tcPr>
            <w:tcW w:w="2720" w:type="dxa"/>
            <w:vAlign w:val="bottom"/>
          </w:tcPr>
          <w:p>
            <w:pPr>
              <w:ind w:left="60"/>
              <w:spacing w:after="0"/>
              <w:rPr>
                <w:sz w:val="20"/>
                <w:szCs w:val="20"/>
                <w:color w:val="auto"/>
              </w:rPr>
            </w:pPr>
            <w:r>
              <w:rPr>
                <w:rFonts w:ascii="Times New Roman" w:cs="Times New Roman" w:eastAsia="Times New Roman" w:hAnsi="Times New Roman"/>
                <w:sz w:val="19"/>
                <w:szCs w:val="19"/>
                <w:color w:val="231F20"/>
              </w:rPr>
              <w:t>Officers and key employees</w:t>
            </w:r>
          </w:p>
        </w:tc>
      </w:tr>
    </w:tbl>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NOTE 13—SAVINGS AND RETIREMENT PLANS</w:t>
      </w:r>
    </w:p>
    <w:p>
      <w:pPr>
        <w:spacing w:after="0" w:line="11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9"/>
          <w:szCs w:val="19"/>
          <w:color w:val="231F20"/>
        </w:rPr>
        <w:t>We have a savings and retirement plan in accordance with the provisions of Section 401(k) of the Code. Generally, employees can elect, at their discretion, to contribute a portion of their compensation up to a maximum of $23,500 for 2025, $23,000 for 2024, and 22,500 for 2023. Under the plan, we contribute 50% of each employee’s elective deferrals up to 5% of eligible earnings. In addition, we may make discretionary contributions within the limits of deductibility set forth by the Code. Our full-time employees are immediately eligible to become plan participants. Employees are eligible to receive matching contributions immediately on their participation; however, these matching payments will not vest until their third anniversary of employment. Our expense for the years ended December 31, 2025, 2024 and 2023 was approximately $1,061,000, $1,012,000 and $960,000, respectively.</w:t>
      </w:r>
    </w:p>
    <w:p>
      <w:pPr>
        <w:spacing w:after="0" w:line="140" w:lineRule="exact"/>
        <w:rPr>
          <w:sz w:val="20"/>
          <w:szCs w:val="20"/>
          <w:color w:val="auto"/>
        </w:rPr>
      </w:pPr>
    </w:p>
    <w:p>
      <w:pPr>
        <w:ind w:right="260"/>
        <w:spacing w:after="0" w:line="259" w:lineRule="auto"/>
        <w:rPr>
          <w:sz w:val="20"/>
          <w:szCs w:val="20"/>
          <w:color w:val="auto"/>
        </w:rPr>
      </w:pPr>
      <w:r>
        <w:rPr>
          <w:rFonts w:ascii="Times New Roman" w:cs="Times New Roman" w:eastAsia="Times New Roman" w:hAnsi="Times New Roman"/>
          <w:sz w:val="19"/>
          <w:szCs w:val="19"/>
          <w:color w:val="231F20"/>
        </w:rPr>
        <w:t>A non-qualified deferred compensation plan for our officers and certain other employees was established in 1994 that allows the participants to defer a portion of their income. As of December 31, 2025 and 2024, we are liable to participants for approximately $27.0 million and $24.0 million, respectively, under this plan. Although this is an unfunded plan, we have purchased certain investments to match this obligation. Our obligation under this plan and the related investments are both included in the accompanying consolidated financial statements.</w:t>
      </w:r>
    </w:p>
    <w:p>
      <w:pPr>
        <w:sectPr>
          <w:pgSz w:w="11880" w:h="15480" w:orient="portrait"/>
          <w:cols w:equalWidth="0" w:num="1">
            <w:col w:w="9740"/>
          </w:cols>
          <w:pgMar w:left="1060" w:top="963"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231F20"/>
        </w:rPr>
        <w:t>F-38</w:t>
      </w:r>
    </w:p>
    <w:p>
      <w:pPr>
        <w:sectPr>
          <w:pgSz w:w="11880" w:h="15480" w:orient="portrait"/>
          <w:cols w:equalWidth="0" w:num="1">
            <w:col w:w="9740"/>
          </w:cols>
          <w:pgMar w:left="1060" w:top="963" w:right="1080" w:bottom="0" w:gutter="0" w:footer="0" w:header="0"/>
          <w:type w:val="continuous"/>
        </w:sectPr>
      </w:pPr>
    </w:p>
    <w:bookmarkStart w:id="102" w:name="page103"/>
    <w:bookmarkEnd w:id="102"/>
    <w:p>
      <w:pPr>
        <w:spacing w:after="0"/>
        <w:rPr>
          <w:sz w:val="20"/>
          <w:szCs w:val="20"/>
          <w:color w:val="auto"/>
        </w:rPr>
      </w:pPr>
      <w:r>
        <w:rPr>
          <w:rFonts w:ascii="Times New Roman" w:cs="Times New Roman" w:eastAsia="Times New Roman" w:hAnsi="Times New Roman"/>
          <w:sz w:val="19"/>
          <w:szCs w:val="19"/>
          <w:b w:val="1"/>
          <w:bCs w:val="1"/>
          <w:color w:val="231F20"/>
        </w:rPr>
        <w:t>NOTE 14—EARNINGS PER SHARE AND UNIT</w:t>
      </w:r>
    </w:p>
    <w:p>
      <w:pPr>
        <w:spacing w:after="0" w:line="110"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8"/>
          <w:szCs w:val="18"/>
          <w:color w:val="231F20"/>
        </w:rPr>
        <w:t>We have calculated earnings per share (“EPS”) and earnings per unit ("EPU") under the two-class method. The two-class method is an earnings allocation methodology whereby EPS and EPU for each class of common stock and partnership units, respectively, and participating securities is calculated according to dividends or distributions declared and participation rights in undistributed earnings. For 2025, 2024, and 2023, we had 0.3 million weighted average unvested shares and units outstanding, which are considered participating securities. Therefore, we have allocated our earnings for basic and diluted EPS and EPU between common shares and units and unvested shares and units; the portion of earnings allocated to the unvested shares and units is reflected as “earnings allocated to unvested shares” or "earnings allocated to unvested units" in the reconciliation below.</w:t>
      </w:r>
    </w:p>
    <w:p>
      <w:pPr>
        <w:spacing w:after="0" w:line="126" w:lineRule="exact"/>
        <w:rPr>
          <w:sz w:val="20"/>
          <w:szCs w:val="20"/>
          <w:color w:val="auto"/>
        </w:rPr>
      </w:pPr>
    </w:p>
    <w:p>
      <w:pPr>
        <w:ind w:right="380"/>
        <w:spacing w:after="0" w:line="281" w:lineRule="auto"/>
        <w:rPr>
          <w:sz w:val="20"/>
          <w:szCs w:val="20"/>
          <w:color w:val="auto"/>
        </w:rPr>
      </w:pPr>
      <w:r>
        <w:rPr>
          <w:rFonts w:ascii="Times New Roman" w:cs="Times New Roman" w:eastAsia="Times New Roman" w:hAnsi="Times New Roman"/>
          <w:sz w:val="19"/>
          <w:szCs w:val="19"/>
          <w:color w:val="231F20"/>
        </w:rPr>
        <w:t>The following potentially issuable shares were excluded from the diluted EPS and EPU calculations because their impact is anti-dilutive:</w:t>
      </w:r>
    </w:p>
    <w:p>
      <w:pPr>
        <w:spacing w:after="0" w:line="2" w:lineRule="exact"/>
        <w:rPr>
          <w:sz w:val="20"/>
          <w:szCs w:val="20"/>
          <w:color w:val="auto"/>
        </w:rPr>
      </w:pPr>
    </w:p>
    <w:p>
      <w:pPr>
        <w:ind w:left="680" w:hanging="335"/>
        <w:spacing w:after="0"/>
        <w:tabs>
          <w:tab w:leader="none" w:pos="680" w:val="left"/>
        </w:tabs>
        <w:numPr>
          <w:ilvl w:val="0"/>
          <w:numId w:val="73"/>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exercise of 1,190 stock options in both 2025 and 2024 and 1,829 stock options in 2023,</w:t>
      </w:r>
    </w:p>
    <w:p>
      <w:pPr>
        <w:spacing w:after="0" w:line="66" w:lineRule="exact"/>
        <w:rPr>
          <w:rFonts w:ascii="Times New Roman" w:cs="Times New Roman" w:eastAsia="Times New Roman" w:hAnsi="Times New Roman"/>
          <w:sz w:val="19"/>
          <w:szCs w:val="19"/>
          <w:color w:val="231F20"/>
        </w:rPr>
      </w:pPr>
    </w:p>
    <w:p>
      <w:pPr>
        <w:ind w:left="680" w:hanging="335"/>
        <w:spacing w:after="0"/>
        <w:tabs>
          <w:tab w:leader="none" w:pos="680" w:val="left"/>
        </w:tabs>
        <w:numPr>
          <w:ilvl w:val="0"/>
          <w:numId w:val="73"/>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shares issuable upon the assumed redemption of outstanding downREIT operating partnership units for 2024, and 2023</w:t>
      </w:r>
    </w:p>
    <w:p>
      <w:pPr>
        <w:spacing w:after="0" w:line="66" w:lineRule="exact"/>
        <w:rPr>
          <w:rFonts w:ascii="Times New Roman" w:cs="Times New Roman" w:eastAsia="Times New Roman" w:hAnsi="Times New Roman"/>
          <w:sz w:val="19"/>
          <w:szCs w:val="19"/>
          <w:color w:val="231F20"/>
        </w:rPr>
      </w:pPr>
    </w:p>
    <w:p>
      <w:pPr>
        <w:ind w:left="680" w:hanging="335"/>
        <w:spacing w:after="0"/>
        <w:tabs>
          <w:tab w:leader="none" w:pos="680" w:val="left"/>
        </w:tabs>
        <w:numPr>
          <w:ilvl w:val="0"/>
          <w:numId w:val="73"/>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5.417% Series 1 Cumulative Convertible Preferred Shares and units for 2025, 2024, and 2023, and</w:t>
      </w:r>
    </w:p>
    <w:p>
      <w:pPr>
        <w:spacing w:after="0" w:line="66" w:lineRule="exact"/>
        <w:rPr>
          <w:rFonts w:ascii="Times New Roman" w:cs="Times New Roman" w:eastAsia="Times New Roman" w:hAnsi="Times New Roman"/>
          <w:sz w:val="19"/>
          <w:szCs w:val="19"/>
          <w:color w:val="231F20"/>
        </w:rPr>
      </w:pPr>
    </w:p>
    <w:p>
      <w:pPr>
        <w:ind w:left="680" w:hanging="335"/>
        <w:spacing w:after="0"/>
        <w:tabs>
          <w:tab w:leader="none" w:pos="680" w:val="left"/>
        </w:tabs>
        <w:numPr>
          <w:ilvl w:val="0"/>
          <w:numId w:val="73"/>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the issuance of 1.2 million shares and units issuable under common share forward sales agreements in 2024.</w:t>
      </w:r>
    </w:p>
    <w:p>
      <w:pPr>
        <w:spacing w:after="0" w:line="67" w:lineRule="exact"/>
        <w:rPr>
          <w:sz w:val="20"/>
          <w:szCs w:val="20"/>
          <w:color w:val="auto"/>
        </w:rPr>
      </w:pPr>
    </w:p>
    <w:p>
      <w:pPr>
        <w:ind w:right="180"/>
        <w:spacing w:after="0" w:line="284" w:lineRule="auto"/>
        <w:rPr>
          <w:sz w:val="20"/>
          <w:szCs w:val="20"/>
          <w:color w:val="auto"/>
        </w:rPr>
      </w:pPr>
      <w:r>
        <w:rPr>
          <w:rFonts w:ascii="Times New Roman" w:cs="Times New Roman" w:eastAsia="Times New Roman" w:hAnsi="Times New Roman"/>
          <w:sz w:val="19"/>
          <w:szCs w:val="19"/>
          <w:color w:val="231F20"/>
        </w:rPr>
        <w:t>Potentially issuable shares and units in exchange for the 3.25% Exchangeable Senior Notes due 2029 for both 2025 and 2024, did not have a dilutive effect on the diluted EPS and EPU calculations.</w:t>
      </w:r>
    </w:p>
    <w:p>
      <w:pPr>
        <w:spacing w:after="0" w:line="34" w:lineRule="exact"/>
        <w:rPr>
          <w:sz w:val="20"/>
          <w:szCs w:val="20"/>
          <w:color w:val="auto"/>
        </w:rPr>
      </w:pPr>
    </w:p>
    <w:p>
      <w:pPr>
        <w:ind w:right="40"/>
        <w:spacing w:after="0" w:line="284" w:lineRule="auto"/>
        <w:rPr>
          <w:sz w:val="20"/>
          <w:szCs w:val="20"/>
          <w:color w:val="auto"/>
        </w:rPr>
      </w:pPr>
      <w:r>
        <w:rPr>
          <w:rFonts w:ascii="Times New Roman" w:cs="Times New Roman" w:eastAsia="Times New Roman" w:hAnsi="Times New Roman"/>
          <w:sz w:val="19"/>
          <w:szCs w:val="19"/>
          <w:color w:val="231F20"/>
        </w:rPr>
        <w:t>Additionally, 7,204 unvested restricted stock shares and units are included in the diluted EPS and EPU calculations for 2024, as certain market based performance criteria in the award was achieved as of December 31, 2024.</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231F20"/>
        </w:rPr>
        <w:t>Federal Realty Investment Trust Earnings per Share</w:t>
      </w:r>
    </w:p>
    <w:p>
      <w:pPr>
        <w:spacing w:after="0" w:line="97" w:lineRule="exact"/>
        <w:rPr>
          <w:sz w:val="20"/>
          <w:szCs w:val="20"/>
          <w:color w:val="auto"/>
        </w:rPr>
      </w:pPr>
    </w:p>
    <w:tbl>
      <w:tblPr>
        <w:tblLayout w:type="fixed"/>
        <w:tblInd w:w="60" w:type="dxa"/>
        <w:tblCellMar>
          <w:top w:w="0" w:type="dxa"/>
          <w:left w:w="0" w:type="dxa"/>
          <w:bottom w:w="0" w:type="dxa"/>
          <w:right w:w="0" w:type="dxa"/>
        </w:tblCellMar>
      </w:tblPr>
      <w:tr>
        <w:trPr>
          <w:trHeight w:val="206"/>
        </w:trPr>
        <w:tc>
          <w:tcPr>
            <w:tcW w:w="6680" w:type="dxa"/>
            <w:vAlign w:val="bottom"/>
          </w:tcPr>
          <w:p>
            <w:pPr>
              <w:spacing w:after="0"/>
              <w:rPr>
                <w:sz w:val="17"/>
                <w:szCs w:val="17"/>
                <w:color w:val="auto"/>
              </w:rPr>
            </w:pPr>
          </w:p>
        </w:tc>
        <w:tc>
          <w:tcPr>
            <w:tcW w:w="200" w:type="dxa"/>
            <w:vAlign w:val="bottom"/>
            <w:tcBorders>
              <w:bottom w:val="single" w:sz="8" w:color="231F20"/>
            </w:tcBorders>
          </w:tcPr>
          <w:p>
            <w:pPr>
              <w:spacing w:after="0"/>
              <w:rPr>
                <w:sz w:val="17"/>
                <w:szCs w:val="17"/>
                <w:color w:val="auto"/>
              </w:rPr>
            </w:pPr>
          </w:p>
        </w:tc>
        <w:tc>
          <w:tcPr>
            <w:tcW w:w="2800" w:type="dxa"/>
            <w:vAlign w:val="bottom"/>
            <w:tcBorders>
              <w:bottom w:val="single" w:sz="8" w:color="231F20"/>
            </w:tcBorders>
            <w:gridSpan w:val="7"/>
          </w:tcPr>
          <w:p>
            <w:pPr>
              <w:jc w:val="center"/>
              <w:ind w:right="106"/>
              <w:spacing w:after="0"/>
              <w:rPr>
                <w:sz w:val="20"/>
                <w:szCs w:val="20"/>
                <w:color w:val="auto"/>
              </w:rPr>
            </w:pPr>
            <w:r>
              <w:rPr>
                <w:rFonts w:ascii="Times New Roman" w:cs="Times New Roman" w:eastAsia="Times New Roman" w:hAnsi="Times New Roman"/>
                <w:sz w:val="15"/>
                <w:szCs w:val="15"/>
                <w:b w:val="1"/>
                <w:bCs w:val="1"/>
                <w:color w:val="231F20"/>
              </w:rPr>
              <w:t>Year Ended December 31,</w:t>
            </w:r>
          </w:p>
        </w:tc>
        <w:tc>
          <w:tcPr>
            <w:tcW w:w="0" w:type="dxa"/>
            <w:vAlign w:val="bottom"/>
          </w:tcPr>
          <w:p>
            <w:pPr>
              <w:spacing w:after="0"/>
              <w:rPr>
                <w:sz w:val="1"/>
                <w:szCs w:val="1"/>
                <w:color w:val="auto"/>
              </w:rPr>
            </w:pPr>
          </w:p>
        </w:tc>
      </w:tr>
      <w:tr>
        <w:trPr>
          <w:trHeight w:val="222"/>
        </w:trPr>
        <w:tc>
          <w:tcPr>
            <w:tcW w:w="6680" w:type="dxa"/>
            <w:vAlign w:val="bottom"/>
          </w:tcPr>
          <w:p>
            <w:pPr>
              <w:spacing w:after="0"/>
              <w:rPr>
                <w:sz w:val="19"/>
                <w:szCs w:val="19"/>
                <w:color w:val="auto"/>
              </w:rPr>
            </w:pPr>
          </w:p>
        </w:tc>
        <w:tc>
          <w:tcPr>
            <w:tcW w:w="200" w:type="dxa"/>
            <w:vAlign w:val="bottom"/>
            <w:tcBorders>
              <w:bottom w:val="single" w:sz="8" w:color="231F20"/>
            </w:tcBorders>
          </w:tcPr>
          <w:p>
            <w:pPr>
              <w:spacing w:after="0"/>
              <w:rPr>
                <w:sz w:val="19"/>
                <w:szCs w:val="19"/>
                <w:color w:val="auto"/>
              </w:rPr>
            </w:pPr>
          </w:p>
        </w:tc>
        <w:tc>
          <w:tcPr>
            <w:tcW w:w="740" w:type="dxa"/>
            <w:vAlign w:val="bottom"/>
            <w:tcBorders>
              <w:bottom w:val="single" w:sz="8" w:color="231F20"/>
            </w:tcBorders>
          </w:tcPr>
          <w:p>
            <w:pPr>
              <w:jc w:val="right"/>
              <w:ind w:right="229"/>
              <w:spacing w:after="0"/>
              <w:rPr>
                <w:sz w:val="20"/>
                <w:szCs w:val="20"/>
                <w:color w:val="auto"/>
              </w:rPr>
            </w:pPr>
            <w:r>
              <w:rPr>
                <w:rFonts w:ascii="Times New Roman" w:cs="Times New Roman" w:eastAsia="Times New Roman" w:hAnsi="Times New Roman"/>
                <w:sz w:val="15"/>
                <w:szCs w:val="15"/>
                <w:b w:val="1"/>
                <w:bCs w:val="1"/>
                <w:color w:val="231F20"/>
              </w:rPr>
              <w:t>2025</w:t>
            </w:r>
          </w:p>
        </w:tc>
        <w:tc>
          <w:tcPr>
            <w:tcW w:w="80" w:type="dxa"/>
            <w:vAlign w:val="bottom"/>
          </w:tcPr>
          <w:p>
            <w:pPr>
              <w:spacing w:after="0"/>
              <w:rPr>
                <w:sz w:val="19"/>
                <w:szCs w:val="19"/>
                <w:color w:val="auto"/>
              </w:rPr>
            </w:pPr>
          </w:p>
        </w:tc>
        <w:tc>
          <w:tcPr>
            <w:tcW w:w="200" w:type="dxa"/>
            <w:vAlign w:val="bottom"/>
            <w:tcBorders>
              <w:bottom w:val="single" w:sz="8" w:color="231F20"/>
            </w:tcBorders>
          </w:tcPr>
          <w:p>
            <w:pPr>
              <w:spacing w:after="0"/>
              <w:rPr>
                <w:sz w:val="19"/>
                <w:szCs w:val="19"/>
                <w:color w:val="auto"/>
              </w:rPr>
            </w:pPr>
          </w:p>
        </w:tc>
        <w:tc>
          <w:tcPr>
            <w:tcW w:w="760" w:type="dxa"/>
            <w:vAlign w:val="bottom"/>
            <w:tcBorders>
              <w:bottom w:val="single" w:sz="8" w:color="231F20"/>
            </w:tcBorders>
          </w:tcPr>
          <w:p>
            <w:pPr>
              <w:jc w:val="center"/>
              <w:ind w:right="106"/>
              <w:spacing w:after="0"/>
              <w:rPr>
                <w:sz w:val="20"/>
                <w:szCs w:val="20"/>
                <w:color w:val="auto"/>
              </w:rPr>
            </w:pPr>
            <w:r>
              <w:rPr>
                <w:rFonts w:ascii="Times New Roman" w:cs="Times New Roman" w:eastAsia="Times New Roman" w:hAnsi="Times New Roman"/>
                <w:sz w:val="15"/>
                <w:szCs w:val="15"/>
                <w:b w:val="1"/>
                <w:bCs w:val="1"/>
                <w:color w:val="231F20"/>
              </w:rPr>
              <w:t>2024</w:t>
            </w:r>
          </w:p>
        </w:tc>
        <w:tc>
          <w:tcPr>
            <w:tcW w:w="60" w:type="dxa"/>
            <w:vAlign w:val="bottom"/>
          </w:tcPr>
          <w:p>
            <w:pPr>
              <w:spacing w:after="0"/>
              <w:rPr>
                <w:sz w:val="19"/>
                <w:szCs w:val="19"/>
                <w:color w:val="auto"/>
              </w:rPr>
            </w:pPr>
          </w:p>
        </w:tc>
        <w:tc>
          <w:tcPr>
            <w:tcW w:w="200" w:type="dxa"/>
            <w:vAlign w:val="bottom"/>
            <w:tcBorders>
              <w:bottom w:val="single" w:sz="8" w:color="231F20"/>
            </w:tcBorders>
          </w:tcPr>
          <w:p>
            <w:pPr>
              <w:spacing w:after="0"/>
              <w:rPr>
                <w:sz w:val="19"/>
                <w:szCs w:val="19"/>
                <w:color w:val="auto"/>
              </w:rPr>
            </w:pPr>
          </w:p>
        </w:tc>
        <w:tc>
          <w:tcPr>
            <w:tcW w:w="760" w:type="dxa"/>
            <w:vAlign w:val="bottom"/>
            <w:tcBorders>
              <w:bottom w:val="single" w:sz="8" w:color="231F20"/>
            </w:tcBorders>
          </w:tcPr>
          <w:p>
            <w:pPr>
              <w:jc w:val="right"/>
              <w:ind w:right="226"/>
              <w:spacing w:after="0"/>
              <w:rPr>
                <w:sz w:val="20"/>
                <w:szCs w:val="20"/>
                <w:color w:val="auto"/>
              </w:rPr>
            </w:pPr>
            <w:r>
              <w:rPr>
                <w:rFonts w:ascii="Times New Roman" w:cs="Times New Roman" w:eastAsia="Times New Roman" w:hAnsi="Times New Roman"/>
                <w:sz w:val="15"/>
                <w:szCs w:val="15"/>
                <w:b w:val="1"/>
                <w:bCs w:val="1"/>
                <w:color w:val="231F20"/>
              </w:rPr>
              <w:t>2023</w:t>
            </w:r>
          </w:p>
        </w:tc>
        <w:tc>
          <w:tcPr>
            <w:tcW w:w="0" w:type="dxa"/>
            <w:vAlign w:val="bottom"/>
          </w:tcPr>
          <w:p>
            <w:pPr>
              <w:spacing w:after="0"/>
              <w:rPr>
                <w:sz w:val="1"/>
                <w:szCs w:val="1"/>
                <w:color w:val="auto"/>
              </w:rPr>
            </w:pPr>
          </w:p>
        </w:tc>
      </w:tr>
      <w:tr>
        <w:trPr>
          <w:trHeight w:val="218"/>
        </w:trPr>
        <w:tc>
          <w:tcPr>
            <w:tcW w:w="6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0" w:type="dxa"/>
            <w:vAlign w:val="bottom"/>
            <w:gridSpan w:val="7"/>
          </w:tcPr>
          <w:p>
            <w:pPr>
              <w:jc w:val="center"/>
              <w:ind w:right="106"/>
              <w:spacing w:after="0"/>
              <w:rPr>
                <w:sz w:val="20"/>
                <w:szCs w:val="20"/>
                <w:color w:val="auto"/>
              </w:rPr>
            </w:pPr>
            <w:r>
              <w:rPr>
                <w:rFonts w:ascii="Times New Roman" w:cs="Times New Roman" w:eastAsia="Times New Roman" w:hAnsi="Times New Roman"/>
                <w:sz w:val="15"/>
                <w:szCs w:val="15"/>
                <w:b w:val="1"/>
                <w:bCs w:val="1"/>
                <w:color w:val="231F20"/>
              </w:rPr>
              <w:t>(In thousands, except per share data)</w:t>
            </w:r>
          </w:p>
        </w:tc>
        <w:tc>
          <w:tcPr>
            <w:tcW w:w="0" w:type="dxa"/>
            <w:vAlign w:val="bottom"/>
          </w:tcPr>
          <w:p>
            <w:pPr>
              <w:spacing w:after="0"/>
              <w:rPr>
                <w:sz w:val="1"/>
                <w:szCs w:val="1"/>
                <w:color w:val="auto"/>
              </w:rPr>
            </w:pPr>
          </w:p>
        </w:tc>
      </w:tr>
      <w:tr>
        <w:trPr>
          <w:trHeight w:val="255"/>
        </w:trPr>
        <w:tc>
          <w:tcPr>
            <w:tcW w:w="6680" w:type="dxa"/>
            <w:vAlign w:val="bottom"/>
          </w:tcPr>
          <w:p>
            <w:pPr>
              <w:spacing w:after="0"/>
              <w:rPr>
                <w:sz w:val="20"/>
                <w:szCs w:val="20"/>
                <w:color w:val="auto"/>
              </w:rPr>
            </w:pPr>
            <w:r>
              <w:rPr>
                <w:rFonts w:ascii="Times New Roman" w:cs="Times New Roman" w:eastAsia="Times New Roman" w:hAnsi="Times New Roman"/>
                <w:sz w:val="19"/>
                <w:szCs w:val="19"/>
                <w:color w:val="231F20"/>
              </w:rPr>
              <w:t>NUMERATOR</w:t>
            </w: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19"/>
        </w:trPr>
        <w:tc>
          <w:tcPr>
            <w:tcW w:w="6680" w:type="dxa"/>
            <w:vAlign w:val="bottom"/>
          </w:tcPr>
          <w:p>
            <w:pPr>
              <w:spacing w:after="0"/>
              <w:rPr>
                <w:sz w:val="20"/>
                <w:szCs w:val="20"/>
                <w:color w:val="auto"/>
              </w:rPr>
            </w:pPr>
            <w:r>
              <w:rPr>
                <w:rFonts w:ascii="Times New Roman" w:cs="Times New Roman" w:eastAsia="Times New Roman" w:hAnsi="Times New Roman"/>
                <w:sz w:val="19"/>
                <w:szCs w:val="19"/>
                <w:color w:val="231F20"/>
              </w:rPr>
              <w:t>Net income</w:t>
            </w:r>
          </w:p>
        </w:tc>
        <w:tc>
          <w:tcPr>
            <w:tcW w:w="2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423,648</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9"/>
                <w:szCs w:val="19"/>
                <w:color w:val="231F2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304,334</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9"/>
                <w:szCs w:val="19"/>
                <w:color w:val="231F2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247,217</w:t>
            </w:r>
          </w:p>
        </w:tc>
        <w:tc>
          <w:tcPr>
            <w:tcW w:w="0" w:type="dxa"/>
            <w:vAlign w:val="bottom"/>
          </w:tcPr>
          <w:p>
            <w:pPr>
              <w:spacing w:after="0"/>
              <w:rPr>
                <w:sz w:val="1"/>
                <w:szCs w:val="1"/>
                <w:color w:val="auto"/>
              </w:rPr>
            </w:pPr>
          </w:p>
        </w:tc>
      </w:tr>
      <w:tr>
        <w:trPr>
          <w:trHeight w:val="285"/>
        </w:trPr>
        <w:tc>
          <w:tcPr>
            <w:tcW w:w="6680" w:type="dxa"/>
            <w:vAlign w:val="bottom"/>
          </w:tcPr>
          <w:p>
            <w:pPr>
              <w:spacing w:after="0"/>
              <w:rPr>
                <w:sz w:val="20"/>
                <w:szCs w:val="20"/>
                <w:color w:val="auto"/>
              </w:rPr>
            </w:pPr>
            <w:r>
              <w:rPr>
                <w:rFonts w:ascii="Times New Roman" w:cs="Times New Roman" w:eastAsia="Times New Roman" w:hAnsi="Times New Roman"/>
                <w:sz w:val="19"/>
                <w:szCs w:val="19"/>
                <w:color w:val="231F20"/>
              </w:rPr>
              <w:t>Less: Preferred share dividends</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(8,032)</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(8,032)</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(8,032)</w:t>
            </w:r>
          </w:p>
        </w:tc>
        <w:tc>
          <w:tcPr>
            <w:tcW w:w="0" w:type="dxa"/>
            <w:vAlign w:val="bottom"/>
          </w:tcPr>
          <w:p>
            <w:pPr>
              <w:spacing w:after="0"/>
              <w:rPr>
                <w:sz w:val="1"/>
                <w:szCs w:val="1"/>
                <w:color w:val="auto"/>
              </w:rPr>
            </w:pPr>
          </w:p>
        </w:tc>
      </w:tr>
      <w:tr>
        <w:trPr>
          <w:trHeight w:val="285"/>
        </w:trPr>
        <w:tc>
          <w:tcPr>
            <w:tcW w:w="6680" w:type="dxa"/>
            <w:vAlign w:val="bottom"/>
          </w:tcPr>
          <w:p>
            <w:pPr>
              <w:spacing w:after="0"/>
              <w:rPr>
                <w:sz w:val="20"/>
                <w:szCs w:val="20"/>
                <w:color w:val="auto"/>
              </w:rPr>
            </w:pPr>
            <w:r>
              <w:rPr>
                <w:rFonts w:ascii="Times New Roman" w:cs="Times New Roman" w:eastAsia="Times New Roman" w:hAnsi="Times New Roman"/>
                <w:sz w:val="19"/>
                <w:szCs w:val="19"/>
                <w:color w:val="231F20"/>
              </w:rPr>
              <w:t>Less: Income from operations attributable to noncontrolling interests</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(12,571)</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(9,126)</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(10,232)</w:t>
            </w:r>
          </w:p>
        </w:tc>
        <w:tc>
          <w:tcPr>
            <w:tcW w:w="0" w:type="dxa"/>
            <w:vAlign w:val="bottom"/>
          </w:tcPr>
          <w:p>
            <w:pPr>
              <w:spacing w:after="0"/>
              <w:rPr>
                <w:sz w:val="1"/>
                <w:szCs w:val="1"/>
                <w:color w:val="auto"/>
              </w:rPr>
            </w:pPr>
          </w:p>
        </w:tc>
      </w:tr>
      <w:tr>
        <w:trPr>
          <w:trHeight w:val="286"/>
        </w:trPr>
        <w:tc>
          <w:tcPr>
            <w:tcW w:w="6680" w:type="dxa"/>
            <w:vAlign w:val="bottom"/>
          </w:tcPr>
          <w:p>
            <w:pPr>
              <w:spacing w:after="0"/>
              <w:rPr>
                <w:sz w:val="20"/>
                <w:szCs w:val="20"/>
                <w:color w:val="auto"/>
              </w:rPr>
            </w:pPr>
            <w:r>
              <w:rPr>
                <w:rFonts w:ascii="Times New Roman" w:cs="Times New Roman" w:eastAsia="Times New Roman" w:hAnsi="Times New Roman"/>
                <w:sz w:val="19"/>
                <w:szCs w:val="19"/>
                <w:color w:val="231F20"/>
              </w:rPr>
              <w:t>Less: Earnings allocated to unvested shares</w:t>
            </w:r>
          </w:p>
        </w:tc>
        <w:tc>
          <w:tcPr>
            <w:tcW w:w="200" w:type="dxa"/>
            <w:vAlign w:val="bottom"/>
            <w:tcBorders>
              <w:bottom w:val="single" w:sz="8" w:color="231F20"/>
            </w:tcBorders>
          </w:tcPr>
          <w:p>
            <w:pPr>
              <w:spacing w:after="0"/>
              <w:rPr>
                <w:sz w:val="24"/>
                <w:szCs w:val="24"/>
                <w:color w:val="auto"/>
              </w:rPr>
            </w:pPr>
          </w:p>
        </w:tc>
        <w:tc>
          <w:tcPr>
            <w:tcW w:w="7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(1,342)</w:t>
            </w:r>
          </w:p>
        </w:tc>
        <w:tc>
          <w:tcPr>
            <w:tcW w:w="80" w:type="dxa"/>
            <w:vAlign w:val="bottom"/>
          </w:tcPr>
          <w:p>
            <w:pPr>
              <w:spacing w:after="0"/>
              <w:rPr>
                <w:sz w:val="24"/>
                <w:szCs w:val="24"/>
                <w:color w:val="auto"/>
              </w:rPr>
            </w:pPr>
          </w:p>
        </w:tc>
        <w:tc>
          <w:tcPr>
            <w:tcW w:w="200" w:type="dxa"/>
            <w:vAlign w:val="bottom"/>
            <w:tcBorders>
              <w:bottom w:val="single" w:sz="8" w:color="231F20"/>
            </w:tcBorders>
          </w:tcPr>
          <w:p>
            <w:pPr>
              <w:spacing w:after="0"/>
              <w:rPr>
                <w:sz w:val="24"/>
                <w:szCs w:val="24"/>
                <w:color w:val="auto"/>
              </w:rPr>
            </w:pPr>
          </w:p>
        </w:tc>
        <w:tc>
          <w:tcPr>
            <w:tcW w:w="7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(1,283)</w:t>
            </w:r>
          </w:p>
        </w:tc>
        <w:tc>
          <w:tcPr>
            <w:tcW w:w="60" w:type="dxa"/>
            <w:vAlign w:val="bottom"/>
          </w:tcPr>
          <w:p>
            <w:pPr>
              <w:spacing w:after="0"/>
              <w:rPr>
                <w:sz w:val="24"/>
                <w:szCs w:val="24"/>
                <w:color w:val="auto"/>
              </w:rPr>
            </w:pPr>
          </w:p>
        </w:tc>
        <w:tc>
          <w:tcPr>
            <w:tcW w:w="200" w:type="dxa"/>
            <w:vAlign w:val="bottom"/>
            <w:tcBorders>
              <w:bottom w:val="single" w:sz="8" w:color="231F20"/>
            </w:tcBorders>
          </w:tcPr>
          <w:p>
            <w:pPr>
              <w:spacing w:after="0"/>
              <w:rPr>
                <w:sz w:val="24"/>
                <w:szCs w:val="24"/>
                <w:color w:val="auto"/>
              </w:rPr>
            </w:pPr>
          </w:p>
        </w:tc>
        <w:tc>
          <w:tcPr>
            <w:tcW w:w="7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(1,286)</w:t>
            </w:r>
          </w:p>
        </w:tc>
        <w:tc>
          <w:tcPr>
            <w:tcW w:w="0" w:type="dxa"/>
            <w:vAlign w:val="bottom"/>
          </w:tcPr>
          <w:p>
            <w:pPr>
              <w:spacing w:after="0"/>
              <w:rPr>
                <w:sz w:val="1"/>
                <w:szCs w:val="1"/>
                <w:color w:val="auto"/>
              </w:rPr>
            </w:pPr>
          </w:p>
        </w:tc>
      </w:tr>
      <w:tr>
        <w:trPr>
          <w:trHeight w:val="264"/>
        </w:trPr>
        <w:tc>
          <w:tcPr>
            <w:tcW w:w="6680" w:type="dxa"/>
            <w:vAlign w:val="bottom"/>
          </w:tcPr>
          <w:p>
            <w:pPr>
              <w:spacing w:after="0"/>
              <w:rPr>
                <w:sz w:val="20"/>
                <w:szCs w:val="20"/>
                <w:color w:val="auto"/>
              </w:rPr>
            </w:pPr>
            <w:r>
              <w:rPr>
                <w:rFonts w:ascii="Times New Roman" w:cs="Times New Roman" w:eastAsia="Times New Roman" w:hAnsi="Times New Roman"/>
                <w:sz w:val="19"/>
                <w:szCs w:val="19"/>
                <w:color w:val="231F20"/>
              </w:rPr>
              <w:t>Net income available for common shareholders, basic</w:t>
            </w:r>
          </w:p>
        </w:tc>
        <w:tc>
          <w:tcPr>
            <w:tcW w:w="2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401,703</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285,893</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227,667</w:t>
            </w:r>
          </w:p>
        </w:tc>
        <w:tc>
          <w:tcPr>
            <w:tcW w:w="0" w:type="dxa"/>
            <w:vAlign w:val="bottom"/>
          </w:tcPr>
          <w:p>
            <w:pPr>
              <w:spacing w:after="0"/>
              <w:rPr>
                <w:sz w:val="1"/>
                <w:szCs w:val="1"/>
                <w:color w:val="auto"/>
              </w:rPr>
            </w:pPr>
          </w:p>
        </w:tc>
      </w:tr>
      <w:tr>
        <w:trPr>
          <w:trHeight w:val="286"/>
        </w:trPr>
        <w:tc>
          <w:tcPr>
            <w:tcW w:w="6680" w:type="dxa"/>
            <w:vAlign w:val="bottom"/>
          </w:tcPr>
          <w:p>
            <w:pPr>
              <w:spacing w:after="0"/>
              <w:rPr>
                <w:sz w:val="20"/>
                <w:szCs w:val="20"/>
                <w:color w:val="auto"/>
              </w:rPr>
            </w:pPr>
            <w:r>
              <w:rPr>
                <w:rFonts w:ascii="Times New Roman" w:cs="Times New Roman" w:eastAsia="Times New Roman" w:hAnsi="Times New Roman"/>
                <w:sz w:val="19"/>
                <w:szCs w:val="19"/>
                <w:color w:val="231F20"/>
              </w:rPr>
              <w:t>Add: Income attributable to downREIT operating partnership units</w:t>
            </w:r>
          </w:p>
        </w:tc>
        <w:tc>
          <w:tcPr>
            <w:tcW w:w="200" w:type="dxa"/>
            <w:vAlign w:val="bottom"/>
            <w:tcBorders>
              <w:bottom w:val="single" w:sz="8" w:color="231F20"/>
            </w:tcBorders>
          </w:tcPr>
          <w:p>
            <w:pPr>
              <w:spacing w:after="0"/>
              <w:rPr>
                <w:sz w:val="24"/>
                <w:szCs w:val="24"/>
                <w:color w:val="auto"/>
              </w:rPr>
            </w:pPr>
          </w:p>
        </w:tc>
        <w:tc>
          <w:tcPr>
            <w:tcW w:w="7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2,455</w:t>
            </w:r>
          </w:p>
        </w:tc>
        <w:tc>
          <w:tcPr>
            <w:tcW w:w="80" w:type="dxa"/>
            <w:vAlign w:val="bottom"/>
          </w:tcPr>
          <w:p>
            <w:pPr>
              <w:spacing w:after="0"/>
              <w:rPr>
                <w:sz w:val="24"/>
                <w:szCs w:val="24"/>
                <w:color w:val="auto"/>
              </w:rPr>
            </w:pPr>
          </w:p>
        </w:tc>
        <w:tc>
          <w:tcPr>
            <w:tcW w:w="200" w:type="dxa"/>
            <w:vAlign w:val="bottom"/>
            <w:tcBorders>
              <w:bottom w:val="single" w:sz="8" w:color="231F20"/>
            </w:tcBorders>
          </w:tcPr>
          <w:p>
            <w:pPr>
              <w:spacing w:after="0"/>
              <w:rPr>
                <w:sz w:val="24"/>
                <w:szCs w:val="24"/>
                <w:color w:val="auto"/>
              </w:rPr>
            </w:pPr>
          </w:p>
        </w:tc>
        <w:tc>
          <w:tcPr>
            <w:tcW w:w="7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60" w:type="dxa"/>
            <w:vAlign w:val="bottom"/>
          </w:tcPr>
          <w:p>
            <w:pPr>
              <w:spacing w:after="0"/>
              <w:rPr>
                <w:sz w:val="24"/>
                <w:szCs w:val="24"/>
                <w:color w:val="auto"/>
              </w:rPr>
            </w:pPr>
          </w:p>
        </w:tc>
        <w:tc>
          <w:tcPr>
            <w:tcW w:w="200" w:type="dxa"/>
            <w:vAlign w:val="bottom"/>
            <w:tcBorders>
              <w:bottom w:val="single" w:sz="8" w:color="231F20"/>
            </w:tcBorders>
          </w:tcPr>
          <w:p>
            <w:pPr>
              <w:spacing w:after="0"/>
              <w:rPr>
                <w:sz w:val="24"/>
                <w:szCs w:val="24"/>
                <w:color w:val="auto"/>
              </w:rPr>
            </w:pPr>
          </w:p>
        </w:tc>
        <w:tc>
          <w:tcPr>
            <w:tcW w:w="7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0" w:type="dxa"/>
            <w:vAlign w:val="bottom"/>
          </w:tcPr>
          <w:p>
            <w:pPr>
              <w:spacing w:after="0"/>
              <w:rPr>
                <w:sz w:val="1"/>
                <w:szCs w:val="1"/>
                <w:color w:val="auto"/>
              </w:rPr>
            </w:pPr>
          </w:p>
        </w:tc>
      </w:tr>
      <w:tr>
        <w:trPr>
          <w:trHeight w:val="247"/>
        </w:trPr>
        <w:tc>
          <w:tcPr>
            <w:tcW w:w="6680" w:type="dxa"/>
            <w:vAlign w:val="bottom"/>
          </w:tcPr>
          <w:p>
            <w:pPr>
              <w:spacing w:after="0"/>
              <w:rPr>
                <w:sz w:val="20"/>
                <w:szCs w:val="20"/>
                <w:color w:val="auto"/>
              </w:rPr>
            </w:pPr>
            <w:r>
              <w:rPr>
                <w:rFonts w:ascii="Times New Roman" w:cs="Times New Roman" w:eastAsia="Times New Roman" w:hAnsi="Times New Roman"/>
                <w:sz w:val="19"/>
                <w:szCs w:val="19"/>
                <w:color w:val="231F20"/>
              </w:rPr>
              <w:t>Net income available for common shareholders, diluted</w:t>
            </w:r>
          </w:p>
        </w:tc>
        <w:tc>
          <w:tcPr>
            <w:tcW w:w="2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404,158</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9"/>
                <w:szCs w:val="19"/>
                <w:color w:val="231F2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285,893</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9"/>
                <w:szCs w:val="19"/>
                <w:color w:val="231F2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227,667</w:t>
            </w:r>
          </w:p>
        </w:tc>
        <w:tc>
          <w:tcPr>
            <w:tcW w:w="0" w:type="dxa"/>
            <w:vAlign w:val="bottom"/>
          </w:tcPr>
          <w:p>
            <w:pPr>
              <w:spacing w:after="0"/>
              <w:rPr>
                <w:sz w:val="1"/>
                <w:szCs w:val="1"/>
                <w:color w:val="auto"/>
              </w:rPr>
            </w:pPr>
          </w:p>
        </w:tc>
      </w:tr>
      <w:tr>
        <w:trPr>
          <w:trHeight w:val="20"/>
        </w:trPr>
        <w:tc>
          <w:tcPr>
            <w:tcW w:w="6680" w:type="dxa"/>
            <w:vAlign w:val="bottom"/>
            <w:vMerge w:val="restart"/>
          </w:tcPr>
          <w:p>
            <w:pPr>
              <w:spacing w:after="0"/>
              <w:rPr>
                <w:sz w:val="20"/>
                <w:szCs w:val="20"/>
                <w:color w:val="auto"/>
              </w:rPr>
            </w:pPr>
            <w:r>
              <w:rPr>
                <w:rFonts w:ascii="Times New Roman" w:cs="Times New Roman" w:eastAsia="Times New Roman" w:hAnsi="Times New Roman"/>
                <w:sz w:val="19"/>
                <w:szCs w:val="19"/>
                <w:color w:val="231F20"/>
              </w:rPr>
              <w:t>DENOMINATOR</w:t>
            </w:r>
          </w:p>
        </w:tc>
        <w:tc>
          <w:tcPr>
            <w:tcW w:w="200" w:type="dxa"/>
            <w:vAlign w:val="bottom"/>
            <w:tcBorders>
              <w:top w:val="single" w:sz="8" w:color="231F20"/>
              <w:bottom w:val="single" w:sz="8" w:color="231F20"/>
            </w:tcBorders>
          </w:tcPr>
          <w:p>
            <w:pPr>
              <w:spacing w:after="0" w:line="20" w:lineRule="exact"/>
              <w:rPr>
                <w:sz w:val="1"/>
                <w:szCs w:val="1"/>
                <w:color w:val="auto"/>
              </w:rPr>
            </w:pPr>
          </w:p>
        </w:tc>
        <w:tc>
          <w:tcPr>
            <w:tcW w:w="74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231F20"/>
              <w:bottom w:val="single" w:sz="8" w:color="231F20"/>
            </w:tcBorders>
          </w:tcPr>
          <w:p>
            <w:pPr>
              <w:spacing w:after="0" w:line="20" w:lineRule="exact"/>
              <w:rPr>
                <w:sz w:val="1"/>
                <w:szCs w:val="1"/>
                <w:color w:val="auto"/>
              </w:rPr>
            </w:pPr>
          </w:p>
        </w:tc>
        <w:tc>
          <w:tcPr>
            <w:tcW w:w="76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231F20"/>
              <w:bottom w:val="single" w:sz="8" w:color="231F20"/>
            </w:tcBorders>
          </w:tcPr>
          <w:p>
            <w:pPr>
              <w:spacing w:after="0" w:line="20" w:lineRule="exact"/>
              <w:rPr>
                <w:sz w:val="1"/>
                <w:szCs w:val="1"/>
                <w:color w:val="auto"/>
              </w:rPr>
            </w:pPr>
          </w:p>
        </w:tc>
        <w:tc>
          <w:tcPr>
            <w:tcW w:w="760" w:type="dxa"/>
            <w:vAlign w:val="bottom"/>
            <w:tcBorders>
              <w:top w:val="single" w:sz="8" w:color="231F20"/>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6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9"/>
        </w:trPr>
        <w:tc>
          <w:tcPr>
            <w:tcW w:w="6680" w:type="dxa"/>
            <w:vAlign w:val="bottom"/>
          </w:tcPr>
          <w:p>
            <w:pPr>
              <w:spacing w:after="0"/>
              <w:rPr>
                <w:sz w:val="20"/>
                <w:szCs w:val="20"/>
                <w:color w:val="auto"/>
              </w:rPr>
            </w:pPr>
            <w:r>
              <w:rPr>
                <w:rFonts w:ascii="Times New Roman" w:cs="Times New Roman" w:eastAsia="Times New Roman" w:hAnsi="Times New Roman"/>
                <w:sz w:val="19"/>
                <w:szCs w:val="19"/>
                <w:color w:val="231F20"/>
              </w:rPr>
              <w:t>Weighted average common shares outstanding—basic</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85,852</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83,559</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81,313</w:t>
            </w:r>
          </w:p>
        </w:tc>
        <w:tc>
          <w:tcPr>
            <w:tcW w:w="0" w:type="dxa"/>
            <w:vAlign w:val="bottom"/>
          </w:tcPr>
          <w:p>
            <w:pPr>
              <w:spacing w:after="0"/>
              <w:rPr>
                <w:sz w:val="1"/>
                <w:szCs w:val="1"/>
                <w:color w:val="auto"/>
              </w:rPr>
            </w:pPr>
          </w:p>
        </w:tc>
      </w:tr>
      <w:tr>
        <w:trPr>
          <w:trHeight w:val="251"/>
        </w:trPr>
        <w:tc>
          <w:tcPr>
            <w:tcW w:w="6680" w:type="dxa"/>
            <w:vAlign w:val="bottom"/>
          </w:tcPr>
          <w:p>
            <w:pPr>
              <w:spacing w:after="0"/>
              <w:rPr>
                <w:sz w:val="20"/>
                <w:szCs w:val="20"/>
                <w:color w:val="auto"/>
              </w:rPr>
            </w:pPr>
            <w:r>
              <w:rPr>
                <w:rFonts w:ascii="Times New Roman" w:cs="Times New Roman" w:eastAsia="Times New Roman" w:hAnsi="Times New Roman"/>
                <w:sz w:val="19"/>
                <w:szCs w:val="19"/>
                <w:color w:val="231F20"/>
              </w:rPr>
              <w:t>Effect of dilutive securities:</w:t>
            </w: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9"/>
        </w:trPr>
        <w:tc>
          <w:tcPr>
            <w:tcW w:w="6680" w:type="dxa"/>
            <w:vAlign w:val="bottom"/>
          </w:tcPr>
          <w:p>
            <w:pPr>
              <w:ind w:left="340"/>
              <w:spacing w:after="0"/>
              <w:rPr>
                <w:sz w:val="20"/>
                <w:szCs w:val="20"/>
                <w:color w:val="auto"/>
              </w:rPr>
            </w:pPr>
            <w:r>
              <w:rPr>
                <w:rFonts w:ascii="Times New Roman" w:cs="Times New Roman" w:eastAsia="Times New Roman" w:hAnsi="Times New Roman"/>
                <w:sz w:val="19"/>
                <w:szCs w:val="19"/>
                <w:color w:val="231F20"/>
              </w:rPr>
              <w:t>Unvested performance shares</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7</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0" w:type="dxa"/>
            <w:vAlign w:val="bottom"/>
          </w:tcPr>
          <w:p>
            <w:pPr>
              <w:spacing w:after="0"/>
              <w:rPr>
                <w:sz w:val="1"/>
                <w:szCs w:val="1"/>
                <w:color w:val="auto"/>
              </w:rPr>
            </w:pPr>
          </w:p>
        </w:tc>
      </w:tr>
      <w:tr>
        <w:trPr>
          <w:trHeight w:val="286"/>
        </w:trPr>
        <w:tc>
          <w:tcPr>
            <w:tcW w:w="6680" w:type="dxa"/>
            <w:vAlign w:val="bottom"/>
          </w:tcPr>
          <w:p>
            <w:pPr>
              <w:ind w:left="340"/>
              <w:spacing w:after="0"/>
              <w:rPr>
                <w:sz w:val="20"/>
                <w:szCs w:val="20"/>
                <w:color w:val="auto"/>
              </w:rPr>
            </w:pPr>
            <w:r>
              <w:rPr>
                <w:rFonts w:ascii="Times New Roman" w:cs="Times New Roman" w:eastAsia="Times New Roman" w:hAnsi="Times New Roman"/>
                <w:sz w:val="19"/>
                <w:szCs w:val="19"/>
                <w:color w:val="231F20"/>
              </w:rPr>
              <w:t>DownREIT operating partnership units</w:t>
            </w:r>
          </w:p>
        </w:tc>
        <w:tc>
          <w:tcPr>
            <w:tcW w:w="200" w:type="dxa"/>
            <w:vAlign w:val="bottom"/>
            <w:tcBorders>
              <w:bottom w:val="single" w:sz="8" w:color="231F20"/>
            </w:tcBorders>
          </w:tcPr>
          <w:p>
            <w:pPr>
              <w:spacing w:after="0"/>
              <w:rPr>
                <w:sz w:val="24"/>
                <w:szCs w:val="24"/>
                <w:color w:val="auto"/>
              </w:rPr>
            </w:pPr>
          </w:p>
        </w:tc>
        <w:tc>
          <w:tcPr>
            <w:tcW w:w="7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553</w:t>
            </w:r>
          </w:p>
        </w:tc>
        <w:tc>
          <w:tcPr>
            <w:tcW w:w="80" w:type="dxa"/>
            <w:vAlign w:val="bottom"/>
          </w:tcPr>
          <w:p>
            <w:pPr>
              <w:spacing w:after="0"/>
              <w:rPr>
                <w:sz w:val="24"/>
                <w:szCs w:val="24"/>
                <w:color w:val="auto"/>
              </w:rPr>
            </w:pPr>
          </w:p>
        </w:tc>
        <w:tc>
          <w:tcPr>
            <w:tcW w:w="200" w:type="dxa"/>
            <w:vAlign w:val="bottom"/>
            <w:tcBorders>
              <w:bottom w:val="single" w:sz="8" w:color="231F20"/>
            </w:tcBorders>
          </w:tcPr>
          <w:p>
            <w:pPr>
              <w:spacing w:after="0"/>
              <w:rPr>
                <w:sz w:val="24"/>
                <w:szCs w:val="24"/>
                <w:color w:val="auto"/>
              </w:rPr>
            </w:pPr>
          </w:p>
        </w:tc>
        <w:tc>
          <w:tcPr>
            <w:tcW w:w="7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60" w:type="dxa"/>
            <w:vAlign w:val="bottom"/>
          </w:tcPr>
          <w:p>
            <w:pPr>
              <w:spacing w:after="0"/>
              <w:rPr>
                <w:sz w:val="24"/>
                <w:szCs w:val="24"/>
                <w:color w:val="auto"/>
              </w:rPr>
            </w:pPr>
          </w:p>
        </w:tc>
        <w:tc>
          <w:tcPr>
            <w:tcW w:w="200" w:type="dxa"/>
            <w:vAlign w:val="bottom"/>
            <w:tcBorders>
              <w:bottom w:val="single" w:sz="8" w:color="231F20"/>
            </w:tcBorders>
          </w:tcPr>
          <w:p>
            <w:pPr>
              <w:spacing w:after="0"/>
              <w:rPr>
                <w:sz w:val="24"/>
                <w:szCs w:val="24"/>
                <w:color w:val="auto"/>
              </w:rPr>
            </w:pPr>
          </w:p>
        </w:tc>
        <w:tc>
          <w:tcPr>
            <w:tcW w:w="7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0" w:type="dxa"/>
            <w:vAlign w:val="bottom"/>
          </w:tcPr>
          <w:p>
            <w:pPr>
              <w:spacing w:after="0"/>
              <w:rPr>
                <w:sz w:val="1"/>
                <w:szCs w:val="1"/>
                <w:color w:val="auto"/>
              </w:rPr>
            </w:pPr>
          </w:p>
        </w:tc>
      </w:tr>
      <w:tr>
        <w:trPr>
          <w:trHeight w:val="247"/>
        </w:trPr>
        <w:tc>
          <w:tcPr>
            <w:tcW w:w="6680" w:type="dxa"/>
            <w:vAlign w:val="bottom"/>
          </w:tcPr>
          <w:p>
            <w:pPr>
              <w:spacing w:after="0"/>
              <w:rPr>
                <w:sz w:val="20"/>
                <w:szCs w:val="20"/>
                <w:color w:val="auto"/>
              </w:rPr>
            </w:pPr>
            <w:r>
              <w:rPr>
                <w:rFonts w:ascii="Times New Roman" w:cs="Times New Roman" w:eastAsia="Times New Roman" w:hAnsi="Times New Roman"/>
                <w:sz w:val="19"/>
                <w:szCs w:val="19"/>
                <w:color w:val="231F20"/>
              </w:rPr>
              <w:t>Weighted average common shares outstanding—diluted</w:t>
            </w:r>
          </w:p>
        </w:tc>
        <w:tc>
          <w:tcPr>
            <w:tcW w:w="200" w:type="dxa"/>
            <w:vAlign w:val="bottom"/>
            <w:tcBorders>
              <w:bottom w:val="single" w:sz="8" w:color="231F20"/>
            </w:tcBorders>
          </w:tcPr>
          <w:p>
            <w:pPr>
              <w:spacing w:after="0"/>
              <w:rPr>
                <w:sz w:val="21"/>
                <w:szCs w:val="21"/>
                <w:color w:val="auto"/>
              </w:rPr>
            </w:pPr>
          </w:p>
        </w:tc>
        <w:tc>
          <w:tcPr>
            <w:tcW w:w="7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86,405</w:t>
            </w:r>
          </w:p>
        </w:tc>
        <w:tc>
          <w:tcPr>
            <w:tcW w:w="80" w:type="dxa"/>
            <w:vAlign w:val="bottom"/>
          </w:tcPr>
          <w:p>
            <w:pPr>
              <w:spacing w:after="0"/>
              <w:rPr>
                <w:sz w:val="21"/>
                <w:szCs w:val="21"/>
                <w:color w:val="auto"/>
              </w:rPr>
            </w:pPr>
          </w:p>
        </w:tc>
        <w:tc>
          <w:tcPr>
            <w:tcW w:w="200" w:type="dxa"/>
            <w:vAlign w:val="bottom"/>
            <w:tcBorders>
              <w:bottom w:val="single" w:sz="8" w:color="231F20"/>
            </w:tcBorders>
          </w:tcPr>
          <w:p>
            <w:pPr>
              <w:spacing w:after="0"/>
              <w:rPr>
                <w:sz w:val="21"/>
                <w:szCs w:val="21"/>
                <w:color w:val="auto"/>
              </w:rPr>
            </w:pPr>
          </w:p>
        </w:tc>
        <w:tc>
          <w:tcPr>
            <w:tcW w:w="7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83,566</w:t>
            </w:r>
          </w:p>
        </w:tc>
        <w:tc>
          <w:tcPr>
            <w:tcW w:w="60" w:type="dxa"/>
            <w:vAlign w:val="bottom"/>
          </w:tcPr>
          <w:p>
            <w:pPr>
              <w:spacing w:after="0"/>
              <w:rPr>
                <w:sz w:val="21"/>
                <w:szCs w:val="21"/>
                <w:color w:val="auto"/>
              </w:rPr>
            </w:pPr>
          </w:p>
        </w:tc>
        <w:tc>
          <w:tcPr>
            <w:tcW w:w="200" w:type="dxa"/>
            <w:vAlign w:val="bottom"/>
            <w:tcBorders>
              <w:bottom w:val="single" w:sz="8" w:color="231F20"/>
            </w:tcBorders>
          </w:tcPr>
          <w:p>
            <w:pPr>
              <w:spacing w:after="0"/>
              <w:rPr>
                <w:sz w:val="21"/>
                <w:szCs w:val="21"/>
                <w:color w:val="auto"/>
              </w:rPr>
            </w:pPr>
          </w:p>
        </w:tc>
        <w:tc>
          <w:tcPr>
            <w:tcW w:w="7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81,313</w:t>
            </w:r>
          </w:p>
        </w:tc>
        <w:tc>
          <w:tcPr>
            <w:tcW w:w="0" w:type="dxa"/>
            <w:vAlign w:val="bottom"/>
          </w:tcPr>
          <w:p>
            <w:pPr>
              <w:spacing w:after="0"/>
              <w:rPr>
                <w:sz w:val="1"/>
                <w:szCs w:val="1"/>
                <w:color w:val="auto"/>
              </w:rPr>
            </w:pPr>
          </w:p>
        </w:tc>
      </w:tr>
      <w:tr>
        <w:trPr>
          <w:trHeight w:val="20"/>
        </w:trPr>
        <w:tc>
          <w:tcPr>
            <w:tcW w:w="6680" w:type="dxa"/>
            <w:vAlign w:val="bottom"/>
            <w:vMerge w:val="restart"/>
          </w:tcPr>
          <w:p>
            <w:pPr>
              <w:spacing w:after="0"/>
              <w:rPr>
                <w:sz w:val="20"/>
                <w:szCs w:val="20"/>
                <w:color w:val="auto"/>
              </w:rPr>
            </w:pPr>
            <w:r>
              <w:rPr>
                <w:rFonts w:ascii="Times New Roman" w:cs="Times New Roman" w:eastAsia="Times New Roman" w:hAnsi="Times New Roman"/>
                <w:sz w:val="19"/>
                <w:szCs w:val="19"/>
                <w:color w:val="231F20"/>
              </w:rPr>
              <w:t>EARNINGS PER COMMON SHARE, BASIC AND DILUTED</w:t>
            </w:r>
          </w:p>
        </w:tc>
        <w:tc>
          <w:tcPr>
            <w:tcW w:w="200" w:type="dxa"/>
            <w:vAlign w:val="bottom"/>
            <w:tcBorders>
              <w:bottom w:val="single" w:sz="8" w:color="231F20"/>
            </w:tcBorders>
          </w:tcPr>
          <w:p>
            <w:pPr>
              <w:spacing w:after="0" w:line="20" w:lineRule="exact"/>
              <w:rPr>
                <w:sz w:val="1"/>
                <w:szCs w:val="1"/>
                <w:color w:val="auto"/>
              </w:rPr>
            </w:pPr>
          </w:p>
        </w:tc>
        <w:tc>
          <w:tcPr>
            <w:tcW w:w="74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231F20"/>
            </w:tcBorders>
          </w:tcPr>
          <w:p>
            <w:pPr>
              <w:spacing w:after="0" w:line="20" w:lineRule="exact"/>
              <w:rPr>
                <w:sz w:val="1"/>
                <w:szCs w:val="1"/>
                <w:color w:val="auto"/>
              </w:rPr>
            </w:pPr>
          </w:p>
        </w:tc>
        <w:tc>
          <w:tcPr>
            <w:tcW w:w="76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231F20"/>
            </w:tcBorders>
          </w:tcPr>
          <w:p>
            <w:pPr>
              <w:spacing w:after="0" w:line="20" w:lineRule="exact"/>
              <w:rPr>
                <w:sz w:val="1"/>
                <w:szCs w:val="1"/>
                <w:color w:val="auto"/>
              </w:rPr>
            </w:pPr>
          </w:p>
        </w:tc>
        <w:tc>
          <w:tcPr>
            <w:tcW w:w="76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66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6680" w:type="dxa"/>
            <w:vAlign w:val="bottom"/>
          </w:tcPr>
          <w:p>
            <w:pPr>
              <w:ind w:left="340"/>
              <w:spacing w:after="0"/>
              <w:rPr>
                <w:sz w:val="20"/>
                <w:szCs w:val="20"/>
                <w:color w:val="auto"/>
              </w:rPr>
            </w:pPr>
            <w:r>
              <w:rPr>
                <w:rFonts w:ascii="Times New Roman" w:cs="Times New Roman" w:eastAsia="Times New Roman" w:hAnsi="Times New Roman"/>
                <w:sz w:val="19"/>
                <w:szCs w:val="19"/>
                <w:color w:val="231F20"/>
              </w:rPr>
              <w:t>Net income available for common shareholders</w:t>
            </w:r>
          </w:p>
        </w:tc>
        <w:tc>
          <w:tcPr>
            <w:tcW w:w="2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4.68</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9"/>
                <w:szCs w:val="19"/>
                <w:color w:val="231F2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3.42</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9"/>
                <w:szCs w:val="19"/>
                <w:color w:val="231F2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2.80</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200" w:type="dxa"/>
            <w:vAlign w:val="bottom"/>
            <w:tcBorders>
              <w:top w:val="single" w:sz="8" w:color="231F20"/>
              <w:bottom w:val="single" w:sz="8" w:color="231F20"/>
            </w:tcBorders>
          </w:tcPr>
          <w:p>
            <w:pPr>
              <w:spacing w:after="0" w:line="20" w:lineRule="exact"/>
              <w:rPr>
                <w:sz w:val="1"/>
                <w:szCs w:val="1"/>
                <w:color w:val="auto"/>
              </w:rPr>
            </w:pPr>
          </w:p>
        </w:tc>
        <w:tc>
          <w:tcPr>
            <w:tcW w:w="74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231F20"/>
              <w:bottom w:val="single" w:sz="8" w:color="231F20"/>
            </w:tcBorders>
          </w:tcPr>
          <w:p>
            <w:pPr>
              <w:spacing w:after="0" w:line="20" w:lineRule="exact"/>
              <w:rPr>
                <w:sz w:val="1"/>
                <w:szCs w:val="1"/>
                <w:color w:val="auto"/>
              </w:rPr>
            </w:pPr>
          </w:p>
        </w:tc>
        <w:tc>
          <w:tcPr>
            <w:tcW w:w="76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231F20"/>
              <w:bottom w:val="single" w:sz="8" w:color="231F20"/>
            </w:tcBorders>
          </w:tcPr>
          <w:p>
            <w:pPr>
              <w:spacing w:after="0" w:line="20" w:lineRule="exact"/>
              <w:rPr>
                <w:sz w:val="1"/>
                <w:szCs w:val="1"/>
                <w:color w:val="auto"/>
              </w:rPr>
            </w:pPr>
          </w:p>
        </w:tc>
        <w:tc>
          <w:tcPr>
            <w:tcW w:w="760" w:type="dxa"/>
            <w:vAlign w:val="bottom"/>
            <w:tcBorders>
              <w:top w:val="single" w:sz="8" w:color="231F20"/>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9760"/>
          </w:cols>
          <w:pgMar w:left="1060" w:top="958"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F-39</w:t>
      </w:r>
    </w:p>
    <w:p>
      <w:pPr>
        <w:sectPr>
          <w:pgSz w:w="11880" w:h="15480" w:orient="portrait"/>
          <w:cols w:equalWidth="0" w:num="1">
            <w:col w:w="9760"/>
          </w:cols>
          <w:pgMar w:left="1060" w:top="958" w:right="1060" w:bottom="0" w:gutter="0" w:footer="0" w:header="0"/>
          <w:type w:val="continuous"/>
        </w:sectPr>
      </w:pPr>
    </w:p>
    <w:bookmarkStart w:id="103" w:name="page104"/>
    <w:bookmarkEnd w:id="103"/>
    <w:p>
      <w:pPr>
        <w:spacing w:after="0"/>
        <w:rPr>
          <w:sz w:val="20"/>
          <w:szCs w:val="20"/>
          <w:color w:val="auto"/>
        </w:rPr>
      </w:pPr>
      <w:r>
        <w:rPr>
          <w:rFonts w:ascii="Times New Roman" w:cs="Times New Roman" w:eastAsia="Times New Roman" w:hAnsi="Times New Roman"/>
          <w:sz w:val="19"/>
          <w:szCs w:val="19"/>
          <w:i w:val="1"/>
          <w:iCs w:val="1"/>
          <w:color w:val="231F20"/>
        </w:rPr>
        <w:t>Federal Realty OP LP Earnings per Unit</w:t>
      </w:r>
    </w:p>
    <w:p>
      <w:pPr>
        <w:spacing w:after="0" w:line="97" w:lineRule="exact"/>
        <w:rPr>
          <w:sz w:val="20"/>
          <w:szCs w:val="20"/>
          <w:color w:val="auto"/>
        </w:rPr>
      </w:pPr>
    </w:p>
    <w:tbl>
      <w:tblPr>
        <w:tblLayout w:type="fixed"/>
        <w:tblInd w:w="60" w:type="dxa"/>
        <w:tblCellMar>
          <w:top w:w="0" w:type="dxa"/>
          <w:left w:w="0" w:type="dxa"/>
          <w:bottom w:w="0" w:type="dxa"/>
          <w:right w:w="0" w:type="dxa"/>
        </w:tblCellMar>
      </w:tblPr>
      <w:tr>
        <w:trPr>
          <w:trHeight w:val="206"/>
        </w:trPr>
        <w:tc>
          <w:tcPr>
            <w:tcW w:w="6680" w:type="dxa"/>
            <w:vAlign w:val="bottom"/>
          </w:tcPr>
          <w:p>
            <w:pPr>
              <w:spacing w:after="0"/>
              <w:rPr>
                <w:sz w:val="17"/>
                <w:szCs w:val="17"/>
                <w:color w:val="auto"/>
              </w:rPr>
            </w:pPr>
          </w:p>
        </w:tc>
        <w:tc>
          <w:tcPr>
            <w:tcW w:w="200" w:type="dxa"/>
            <w:vAlign w:val="bottom"/>
            <w:tcBorders>
              <w:bottom w:val="single" w:sz="8" w:color="231F20"/>
            </w:tcBorders>
          </w:tcPr>
          <w:p>
            <w:pPr>
              <w:spacing w:after="0"/>
              <w:rPr>
                <w:sz w:val="17"/>
                <w:szCs w:val="17"/>
                <w:color w:val="auto"/>
              </w:rPr>
            </w:pPr>
          </w:p>
        </w:tc>
        <w:tc>
          <w:tcPr>
            <w:tcW w:w="2800" w:type="dxa"/>
            <w:vAlign w:val="bottom"/>
            <w:tcBorders>
              <w:bottom w:val="single" w:sz="8" w:color="231F20"/>
            </w:tcBorders>
            <w:gridSpan w:val="7"/>
          </w:tcPr>
          <w:p>
            <w:pPr>
              <w:jc w:val="center"/>
              <w:ind w:right="106"/>
              <w:spacing w:after="0"/>
              <w:rPr>
                <w:sz w:val="20"/>
                <w:szCs w:val="20"/>
                <w:color w:val="auto"/>
              </w:rPr>
            </w:pPr>
            <w:r>
              <w:rPr>
                <w:rFonts w:ascii="Times New Roman" w:cs="Times New Roman" w:eastAsia="Times New Roman" w:hAnsi="Times New Roman"/>
                <w:sz w:val="15"/>
                <w:szCs w:val="15"/>
                <w:b w:val="1"/>
                <w:bCs w:val="1"/>
                <w:color w:val="231F20"/>
              </w:rPr>
              <w:t>Year Ended December 31,</w:t>
            </w:r>
          </w:p>
        </w:tc>
        <w:tc>
          <w:tcPr>
            <w:tcW w:w="0" w:type="dxa"/>
            <w:vAlign w:val="bottom"/>
          </w:tcPr>
          <w:p>
            <w:pPr>
              <w:spacing w:after="0"/>
              <w:rPr>
                <w:sz w:val="1"/>
                <w:szCs w:val="1"/>
                <w:color w:val="auto"/>
              </w:rPr>
            </w:pPr>
          </w:p>
        </w:tc>
      </w:tr>
      <w:tr>
        <w:trPr>
          <w:trHeight w:val="222"/>
        </w:trPr>
        <w:tc>
          <w:tcPr>
            <w:tcW w:w="6680" w:type="dxa"/>
            <w:vAlign w:val="bottom"/>
          </w:tcPr>
          <w:p>
            <w:pPr>
              <w:spacing w:after="0"/>
              <w:rPr>
                <w:sz w:val="19"/>
                <w:szCs w:val="19"/>
                <w:color w:val="auto"/>
              </w:rPr>
            </w:pPr>
          </w:p>
        </w:tc>
        <w:tc>
          <w:tcPr>
            <w:tcW w:w="200" w:type="dxa"/>
            <w:vAlign w:val="bottom"/>
            <w:tcBorders>
              <w:bottom w:val="single" w:sz="8" w:color="231F20"/>
            </w:tcBorders>
          </w:tcPr>
          <w:p>
            <w:pPr>
              <w:spacing w:after="0"/>
              <w:rPr>
                <w:sz w:val="19"/>
                <w:szCs w:val="19"/>
                <w:color w:val="auto"/>
              </w:rPr>
            </w:pPr>
          </w:p>
        </w:tc>
        <w:tc>
          <w:tcPr>
            <w:tcW w:w="740" w:type="dxa"/>
            <w:vAlign w:val="bottom"/>
            <w:tcBorders>
              <w:bottom w:val="single" w:sz="8" w:color="231F20"/>
            </w:tcBorders>
          </w:tcPr>
          <w:p>
            <w:pPr>
              <w:jc w:val="right"/>
              <w:ind w:right="229"/>
              <w:spacing w:after="0"/>
              <w:rPr>
                <w:sz w:val="20"/>
                <w:szCs w:val="20"/>
                <w:color w:val="auto"/>
              </w:rPr>
            </w:pPr>
            <w:r>
              <w:rPr>
                <w:rFonts w:ascii="Times New Roman" w:cs="Times New Roman" w:eastAsia="Times New Roman" w:hAnsi="Times New Roman"/>
                <w:sz w:val="15"/>
                <w:szCs w:val="15"/>
                <w:b w:val="1"/>
                <w:bCs w:val="1"/>
                <w:color w:val="231F20"/>
              </w:rPr>
              <w:t>2025</w:t>
            </w:r>
          </w:p>
        </w:tc>
        <w:tc>
          <w:tcPr>
            <w:tcW w:w="80" w:type="dxa"/>
            <w:vAlign w:val="bottom"/>
          </w:tcPr>
          <w:p>
            <w:pPr>
              <w:spacing w:after="0"/>
              <w:rPr>
                <w:sz w:val="19"/>
                <w:szCs w:val="19"/>
                <w:color w:val="auto"/>
              </w:rPr>
            </w:pPr>
          </w:p>
        </w:tc>
        <w:tc>
          <w:tcPr>
            <w:tcW w:w="200" w:type="dxa"/>
            <w:vAlign w:val="bottom"/>
            <w:tcBorders>
              <w:bottom w:val="single" w:sz="8" w:color="231F20"/>
            </w:tcBorders>
          </w:tcPr>
          <w:p>
            <w:pPr>
              <w:spacing w:after="0"/>
              <w:rPr>
                <w:sz w:val="19"/>
                <w:szCs w:val="19"/>
                <w:color w:val="auto"/>
              </w:rPr>
            </w:pPr>
          </w:p>
        </w:tc>
        <w:tc>
          <w:tcPr>
            <w:tcW w:w="760" w:type="dxa"/>
            <w:vAlign w:val="bottom"/>
            <w:tcBorders>
              <w:bottom w:val="single" w:sz="8" w:color="231F20"/>
            </w:tcBorders>
          </w:tcPr>
          <w:p>
            <w:pPr>
              <w:jc w:val="center"/>
              <w:ind w:right="106"/>
              <w:spacing w:after="0"/>
              <w:rPr>
                <w:sz w:val="20"/>
                <w:szCs w:val="20"/>
                <w:color w:val="auto"/>
              </w:rPr>
            </w:pPr>
            <w:r>
              <w:rPr>
                <w:rFonts w:ascii="Times New Roman" w:cs="Times New Roman" w:eastAsia="Times New Roman" w:hAnsi="Times New Roman"/>
                <w:sz w:val="15"/>
                <w:szCs w:val="15"/>
                <w:b w:val="1"/>
                <w:bCs w:val="1"/>
                <w:color w:val="231F20"/>
              </w:rPr>
              <w:t>2024</w:t>
            </w:r>
          </w:p>
        </w:tc>
        <w:tc>
          <w:tcPr>
            <w:tcW w:w="60" w:type="dxa"/>
            <w:vAlign w:val="bottom"/>
          </w:tcPr>
          <w:p>
            <w:pPr>
              <w:spacing w:after="0"/>
              <w:rPr>
                <w:sz w:val="19"/>
                <w:szCs w:val="19"/>
                <w:color w:val="auto"/>
              </w:rPr>
            </w:pPr>
          </w:p>
        </w:tc>
        <w:tc>
          <w:tcPr>
            <w:tcW w:w="220" w:type="dxa"/>
            <w:vAlign w:val="bottom"/>
            <w:tcBorders>
              <w:bottom w:val="single" w:sz="8" w:color="231F20"/>
            </w:tcBorders>
          </w:tcPr>
          <w:p>
            <w:pPr>
              <w:spacing w:after="0"/>
              <w:rPr>
                <w:sz w:val="19"/>
                <w:szCs w:val="19"/>
                <w:color w:val="auto"/>
              </w:rPr>
            </w:pPr>
          </w:p>
        </w:tc>
        <w:tc>
          <w:tcPr>
            <w:tcW w:w="740" w:type="dxa"/>
            <w:vAlign w:val="bottom"/>
            <w:tcBorders>
              <w:bottom w:val="single" w:sz="8" w:color="231F20"/>
            </w:tcBorders>
          </w:tcPr>
          <w:p>
            <w:pPr>
              <w:jc w:val="right"/>
              <w:ind w:right="226"/>
              <w:spacing w:after="0"/>
              <w:rPr>
                <w:sz w:val="20"/>
                <w:szCs w:val="20"/>
                <w:color w:val="auto"/>
              </w:rPr>
            </w:pPr>
            <w:r>
              <w:rPr>
                <w:rFonts w:ascii="Times New Roman" w:cs="Times New Roman" w:eastAsia="Times New Roman" w:hAnsi="Times New Roman"/>
                <w:sz w:val="15"/>
                <w:szCs w:val="15"/>
                <w:b w:val="1"/>
                <w:bCs w:val="1"/>
                <w:color w:val="231F20"/>
              </w:rPr>
              <w:t>2023</w:t>
            </w:r>
          </w:p>
        </w:tc>
        <w:tc>
          <w:tcPr>
            <w:tcW w:w="0" w:type="dxa"/>
            <w:vAlign w:val="bottom"/>
          </w:tcPr>
          <w:p>
            <w:pPr>
              <w:spacing w:after="0"/>
              <w:rPr>
                <w:sz w:val="1"/>
                <w:szCs w:val="1"/>
                <w:color w:val="auto"/>
              </w:rPr>
            </w:pPr>
          </w:p>
        </w:tc>
      </w:tr>
      <w:tr>
        <w:trPr>
          <w:trHeight w:val="218"/>
        </w:trPr>
        <w:tc>
          <w:tcPr>
            <w:tcW w:w="6680" w:type="dxa"/>
            <w:vAlign w:val="bottom"/>
            <w:vMerge w:val="restart"/>
          </w:tcPr>
          <w:p>
            <w:pPr>
              <w:spacing w:after="0"/>
              <w:rPr>
                <w:sz w:val="20"/>
                <w:szCs w:val="20"/>
                <w:color w:val="auto"/>
              </w:rPr>
            </w:pPr>
            <w:r>
              <w:rPr>
                <w:rFonts w:ascii="Times New Roman" w:cs="Times New Roman" w:eastAsia="Times New Roman" w:hAnsi="Times New Roman"/>
                <w:sz w:val="19"/>
                <w:szCs w:val="19"/>
                <w:color w:val="231F20"/>
              </w:rPr>
              <w:t>NUMERATOR</w:t>
            </w:r>
          </w:p>
        </w:tc>
        <w:tc>
          <w:tcPr>
            <w:tcW w:w="200" w:type="dxa"/>
            <w:vAlign w:val="bottom"/>
          </w:tcPr>
          <w:p>
            <w:pPr>
              <w:spacing w:after="0"/>
              <w:rPr>
                <w:sz w:val="18"/>
                <w:szCs w:val="18"/>
                <w:color w:val="auto"/>
              </w:rPr>
            </w:pPr>
          </w:p>
        </w:tc>
        <w:tc>
          <w:tcPr>
            <w:tcW w:w="2800" w:type="dxa"/>
            <w:vAlign w:val="bottom"/>
            <w:gridSpan w:val="7"/>
          </w:tcPr>
          <w:p>
            <w:pPr>
              <w:jc w:val="center"/>
              <w:ind w:right="106"/>
              <w:spacing w:after="0"/>
              <w:rPr>
                <w:sz w:val="20"/>
                <w:szCs w:val="20"/>
                <w:color w:val="auto"/>
              </w:rPr>
            </w:pPr>
            <w:r>
              <w:rPr>
                <w:rFonts w:ascii="Times New Roman" w:cs="Times New Roman" w:eastAsia="Times New Roman" w:hAnsi="Times New Roman"/>
                <w:sz w:val="15"/>
                <w:szCs w:val="15"/>
                <w:b w:val="1"/>
                <w:bCs w:val="1"/>
                <w:color w:val="231F20"/>
              </w:rPr>
              <w:t>(In thousands, except per unit data)</w:t>
            </w:r>
          </w:p>
        </w:tc>
        <w:tc>
          <w:tcPr>
            <w:tcW w:w="0" w:type="dxa"/>
            <w:vAlign w:val="bottom"/>
          </w:tcPr>
          <w:p>
            <w:pPr>
              <w:spacing w:after="0"/>
              <w:rPr>
                <w:sz w:val="1"/>
                <w:szCs w:val="1"/>
                <w:color w:val="auto"/>
              </w:rPr>
            </w:pPr>
          </w:p>
        </w:tc>
      </w:tr>
      <w:tr>
        <w:trPr>
          <w:trHeight w:val="235"/>
        </w:trPr>
        <w:tc>
          <w:tcPr>
            <w:tcW w:w="668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1"/>
        </w:trPr>
        <w:tc>
          <w:tcPr>
            <w:tcW w:w="6680" w:type="dxa"/>
            <w:vAlign w:val="bottom"/>
          </w:tcPr>
          <w:p>
            <w:pPr>
              <w:spacing w:after="0"/>
              <w:rPr>
                <w:sz w:val="20"/>
                <w:szCs w:val="20"/>
                <w:color w:val="auto"/>
              </w:rPr>
            </w:pPr>
            <w:r>
              <w:rPr>
                <w:rFonts w:ascii="Times New Roman" w:cs="Times New Roman" w:eastAsia="Times New Roman" w:hAnsi="Times New Roman"/>
                <w:sz w:val="19"/>
                <w:szCs w:val="19"/>
                <w:color w:val="231F20"/>
              </w:rPr>
              <w:t>Net income</w:t>
            </w:r>
          </w:p>
        </w:tc>
        <w:tc>
          <w:tcPr>
            <w:tcW w:w="2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423,648</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9"/>
                <w:szCs w:val="19"/>
                <w:color w:val="231F2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304,334</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9"/>
                <w:szCs w:val="19"/>
                <w:color w:val="231F2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247,217</w:t>
            </w:r>
          </w:p>
        </w:tc>
        <w:tc>
          <w:tcPr>
            <w:tcW w:w="0" w:type="dxa"/>
            <w:vAlign w:val="bottom"/>
          </w:tcPr>
          <w:p>
            <w:pPr>
              <w:spacing w:after="0"/>
              <w:rPr>
                <w:sz w:val="1"/>
                <w:szCs w:val="1"/>
                <w:color w:val="auto"/>
              </w:rPr>
            </w:pPr>
          </w:p>
        </w:tc>
      </w:tr>
      <w:tr>
        <w:trPr>
          <w:trHeight w:val="285"/>
        </w:trPr>
        <w:tc>
          <w:tcPr>
            <w:tcW w:w="6680" w:type="dxa"/>
            <w:vAlign w:val="bottom"/>
          </w:tcPr>
          <w:p>
            <w:pPr>
              <w:spacing w:after="0"/>
              <w:rPr>
                <w:sz w:val="20"/>
                <w:szCs w:val="20"/>
                <w:color w:val="auto"/>
              </w:rPr>
            </w:pPr>
            <w:r>
              <w:rPr>
                <w:rFonts w:ascii="Times New Roman" w:cs="Times New Roman" w:eastAsia="Times New Roman" w:hAnsi="Times New Roman"/>
                <w:sz w:val="19"/>
                <w:szCs w:val="19"/>
                <w:color w:val="231F20"/>
              </w:rPr>
              <w:t>Less: Preferred unit distributions</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(8,032)</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(8,032)</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(8,032)</w:t>
            </w:r>
          </w:p>
        </w:tc>
        <w:tc>
          <w:tcPr>
            <w:tcW w:w="0" w:type="dxa"/>
            <w:vAlign w:val="bottom"/>
          </w:tcPr>
          <w:p>
            <w:pPr>
              <w:spacing w:after="0"/>
              <w:rPr>
                <w:sz w:val="1"/>
                <w:szCs w:val="1"/>
                <w:color w:val="auto"/>
              </w:rPr>
            </w:pPr>
          </w:p>
        </w:tc>
      </w:tr>
      <w:tr>
        <w:trPr>
          <w:trHeight w:val="285"/>
        </w:trPr>
        <w:tc>
          <w:tcPr>
            <w:tcW w:w="6680" w:type="dxa"/>
            <w:vAlign w:val="bottom"/>
          </w:tcPr>
          <w:p>
            <w:pPr>
              <w:spacing w:after="0"/>
              <w:rPr>
                <w:sz w:val="20"/>
                <w:szCs w:val="20"/>
                <w:color w:val="auto"/>
              </w:rPr>
            </w:pPr>
            <w:r>
              <w:rPr>
                <w:rFonts w:ascii="Times New Roman" w:cs="Times New Roman" w:eastAsia="Times New Roman" w:hAnsi="Times New Roman"/>
                <w:sz w:val="19"/>
                <w:szCs w:val="19"/>
                <w:color w:val="231F20"/>
              </w:rPr>
              <w:t>Less: Income from operations attributable to noncontrolling interests</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(12,571)</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(9,126)</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(10,232)</w:t>
            </w:r>
          </w:p>
        </w:tc>
        <w:tc>
          <w:tcPr>
            <w:tcW w:w="0" w:type="dxa"/>
            <w:vAlign w:val="bottom"/>
          </w:tcPr>
          <w:p>
            <w:pPr>
              <w:spacing w:after="0"/>
              <w:rPr>
                <w:sz w:val="1"/>
                <w:szCs w:val="1"/>
                <w:color w:val="auto"/>
              </w:rPr>
            </w:pPr>
          </w:p>
        </w:tc>
      </w:tr>
      <w:tr>
        <w:trPr>
          <w:trHeight w:val="305"/>
        </w:trPr>
        <w:tc>
          <w:tcPr>
            <w:tcW w:w="6680" w:type="dxa"/>
            <w:vAlign w:val="bottom"/>
          </w:tcPr>
          <w:p>
            <w:pPr>
              <w:spacing w:after="0"/>
              <w:rPr>
                <w:sz w:val="20"/>
                <w:szCs w:val="20"/>
                <w:color w:val="auto"/>
              </w:rPr>
            </w:pPr>
            <w:r>
              <w:rPr>
                <w:rFonts w:ascii="Times New Roman" w:cs="Times New Roman" w:eastAsia="Times New Roman" w:hAnsi="Times New Roman"/>
                <w:sz w:val="19"/>
                <w:szCs w:val="19"/>
                <w:color w:val="231F20"/>
              </w:rPr>
              <w:t>Less: Earnings allocated to unvested units</w:t>
            </w:r>
          </w:p>
        </w:tc>
        <w:tc>
          <w:tcPr>
            <w:tcW w:w="200" w:type="dxa"/>
            <w:vAlign w:val="bottom"/>
            <w:tcBorders>
              <w:bottom w:val="single" w:sz="8" w:color="231F20"/>
            </w:tcBorders>
          </w:tcPr>
          <w:p>
            <w:pPr>
              <w:spacing w:after="0"/>
              <w:rPr>
                <w:sz w:val="24"/>
                <w:szCs w:val="24"/>
                <w:color w:val="auto"/>
              </w:rPr>
            </w:pPr>
          </w:p>
        </w:tc>
        <w:tc>
          <w:tcPr>
            <w:tcW w:w="7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(1,342)</w:t>
            </w:r>
          </w:p>
        </w:tc>
        <w:tc>
          <w:tcPr>
            <w:tcW w:w="80" w:type="dxa"/>
            <w:vAlign w:val="bottom"/>
          </w:tcPr>
          <w:p>
            <w:pPr>
              <w:spacing w:after="0"/>
              <w:rPr>
                <w:sz w:val="24"/>
                <w:szCs w:val="24"/>
                <w:color w:val="auto"/>
              </w:rPr>
            </w:pPr>
          </w:p>
        </w:tc>
        <w:tc>
          <w:tcPr>
            <w:tcW w:w="200" w:type="dxa"/>
            <w:vAlign w:val="bottom"/>
            <w:tcBorders>
              <w:bottom w:val="single" w:sz="8" w:color="231F20"/>
            </w:tcBorders>
          </w:tcPr>
          <w:p>
            <w:pPr>
              <w:spacing w:after="0"/>
              <w:rPr>
                <w:sz w:val="24"/>
                <w:szCs w:val="24"/>
                <w:color w:val="auto"/>
              </w:rPr>
            </w:pPr>
          </w:p>
        </w:tc>
        <w:tc>
          <w:tcPr>
            <w:tcW w:w="7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(1,283)</w:t>
            </w:r>
          </w:p>
        </w:tc>
        <w:tc>
          <w:tcPr>
            <w:tcW w:w="60" w:type="dxa"/>
            <w:vAlign w:val="bottom"/>
          </w:tcPr>
          <w:p>
            <w:pPr>
              <w:spacing w:after="0"/>
              <w:rPr>
                <w:sz w:val="24"/>
                <w:szCs w:val="24"/>
                <w:color w:val="auto"/>
              </w:rPr>
            </w:pPr>
          </w:p>
        </w:tc>
        <w:tc>
          <w:tcPr>
            <w:tcW w:w="220" w:type="dxa"/>
            <w:vAlign w:val="bottom"/>
            <w:tcBorders>
              <w:bottom w:val="single" w:sz="8" w:color="231F20"/>
            </w:tcBorders>
          </w:tcPr>
          <w:p>
            <w:pPr>
              <w:spacing w:after="0"/>
              <w:rPr>
                <w:sz w:val="24"/>
                <w:szCs w:val="24"/>
                <w:color w:val="auto"/>
              </w:rPr>
            </w:pPr>
          </w:p>
        </w:tc>
        <w:tc>
          <w:tcPr>
            <w:tcW w:w="7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(1,286)</w:t>
            </w:r>
          </w:p>
        </w:tc>
        <w:tc>
          <w:tcPr>
            <w:tcW w:w="0" w:type="dxa"/>
            <w:vAlign w:val="bottom"/>
          </w:tcPr>
          <w:p>
            <w:pPr>
              <w:spacing w:after="0"/>
              <w:rPr>
                <w:sz w:val="1"/>
                <w:szCs w:val="1"/>
                <w:color w:val="auto"/>
              </w:rPr>
            </w:pPr>
          </w:p>
        </w:tc>
      </w:tr>
      <w:tr>
        <w:trPr>
          <w:trHeight w:val="246"/>
        </w:trPr>
        <w:tc>
          <w:tcPr>
            <w:tcW w:w="6680" w:type="dxa"/>
            <w:vAlign w:val="bottom"/>
          </w:tcPr>
          <w:p>
            <w:pPr>
              <w:spacing w:after="0"/>
              <w:rPr>
                <w:sz w:val="20"/>
                <w:szCs w:val="20"/>
                <w:color w:val="auto"/>
              </w:rPr>
            </w:pPr>
            <w:r>
              <w:rPr>
                <w:rFonts w:ascii="Times New Roman" w:cs="Times New Roman" w:eastAsia="Times New Roman" w:hAnsi="Times New Roman"/>
                <w:sz w:val="19"/>
                <w:szCs w:val="19"/>
                <w:color w:val="231F20"/>
              </w:rPr>
              <w:t>Net income available for common unit holders, basic</w:t>
            </w: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401,703</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285,893</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227,667</w:t>
            </w:r>
          </w:p>
        </w:tc>
        <w:tc>
          <w:tcPr>
            <w:tcW w:w="0" w:type="dxa"/>
            <w:vAlign w:val="bottom"/>
          </w:tcPr>
          <w:p>
            <w:pPr>
              <w:spacing w:after="0"/>
              <w:rPr>
                <w:sz w:val="1"/>
                <w:szCs w:val="1"/>
                <w:color w:val="auto"/>
              </w:rPr>
            </w:pPr>
          </w:p>
        </w:tc>
      </w:tr>
      <w:tr>
        <w:trPr>
          <w:trHeight w:val="305"/>
        </w:trPr>
        <w:tc>
          <w:tcPr>
            <w:tcW w:w="6680" w:type="dxa"/>
            <w:vAlign w:val="bottom"/>
          </w:tcPr>
          <w:p>
            <w:pPr>
              <w:spacing w:after="0"/>
              <w:rPr>
                <w:sz w:val="20"/>
                <w:szCs w:val="20"/>
                <w:color w:val="auto"/>
              </w:rPr>
            </w:pPr>
            <w:r>
              <w:rPr>
                <w:rFonts w:ascii="Times New Roman" w:cs="Times New Roman" w:eastAsia="Times New Roman" w:hAnsi="Times New Roman"/>
                <w:sz w:val="19"/>
                <w:szCs w:val="19"/>
                <w:color w:val="231F20"/>
              </w:rPr>
              <w:t>Add: Income attributable to downREIT operating partnership units</w:t>
            </w:r>
          </w:p>
        </w:tc>
        <w:tc>
          <w:tcPr>
            <w:tcW w:w="200" w:type="dxa"/>
            <w:vAlign w:val="bottom"/>
            <w:tcBorders>
              <w:bottom w:val="single" w:sz="8" w:color="231F20"/>
            </w:tcBorders>
          </w:tcPr>
          <w:p>
            <w:pPr>
              <w:spacing w:after="0"/>
              <w:rPr>
                <w:sz w:val="24"/>
                <w:szCs w:val="24"/>
                <w:color w:val="auto"/>
              </w:rPr>
            </w:pPr>
          </w:p>
        </w:tc>
        <w:tc>
          <w:tcPr>
            <w:tcW w:w="7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2,455</w:t>
            </w:r>
          </w:p>
        </w:tc>
        <w:tc>
          <w:tcPr>
            <w:tcW w:w="80" w:type="dxa"/>
            <w:vAlign w:val="bottom"/>
          </w:tcPr>
          <w:p>
            <w:pPr>
              <w:spacing w:after="0"/>
              <w:rPr>
                <w:sz w:val="24"/>
                <w:szCs w:val="24"/>
                <w:color w:val="auto"/>
              </w:rPr>
            </w:pPr>
          </w:p>
        </w:tc>
        <w:tc>
          <w:tcPr>
            <w:tcW w:w="200" w:type="dxa"/>
            <w:vAlign w:val="bottom"/>
            <w:tcBorders>
              <w:bottom w:val="single" w:sz="8" w:color="231F20"/>
            </w:tcBorders>
          </w:tcPr>
          <w:p>
            <w:pPr>
              <w:spacing w:after="0"/>
              <w:rPr>
                <w:sz w:val="24"/>
                <w:szCs w:val="24"/>
                <w:color w:val="auto"/>
              </w:rPr>
            </w:pPr>
          </w:p>
        </w:tc>
        <w:tc>
          <w:tcPr>
            <w:tcW w:w="7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60" w:type="dxa"/>
            <w:vAlign w:val="bottom"/>
          </w:tcPr>
          <w:p>
            <w:pPr>
              <w:spacing w:after="0"/>
              <w:rPr>
                <w:sz w:val="24"/>
                <w:szCs w:val="24"/>
                <w:color w:val="auto"/>
              </w:rPr>
            </w:pPr>
          </w:p>
        </w:tc>
        <w:tc>
          <w:tcPr>
            <w:tcW w:w="220" w:type="dxa"/>
            <w:vAlign w:val="bottom"/>
            <w:tcBorders>
              <w:bottom w:val="single" w:sz="8" w:color="231F20"/>
            </w:tcBorders>
          </w:tcPr>
          <w:p>
            <w:pPr>
              <w:spacing w:after="0"/>
              <w:rPr>
                <w:sz w:val="24"/>
                <w:szCs w:val="24"/>
                <w:color w:val="auto"/>
              </w:rPr>
            </w:pPr>
          </w:p>
        </w:tc>
        <w:tc>
          <w:tcPr>
            <w:tcW w:w="7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0" w:type="dxa"/>
            <w:vAlign w:val="bottom"/>
          </w:tcPr>
          <w:p>
            <w:pPr>
              <w:spacing w:after="0"/>
              <w:rPr>
                <w:sz w:val="1"/>
                <w:szCs w:val="1"/>
                <w:color w:val="auto"/>
              </w:rPr>
            </w:pPr>
          </w:p>
        </w:tc>
      </w:tr>
      <w:tr>
        <w:trPr>
          <w:trHeight w:val="247"/>
        </w:trPr>
        <w:tc>
          <w:tcPr>
            <w:tcW w:w="6680" w:type="dxa"/>
            <w:vAlign w:val="bottom"/>
          </w:tcPr>
          <w:p>
            <w:pPr>
              <w:spacing w:after="0"/>
              <w:rPr>
                <w:sz w:val="20"/>
                <w:szCs w:val="20"/>
                <w:color w:val="auto"/>
              </w:rPr>
            </w:pPr>
            <w:r>
              <w:rPr>
                <w:rFonts w:ascii="Times New Roman" w:cs="Times New Roman" w:eastAsia="Times New Roman" w:hAnsi="Times New Roman"/>
                <w:sz w:val="19"/>
                <w:szCs w:val="19"/>
                <w:color w:val="231F20"/>
              </w:rPr>
              <w:t>Net income available for common unit holders, diluted</w:t>
            </w:r>
          </w:p>
        </w:tc>
        <w:tc>
          <w:tcPr>
            <w:tcW w:w="2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404,158</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9"/>
                <w:szCs w:val="19"/>
                <w:color w:val="231F2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285,893</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9"/>
                <w:szCs w:val="19"/>
                <w:color w:val="231F2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227,667</w:t>
            </w:r>
          </w:p>
        </w:tc>
        <w:tc>
          <w:tcPr>
            <w:tcW w:w="0" w:type="dxa"/>
            <w:vAlign w:val="bottom"/>
          </w:tcPr>
          <w:p>
            <w:pPr>
              <w:spacing w:after="0"/>
              <w:rPr>
                <w:sz w:val="1"/>
                <w:szCs w:val="1"/>
                <w:color w:val="auto"/>
              </w:rPr>
            </w:pPr>
          </w:p>
        </w:tc>
      </w:tr>
      <w:tr>
        <w:trPr>
          <w:trHeight w:val="20"/>
        </w:trPr>
        <w:tc>
          <w:tcPr>
            <w:tcW w:w="6680" w:type="dxa"/>
            <w:vAlign w:val="bottom"/>
            <w:vMerge w:val="restart"/>
          </w:tcPr>
          <w:p>
            <w:pPr>
              <w:spacing w:after="0"/>
              <w:rPr>
                <w:sz w:val="20"/>
                <w:szCs w:val="20"/>
                <w:color w:val="auto"/>
              </w:rPr>
            </w:pPr>
            <w:r>
              <w:rPr>
                <w:rFonts w:ascii="Times New Roman" w:cs="Times New Roman" w:eastAsia="Times New Roman" w:hAnsi="Times New Roman"/>
                <w:sz w:val="19"/>
                <w:szCs w:val="19"/>
                <w:color w:val="231F20"/>
              </w:rPr>
              <w:t>DENOMINATOR</w:t>
            </w:r>
          </w:p>
        </w:tc>
        <w:tc>
          <w:tcPr>
            <w:tcW w:w="200" w:type="dxa"/>
            <w:vAlign w:val="bottom"/>
            <w:tcBorders>
              <w:top w:val="single" w:sz="8" w:color="231F20"/>
              <w:bottom w:val="single" w:sz="8" w:color="231F20"/>
            </w:tcBorders>
          </w:tcPr>
          <w:p>
            <w:pPr>
              <w:spacing w:after="0" w:line="20" w:lineRule="exact"/>
              <w:rPr>
                <w:sz w:val="1"/>
                <w:szCs w:val="1"/>
                <w:color w:val="auto"/>
              </w:rPr>
            </w:pPr>
          </w:p>
        </w:tc>
        <w:tc>
          <w:tcPr>
            <w:tcW w:w="74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231F20"/>
              <w:bottom w:val="single" w:sz="8" w:color="231F20"/>
            </w:tcBorders>
          </w:tcPr>
          <w:p>
            <w:pPr>
              <w:spacing w:after="0" w:line="20" w:lineRule="exact"/>
              <w:rPr>
                <w:sz w:val="1"/>
                <w:szCs w:val="1"/>
                <w:color w:val="auto"/>
              </w:rPr>
            </w:pPr>
          </w:p>
        </w:tc>
        <w:tc>
          <w:tcPr>
            <w:tcW w:w="76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231F20"/>
              <w:bottom w:val="single" w:sz="8" w:color="231F20"/>
            </w:tcBorders>
          </w:tcPr>
          <w:p>
            <w:pPr>
              <w:spacing w:after="0" w:line="20" w:lineRule="exact"/>
              <w:rPr>
                <w:sz w:val="1"/>
                <w:szCs w:val="1"/>
                <w:color w:val="auto"/>
              </w:rPr>
            </w:pPr>
          </w:p>
        </w:tc>
        <w:tc>
          <w:tcPr>
            <w:tcW w:w="740" w:type="dxa"/>
            <w:vAlign w:val="bottom"/>
            <w:tcBorders>
              <w:top w:val="single" w:sz="8" w:color="231F20"/>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6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9"/>
        </w:trPr>
        <w:tc>
          <w:tcPr>
            <w:tcW w:w="6680" w:type="dxa"/>
            <w:vAlign w:val="bottom"/>
          </w:tcPr>
          <w:p>
            <w:pPr>
              <w:spacing w:after="0"/>
              <w:rPr>
                <w:sz w:val="20"/>
                <w:szCs w:val="20"/>
                <w:color w:val="auto"/>
              </w:rPr>
            </w:pPr>
            <w:r>
              <w:rPr>
                <w:rFonts w:ascii="Times New Roman" w:cs="Times New Roman" w:eastAsia="Times New Roman" w:hAnsi="Times New Roman"/>
                <w:sz w:val="19"/>
                <w:szCs w:val="19"/>
                <w:color w:val="231F20"/>
              </w:rPr>
              <w:t>Weighted average common units outstanding—basic</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85,852</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83,559</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81,313</w:t>
            </w:r>
          </w:p>
        </w:tc>
        <w:tc>
          <w:tcPr>
            <w:tcW w:w="0" w:type="dxa"/>
            <w:vAlign w:val="bottom"/>
          </w:tcPr>
          <w:p>
            <w:pPr>
              <w:spacing w:after="0"/>
              <w:rPr>
                <w:sz w:val="1"/>
                <w:szCs w:val="1"/>
                <w:color w:val="auto"/>
              </w:rPr>
            </w:pPr>
          </w:p>
        </w:tc>
      </w:tr>
      <w:tr>
        <w:trPr>
          <w:trHeight w:val="249"/>
        </w:trPr>
        <w:tc>
          <w:tcPr>
            <w:tcW w:w="6680" w:type="dxa"/>
            <w:vAlign w:val="bottom"/>
          </w:tcPr>
          <w:p>
            <w:pPr>
              <w:spacing w:after="0"/>
              <w:rPr>
                <w:sz w:val="20"/>
                <w:szCs w:val="20"/>
                <w:color w:val="auto"/>
              </w:rPr>
            </w:pPr>
            <w:r>
              <w:rPr>
                <w:rFonts w:ascii="Times New Roman" w:cs="Times New Roman" w:eastAsia="Times New Roman" w:hAnsi="Times New Roman"/>
                <w:sz w:val="19"/>
                <w:szCs w:val="19"/>
                <w:color w:val="231F20"/>
              </w:rPr>
              <w:t>Effect of dilutive securities:</w:t>
            </w: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1"/>
        </w:trPr>
        <w:tc>
          <w:tcPr>
            <w:tcW w:w="6680" w:type="dxa"/>
            <w:vAlign w:val="bottom"/>
          </w:tcPr>
          <w:p>
            <w:pPr>
              <w:ind w:left="340"/>
              <w:spacing w:after="0"/>
              <w:rPr>
                <w:sz w:val="20"/>
                <w:szCs w:val="20"/>
                <w:color w:val="auto"/>
              </w:rPr>
            </w:pPr>
            <w:r>
              <w:rPr>
                <w:rFonts w:ascii="Times New Roman" w:cs="Times New Roman" w:eastAsia="Times New Roman" w:hAnsi="Times New Roman"/>
                <w:sz w:val="19"/>
                <w:szCs w:val="19"/>
                <w:color w:val="231F20"/>
              </w:rPr>
              <w:t>Unvested performance units</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7</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0" w:type="dxa"/>
            <w:vAlign w:val="bottom"/>
          </w:tcPr>
          <w:p>
            <w:pPr>
              <w:spacing w:after="0"/>
              <w:rPr>
                <w:sz w:val="1"/>
                <w:szCs w:val="1"/>
                <w:color w:val="auto"/>
              </w:rPr>
            </w:pPr>
          </w:p>
        </w:tc>
      </w:tr>
      <w:tr>
        <w:trPr>
          <w:trHeight w:val="305"/>
        </w:trPr>
        <w:tc>
          <w:tcPr>
            <w:tcW w:w="6680" w:type="dxa"/>
            <w:vAlign w:val="bottom"/>
          </w:tcPr>
          <w:p>
            <w:pPr>
              <w:ind w:left="340"/>
              <w:spacing w:after="0"/>
              <w:rPr>
                <w:sz w:val="20"/>
                <w:szCs w:val="20"/>
                <w:color w:val="auto"/>
              </w:rPr>
            </w:pPr>
            <w:r>
              <w:rPr>
                <w:rFonts w:ascii="Times New Roman" w:cs="Times New Roman" w:eastAsia="Times New Roman" w:hAnsi="Times New Roman"/>
                <w:sz w:val="19"/>
                <w:szCs w:val="19"/>
                <w:color w:val="231F20"/>
              </w:rPr>
              <w:t>DownREIT operating partnership units</w:t>
            </w:r>
          </w:p>
        </w:tc>
        <w:tc>
          <w:tcPr>
            <w:tcW w:w="200" w:type="dxa"/>
            <w:vAlign w:val="bottom"/>
            <w:tcBorders>
              <w:bottom w:val="single" w:sz="8" w:color="231F20"/>
            </w:tcBorders>
          </w:tcPr>
          <w:p>
            <w:pPr>
              <w:spacing w:after="0"/>
              <w:rPr>
                <w:sz w:val="24"/>
                <w:szCs w:val="24"/>
                <w:color w:val="auto"/>
              </w:rPr>
            </w:pPr>
          </w:p>
        </w:tc>
        <w:tc>
          <w:tcPr>
            <w:tcW w:w="7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553</w:t>
            </w:r>
          </w:p>
        </w:tc>
        <w:tc>
          <w:tcPr>
            <w:tcW w:w="80" w:type="dxa"/>
            <w:vAlign w:val="bottom"/>
          </w:tcPr>
          <w:p>
            <w:pPr>
              <w:spacing w:after="0"/>
              <w:rPr>
                <w:sz w:val="24"/>
                <w:szCs w:val="24"/>
                <w:color w:val="auto"/>
              </w:rPr>
            </w:pPr>
          </w:p>
        </w:tc>
        <w:tc>
          <w:tcPr>
            <w:tcW w:w="200" w:type="dxa"/>
            <w:vAlign w:val="bottom"/>
            <w:tcBorders>
              <w:bottom w:val="single" w:sz="8" w:color="231F20"/>
            </w:tcBorders>
          </w:tcPr>
          <w:p>
            <w:pPr>
              <w:spacing w:after="0"/>
              <w:rPr>
                <w:sz w:val="24"/>
                <w:szCs w:val="24"/>
                <w:color w:val="auto"/>
              </w:rPr>
            </w:pPr>
          </w:p>
        </w:tc>
        <w:tc>
          <w:tcPr>
            <w:tcW w:w="7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60" w:type="dxa"/>
            <w:vAlign w:val="bottom"/>
          </w:tcPr>
          <w:p>
            <w:pPr>
              <w:spacing w:after="0"/>
              <w:rPr>
                <w:sz w:val="24"/>
                <w:szCs w:val="24"/>
                <w:color w:val="auto"/>
              </w:rPr>
            </w:pPr>
          </w:p>
        </w:tc>
        <w:tc>
          <w:tcPr>
            <w:tcW w:w="220" w:type="dxa"/>
            <w:vAlign w:val="bottom"/>
            <w:tcBorders>
              <w:bottom w:val="single" w:sz="8" w:color="231F20"/>
            </w:tcBorders>
          </w:tcPr>
          <w:p>
            <w:pPr>
              <w:spacing w:after="0"/>
              <w:rPr>
                <w:sz w:val="24"/>
                <w:szCs w:val="24"/>
                <w:color w:val="auto"/>
              </w:rPr>
            </w:pPr>
          </w:p>
        </w:tc>
        <w:tc>
          <w:tcPr>
            <w:tcW w:w="7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0" w:type="dxa"/>
            <w:vAlign w:val="bottom"/>
          </w:tcPr>
          <w:p>
            <w:pPr>
              <w:spacing w:after="0"/>
              <w:rPr>
                <w:sz w:val="1"/>
                <w:szCs w:val="1"/>
                <w:color w:val="auto"/>
              </w:rPr>
            </w:pPr>
          </w:p>
        </w:tc>
      </w:tr>
      <w:tr>
        <w:trPr>
          <w:trHeight w:val="247"/>
        </w:trPr>
        <w:tc>
          <w:tcPr>
            <w:tcW w:w="6680" w:type="dxa"/>
            <w:vAlign w:val="bottom"/>
          </w:tcPr>
          <w:p>
            <w:pPr>
              <w:spacing w:after="0"/>
              <w:rPr>
                <w:sz w:val="20"/>
                <w:szCs w:val="20"/>
                <w:color w:val="auto"/>
              </w:rPr>
            </w:pPr>
            <w:r>
              <w:rPr>
                <w:rFonts w:ascii="Times New Roman" w:cs="Times New Roman" w:eastAsia="Times New Roman" w:hAnsi="Times New Roman"/>
                <w:sz w:val="19"/>
                <w:szCs w:val="19"/>
                <w:color w:val="231F20"/>
              </w:rPr>
              <w:t>Weighted average common units outstanding—diluted</w:t>
            </w:r>
          </w:p>
        </w:tc>
        <w:tc>
          <w:tcPr>
            <w:tcW w:w="200" w:type="dxa"/>
            <w:vAlign w:val="bottom"/>
            <w:tcBorders>
              <w:bottom w:val="single" w:sz="8" w:color="231F20"/>
            </w:tcBorders>
          </w:tcPr>
          <w:p>
            <w:pPr>
              <w:spacing w:after="0"/>
              <w:rPr>
                <w:sz w:val="21"/>
                <w:szCs w:val="21"/>
                <w:color w:val="auto"/>
              </w:rPr>
            </w:pPr>
          </w:p>
        </w:tc>
        <w:tc>
          <w:tcPr>
            <w:tcW w:w="7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86,405</w:t>
            </w:r>
          </w:p>
        </w:tc>
        <w:tc>
          <w:tcPr>
            <w:tcW w:w="80" w:type="dxa"/>
            <w:vAlign w:val="bottom"/>
          </w:tcPr>
          <w:p>
            <w:pPr>
              <w:spacing w:after="0"/>
              <w:rPr>
                <w:sz w:val="21"/>
                <w:szCs w:val="21"/>
                <w:color w:val="auto"/>
              </w:rPr>
            </w:pPr>
          </w:p>
        </w:tc>
        <w:tc>
          <w:tcPr>
            <w:tcW w:w="200" w:type="dxa"/>
            <w:vAlign w:val="bottom"/>
            <w:tcBorders>
              <w:bottom w:val="single" w:sz="8" w:color="231F20"/>
            </w:tcBorders>
          </w:tcPr>
          <w:p>
            <w:pPr>
              <w:spacing w:after="0"/>
              <w:rPr>
                <w:sz w:val="21"/>
                <w:szCs w:val="21"/>
                <w:color w:val="auto"/>
              </w:rPr>
            </w:pPr>
          </w:p>
        </w:tc>
        <w:tc>
          <w:tcPr>
            <w:tcW w:w="7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83,566</w:t>
            </w:r>
          </w:p>
        </w:tc>
        <w:tc>
          <w:tcPr>
            <w:tcW w:w="60" w:type="dxa"/>
            <w:vAlign w:val="bottom"/>
          </w:tcPr>
          <w:p>
            <w:pPr>
              <w:spacing w:after="0"/>
              <w:rPr>
                <w:sz w:val="21"/>
                <w:szCs w:val="21"/>
                <w:color w:val="auto"/>
              </w:rPr>
            </w:pPr>
          </w:p>
        </w:tc>
        <w:tc>
          <w:tcPr>
            <w:tcW w:w="220" w:type="dxa"/>
            <w:vAlign w:val="bottom"/>
            <w:tcBorders>
              <w:bottom w:val="single" w:sz="8" w:color="231F20"/>
            </w:tcBorders>
          </w:tcPr>
          <w:p>
            <w:pPr>
              <w:spacing w:after="0"/>
              <w:rPr>
                <w:sz w:val="21"/>
                <w:szCs w:val="21"/>
                <w:color w:val="auto"/>
              </w:rPr>
            </w:pPr>
          </w:p>
        </w:tc>
        <w:tc>
          <w:tcPr>
            <w:tcW w:w="7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81,313</w:t>
            </w:r>
          </w:p>
        </w:tc>
        <w:tc>
          <w:tcPr>
            <w:tcW w:w="0" w:type="dxa"/>
            <w:vAlign w:val="bottom"/>
          </w:tcPr>
          <w:p>
            <w:pPr>
              <w:spacing w:after="0"/>
              <w:rPr>
                <w:sz w:val="1"/>
                <w:szCs w:val="1"/>
                <w:color w:val="auto"/>
              </w:rPr>
            </w:pPr>
          </w:p>
        </w:tc>
      </w:tr>
      <w:tr>
        <w:trPr>
          <w:trHeight w:val="20"/>
        </w:trPr>
        <w:tc>
          <w:tcPr>
            <w:tcW w:w="6680" w:type="dxa"/>
            <w:vAlign w:val="bottom"/>
            <w:vMerge w:val="restart"/>
          </w:tcPr>
          <w:p>
            <w:pPr>
              <w:spacing w:after="0"/>
              <w:rPr>
                <w:sz w:val="20"/>
                <w:szCs w:val="20"/>
                <w:color w:val="auto"/>
              </w:rPr>
            </w:pPr>
            <w:r>
              <w:rPr>
                <w:rFonts w:ascii="Times New Roman" w:cs="Times New Roman" w:eastAsia="Times New Roman" w:hAnsi="Times New Roman"/>
                <w:sz w:val="19"/>
                <w:szCs w:val="19"/>
                <w:color w:val="231F20"/>
              </w:rPr>
              <w:t>EARNINGS PER COMMON UNIT, BASIC AND DILUTED</w:t>
            </w:r>
          </w:p>
        </w:tc>
        <w:tc>
          <w:tcPr>
            <w:tcW w:w="200" w:type="dxa"/>
            <w:vAlign w:val="bottom"/>
            <w:tcBorders>
              <w:bottom w:val="single" w:sz="8" w:color="231F20"/>
            </w:tcBorders>
          </w:tcPr>
          <w:p>
            <w:pPr>
              <w:spacing w:after="0" w:line="20" w:lineRule="exact"/>
              <w:rPr>
                <w:sz w:val="1"/>
                <w:szCs w:val="1"/>
                <w:color w:val="auto"/>
              </w:rPr>
            </w:pPr>
          </w:p>
        </w:tc>
        <w:tc>
          <w:tcPr>
            <w:tcW w:w="74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231F20"/>
            </w:tcBorders>
          </w:tcPr>
          <w:p>
            <w:pPr>
              <w:spacing w:after="0" w:line="20" w:lineRule="exact"/>
              <w:rPr>
                <w:sz w:val="1"/>
                <w:szCs w:val="1"/>
                <w:color w:val="auto"/>
              </w:rPr>
            </w:pPr>
          </w:p>
        </w:tc>
        <w:tc>
          <w:tcPr>
            <w:tcW w:w="76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231F20"/>
            </w:tcBorders>
          </w:tcPr>
          <w:p>
            <w:pPr>
              <w:spacing w:after="0" w:line="20" w:lineRule="exact"/>
              <w:rPr>
                <w:sz w:val="1"/>
                <w:szCs w:val="1"/>
                <w:color w:val="auto"/>
              </w:rPr>
            </w:pPr>
          </w:p>
        </w:tc>
        <w:tc>
          <w:tcPr>
            <w:tcW w:w="74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66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6680" w:type="dxa"/>
            <w:vAlign w:val="bottom"/>
          </w:tcPr>
          <w:p>
            <w:pPr>
              <w:ind w:left="340"/>
              <w:spacing w:after="0"/>
              <w:rPr>
                <w:sz w:val="20"/>
                <w:szCs w:val="20"/>
                <w:color w:val="auto"/>
              </w:rPr>
            </w:pPr>
            <w:r>
              <w:rPr>
                <w:rFonts w:ascii="Times New Roman" w:cs="Times New Roman" w:eastAsia="Times New Roman" w:hAnsi="Times New Roman"/>
                <w:sz w:val="19"/>
                <w:szCs w:val="19"/>
                <w:color w:val="231F20"/>
              </w:rPr>
              <w:t>Net income available for common unit holders</w:t>
            </w:r>
          </w:p>
        </w:tc>
        <w:tc>
          <w:tcPr>
            <w:tcW w:w="2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4.68</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9"/>
                <w:szCs w:val="19"/>
                <w:color w:val="231F2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3.42</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9"/>
                <w:szCs w:val="19"/>
                <w:color w:val="231F2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2.80</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200" w:type="dxa"/>
            <w:vAlign w:val="bottom"/>
            <w:tcBorders>
              <w:top w:val="single" w:sz="8" w:color="231F20"/>
              <w:bottom w:val="single" w:sz="8" w:color="231F20"/>
            </w:tcBorders>
          </w:tcPr>
          <w:p>
            <w:pPr>
              <w:spacing w:after="0" w:line="20" w:lineRule="exact"/>
              <w:rPr>
                <w:sz w:val="1"/>
                <w:szCs w:val="1"/>
                <w:color w:val="auto"/>
              </w:rPr>
            </w:pPr>
          </w:p>
        </w:tc>
        <w:tc>
          <w:tcPr>
            <w:tcW w:w="74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231F20"/>
              <w:bottom w:val="single" w:sz="8" w:color="231F20"/>
            </w:tcBorders>
          </w:tcPr>
          <w:p>
            <w:pPr>
              <w:spacing w:after="0" w:line="20" w:lineRule="exact"/>
              <w:rPr>
                <w:sz w:val="1"/>
                <w:szCs w:val="1"/>
                <w:color w:val="auto"/>
              </w:rPr>
            </w:pPr>
          </w:p>
        </w:tc>
        <w:tc>
          <w:tcPr>
            <w:tcW w:w="76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231F20"/>
              <w:bottom w:val="single" w:sz="8" w:color="231F20"/>
            </w:tcBorders>
          </w:tcPr>
          <w:p>
            <w:pPr>
              <w:spacing w:after="0" w:line="20" w:lineRule="exact"/>
              <w:rPr>
                <w:sz w:val="1"/>
                <w:szCs w:val="1"/>
                <w:color w:val="auto"/>
              </w:rPr>
            </w:pPr>
          </w:p>
        </w:tc>
        <w:tc>
          <w:tcPr>
            <w:tcW w:w="740" w:type="dxa"/>
            <w:vAlign w:val="bottom"/>
            <w:tcBorders>
              <w:top w:val="single" w:sz="8" w:color="231F20"/>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NOTE 15—SUBSEQUENT EVENT</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On January 6, 2026, we purchased the fee interest under one of our ground leases at Bethesda Row for $2.5 million.</w:t>
      </w:r>
    </w:p>
    <w:p>
      <w:pPr>
        <w:spacing w:after="0" w:line="105" w:lineRule="exact"/>
        <w:rPr>
          <w:sz w:val="20"/>
          <w:szCs w:val="20"/>
          <w:color w:val="auto"/>
        </w:rPr>
      </w:pPr>
    </w:p>
    <w:p>
      <w:pPr>
        <w:ind w:right="120"/>
        <w:spacing w:after="0" w:line="284" w:lineRule="auto"/>
        <w:rPr>
          <w:sz w:val="20"/>
          <w:szCs w:val="20"/>
          <w:color w:val="auto"/>
        </w:rPr>
      </w:pPr>
      <w:r>
        <w:rPr>
          <w:rFonts w:ascii="Times New Roman" w:cs="Times New Roman" w:eastAsia="Times New Roman" w:hAnsi="Times New Roman"/>
          <w:sz w:val="19"/>
          <w:szCs w:val="19"/>
          <w:color w:val="231F20"/>
        </w:rPr>
        <w:t>On February 5, 2026, we sold a residential building at our Santana Row property and our Courthouse Center property for sales prices totaling $158.5 million.</w:t>
      </w:r>
    </w:p>
    <w:p>
      <w:pPr>
        <w:sectPr>
          <w:pgSz w:w="11880" w:h="15480" w:orient="portrait"/>
          <w:cols w:equalWidth="0" w:num="1">
            <w:col w:w="9740"/>
          </w:cols>
          <w:pgMar w:left="1060" w:top="961"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231F20"/>
        </w:rPr>
        <w:t>F-40</w:t>
      </w:r>
    </w:p>
    <w:p>
      <w:pPr>
        <w:sectPr>
          <w:pgSz w:w="11880" w:h="15480" w:orient="portrait"/>
          <w:cols w:equalWidth="0" w:num="1">
            <w:col w:w="9740"/>
          </w:cols>
          <w:pgMar w:left="1060" w:top="961" w:right="1080" w:bottom="0" w:gutter="0" w:footer="0" w:header="0"/>
          <w:type w:val="continuous"/>
        </w:sectPr>
      </w:pPr>
    </w:p>
    <w:bookmarkStart w:id="104" w:name="page105"/>
    <w:bookmarkEnd w:id="104"/>
    <w:p>
      <w:pPr>
        <w:jc w:val="center"/>
        <w:spacing w:after="0"/>
        <w:rPr>
          <w:sz w:val="20"/>
          <w:szCs w:val="20"/>
          <w:color w:val="auto"/>
        </w:rPr>
      </w:pPr>
      <w:r>
        <w:rPr>
          <w:rFonts w:ascii="Times New Roman" w:cs="Times New Roman" w:eastAsia="Times New Roman" w:hAnsi="Times New Roman"/>
          <w:sz w:val="19"/>
          <w:szCs w:val="19"/>
          <w:b w:val="1"/>
          <w:bCs w:val="1"/>
          <w:color w:val="231F20"/>
        </w:rPr>
        <w:t>FEDERAL REALTY INVESTMENT TRUST AND FEDERAL REALTY OP LP</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231F20"/>
        </w:rPr>
        <w:t>SCHEDULE III</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231F20"/>
        </w:rPr>
        <w:t>SUMMARY OF REAL ESTATE AND ACCUMULATED DEPRECIATION</w:t>
      </w:r>
    </w:p>
    <w:p>
      <w:pPr>
        <w:spacing w:after="0" w:line="1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9"/>
          <w:szCs w:val="19"/>
          <w:b w:val="1"/>
          <w:bCs w:val="1"/>
          <w:color w:val="231F20"/>
        </w:rPr>
        <w:t>DECEMBER 31, 2025</w:t>
      </w:r>
    </w:p>
    <w:p>
      <w:pPr>
        <w:spacing w:after="0" w:line="1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9"/>
          <w:szCs w:val="19"/>
          <w:b w:val="1"/>
          <w:bCs w:val="1"/>
          <w:color w:val="231F20"/>
        </w:rPr>
        <w:t>(Dollars in thousands)</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44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231F20"/>
              </w:rPr>
              <w:t>COLUMN A</w:t>
            </w:r>
          </w:p>
        </w:tc>
        <w:tc>
          <w:tcPr>
            <w:tcW w:w="80" w:type="dxa"/>
            <w:vAlign w:val="bottom"/>
          </w:tcPr>
          <w:p>
            <w:pPr>
              <w:spacing w:after="0"/>
              <w:rPr>
                <w:sz w:val="15"/>
                <w:szCs w:val="15"/>
                <w:color w:val="auto"/>
              </w:rPr>
            </w:pPr>
          </w:p>
        </w:tc>
        <w:tc>
          <w:tcPr>
            <w:tcW w:w="90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231F20"/>
              </w:rPr>
              <w:t>COLUMN B</w:t>
            </w:r>
          </w:p>
        </w:tc>
        <w:tc>
          <w:tcPr>
            <w:tcW w:w="80" w:type="dxa"/>
            <w:vAlign w:val="bottom"/>
          </w:tcPr>
          <w:p>
            <w:pPr>
              <w:spacing w:after="0"/>
              <w:rPr>
                <w:sz w:val="15"/>
                <w:szCs w:val="15"/>
                <w:color w:val="auto"/>
              </w:rPr>
            </w:pPr>
          </w:p>
        </w:tc>
        <w:tc>
          <w:tcPr>
            <w:tcW w:w="900" w:type="dxa"/>
            <w:vAlign w:val="bottom"/>
          </w:tcPr>
          <w:p>
            <w:pPr>
              <w:jc w:val="right"/>
              <w:ind w:right="59"/>
              <w:spacing w:after="0"/>
              <w:rPr>
                <w:sz w:val="20"/>
                <w:szCs w:val="20"/>
                <w:color w:val="auto"/>
              </w:rPr>
            </w:pPr>
            <w:r>
              <w:rPr>
                <w:rFonts w:ascii="Times New Roman" w:cs="Times New Roman" w:eastAsia="Times New Roman" w:hAnsi="Times New Roman"/>
                <w:sz w:val="13"/>
                <w:szCs w:val="13"/>
                <w:b w:val="1"/>
                <w:bCs w:val="1"/>
                <w:color w:val="231F20"/>
              </w:rPr>
              <w:t>COLUMN C</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3"/>
                <w:szCs w:val="13"/>
                <w:b w:val="1"/>
                <w:bCs w:val="1"/>
                <w:color w:val="231F20"/>
              </w:rPr>
              <w:t>COLUMN D</w:t>
            </w:r>
          </w:p>
        </w:tc>
        <w:tc>
          <w:tcPr>
            <w:tcW w:w="80" w:type="dxa"/>
            <w:vAlign w:val="bottom"/>
          </w:tcPr>
          <w:p>
            <w:pPr>
              <w:spacing w:after="0"/>
              <w:rPr>
                <w:sz w:val="15"/>
                <w:szCs w:val="15"/>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3"/>
                <w:szCs w:val="13"/>
                <w:b w:val="1"/>
                <w:bCs w:val="1"/>
                <w:color w:val="231F20"/>
              </w:rPr>
              <w:t>COLUMN E</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3"/>
                <w:szCs w:val="13"/>
                <w:b w:val="1"/>
                <w:bCs w:val="1"/>
                <w:color w:val="231F20"/>
              </w:rPr>
              <w:t>COLUMN F</w:t>
            </w:r>
          </w:p>
        </w:tc>
        <w:tc>
          <w:tcPr>
            <w:tcW w:w="8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231F20"/>
              </w:rPr>
              <w:t>COLUMN G</w:t>
            </w:r>
          </w:p>
        </w:tc>
        <w:tc>
          <w:tcPr>
            <w:tcW w:w="8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231F20"/>
              </w:rPr>
              <w:t>COLUMN H</w:t>
            </w:r>
          </w:p>
        </w:tc>
        <w:tc>
          <w:tcPr>
            <w:tcW w:w="8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231F20"/>
              </w:rPr>
              <w:t>COLUMN I</w:t>
            </w:r>
          </w:p>
        </w:tc>
        <w:tc>
          <w:tcPr>
            <w:tcW w:w="0" w:type="dxa"/>
            <w:vAlign w:val="bottom"/>
          </w:tcPr>
          <w:p>
            <w:pPr>
              <w:spacing w:after="0"/>
              <w:rPr>
                <w:sz w:val="1"/>
                <w:szCs w:val="1"/>
                <w:color w:val="auto"/>
              </w:rPr>
            </w:pPr>
          </w:p>
        </w:tc>
      </w:tr>
      <w:tr>
        <w:trPr>
          <w:trHeight w:val="32"/>
        </w:trPr>
        <w:tc>
          <w:tcPr>
            <w:tcW w:w="244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gridSpan w:val="3"/>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90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98"/>
        </w:trPr>
        <w:tc>
          <w:tcPr>
            <w:tcW w:w="2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0" w:type="dxa"/>
            <w:vAlign w:val="bottom"/>
            <w:gridSpan w:val="5"/>
            <w:vMerge w:val="restart"/>
          </w:tcPr>
          <w:p>
            <w:pPr>
              <w:ind w:left="340"/>
              <w:spacing w:after="0"/>
              <w:rPr>
                <w:sz w:val="20"/>
                <w:szCs w:val="20"/>
                <w:color w:val="auto"/>
              </w:rPr>
            </w:pPr>
            <w:r>
              <w:rPr>
                <w:rFonts w:ascii="Times New Roman" w:cs="Times New Roman" w:eastAsia="Times New Roman" w:hAnsi="Times New Roman"/>
                <w:sz w:val="13"/>
                <w:szCs w:val="13"/>
                <w:b w:val="1"/>
                <w:bCs w:val="1"/>
                <w:color w:val="231F20"/>
              </w:rPr>
              <w:t>Initial cost to company</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231F20"/>
              </w:rPr>
              <w:t>Cost</w:t>
            </w:r>
          </w:p>
        </w:tc>
        <w:tc>
          <w:tcPr>
            <w:tcW w:w="80" w:type="dxa"/>
            <w:vAlign w:val="bottom"/>
          </w:tcPr>
          <w:p>
            <w:pPr>
              <w:spacing w:after="0"/>
              <w:rPr>
                <w:sz w:val="24"/>
                <w:szCs w:val="24"/>
                <w:color w:val="auto"/>
              </w:rPr>
            </w:pPr>
          </w:p>
        </w:tc>
        <w:tc>
          <w:tcPr>
            <w:tcW w:w="2900" w:type="dxa"/>
            <w:vAlign w:val="bottom"/>
            <w:gridSpan w:val="7"/>
          </w:tcPr>
          <w:p>
            <w:pPr>
              <w:jc w:val="center"/>
              <w:ind w:right="20"/>
              <w:spacing w:after="0"/>
              <w:rPr>
                <w:sz w:val="20"/>
                <w:szCs w:val="20"/>
                <w:color w:val="auto"/>
              </w:rPr>
            </w:pPr>
            <w:r>
              <w:rPr>
                <w:rFonts w:ascii="Times New Roman" w:cs="Times New Roman" w:eastAsia="Times New Roman" w:hAnsi="Times New Roman"/>
                <w:sz w:val="13"/>
                <w:szCs w:val="13"/>
                <w:b w:val="1"/>
                <w:bCs w:val="1"/>
                <w:color w:val="231F20"/>
              </w:rPr>
              <w:t>Gross amount at which carried at</w:t>
            </w: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231F20"/>
              </w:rPr>
              <w:t>Life on which</w:t>
            </w:r>
          </w:p>
        </w:tc>
        <w:tc>
          <w:tcPr>
            <w:tcW w:w="0" w:type="dxa"/>
            <w:vAlign w:val="bottom"/>
          </w:tcPr>
          <w:p>
            <w:pPr>
              <w:spacing w:after="0"/>
              <w:rPr>
                <w:sz w:val="1"/>
                <w:szCs w:val="1"/>
                <w:color w:val="auto"/>
              </w:rPr>
            </w:pPr>
          </w:p>
        </w:tc>
      </w:tr>
      <w:tr>
        <w:trPr>
          <w:trHeight w:val="133"/>
        </w:trPr>
        <w:tc>
          <w:tcPr>
            <w:tcW w:w="2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0" w:type="dxa"/>
            <w:vAlign w:val="bottom"/>
            <w:gridSpan w:val="5"/>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center"/>
              <w:spacing w:after="0" w:line="133" w:lineRule="exact"/>
              <w:rPr>
                <w:sz w:val="20"/>
                <w:szCs w:val="20"/>
                <w:color w:val="auto"/>
              </w:rPr>
            </w:pPr>
            <w:r>
              <w:rPr>
                <w:rFonts w:ascii="Times New Roman" w:cs="Times New Roman" w:eastAsia="Times New Roman" w:hAnsi="Times New Roman"/>
                <w:sz w:val="13"/>
                <w:szCs w:val="13"/>
                <w:b w:val="1"/>
                <w:bCs w:val="1"/>
                <w:color w:val="231F20"/>
              </w:rPr>
              <w:t>close of period</w:t>
            </w: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jc w:val="center"/>
              <w:spacing w:after="0" w:line="133" w:lineRule="exact"/>
              <w:rPr>
                <w:sz w:val="20"/>
                <w:szCs w:val="20"/>
                <w:color w:val="auto"/>
              </w:rPr>
            </w:pPr>
            <w:r>
              <w:rPr>
                <w:rFonts w:ascii="Times New Roman" w:cs="Times New Roman" w:eastAsia="Times New Roman" w:hAnsi="Times New Roman"/>
                <w:sz w:val="13"/>
                <w:szCs w:val="13"/>
                <w:b w:val="1"/>
                <w:bCs w:val="1"/>
                <w:color w:val="231F20"/>
              </w:rPr>
              <w:t>depreciation</w:t>
            </w:r>
          </w:p>
        </w:tc>
        <w:tc>
          <w:tcPr>
            <w:tcW w:w="0" w:type="dxa"/>
            <w:vAlign w:val="bottom"/>
          </w:tcPr>
          <w:p>
            <w:pPr>
              <w:spacing w:after="0"/>
              <w:rPr>
                <w:sz w:val="1"/>
                <w:szCs w:val="1"/>
                <w:color w:val="auto"/>
              </w:rPr>
            </w:pPr>
          </w:p>
        </w:tc>
      </w:tr>
      <w:tr>
        <w:trPr>
          <w:trHeight w:val="48"/>
        </w:trPr>
        <w:tc>
          <w:tcPr>
            <w:tcW w:w="2440" w:type="dxa"/>
            <w:vAlign w:val="bottom"/>
          </w:tcPr>
          <w:p>
            <w:pPr>
              <w:spacing w:after="0"/>
              <w:rPr>
                <w:sz w:val="4"/>
                <w:szCs w:val="4"/>
                <w:color w:val="auto"/>
              </w:rPr>
            </w:pPr>
          </w:p>
        </w:tc>
        <w:tc>
          <w:tcPr>
            <w:tcW w:w="8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 w:type="dxa"/>
            <w:vAlign w:val="bottom"/>
          </w:tcPr>
          <w:p>
            <w:pPr>
              <w:spacing w:after="0"/>
              <w:rPr>
                <w:sz w:val="4"/>
                <w:szCs w:val="4"/>
                <w:color w:val="auto"/>
              </w:rPr>
            </w:pPr>
          </w:p>
        </w:tc>
        <w:tc>
          <w:tcPr>
            <w:tcW w:w="900" w:type="dxa"/>
            <w:vAlign w:val="bottom"/>
            <w:tcBorders>
              <w:bottom w:val="single" w:sz="8" w:color="231F20"/>
            </w:tcBorders>
          </w:tcPr>
          <w:p>
            <w:pPr>
              <w:spacing w:after="0"/>
              <w:rPr>
                <w:sz w:val="4"/>
                <w:szCs w:val="4"/>
                <w:color w:val="auto"/>
              </w:rPr>
            </w:pPr>
          </w:p>
        </w:tc>
        <w:tc>
          <w:tcPr>
            <w:tcW w:w="80" w:type="dxa"/>
            <w:vAlign w:val="bottom"/>
            <w:tcBorders>
              <w:bottom w:val="single" w:sz="8" w:color="231F20"/>
            </w:tcBorders>
          </w:tcPr>
          <w:p>
            <w:pPr>
              <w:spacing w:after="0"/>
              <w:rPr>
                <w:sz w:val="4"/>
                <w:szCs w:val="4"/>
                <w:color w:val="auto"/>
              </w:rPr>
            </w:pPr>
          </w:p>
        </w:tc>
        <w:tc>
          <w:tcPr>
            <w:tcW w:w="120" w:type="dxa"/>
            <w:vAlign w:val="bottom"/>
            <w:tcBorders>
              <w:bottom w:val="single" w:sz="8" w:color="231F20"/>
            </w:tcBorders>
          </w:tcPr>
          <w:p>
            <w:pPr>
              <w:spacing w:after="0"/>
              <w:rPr>
                <w:sz w:val="4"/>
                <w:szCs w:val="4"/>
                <w:color w:val="auto"/>
              </w:rPr>
            </w:pPr>
          </w:p>
        </w:tc>
        <w:tc>
          <w:tcPr>
            <w:tcW w:w="820" w:type="dxa"/>
            <w:vAlign w:val="bottom"/>
            <w:tcBorders>
              <w:bottom w:val="single" w:sz="8" w:color="231F20"/>
            </w:tcBorders>
          </w:tcPr>
          <w:p>
            <w:pPr>
              <w:spacing w:after="0"/>
              <w:rPr>
                <w:sz w:val="4"/>
                <w:szCs w:val="4"/>
                <w:color w:val="auto"/>
              </w:rPr>
            </w:pPr>
          </w:p>
        </w:tc>
        <w:tc>
          <w:tcPr>
            <w:tcW w:w="80" w:type="dxa"/>
            <w:vAlign w:val="bottom"/>
          </w:tcPr>
          <w:p>
            <w:pPr>
              <w:spacing w:after="0"/>
              <w:rPr>
                <w:sz w:val="4"/>
                <w:szCs w:val="4"/>
                <w:color w:val="auto"/>
              </w:rPr>
            </w:pPr>
          </w:p>
        </w:tc>
        <w:tc>
          <w:tcPr>
            <w:tcW w:w="860" w:type="dxa"/>
            <w:vAlign w:val="bottom"/>
            <w:vMerge w:val="restart"/>
          </w:tcPr>
          <w:p>
            <w:pPr>
              <w:jc w:val="center"/>
              <w:spacing w:after="0" w:line="100" w:lineRule="exact"/>
              <w:rPr>
                <w:sz w:val="20"/>
                <w:szCs w:val="20"/>
                <w:color w:val="auto"/>
              </w:rPr>
            </w:pPr>
            <w:r>
              <w:rPr>
                <w:rFonts w:ascii="Times New Roman" w:cs="Times New Roman" w:eastAsia="Times New Roman" w:hAnsi="Times New Roman"/>
                <w:sz w:val="11"/>
                <w:szCs w:val="11"/>
                <w:b w:val="1"/>
                <w:bCs w:val="1"/>
                <w:color w:val="231F20"/>
              </w:rPr>
              <w:t>Capitalized</w:t>
            </w:r>
          </w:p>
        </w:tc>
        <w:tc>
          <w:tcPr>
            <w:tcW w:w="80" w:type="dxa"/>
            <w:vAlign w:val="bottom"/>
          </w:tcPr>
          <w:p>
            <w:pPr>
              <w:spacing w:after="0"/>
              <w:rPr>
                <w:sz w:val="4"/>
                <w:szCs w:val="4"/>
                <w:color w:val="auto"/>
              </w:rPr>
            </w:pPr>
          </w:p>
        </w:tc>
        <w:tc>
          <w:tcPr>
            <w:tcW w:w="860" w:type="dxa"/>
            <w:vAlign w:val="bottom"/>
            <w:tcBorders>
              <w:bottom w:val="single" w:sz="8" w:color="231F20"/>
            </w:tcBorders>
          </w:tcPr>
          <w:p>
            <w:pPr>
              <w:spacing w:after="0"/>
              <w:rPr>
                <w:sz w:val="4"/>
                <w:szCs w:val="4"/>
                <w:color w:val="auto"/>
              </w:rPr>
            </w:pPr>
          </w:p>
        </w:tc>
        <w:tc>
          <w:tcPr>
            <w:tcW w:w="80" w:type="dxa"/>
            <w:vAlign w:val="bottom"/>
            <w:tcBorders>
              <w:bottom w:val="single" w:sz="8" w:color="231F20"/>
            </w:tcBorders>
          </w:tcPr>
          <w:p>
            <w:pPr>
              <w:spacing w:after="0"/>
              <w:rPr>
                <w:sz w:val="4"/>
                <w:szCs w:val="4"/>
                <w:color w:val="auto"/>
              </w:rPr>
            </w:pPr>
          </w:p>
        </w:tc>
        <w:tc>
          <w:tcPr>
            <w:tcW w:w="120" w:type="dxa"/>
            <w:vAlign w:val="bottom"/>
            <w:tcBorders>
              <w:bottom w:val="single" w:sz="8" w:color="231F20"/>
            </w:tcBorders>
          </w:tcPr>
          <w:p>
            <w:pPr>
              <w:spacing w:after="0"/>
              <w:rPr>
                <w:sz w:val="4"/>
                <w:szCs w:val="4"/>
                <w:color w:val="auto"/>
              </w:rPr>
            </w:pPr>
          </w:p>
        </w:tc>
        <w:tc>
          <w:tcPr>
            <w:tcW w:w="840" w:type="dxa"/>
            <w:vAlign w:val="bottom"/>
            <w:tcBorders>
              <w:bottom w:val="single" w:sz="8" w:color="231F20"/>
            </w:tcBorders>
          </w:tcPr>
          <w:p>
            <w:pPr>
              <w:spacing w:after="0"/>
              <w:rPr>
                <w:sz w:val="4"/>
                <w:szCs w:val="4"/>
                <w:color w:val="auto"/>
              </w:rPr>
            </w:pPr>
          </w:p>
        </w:tc>
        <w:tc>
          <w:tcPr>
            <w:tcW w:w="60" w:type="dxa"/>
            <w:vAlign w:val="bottom"/>
            <w:tcBorders>
              <w:bottom w:val="single" w:sz="8" w:color="231F20"/>
            </w:tcBorders>
          </w:tcPr>
          <w:p>
            <w:pPr>
              <w:spacing w:after="0"/>
              <w:rPr>
                <w:sz w:val="4"/>
                <w:szCs w:val="4"/>
                <w:color w:val="auto"/>
              </w:rPr>
            </w:pPr>
          </w:p>
        </w:tc>
        <w:tc>
          <w:tcPr>
            <w:tcW w:w="880" w:type="dxa"/>
            <w:vAlign w:val="bottom"/>
            <w:tcBorders>
              <w:bottom w:val="single" w:sz="8" w:color="231F20"/>
            </w:tcBorders>
          </w:tcPr>
          <w:p>
            <w:pPr>
              <w:spacing w:after="0"/>
              <w:rPr>
                <w:sz w:val="4"/>
                <w:szCs w:val="4"/>
                <w:color w:val="auto"/>
              </w:rPr>
            </w:pPr>
          </w:p>
        </w:tc>
        <w:tc>
          <w:tcPr>
            <w:tcW w:w="60" w:type="dxa"/>
            <w:vAlign w:val="bottom"/>
          </w:tcPr>
          <w:p>
            <w:pPr>
              <w:spacing w:after="0"/>
              <w:rPr>
                <w:sz w:val="4"/>
                <w:szCs w:val="4"/>
                <w:color w:val="auto"/>
              </w:rPr>
            </w:pPr>
          </w:p>
        </w:tc>
        <w:tc>
          <w:tcPr>
            <w:tcW w:w="900" w:type="dxa"/>
            <w:vAlign w:val="bottom"/>
            <w:vMerge w:val="restart"/>
          </w:tcPr>
          <w:p>
            <w:pPr>
              <w:jc w:val="center"/>
              <w:spacing w:after="0" w:line="100" w:lineRule="exact"/>
              <w:rPr>
                <w:sz w:val="20"/>
                <w:szCs w:val="20"/>
                <w:color w:val="auto"/>
              </w:rPr>
            </w:pPr>
            <w:r>
              <w:rPr>
                <w:rFonts w:ascii="Times New Roman" w:cs="Times New Roman" w:eastAsia="Times New Roman" w:hAnsi="Times New Roman"/>
                <w:sz w:val="11"/>
                <w:szCs w:val="11"/>
                <w:b w:val="1"/>
                <w:bCs w:val="1"/>
                <w:color w:val="231F20"/>
              </w:rPr>
              <w:t>Accumulated</w:t>
            </w:r>
          </w:p>
        </w:tc>
        <w:tc>
          <w:tcPr>
            <w:tcW w:w="80" w:type="dxa"/>
            <w:vAlign w:val="bottom"/>
          </w:tcPr>
          <w:p>
            <w:pPr>
              <w:spacing w:after="0"/>
              <w:rPr>
                <w:sz w:val="4"/>
                <w:szCs w:val="4"/>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231F20"/>
                <w:w w:val="99"/>
              </w:rPr>
              <w:t>Date</w:t>
            </w:r>
          </w:p>
        </w:tc>
        <w:tc>
          <w:tcPr>
            <w:tcW w:w="80" w:type="dxa"/>
            <w:vAlign w:val="bottom"/>
          </w:tcPr>
          <w:p>
            <w:pPr>
              <w:spacing w:after="0"/>
              <w:rPr>
                <w:sz w:val="4"/>
                <w:szCs w:val="4"/>
                <w:color w:val="auto"/>
              </w:rPr>
            </w:pPr>
          </w:p>
        </w:tc>
        <w:tc>
          <w:tcPr>
            <w:tcW w:w="860" w:type="dxa"/>
            <w:vAlign w:val="bottom"/>
          </w:tcPr>
          <w:p>
            <w:pPr>
              <w:spacing w:after="0"/>
              <w:rPr>
                <w:sz w:val="4"/>
                <w:szCs w:val="4"/>
                <w:color w:val="auto"/>
              </w:rPr>
            </w:pPr>
          </w:p>
        </w:tc>
        <w:tc>
          <w:tcPr>
            <w:tcW w:w="80" w:type="dxa"/>
            <w:vAlign w:val="bottom"/>
          </w:tcPr>
          <w:p>
            <w:pPr>
              <w:spacing w:after="0"/>
              <w:rPr>
                <w:sz w:val="4"/>
                <w:szCs w:val="4"/>
                <w:color w:val="auto"/>
              </w:rPr>
            </w:pPr>
          </w:p>
        </w:tc>
        <w:tc>
          <w:tcPr>
            <w:tcW w:w="920" w:type="dxa"/>
            <w:vAlign w:val="bottom"/>
            <w:vMerge w:val="restart"/>
          </w:tcPr>
          <w:p>
            <w:pPr>
              <w:jc w:val="center"/>
              <w:spacing w:after="0" w:line="100" w:lineRule="exact"/>
              <w:rPr>
                <w:sz w:val="20"/>
                <w:szCs w:val="20"/>
                <w:color w:val="auto"/>
              </w:rPr>
            </w:pPr>
            <w:r>
              <w:rPr>
                <w:rFonts w:ascii="Times New Roman" w:cs="Times New Roman" w:eastAsia="Times New Roman" w:hAnsi="Times New Roman"/>
                <w:sz w:val="11"/>
                <w:szCs w:val="11"/>
                <w:b w:val="1"/>
                <w:bCs w:val="1"/>
                <w:color w:val="231F20"/>
              </w:rPr>
              <w:t>in latest</w:t>
            </w:r>
          </w:p>
        </w:tc>
        <w:tc>
          <w:tcPr>
            <w:tcW w:w="0" w:type="dxa"/>
            <w:vAlign w:val="bottom"/>
          </w:tcPr>
          <w:p>
            <w:pPr>
              <w:spacing w:after="0"/>
              <w:rPr>
                <w:sz w:val="1"/>
                <w:szCs w:val="1"/>
                <w:color w:val="auto"/>
              </w:rPr>
            </w:pPr>
          </w:p>
        </w:tc>
      </w:tr>
      <w:tr>
        <w:trPr>
          <w:trHeight w:val="32"/>
        </w:trPr>
        <w:tc>
          <w:tcPr>
            <w:tcW w:w="244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90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3"/>
        </w:trPr>
        <w:tc>
          <w:tcPr>
            <w:tcW w:w="2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3"/>
                <w:szCs w:val="13"/>
                <w:b w:val="1"/>
                <w:bCs w:val="1"/>
                <w:color w:val="231F20"/>
              </w:rPr>
              <w:t>Building and</w:t>
            </w:r>
          </w:p>
        </w:tc>
        <w:tc>
          <w:tcPr>
            <w:tcW w:w="860" w:type="dxa"/>
            <w:vAlign w:val="bottom"/>
          </w:tcPr>
          <w:p>
            <w:pPr>
              <w:jc w:val="center"/>
              <w:spacing w:after="0" w:line="133" w:lineRule="exact"/>
              <w:rPr>
                <w:sz w:val="20"/>
                <w:szCs w:val="20"/>
                <w:color w:val="auto"/>
              </w:rPr>
            </w:pPr>
            <w:r>
              <w:rPr>
                <w:rFonts w:ascii="Times New Roman" w:cs="Times New Roman" w:eastAsia="Times New Roman" w:hAnsi="Times New Roman"/>
                <w:sz w:val="13"/>
                <w:szCs w:val="13"/>
                <w:b w:val="1"/>
                <w:bCs w:val="1"/>
                <w:color w:val="231F20"/>
              </w:rPr>
              <w:t>Subsequent</w:t>
            </w: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vMerge w:val="restart"/>
          </w:tcPr>
          <w:p>
            <w:pPr>
              <w:jc w:val="center"/>
              <w:ind w:right="24"/>
              <w:spacing w:after="0"/>
              <w:rPr>
                <w:sz w:val="20"/>
                <w:szCs w:val="20"/>
                <w:color w:val="auto"/>
              </w:rPr>
            </w:pPr>
            <w:r>
              <w:rPr>
                <w:rFonts w:ascii="Times New Roman" w:cs="Times New Roman" w:eastAsia="Times New Roman" w:hAnsi="Times New Roman"/>
                <w:sz w:val="13"/>
                <w:szCs w:val="13"/>
                <w:b w:val="1"/>
                <w:bCs w:val="1"/>
                <w:color w:val="231F20"/>
              </w:rPr>
              <w:t>Building and</w:t>
            </w: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jc w:val="center"/>
              <w:spacing w:after="0" w:line="133" w:lineRule="exact"/>
              <w:rPr>
                <w:sz w:val="20"/>
                <w:szCs w:val="20"/>
                <w:color w:val="auto"/>
              </w:rPr>
            </w:pPr>
            <w:r>
              <w:rPr>
                <w:rFonts w:ascii="Times New Roman" w:cs="Times New Roman" w:eastAsia="Times New Roman" w:hAnsi="Times New Roman"/>
                <w:sz w:val="13"/>
                <w:szCs w:val="13"/>
                <w:b w:val="1"/>
                <w:bCs w:val="1"/>
                <w:color w:val="231F20"/>
              </w:rPr>
              <w:t>Depreciation</w:t>
            </w:r>
          </w:p>
        </w:tc>
        <w:tc>
          <w:tcPr>
            <w:tcW w:w="8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231F20"/>
                <w:w w:val="99"/>
              </w:rPr>
              <w:t>Date</w:t>
            </w:r>
          </w:p>
        </w:tc>
        <w:tc>
          <w:tcPr>
            <w:tcW w:w="80" w:type="dxa"/>
            <w:vAlign w:val="bottom"/>
          </w:tcPr>
          <w:p>
            <w:pPr>
              <w:spacing w:after="0"/>
              <w:rPr>
                <w:sz w:val="11"/>
                <w:szCs w:val="11"/>
                <w:color w:val="auto"/>
              </w:rPr>
            </w:pPr>
          </w:p>
        </w:tc>
        <w:tc>
          <w:tcPr>
            <w:tcW w:w="920" w:type="dxa"/>
            <w:vAlign w:val="bottom"/>
          </w:tcPr>
          <w:p>
            <w:pPr>
              <w:jc w:val="center"/>
              <w:spacing w:after="0" w:line="133" w:lineRule="exact"/>
              <w:rPr>
                <w:sz w:val="20"/>
                <w:szCs w:val="20"/>
                <w:color w:val="auto"/>
              </w:rPr>
            </w:pPr>
            <w:r>
              <w:rPr>
                <w:rFonts w:ascii="Times New Roman" w:cs="Times New Roman" w:eastAsia="Times New Roman" w:hAnsi="Times New Roman"/>
                <w:sz w:val="13"/>
                <w:szCs w:val="13"/>
                <w:b w:val="1"/>
                <w:bCs w:val="1"/>
                <w:color w:val="231F20"/>
              </w:rPr>
              <w:t>income</w:t>
            </w:r>
          </w:p>
        </w:tc>
        <w:tc>
          <w:tcPr>
            <w:tcW w:w="0" w:type="dxa"/>
            <w:vAlign w:val="bottom"/>
          </w:tcPr>
          <w:p>
            <w:pPr>
              <w:spacing w:after="0"/>
              <w:rPr>
                <w:sz w:val="1"/>
                <w:szCs w:val="1"/>
                <w:color w:val="auto"/>
              </w:rPr>
            </w:pPr>
          </w:p>
        </w:tc>
      </w:tr>
      <w:tr>
        <w:trPr>
          <w:trHeight w:val="133"/>
        </w:trPr>
        <w:tc>
          <w:tcPr>
            <w:tcW w:w="2440" w:type="dxa"/>
            <w:vAlign w:val="bottom"/>
            <w:vMerge w:val="restart"/>
          </w:tcPr>
          <w:p>
            <w:pPr>
              <w:ind w:left="60"/>
              <w:spacing w:after="0"/>
              <w:rPr>
                <w:sz w:val="20"/>
                <w:szCs w:val="20"/>
                <w:color w:val="auto"/>
              </w:rPr>
            </w:pPr>
            <w:r>
              <w:rPr>
                <w:rFonts w:ascii="Times New Roman" w:cs="Times New Roman" w:eastAsia="Times New Roman" w:hAnsi="Times New Roman"/>
                <w:sz w:val="13"/>
                <w:szCs w:val="13"/>
                <w:b w:val="1"/>
                <w:bCs w:val="1"/>
                <w:color w:val="231F20"/>
              </w:rPr>
              <w:t>Descriptions</w:t>
            </w:r>
          </w:p>
        </w:tc>
        <w:tc>
          <w:tcPr>
            <w:tcW w:w="80" w:type="dxa"/>
            <w:vAlign w:val="bottom"/>
          </w:tcPr>
          <w:p>
            <w:pPr>
              <w:spacing w:after="0"/>
              <w:rPr>
                <w:sz w:val="11"/>
                <w:szCs w:val="11"/>
                <w:color w:val="auto"/>
              </w:rPr>
            </w:pPr>
          </w:p>
        </w:tc>
        <w:tc>
          <w:tcPr>
            <w:tcW w:w="900" w:type="dxa"/>
            <w:vAlign w:val="bottom"/>
            <w:vMerge w:val="restart"/>
          </w:tcPr>
          <w:p>
            <w:pPr>
              <w:ind w:left="40"/>
              <w:spacing w:after="0"/>
              <w:rPr>
                <w:sz w:val="20"/>
                <w:szCs w:val="20"/>
                <w:color w:val="auto"/>
              </w:rPr>
            </w:pPr>
            <w:r>
              <w:rPr>
                <w:rFonts w:ascii="Times New Roman" w:cs="Times New Roman" w:eastAsia="Times New Roman" w:hAnsi="Times New Roman"/>
                <w:sz w:val="13"/>
                <w:szCs w:val="13"/>
                <w:b w:val="1"/>
                <w:bCs w:val="1"/>
                <w:color w:val="231F20"/>
              </w:rPr>
              <w:t>Encumbrance</w:t>
            </w:r>
          </w:p>
        </w:tc>
        <w:tc>
          <w:tcPr>
            <w:tcW w:w="80" w:type="dxa"/>
            <w:vAlign w:val="bottom"/>
          </w:tcPr>
          <w:p>
            <w:pPr>
              <w:spacing w:after="0"/>
              <w:rPr>
                <w:sz w:val="11"/>
                <w:szCs w:val="11"/>
                <w:color w:val="auto"/>
              </w:rPr>
            </w:pPr>
          </w:p>
        </w:tc>
        <w:tc>
          <w:tcPr>
            <w:tcW w:w="900" w:type="dxa"/>
            <w:vAlign w:val="bottom"/>
            <w:vMerge w:val="restart"/>
          </w:tcPr>
          <w:p>
            <w:pPr>
              <w:jc w:val="right"/>
              <w:ind w:right="219"/>
              <w:spacing w:after="0"/>
              <w:rPr>
                <w:sz w:val="20"/>
                <w:szCs w:val="20"/>
                <w:color w:val="auto"/>
              </w:rPr>
            </w:pPr>
            <w:r>
              <w:rPr>
                <w:rFonts w:ascii="Times New Roman" w:cs="Times New Roman" w:eastAsia="Times New Roman" w:hAnsi="Times New Roman"/>
                <w:sz w:val="13"/>
                <w:szCs w:val="13"/>
                <w:b w:val="1"/>
                <w:bCs w:val="1"/>
                <w:color w:val="231F20"/>
              </w:rPr>
              <w:t>Land</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860" w:type="dxa"/>
            <w:vAlign w:val="bottom"/>
          </w:tcPr>
          <w:p>
            <w:pPr>
              <w:jc w:val="center"/>
              <w:spacing w:after="0" w:line="133" w:lineRule="exact"/>
              <w:rPr>
                <w:sz w:val="20"/>
                <w:szCs w:val="20"/>
                <w:color w:val="auto"/>
              </w:rPr>
            </w:pPr>
            <w:r>
              <w:rPr>
                <w:rFonts w:ascii="Times New Roman" w:cs="Times New Roman" w:eastAsia="Times New Roman" w:hAnsi="Times New Roman"/>
                <w:sz w:val="13"/>
                <w:szCs w:val="13"/>
                <w:b w:val="1"/>
                <w:bCs w:val="1"/>
                <w:color w:val="231F20"/>
                <w:w w:val="91"/>
              </w:rPr>
              <w:t>to</w:t>
            </w:r>
          </w:p>
        </w:tc>
        <w:tc>
          <w:tcPr>
            <w:tcW w:w="80" w:type="dxa"/>
            <w:vAlign w:val="bottom"/>
          </w:tcPr>
          <w:p>
            <w:pPr>
              <w:spacing w:after="0"/>
              <w:rPr>
                <w:sz w:val="11"/>
                <w:szCs w:val="11"/>
                <w:color w:val="auto"/>
              </w:rPr>
            </w:pPr>
          </w:p>
        </w:tc>
        <w:tc>
          <w:tcPr>
            <w:tcW w:w="860" w:type="dxa"/>
            <w:vAlign w:val="bottom"/>
            <w:vMerge w:val="restart"/>
          </w:tcPr>
          <w:p>
            <w:pPr>
              <w:jc w:val="right"/>
              <w:ind w:right="191"/>
              <w:spacing w:after="0"/>
              <w:rPr>
                <w:sz w:val="20"/>
                <w:szCs w:val="20"/>
                <w:color w:val="auto"/>
              </w:rPr>
            </w:pPr>
            <w:r>
              <w:rPr>
                <w:rFonts w:ascii="Times New Roman" w:cs="Times New Roman" w:eastAsia="Times New Roman" w:hAnsi="Times New Roman"/>
                <w:sz w:val="13"/>
                <w:szCs w:val="13"/>
                <w:b w:val="1"/>
                <w:bCs w:val="1"/>
                <w:color w:val="231F20"/>
              </w:rPr>
              <w:t>Land</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gridSpan w:val="2"/>
            <w:vMerge w:val="restart"/>
          </w:tcPr>
          <w:p>
            <w:pPr>
              <w:ind w:left="300"/>
              <w:spacing w:after="0"/>
              <w:rPr>
                <w:sz w:val="20"/>
                <w:szCs w:val="20"/>
                <w:color w:val="auto"/>
              </w:rPr>
            </w:pPr>
            <w:r>
              <w:rPr>
                <w:rFonts w:ascii="Times New Roman" w:cs="Times New Roman" w:eastAsia="Times New Roman" w:hAnsi="Times New Roman"/>
                <w:sz w:val="13"/>
                <w:szCs w:val="13"/>
                <w:b w:val="1"/>
                <w:bCs w:val="1"/>
                <w:color w:val="231F20"/>
              </w:rPr>
              <w:t>Total</w:t>
            </w:r>
          </w:p>
        </w:tc>
        <w:tc>
          <w:tcPr>
            <w:tcW w:w="900" w:type="dxa"/>
            <w:vAlign w:val="bottom"/>
          </w:tcPr>
          <w:p>
            <w:pPr>
              <w:jc w:val="center"/>
              <w:spacing w:after="0" w:line="133" w:lineRule="exact"/>
              <w:rPr>
                <w:sz w:val="20"/>
                <w:szCs w:val="20"/>
                <w:color w:val="auto"/>
              </w:rPr>
            </w:pPr>
            <w:r>
              <w:rPr>
                <w:rFonts w:ascii="Times New Roman" w:cs="Times New Roman" w:eastAsia="Times New Roman" w:hAnsi="Times New Roman"/>
                <w:sz w:val="13"/>
                <w:szCs w:val="13"/>
                <w:b w:val="1"/>
                <w:bCs w:val="1"/>
                <w:color w:val="231F20"/>
              </w:rPr>
              <w:t>and</w:t>
            </w:r>
          </w:p>
        </w:tc>
        <w:tc>
          <w:tcPr>
            <w:tcW w:w="80" w:type="dxa"/>
            <w:vAlign w:val="bottom"/>
          </w:tcPr>
          <w:p>
            <w:pPr>
              <w:spacing w:after="0"/>
              <w:rPr>
                <w:sz w:val="11"/>
                <w:szCs w:val="11"/>
                <w:color w:val="auto"/>
              </w:rPr>
            </w:pPr>
          </w:p>
        </w:tc>
        <w:tc>
          <w:tcPr>
            <w:tcW w:w="860" w:type="dxa"/>
            <w:vAlign w:val="bottom"/>
          </w:tcPr>
          <w:p>
            <w:pPr>
              <w:jc w:val="center"/>
              <w:spacing w:after="0" w:line="133" w:lineRule="exact"/>
              <w:rPr>
                <w:sz w:val="20"/>
                <w:szCs w:val="20"/>
                <w:color w:val="auto"/>
              </w:rPr>
            </w:pPr>
            <w:r>
              <w:rPr>
                <w:rFonts w:ascii="Times New Roman" w:cs="Times New Roman" w:eastAsia="Times New Roman" w:hAnsi="Times New Roman"/>
                <w:sz w:val="13"/>
                <w:szCs w:val="13"/>
                <w:b w:val="1"/>
                <w:bCs w:val="1"/>
                <w:color w:val="231F20"/>
                <w:w w:val="91"/>
              </w:rPr>
              <w:t>of</w:t>
            </w:r>
          </w:p>
        </w:tc>
        <w:tc>
          <w:tcPr>
            <w:tcW w:w="8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jc w:val="center"/>
              <w:spacing w:after="0" w:line="133" w:lineRule="exact"/>
              <w:rPr>
                <w:sz w:val="20"/>
                <w:szCs w:val="20"/>
                <w:color w:val="auto"/>
              </w:rPr>
            </w:pPr>
            <w:r>
              <w:rPr>
                <w:rFonts w:ascii="Times New Roman" w:cs="Times New Roman" w:eastAsia="Times New Roman" w:hAnsi="Times New Roman"/>
                <w:sz w:val="13"/>
                <w:szCs w:val="13"/>
                <w:b w:val="1"/>
                <w:bCs w:val="1"/>
                <w:color w:val="231F20"/>
              </w:rPr>
              <w:t>statements is</w:t>
            </w:r>
          </w:p>
        </w:tc>
        <w:tc>
          <w:tcPr>
            <w:tcW w:w="0" w:type="dxa"/>
            <w:vAlign w:val="bottom"/>
          </w:tcPr>
          <w:p>
            <w:pPr>
              <w:spacing w:after="0"/>
              <w:rPr>
                <w:sz w:val="1"/>
                <w:szCs w:val="1"/>
                <w:color w:val="auto"/>
              </w:rPr>
            </w:pPr>
          </w:p>
        </w:tc>
      </w:tr>
      <w:tr>
        <w:trPr>
          <w:trHeight w:val="180"/>
        </w:trPr>
        <w:tc>
          <w:tcPr>
            <w:tcW w:w="24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3"/>
          </w:tcPr>
          <w:p>
            <w:pPr>
              <w:jc w:val="center"/>
              <w:ind w:right="40"/>
              <w:spacing w:after="0"/>
              <w:rPr>
                <w:sz w:val="20"/>
                <w:szCs w:val="20"/>
                <w:color w:val="auto"/>
              </w:rPr>
            </w:pPr>
            <w:r>
              <w:rPr>
                <w:rFonts w:ascii="Times New Roman" w:cs="Times New Roman" w:eastAsia="Times New Roman" w:hAnsi="Times New Roman"/>
                <w:sz w:val="13"/>
                <w:szCs w:val="13"/>
                <w:b w:val="1"/>
                <w:bCs w:val="1"/>
                <w:color w:val="231F20"/>
              </w:rPr>
              <w:t>Improvements</w:t>
            </w: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231F20"/>
              </w:rPr>
              <w:t>Acquisition</w:t>
            </w:r>
          </w:p>
        </w:tc>
        <w:tc>
          <w:tcPr>
            <w:tcW w:w="8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231F20"/>
              </w:rPr>
              <w:t>Improvements</w:t>
            </w:r>
          </w:p>
        </w:tc>
        <w:tc>
          <w:tcPr>
            <w:tcW w:w="6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231F20"/>
              </w:rPr>
              <w:t>Amortization</w:t>
            </w:r>
          </w:p>
        </w:tc>
        <w:tc>
          <w:tcPr>
            <w:tcW w:w="8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231F20"/>
              </w:rPr>
              <w:t>Construction</w:t>
            </w:r>
          </w:p>
        </w:tc>
        <w:tc>
          <w:tcPr>
            <w:tcW w:w="8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231F20"/>
              </w:rPr>
              <w:t>Acquired</w:t>
            </w:r>
          </w:p>
        </w:tc>
        <w:tc>
          <w:tcPr>
            <w:tcW w:w="8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231F20"/>
              </w:rPr>
              <w:t>computed</w:t>
            </w:r>
          </w:p>
        </w:tc>
        <w:tc>
          <w:tcPr>
            <w:tcW w:w="0" w:type="dxa"/>
            <w:vAlign w:val="bottom"/>
          </w:tcPr>
          <w:p>
            <w:pPr>
              <w:spacing w:after="0"/>
              <w:rPr>
                <w:sz w:val="1"/>
                <w:szCs w:val="1"/>
                <w:color w:val="auto"/>
              </w:rPr>
            </w:pPr>
          </w:p>
        </w:tc>
      </w:tr>
      <w:tr>
        <w:trPr>
          <w:trHeight w:val="198"/>
        </w:trPr>
        <w:tc>
          <w:tcPr>
            <w:tcW w:w="2440" w:type="dxa"/>
            <w:vAlign w:val="bottom"/>
            <w:tcBorders>
              <w:top w:val="single" w:sz="8" w:color="231F20"/>
            </w:tcBorders>
          </w:tcPr>
          <w:p>
            <w:pPr>
              <w:ind w:left="60"/>
              <w:spacing w:after="0"/>
              <w:rPr>
                <w:sz w:val="20"/>
                <w:szCs w:val="20"/>
                <w:color w:val="auto"/>
              </w:rPr>
            </w:pPr>
            <w:r>
              <w:rPr>
                <w:rFonts w:ascii="Times New Roman" w:cs="Times New Roman" w:eastAsia="Times New Roman" w:hAnsi="Times New Roman"/>
                <w:sz w:val="15"/>
                <w:szCs w:val="15"/>
                <w:color w:val="231F20"/>
              </w:rPr>
              <w:t>29TH PLACE (Virginia)</w:t>
            </w:r>
          </w:p>
        </w:tc>
        <w:tc>
          <w:tcPr>
            <w:tcW w:w="80" w:type="dxa"/>
            <w:vAlign w:val="bottom"/>
          </w:tcPr>
          <w:p>
            <w:pPr>
              <w:spacing w:after="0"/>
              <w:rPr>
                <w:sz w:val="17"/>
                <w:szCs w:val="17"/>
                <w:color w:val="auto"/>
              </w:rPr>
            </w:pPr>
          </w:p>
        </w:tc>
        <w:tc>
          <w:tcPr>
            <w:tcW w:w="900" w:type="dxa"/>
            <w:vAlign w:val="bottom"/>
            <w:tcBorders>
              <w:top w:val="single" w:sz="8" w:color="231F20"/>
            </w:tcBorders>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15"/>
                <w:szCs w:val="15"/>
                <w:color w:val="231F20"/>
              </w:rPr>
              <w:t>$10,211</w:t>
            </w:r>
          </w:p>
        </w:tc>
        <w:tc>
          <w:tcPr>
            <w:tcW w:w="80" w:type="dxa"/>
            <w:vAlign w:val="bottom"/>
          </w:tcPr>
          <w:p>
            <w:pPr>
              <w:spacing w:after="0"/>
              <w:rPr>
                <w:sz w:val="17"/>
                <w:szCs w:val="17"/>
                <w:color w:val="auto"/>
              </w:rPr>
            </w:pPr>
          </w:p>
        </w:tc>
        <w:tc>
          <w:tcPr>
            <w:tcW w:w="12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82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15"/>
                <w:szCs w:val="15"/>
                <w:color w:val="231F20"/>
              </w:rPr>
              <w:t>18,863</w:t>
            </w:r>
          </w:p>
        </w:tc>
        <w:tc>
          <w:tcPr>
            <w:tcW w:w="80" w:type="dxa"/>
            <w:vAlign w:val="bottom"/>
          </w:tcPr>
          <w:p>
            <w:pPr>
              <w:spacing w:after="0"/>
              <w:rPr>
                <w:sz w:val="17"/>
                <w:szCs w:val="17"/>
                <w:color w:val="auto"/>
              </w:rPr>
            </w:pPr>
          </w:p>
        </w:tc>
        <w:tc>
          <w:tcPr>
            <w:tcW w:w="86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15"/>
                <w:szCs w:val="15"/>
                <w:color w:val="231F20"/>
              </w:rPr>
              <w:t>$    11,994</w:t>
            </w:r>
          </w:p>
        </w:tc>
        <w:tc>
          <w:tcPr>
            <w:tcW w:w="80" w:type="dxa"/>
            <w:vAlign w:val="bottom"/>
          </w:tcPr>
          <w:p>
            <w:pPr>
              <w:spacing w:after="0"/>
              <w:rPr>
                <w:sz w:val="17"/>
                <w:szCs w:val="17"/>
                <w:color w:val="auto"/>
              </w:rPr>
            </w:pPr>
          </w:p>
        </w:tc>
        <w:tc>
          <w:tcPr>
            <w:tcW w:w="86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15"/>
                <w:szCs w:val="15"/>
                <w:color w:val="231F20"/>
              </w:rPr>
              <w:t>$    10,182</w:t>
            </w:r>
          </w:p>
        </w:tc>
        <w:tc>
          <w:tcPr>
            <w:tcW w:w="80" w:type="dxa"/>
            <w:vAlign w:val="bottom"/>
          </w:tcPr>
          <w:p>
            <w:pPr>
              <w:spacing w:after="0"/>
              <w:rPr>
                <w:sz w:val="17"/>
                <w:szCs w:val="17"/>
                <w:color w:val="auto"/>
              </w:rPr>
            </w:pPr>
          </w:p>
        </w:tc>
        <w:tc>
          <w:tcPr>
            <w:tcW w:w="12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84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15"/>
                <w:szCs w:val="15"/>
                <w:color w:val="231F20"/>
              </w:rPr>
              <w:t>30,886</w:t>
            </w:r>
          </w:p>
        </w:tc>
        <w:tc>
          <w:tcPr>
            <w:tcW w:w="60" w:type="dxa"/>
            <w:vAlign w:val="bottom"/>
          </w:tcPr>
          <w:p>
            <w:pPr>
              <w:spacing w:after="0"/>
              <w:rPr>
                <w:sz w:val="17"/>
                <w:szCs w:val="17"/>
                <w:color w:val="auto"/>
              </w:rPr>
            </w:pPr>
          </w:p>
        </w:tc>
        <w:tc>
          <w:tcPr>
            <w:tcW w:w="88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15"/>
                <w:szCs w:val="15"/>
                <w:color w:val="231F20"/>
              </w:rPr>
              <w:t>$    41,068</w:t>
            </w:r>
          </w:p>
        </w:tc>
        <w:tc>
          <w:tcPr>
            <w:tcW w:w="60" w:type="dxa"/>
            <w:vAlign w:val="bottom"/>
          </w:tcPr>
          <w:p>
            <w:pPr>
              <w:spacing w:after="0"/>
              <w:rPr>
                <w:sz w:val="17"/>
                <w:szCs w:val="17"/>
                <w:color w:val="auto"/>
              </w:rPr>
            </w:pPr>
          </w:p>
        </w:tc>
        <w:tc>
          <w:tcPr>
            <w:tcW w:w="90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15"/>
                <w:szCs w:val="15"/>
                <w:color w:val="231F20"/>
              </w:rPr>
              <w:t>$19,777</w:t>
            </w:r>
          </w:p>
        </w:tc>
        <w:tc>
          <w:tcPr>
            <w:tcW w:w="80" w:type="dxa"/>
            <w:vAlign w:val="bottom"/>
          </w:tcPr>
          <w:p>
            <w:pPr>
              <w:spacing w:after="0"/>
              <w:rPr>
                <w:sz w:val="17"/>
                <w:szCs w:val="17"/>
                <w:color w:val="auto"/>
              </w:rPr>
            </w:pPr>
          </w:p>
        </w:tc>
        <w:tc>
          <w:tcPr>
            <w:tcW w:w="86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15"/>
                <w:szCs w:val="15"/>
                <w:color w:val="231F20"/>
              </w:rPr>
              <w:t>1975 - 2001</w:t>
            </w:r>
          </w:p>
        </w:tc>
        <w:tc>
          <w:tcPr>
            <w:tcW w:w="80" w:type="dxa"/>
            <w:vAlign w:val="bottom"/>
          </w:tcPr>
          <w:p>
            <w:pPr>
              <w:spacing w:after="0"/>
              <w:rPr>
                <w:sz w:val="17"/>
                <w:szCs w:val="17"/>
                <w:color w:val="auto"/>
              </w:rPr>
            </w:pPr>
          </w:p>
        </w:tc>
        <w:tc>
          <w:tcPr>
            <w:tcW w:w="86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15"/>
                <w:szCs w:val="15"/>
                <w:color w:val="231F20"/>
              </w:rPr>
              <w:t>5/30/2007</w:t>
            </w:r>
          </w:p>
        </w:tc>
        <w:tc>
          <w:tcPr>
            <w:tcW w:w="80" w:type="dxa"/>
            <w:vAlign w:val="bottom"/>
          </w:tcPr>
          <w:p>
            <w:pPr>
              <w:spacing w:after="0"/>
              <w:rPr>
                <w:sz w:val="17"/>
                <w:szCs w:val="17"/>
                <w:color w:val="auto"/>
              </w:rPr>
            </w:pPr>
          </w:p>
        </w:tc>
        <w:tc>
          <w:tcPr>
            <w:tcW w:w="920" w:type="dxa"/>
            <w:vAlign w:val="bottom"/>
            <w:tcBorders>
              <w:top w:val="single" w:sz="8" w:color="231F20"/>
            </w:tcBorders>
          </w:tcPr>
          <w:p>
            <w:pPr>
              <w:jc w:val="center"/>
              <w:spacing w:after="0"/>
              <w:rPr>
                <w:sz w:val="20"/>
                <w:szCs w:val="20"/>
                <w:color w:val="auto"/>
              </w:rPr>
            </w:pPr>
            <w:r>
              <w:rPr>
                <w:rFonts w:ascii="Times New Roman" w:cs="Times New Roman" w:eastAsia="Times New Roman" w:hAnsi="Times New Roman"/>
                <w:sz w:val="15"/>
                <w:szCs w:val="15"/>
                <w:color w:val="231F20"/>
              </w:rPr>
              <w:t>(1)</w:t>
            </w:r>
          </w:p>
        </w:tc>
        <w:tc>
          <w:tcPr>
            <w:tcW w:w="0" w:type="dxa"/>
            <w:vAlign w:val="bottom"/>
          </w:tcPr>
          <w:p>
            <w:pPr>
              <w:spacing w:after="0"/>
              <w:rPr>
                <w:sz w:val="1"/>
                <w:szCs w:val="1"/>
                <w:color w:val="auto"/>
              </w:rPr>
            </w:pPr>
          </w:p>
        </w:tc>
      </w:tr>
      <w:tr>
        <w:trPr>
          <w:trHeight w:val="233"/>
        </w:trPr>
        <w:tc>
          <w:tcPr>
            <w:tcW w:w="2440" w:type="dxa"/>
            <w:vAlign w:val="bottom"/>
          </w:tcPr>
          <w:p>
            <w:pPr>
              <w:ind w:left="60"/>
              <w:spacing w:after="0"/>
              <w:rPr>
                <w:sz w:val="20"/>
                <w:szCs w:val="20"/>
                <w:color w:val="auto"/>
              </w:rPr>
            </w:pPr>
            <w:r>
              <w:rPr>
                <w:rFonts w:ascii="Times New Roman" w:cs="Times New Roman" w:eastAsia="Times New Roman" w:hAnsi="Times New Roman"/>
                <w:sz w:val="15"/>
                <w:szCs w:val="15"/>
                <w:color w:val="231F20"/>
              </w:rPr>
              <w:t>ANDORRA (Pennsylvania)</w:t>
            </w: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2,432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12,346</w:t>
            </w:r>
          </w:p>
        </w:tc>
        <w:tc>
          <w:tcPr>
            <w:tcW w:w="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39,127</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2,432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51,473</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53,905</w:t>
            </w:r>
          </w:p>
        </w:tc>
        <w:tc>
          <w:tcPr>
            <w:tcW w:w="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22,032</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1953</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1/12/1988</w:t>
            </w: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231F20"/>
              </w:rPr>
              <w:t>(1)</w:t>
            </w:r>
          </w:p>
        </w:tc>
        <w:tc>
          <w:tcPr>
            <w:tcW w:w="0" w:type="dxa"/>
            <w:vAlign w:val="bottom"/>
          </w:tcPr>
          <w:p>
            <w:pPr>
              <w:spacing w:after="0"/>
              <w:rPr>
                <w:sz w:val="1"/>
                <w:szCs w:val="1"/>
                <w:color w:val="auto"/>
              </w:rPr>
            </w:pPr>
          </w:p>
        </w:tc>
      </w:tr>
      <w:tr>
        <w:trPr>
          <w:trHeight w:val="217"/>
        </w:trPr>
        <w:tc>
          <w:tcPr>
            <w:tcW w:w="2440" w:type="dxa"/>
            <w:vAlign w:val="bottom"/>
          </w:tcPr>
          <w:p>
            <w:pPr>
              <w:ind w:left="60"/>
              <w:spacing w:after="0"/>
              <w:rPr>
                <w:sz w:val="20"/>
                <w:szCs w:val="20"/>
                <w:color w:val="auto"/>
              </w:rPr>
            </w:pPr>
            <w:r>
              <w:rPr>
                <w:rFonts w:ascii="Times New Roman" w:cs="Times New Roman" w:eastAsia="Times New Roman" w:hAnsi="Times New Roman"/>
                <w:sz w:val="15"/>
                <w:szCs w:val="15"/>
                <w:color w:val="231F20"/>
              </w:rPr>
              <w:t>ANNAPOLIS TOWN CENTER</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26,755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231F20"/>
              </w:rPr>
              <w:t>150,546</w:t>
            </w:r>
          </w:p>
        </w:tc>
        <w:tc>
          <w:tcPr>
            <w:tcW w:w="8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231F20"/>
              </w:rPr>
              <w:t>128</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26,755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231F20"/>
              </w:rPr>
              <w:t>150,674</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177,429</w:t>
            </w:r>
          </w:p>
        </w:tc>
        <w:tc>
          <w:tcPr>
            <w:tcW w:w="60" w:type="dxa"/>
            <w:vAlign w:val="bottom"/>
          </w:tcPr>
          <w:p>
            <w:pPr>
              <w:spacing w:after="0"/>
              <w:rPr>
                <w:sz w:val="18"/>
                <w:szCs w:val="18"/>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231F20"/>
              </w:rPr>
              <w:t>1,702</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2007-2010</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10/10/2025</w:t>
            </w:r>
          </w:p>
        </w:tc>
        <w:tc>
          <w:tcPr>
            <w:tcW w:w="10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5"/>
                <w:szCs w:val="15"/>
                <w:color w:val="231F20"/>
              </w:rPr>
              <w:t>(1)</w:t>
            </w:r>
          </w:p>
        </w:tc>
        <w:tc>
          <w:tcPr>
            <w:tcW w:w="0" w:type="dxa"/>
            <w:vAlign w:val="bottom"/>
          </w:tcPr>
          <w:p>
            <w:pPr>
              <w:spacing w:after="0"/>
              <w:rPr>
                <w:sz w:val="1"/>
                <w:szCs w:val="1"/>
                <w:color w:val="auto"/>
              </w:rPr>
            </w:pPr>
          </w:p>
        </w:tc>
      </w:tr>
      <w:tr>
        <w:trPr>
          <w:trHeight w:val="198"/>
        </w:trPr>
        <w:tc>
          <w:tcPr>
            <w:tcW w:w="2440" w:type="dxa"/>
            <w:vAlign w:val="bottom"/>
          </w:tcPr>
          <w:p>
            <w:pPr>
              <w:ind w:left="60"/>
              <w:spacing w:after="0"/>
              <w:rPr>
                <w:sz w:val="20"/>
                <w:szCs w:val="20"/>
                <w:color w:val="auto"/>
              </w:rPr>
            </w:pPr>
            <w:r>
              <w:rPr>
                <w:rFonts w:ascii="Times New Roman" w:cs="Times New Roman" w:eastAsia="Times New Roman" w:hAnsi="Times New Roman"/>
                <w:sz w:val="15"/>
                <w:szCs w:val="15"/>
                <w:color w:val="231F20"/>
              </w:rPr>
              <w:t>(Maryland)</w:t>
            </w: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440" w:type="dxa"/>
            <w:vAlign w:val="bottom"/>
          </w:tcPr>
          <w:p>
            <w:pPr>
              <w:ind w:left="60"/>
              <w:spacing w:after="0"/>
              <w:rPr>
                <w:sz w:val="20"/>
                <w:szCs w:val="20"/>
                <w:color w:val="auto"/>
              </w:rPr>
            </w:pPr>
            <w:r>
              <w:rPr>
                <w:rFonts w:ascii="Times New Roman" w:cs="Times New Roman" w:eastAsia="Times New Roman" w:hAnsi="Times New Roman"/>
                <w:sz w:val="15"/>
                <w:szCs w:val="15"/>
                <w:color w:val="231F20"/>
              </w:rPr>
              <w:t>ASSEMBLY ROW/ASSEMBLY</w:t>
            </w: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2005,</w:t>
            </w: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2440" w:type="dxa"/>
            <w:vAlign w:val="bottom"/>
          </w:tcPr>
          <w:p>
            <w:pPr>
              <w:ind w:left="60"/>
              <w:spacing w:after="0" w:line="152" w:lineRule="exact"/>
              <w:rPr>
                <w:sz w:val="20"/>
                <w:szCs w:val="20"/>
                <w:color w:val="auto"/>
              </w:rPr>
            </w:pPr>
            <w:r>
              <w:rPr>
                <w:rFonts w:ascii="Times New Roman" w:cs="Times New Roman" w:eastAsia="Times New Roman" w:hAnsi="Times New Roman"/>
                <w:sz w:val="15"/>
                <w:szCs w:val="15"/>
                <w:color w:val="231F20"/>
              </w:rPr>
              <w:t>SQUARE MARKETPLACE</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93,252</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231F20"/>
              </w:rPr>
              <w:t>34,196</w:t>
            </w:r>
          </w:p>
        </w:tc>
        <w:tc>
          <w:tcPr>
            <w:tcW w:w="8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231F20"/>
              </w:rPr>
              <w:t>1,024,008</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69,421</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231F20"/>
              </w:rPr>
              <w:t>1,082,035</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1,151,456</w:t>
            </w:r>
          </w:p>
        </w:tc>
        <w:tc>
          <w:tcPr>
            <w:tcW w:w="6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231F20"/>
              </w:rPr>
              <w:t>227,346</w:t>
            </w:r>
          </w:p>
        </w:tc>
        <w:tc>
          <w:tcPr>
            <w:tcW w:w="940" w:type="dxa"/>
            <w:vAlign w:val="bottom"/>
            <w:gridSpan w:val="2"/>
            <w:vMerge w:val="continue"/>
          </w:tcPr>
          <w:p>
            <w:pPr>
              <w:spacing w:after="0"/>
              <w:rPr>
                <w:sz w:val="13"/>
                <w:szCs w:val="13"/>
                <w:color w:val="auto"/>
              </w:rPr>
            </w:pP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2005-2013</w:t>
            </w:r>
          </w:p>
        </w:tc>
        <w:tc>
          <w:tcPr>
            <w:tcW w:w="10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5"/>
                <w:szCs w:val="15"/>
                <w:color w:val="231F20"/>
              </w:rPr>
              <w:t>(1)</w:t>
            </w:r>
          </w:p>
        </w:tc>
        <w:tc>
          <w:tcPr>
            <w:tcW w:w="0" w:type="dxa"/>
            <w:vAlign w:val="bottom"/>
          </w:tcPr>
          <w:p>
            <w:pPr>
              <w:spacing w:after="0"/>
              <w:rPr>
                <w:sz w:val="1"/>
                <w:szCs w:val="1"/>
                <w:color w:val="auto"/>
              </w:rPr>
            </w:pPr>
          </w:p>
        </w:tc>
      </w:tr>
      <w:tr>
        <w:trPr>
          <w:trHeight w:val="198"/>
        </w:trPr>
        <w:tc>
          <w:tcPr>
            <w:tcW w:w="2440" w:type="dxa"/>
            <w:vAlign w:val="bottom"/>
          </w:tcPr>
          <w:p>
            <w:pPr>
              <w:ind w:left="60"/>
              <w:spacing w:after="0"/>
              <w:rPr>
                <w:sz w:val="20"/>
                <w:szCs w:val="20"/>
                <w:color w:val="auto"/>
              </w:rPr>
            </w:pPr>
            <w:r>
              <w:rPr>
                <w:rFonts w:ascii="Times New Roman" w:cs="Times New Roman" w:eastAsia="Times New Roman" w:hAnsi="Times New Roman"/>
                <w:sz w:val="15"/>
                <w:szCs w:val="15"/>
                <w:color w:val="231F20"/>
              </w:rPr>
              <w:t>(Massachusetts)</w:t>
            </w: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2012-2023</w:t>
            </w:r>
          </w:p>
        </w:tc>
        <w:tc>
          <w:tcPr>
            <w:tcW w:w="940" w:type="dxa"/>
            <w:vAlign w:val="bottom"/>
            <w:gridSpan w:val="2"/>
            <w:vMerge w:val="continue"/>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440" w:type="dxa"/>
            <w:vAlign w:val="bottom"/>
          </w:tcPr>
          <w:p>
            <w:pPr>
              <w:ind w:left="60"/>
              <w:spacing w:after="0"/>
              <w:rPr>
                <w:sz w:val="20"/>
                <w:szCs w:val="20"/>
                <w:color w:val="auto"/>
              </w:rPr>
            </w:pPr>
            <w:r>
              <w:rPr>
                <w:rFonts w:ascii="Times New Roman" w:cs="Times New Roman" w:eastAsia="Times New Roman" w:hAnsi="Times New Roman"/>
                <w:sz w:val="15"/>
                <w:szCs w:val="15"/>
                <w:color w:val="231F20"/>
              </w:rPr>
              <w:t>AZALEA (California)</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54,465</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40,219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67,117</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1,684</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40,219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68,801</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109,020</w:t>
            </w:r>
          </w:p>
        </w:tc>
        <w:tc>
          <w:tcPr>
            <w:tcW w:w="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19,557</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2014</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8/2/2017</w:t>
            </w: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231F20"/>
              </w:rPr>
              <w:t>(1)</w:t>
            </w:r>
          </w:p>
        </w:tc>
        <w:tc>
          <w:tcPr>
            <w:tcW w:w="0" w:type="dxa"/>
            <w:vAlign w:val="bottom"/>
          </w:tcPr>
          <w:p>
            <w:pPr>
              <w:spacing w:after="0"/>
              <w:rPr>
                <w:sz w:val="1"/>
                <w:szCs w:val="1"/>
                <w:color w:val="auto"/>
              </w:rPr>
            </w:pPr>
          </w:p>
        </w:tc>
      </w:tr>
      <w:tr>
        <w:trPr>
          <w:trHeight w:val="188"/>
        </w:trPr>
        <w:tc>
          <w:tcPr>
            <w:tcW w:w="2440" w:type="dxa"/>
            <w:vAlign w:val="bottom"/>
          </w:tcPr>
          <w:p>
            <w:pPr>
              <w:ind w:left="60"/>
              <w:spacing w:after="0"/>
              <w:rPr>
                <w:sz w:val="20"/>
                <w:szCs w:val="20"/>
                <w:color w:val="auto"/>
              </w:rPr>
            </w:pPr>
            <w:r>
              <w:rPr>
                <w:rFonts w:ascii="Times New Roman" w:cs="Times New Roman" w:eastAsia="Times New Roman" w:hAnsi="Times New Roman"/>
                <w:sz w:val="15"/>
                <w:szCs w:val="15"/>
                <w:color w:val="231F20"/>
              </w:rPr>
              <w:t>BALA CYNWYD ON CITY</w:t>
            </w: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3,565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231F20"/>
              </w:rPr>
              <w:t>14,466</w:t>
            </w:r>
          </w:p>
        </w:tc>
        <w:tc>
          <w:tcPr>
            <w:tcW w:w="8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231F20"/>
              </w:rPr>
              <w:t>115,264</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3,435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231F20"/>
              </w:rPr>
              <w:t>129,860</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133,295</w:t>
            </w:r>
          </w:p>
        </w:tc>
        <w:tc>
          <w:tcPr>
            <w:tcW w:w="6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231F20"/>
              </w:rPr>
              <w:t>30,108</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1955/2020/</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9/22/1993</w:t>
            </w:r>
          </w:p>
        </w:tc>
        <w:tc>
          <w:tcPr>
            <w:tcW w:w="10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5"/>
                <w:szCs w:val="15"/>
                <w:color w:val="231F20"/>
              </w:rPr>
              <w:t>(1)</w:t>
            </w:r>
          </w:p>
        </w:tc>
        <w:tc>
          <w:tcPr>
            <w:tcW w:w="0" w:type="dxa"/>
            <w:vAlign w:val="bottom"/>
          </w:tcPr>
          <w:p>
            <w:pPr>
              <w:spacing w:after="0"/>
              <w:rPr>
                <w:sz w:val="1"/>
                <w:szCs w:val="1"/>
                <w:color w:val="auto"/>
              </w:rPr>
            </w:pPr>
          </w:p>
        </w:tc>
      </w:tr>
      <w:tr>
        <w:trPr>
          <w:trHeight w:val="198"/>
        </w:trPr>
        <w:tc>
          <w:tcPr>
            <w:tcW w:w="2440" w:type="dxa"/>
            <w:vAlign w:val="bottom"/>
          </w:tcPr>
          <w:p>
            <w:pPr>
              <w:ind w:left="60"/>
              <w:spacing w:after="0"/>
              <w:rPr>
                <w:sz w:val="20"/>
                <w:szCs w:val="20"/>
                <w:color w:val="auto"/>
              </w:rPr>
            </w:pPr>
            <w:r>
              <w:rPr>
                <w:rFonts w:ascii="Times New Roman" w:cs="Times New Roman" w:eastAsia="Times New Roman" w:hAnsi="Times New Roman"/>
                <w:sz w:val="15"/>
                <w:szCs w:val="15"/>
                <w:color w:val="231F20"/>
              </w:rPr>
              <w:t>AVENUE (Pennsylvania)</w:t>
            </w: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2025</w:t>
            </w:r>
          </w:p>
        </w:tc>
        <w:tc>
          <w:tcPr>
            <w:tcW w:w="940" w:type="dxa"/>
            <w:vAlign w:val="bottom"/>
            <w:gridSpan w:val="2"/>
            <w:vMerge w:val="continue"/>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1963, 1972,</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1/13/16 &amp;</w:t>
            </w: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244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231F20"/>
              </w:rPr>
              <w:t>BARCROFT PLAZA (Virginia)</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12,617</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231F20"/>
              </w:rPr>
              <w:t>29,603</w:t>
            </w:r>
          </w:p>
        </w:tc>
        <w:tc>
          <w:tcPr>
            <w:tcW w:w="8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231F20"/>
              </w:rPr>
              <w:t>10,128</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12,617</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231F20"/>
              </w:rPr>
              <w:t>39,731</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52,348</w:t>
            </w:r>
          </w:p>
        </w:tc>
        <w:tc>
          <w:tcPr>
            <w:tcW w:w="6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231F20"/>
              </w:rPr>
              <w:t>13,536</w:t>
            </w:r>
          </w:p>
        </w:tc>
        <w:tc>
          <w:tcPr>
            <w:tcW w:w="940" w:type="dxa"/>
            <w:vAlign w:val="bottom"/>
            <w:gridSpan w:val="2"/>
          </w:tcPr>
          <w:p>
            <w:pPr>
              <w:jc w:val="right"/>
              <w:spacing w:after="0" w:line="152" w:lineRule="exact"/>
              <w:rPr>
                <w:sz w:val="20"/>
                <w:szCs w:val="20"/>
                <w:color w:val="auto"/>
              </w:rPr>
            </w:pPr>
            <w:r>
              <w:rPr>
                <w:rFonts w:ascii="Times New Roman" w:cs="Times New Roman" w:eastAsia="Times New Roman" w:hAnsi="Times New Roman"/>
                <w:sz w:val="15"/>
                <w:szCs w:val="15"/>
                <w:color w:val="231F20"/>
              </w:rPr>
              <w:t>1990, &amp;</w:t>
            </w:r>
          </w:p>
        </w:tc>
        <w:tc>
          <w:tcPr>
            <w:tcW w:w="940" w:type="dxa"/>
            <w:vAlign w:val="bottom"/>
            <w:gridSpan w:val="2"/>
            <w:vMerge w:val="continue"/>
          </w:tcPr>
          <w:p>
            <w:pPr>
              <w:spacing w:after="0"/>
              <w:rPr>
                <w:sz w:val="13"/>
                <w:szCs w:val="13"/>
                <w:color w:val="auto"/>
              </w:rPr>
            </w:pPr>
          </w:p>
        </w:tc>
        <w:tc>
          <w:tcPr>
            <w:tcW w:w="10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5"/>
                <w:szCs w:val="15"/>
                <w:color w:val="231F20"/>
              </w:rPr>
              <w:t>(1)</w:t>
            </w:r>
          </w:p>
        </w:tc>
        <w:tc>
          <w:tcPr>
            <w:tcW w:w="0" w:type="dxa"/>
            <w:vAlign w:val="bottom"/>
          </w:tcPr>
          <w:p>
            <w:pPr>
              <w:spacing w:after="0"/>
              <w:rPr>
                <w:sz w:val="1"/>
                <w:szCs w:val="1"/>
                <w:color w:val="auto"/>
              </w:rPr>
            </w:pPr>
          </w:p>
        </w:tc>
      </w:tr>
      <w:tr>
        <w:trPr>
          <w:trHeight w:val="198"/>
        </w:trPr>
        <w:tc>
          <w:tcPr>
            <w:tcW w:w="24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2000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11/7/16</w:t>
            </w:r>
          </w:p>
        </w:tc>
        <w:tc>
          <w:tcPr>
            <w:tcW w:w="10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440" w:type="dxa"/>
            <w:vAlign w:val="bottom"/>
          </w:tcPr>
          <w:p>
            <w:pPr>
              <w:ind w:left="60"/>
              <w:spacing w:after="0"/>
              <w:rPr>
                <w:sz w:val="20"/>
                <w:szCs w:val="20"/>
                <w:color w:val="auto"/>
              </w:rPr>
            </w:pPr>
            <w:r>
              <w:rPr>
                <w:rFonts w:ascii="Times New Roman" w:cs="Times New Roman" w:eastAsia="Times New Roman" w:hAnsi="Times New Roman"/>
                <w:sz w:val="15"/>
                <w:szCs w:val="15"/>
                <w:color w:val="231F20"/>
              </w:rPr>
              <w:t>BARRACKS ROAD (Virginia)</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4,363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16,459</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57,744</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4,356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74,210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78,566</w:t>
            </w:r>
          </w:p>
        </w:tc>
        <w:tc>
          <w:tcPr>
            <w:tcW w:w="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55,698</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1958</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12/31/1985</w:t>
            </w: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231F20"/>
              </w:rPr>
              <w:t>(1)</w:t>
            </w:r>
          </w:p>
        </w:tc>
        <w:tc>
          <w:tcPr>
            <w:tcW w:w="0" w:type="dxa"/>
            <w:vAlign w:val="bottom"/>
          </w:tcPr>
          <w:p>
            <w:pPr>
              <w:spacing w:after="0"/>
              <w:rPr>
                <w:sz w:val="1"/>
                <w:szCs w:val="1"/>
                <w:color w:val="auto"/>
              </w:rPr>
            </w:pPr>
          </w:p>
        </w:tc>
      </w:tr>
      <w:tr>
        <w:trPr>
          <w:trHeight w:val="231"/>
        </w:trPr>
        <w:tc>
          <w:tcPr>
            <w:tcW w:w="244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231F20"/>
              </w:rPr>
              <w:t>BELL GARDENS (California)</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10,864</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24,406</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231F20"/>
              </w:rPr>
              <w:t>85,947</w:t>
            </w:r>
          </w:p>
        </w:tc>
        <w:tc>
          <w:tcPr>
            <w:tcW w:w="80" w:type="dxa"/>
            <w:vAlign w:val="bottom"/>
          </w:tcPr>
          <w:p>
            <w:pPr>
              <w:spacing w:after="0"/>
              <w:rPr>
                <w:sz w:val="20"/>
                <w:szCs w:val="20"/>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231F20"/>
              </w:rPr>
              <w:t>10,094</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24,406</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231F20"/>
              </w:rPr>
              <w:t>96,041</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120,447</w:t>
            </w:r>
          </w:p>
        </w:tc>
        <w:tc>
          <w:tcPr>
            <w:tcW w:w="60" w:type="dxa"/>
            <w:vAlign w:val="bottom"/>
          </w:tcPr>
          <w:p>
            <w:pPr>
              <w:spacing w:after="0"/>
              <w:rPr>
                <w:sz w:val="20"/>
                <w:szCs w:val="20"/>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231F20"/>
              </w:rPr>
              <w:t>36,107</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1990, 2003,</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8/2/17 &amp;</w:t>
            </w:r>
          </w:p>
        </w:tc>
        <w:tc>
          <w:tcPr>
            <w:tcW w:w="10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5"/>
                <w:szCs w:val="15"/>
                <w:color w:val="231F20"/>
              </w:rPr>
              <w:t>(1)</w:t>
            </w:r>
          </w:p>
        </w:tc>
        <w:tc>
          <w:tcPr>
            <w:tcW w:w="0" w:type="dxa"/>
            <w:vAlign w:val="bottom"/>
          </w:tcPr>
          <w:p>
            <w:pPr>
              <w:spacing w:after="0"/>
              <w:rPr>
                <w:sz w:val="1"/>
                <w:szCs w:val="1"/>
                <w:color w:val="auto"/>
              </w:rPr>
            </w:pPr>
          </w:p>
        </w:tc>
      </w:tr>
      <w:tr>
        <w:trPr>
          <w:trHeight w:val="198"/>
        </w:trPr>
        <w:tc>
          <w:tcPr>
            <w:tcW w:w="2440" w:type="dxa"/>
            <w:vAlign w:val="bottom"/>
            <w:vMerge w:val="continue"/>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2006</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11/29/18</w:t>
            </w:r>
          </w:p>
        </w:tc>
        <w:tc>
          <w:tcPr>
            <w:tcW w:w="10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12/31/93,</w:t>
            </w: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2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40" w:type="dxa"/>
            <w:vAlign w:val="bottom"/>
            <w:gridSpan w:val="2"/>
          </w:tcPr>
          <w:p>
            <w:pPr>
              <w:jc w:val="right"/>
              <w:spacing w:after="0" w:line="152" w:lineRule="exact"/>
              <w:rPr>
                <w:sz w:val="20"/>
                <w:szCs w:val="20"/>
                <w:color w:val="auto"/>
              </w:rPr>
            </w:pPr>
            <w:r>
              <w:rPr>
                <w:rFonts w:ascii="Times New Roman" w:cs="Times New Roman" w:eastAsia="Times New Roman" w:hAnsi="Times New Roman"/>
                <w:sz w:val="15"/>
                <w:szCs w:val="15"/>
                <w:color w:val="231F20"/>
              </w:rPr>
              <w:t>6/2/97,</w:t>
            </w: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40" w:type="dxa"/>
            <w:vAlign w:val="bottom"/>
            <w:gridSpan w:val="2"/>
          </w:tcPr>
          <w:p>
            <w:pPr>
              <w:jc w:val="right"/>
              <w:spacing w:after="0" w:line="152" w:lineRule="exact"/>
              <w:rPr>
                <w:sz w:val="20"/>
                <w:szCs w:val="20"/>
                <w:color w:val="auto"/>
              </w:rPr>
            </w:pPr>
            <w:r>
              <w:rPr>
                <w:rFonts w:ascii="Times New Roman" w:cs="Times New Roman" w:eastAsia="Times New Roman" w:hAnsi="Times New Roman"/>
                <w:sz w:val="15"/>
                <w:szCs w:val="15"/>
                <w:color w:val="231F20"/>
              </w:rPr>
              <w:t>1/20/06,</w:t>
            </w: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40" w:type="dxa"/>
            <w:vAlign w:val="bottom"/>
            <w:gridSpan w:val="2"/>
          </w:tcPr>
          <w:p>
            <w:pPr>
              <w:jc w:val="right"/>
              <w:spacing w:after="0" w:line="152" w:lineRule="exact"/>
              <w:rPr>
                <w:sz w:val="20"/>
                <w:szCs w:val="20"/>
                <w:color w:val="auto"/>
              </w:rPr>
            </w:pPr>
            <w:r>
              <w:rPr>
                <w:rFonts w:ascii="Times New Roman" w:cs="Times New Roman" w:eastAsia="Times New Roman" w:hAnsi="Times New Roman"/>
                <w:sz w:val="15"/>
                <w:szCs w:val="15"/>
                <w:color w:val="231F20"/>
              </w:rPr>
              <w:t>9/25/08,</w:t>
            </w: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44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231F20"/>
              </w:rPr>
              <w:t>BETHESDA ROW (Maryland)</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199,735</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46,579</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231F20"/>
              </w:rPr>
              <w:t>35,406</w:t>
            </w:r>
          </w:p>
        </w:tc>
        <w:tc>
          <w:tcPr>
            <w:tcW w:w="8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231F20"/>
              </w:rPr>
              <w:t>193,640</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44,382</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231F20"/>
              </w:rPr>
              <w:t>231,243</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275,625</w:t>
            </w:r>
          </w:p>
        </w:tc>
        <w:tc>
          <w:tcPr>
            <w:tcW w:w="6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231F20"/>
              </w:rPr>
              <w:t>126,029</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1945-2008</w:t>
            </w:r>
          </w:p>
        </w:tc>
        <w:tc>
          <w:tcPr>
            <w:tcW w:w="940" w:type="dxa"/>
            <w:vAlign w:val="bottom"/>
            <w:gridSpan w:val="2"/>
          </w:tcPr>
          <w:p>
            <w:pPr>
              <w:jc w:val="right"/>
              <w:spacing w:after="0" w:line="152" w:lineRule="exact"/>
              <w:rPr>
                <w:sz w:val="20"/>
                <w:szCs w:val="20"/>
                <w:color w:val="auto"/>
              </w:rPr>
            </w:pPr>
            <w:r>
              <w:rPr>
                <w:rFonts w:ascii="Times New Roman" w:cs="Times New Roman" w:eastAsia="Times New Roman" w:hAnsi="Times New Roman"/>
                <w:sz w:val="15"/>
                <w:szCs w:val="15"/>
                <w:color w:val="231F20"/>
              </w:rPr>
              <w:t>9/30/08, &amp;</w:t>
            </w:r>
          </w:p>
        </w:tc>
        <w:tc>
          <w:tcPr>
            <w:tcW w:w="10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5"/>
                <w:szCs w:val="15"/>
                <w:color w:val="231F20"/>
              </w:rPr>
              <w:t>(1)</w:t>
            </w:r>
          </w:p>
        </w:tc>
        <w:tc>
          <w:tcPr>
            <w:tcW w:w="0" w:type="dxa"/>
            <w:vAlign w:val="bottom"/>
          </w:tcPr>
          <w:p>
            <w:pPr>
              <w:spacing w:after="0"/>
              <w:rPr>
                <w:sz w:val="1"/>
                <w:szCs w:val="1"/>
                <w:color w:val="auto"/>
              </w:rPr>
            </w:pPr>
          </w:p>
        </w:tc>
      </w:tr>
      <w:tr>
        <w:trPr>
          <w:trHeight w:val="198"/>
        </w:trPr>
        <w:tc>
          <w:tcPr>
            <w:tcW w:w="2440" w:type="dxa"/>
            <w:vAlign w:val="bottom"/>
            <w:vMerge w:val="continue"/>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12/27/10</w:t>
            </w:r>
          </w:p>
        </w:tc>
        <w:tc>
          <w:tcPr>
            <w:tcW w:w="10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44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231F20"/>
              </w:rPr>
              <w:t>BIRCH &amp; BROAD (Virginia)</w:t>
            </w: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1,798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231F20"/>
              </w:rPr>
              <w:t>1,270</w:t>
            </w:r>
          </w:p>
        </w:tc>
        <w:tc>
          <w:tcPr>
            <w:tcW w:w="8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231F20"/>
              </w:rPr>
              <w:t>23,197</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1,819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231F20"/>
              </w:rPr>
              <w:t>24,446</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26,265</w:t>
            </w:r>
          </w:p>
        </w:tc>
        <w:tc>
          <w:tcPr>
            <w:tcW w:w="6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231F20"/>
              </w:rPr>
              <w:t>13,995</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1960/1962</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9/30/67 &amp;</w:t>
            </w:r>
          </w:p>
        </w:tc>
        <w:tc>
          <w:tcPr>
            <w:tcW w:w="10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5"/>
                <w:szCs w:val="15"/>
                <w:color w:val="231F20"/>
              </w:rPr>
              <w:t>(1)</w:t>
            </w:r>
          </w:p>
        </w:tc>
        <w:tc>
          <w:tcPr>
            <w:tcW w:w="0" w:type="dxa"/>
            <w:vAlign w:val="bottom"/>
          </w:tcPr>
          <w:p>
            <w:pPr>
              <w:spacing w:after="0"/>
              <w:rPr>
                <w:sz w:val="1"/>
                <w:szCs w:val="1"/>
                <w:color w:val="auto"/>
              </w:rPr>
            </w:pPr>
          </w:p>
        </w:tc>
      </w:tr>
      <w:tr>
        <w:trPr>
          <w:trHeight w:val="198"/>
        </w:trPr>
        <w:tc>
          <w:tcPr>
            <w:tcW w:w="24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10/05/72</w:t>
            </w:r>
          </w:p>
        </w:tc>
        <w:tc>
          <w:tcPr>
            <w:tcW w:w="10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440" w:type="dxa"/>
            <w:vAlign w:val="bottom"/>
          </w:tcPr>
          <w:p>
            <w:pPr>
              <w:ind w:left="60"/>
              <w:spacing w:after="0"/>
              <w:rPr>
                <w:sz w:val="20"/>
                <w:szCs w:val="20"/>
                <w:color w:val="auto"/>
              </w:rPr>
            </w:pPr>
            <w:r>
              <w:rPr>
                <w:rFonts w:ascii="Times New Roman" w:cs="Times New Roman" w:eastAsia="Times New Roman" w:hAnsi="Times New Roman"/>
                <w:sz w:val="15"/>
                <w:szCs w:val="15"/>
                <w:color w:val="231F20"/>
              </w:rPr>
              <w:t>BRICK PLAZA (New Jersey)</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24,715</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80,531</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4,385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100,861</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105,246</w:t>
            </w:r>
          </w:p>
        </w:tc>
        <w:tc>
          <w:tcPr>
            <w:tcW w:w="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71,923</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1958</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12/28/1989</w:t>
            </w: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231F20"/>
              </w:rPr>
              <w:t>(1)</w:t>
            </w:r>
          </w:p>
        </w:tc>
        <w:tc>
          <w:tcPr>
            <w:tcW w:w="0" w:type="dxa"/>
            <w:vAlign w:val="bottom"/>
          </w:tcPr>
          <w:p>
            <w:pPr>
              <w:spacing w:after="0"/>
              <w:rPr>
                <w:sz w:val="1"/>
                <w:szCs w:val="1"/>
                <w:color w:val="auto"/>
              </w:rPr>
            </w:pPr>
          </w:p>
        </w:tc>
      </w:tr>
      <w:tr>
        <w:trPr>
          <w:trHeight w:val="242"/>
        </w:trPr>
        <w:tc>
          <w:tcPr>
            <w:tcW w:w="2440" w:type="dxa"/>
            <w:vAlign w:val="bottom"/>
          </w:tcPr>
          <w:p>
            <w:pPr>
              <w:ind w:left="60"/>
              <w:spacing w:after="0"/>
              <w:rPr>
                <w:sz w:val="20"/>
                <w:szCs w:val="20"/>
                <w:color w:val="auto"/>
              </w:rPr>
            </w:pPr>
            <w:r>
              <w:rPr>
                <w:rFonts w:ascii="Times New Roman" w:cs="Times New Roman" w:eastAsia="Times New Roman" w:hAnsi="Times New Roman"/>
                <w:sz w:val="15"/>
                <w:szCs w:val="15"/>
                <w:color w:val="231F20"/>
              </w:rPr>
              <w:t>BROOK 35 (New Jersey)</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11,428</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7,128</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38,355</w:t>
            </w:r>
          </w:p>
        </w:tc>
        <w:tc>
          <w:tcPr>
            <w:tcW w:w="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9,365</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7,128</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47,720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54,848</w:t>
            </w:r>
          </w:p>
        </w:tc>
        <w:tc>
          <w:tcPr>
            <w:tcW w:w="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16,986</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1986/2004</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1/1/2014</w:t>
            </w: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231F20"/>
              </w:rPr>
              <w:t>(1)</w:t>
            </w:r>
          </w:p>
        </w:tc>
        <w:tc>
          <w:tcPr>
            <w:tcW w:w="0" w:type="dxa"/>
            <w:vAlign w:val="bottom"/>
          </w:tcPr>
          <w:p>
            <w:pPr>
              <w:spacing w:after="0"/>
              <w:rPr>
                <w:sz w:val="1"/>
                <w:szCs w:val="1"/>
                <w:color w:val="auto"/>
              </w:rPr>
            </w:pPr>
          </w:p>
        </w:tc>
      </w:tr>
      <w:tr>
        <w:trPr>
          <w:trHeight w:val="217"/>
        </w:trPr>
        <w:tc>
          <w:tcPr>
            <w:tcW w:w="2440" w:type="dxa"/>
            <w:vAlign w:val="bottom"/>
          </w:tcPr>
          <w:p>
            <w:pPr>
              <w:ind w:left="60"/>
              <w:spacing w:after="0"/>
              <w:rPr>
                <w:sz w:val="20"/>
                <w:szCs w:val="20"/>
                <w:color w:val="auto"/>
              </w:rPr>
            </w:pPr>
            <w:r>
              <w:rPr>
                <w:rFonts w:ascii="Times New Roman" w:cs="Times New Roman" w:eastAsia="Times New Roman" w:hAnsi="Times New Roman"/>
                <w:sz w:val="15"/>
                <w:szCs w:val="15"/>
                <w:color w:val="231F20"/>
              </w:rPr>
              <w:t>CAMELBACK COLONNADE</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52,658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231F20"/>
              </w:rPr>
              <w:t>126,646</w:t>
            </w:r>
          </w:p>
        </w:tc>
        <w:tc>
          <w:tcPr>
            <w:tcW w:w="8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231F20"/>
              </w:rPr>
              <w:t>6,134</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52,658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231F20"/>
              </w:rPr>
              <w:t>132,780</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185,438</w:t>
            </w:r>
          </w:p>
        </w:tc>
        <w:tc>
          <w:tcPr>
            <w:tcW w:w="60" w:type="dxa"/>
            <w:vAlign w:val="bottom"/>
          </w:tcPr>
          <w:p>
            <w:pPr>
              <w:spacing w:after="0"/>
              <w:rPr>
                <w:sz w:val="18"/>
                <w:szCs w:val="18"/>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231F20"/>
              </w:rPr>
              <w:t>20,592</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1977/2019</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6/14/2021</w:t>
            </w:r>
          </w:p>
        </w:tc>
        <w:tc>
          <w:tcPr>
            <w:tcW w:w="10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5"/>
                <w:szCs w:val="15"/>
                <w:color w:val="231F20"/>
              </w:rPr>
              <w:t>(1)</w:t>
            </w:r>
          </w:p>
        </w:tc>
        <w:tc>
          <w:tcPr>
            <w:tcW w:w="0" w:type="dxa"/>
            <w:vAlign w:val="bottom"/>
          </w:tcPr>
          <w:p>
            <w:pPr>
              <w:spacing w:after="0"/>
              <w:rPr>
                <w:sz w:val="1"/>
                <w:szCs w:val="1"/>
                <w:color w:val="auto"/>
              </w:rPr>
            </w:pPr>
          </w:p>
        </w:tc>
      </w:tr>
      <w:tr>
        <w:trPr>
          <w:trHeight w:val="198"/>
        </w:trPr>
        <w:tc>
          <w:tcPr>
            <w:tcW w:w="2440" w:type="dxa"/>
            <w:vAlign w:val="bottom"/>
          </w:tcPr>
          <w:p>
            <w:pPr>
              <w:ind w:left="60"/>
              <w:spacing w:after="0"/>
              <w:rPr>
                <w:sz w:val="20"/>
                <w:szCs w:val="20"/>
                <w:color w:val="auto"/>
              </w:rPr>
            </w:pPr>
            <w:r>
              <w:rPr>
                <w:rFonts w:ascii="Times New Roman" w:cs="Times New Roman" w:eastAsia="Times New Roman" w:hAnsi="Times New Roman"/>
                <w:sz w:val="15"/>
                <w:szCs w:val="15"/>
                <w:color w:val="231F20"/>
              </w:rPr>
              <w:t>(Arizona)</w:t>
            </w: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440" w:type="dxa"/>
            <w:vAlign w:val="bottom"/>
          </w:tcPr>
          <w:p>
            <w:pPr>
              <w:ind w:left="60"/>
              <w:spacing w:after="0"/>
              <w:rPr>
                <w:sz w:val="20"/>
                <w:szCs w:val="20"/>
                <w:color w:val="auto"/>
              </w:rPr>
            </w:pPr>
            <w:r>
              <w:rPr>
                <w:rFonts w:ascii="Times New Roman" w:cs="Times New Roman" w:eastAsia="Times New Roman" w:hAnsi="Times New Roman"/>
                <w:sz w:val="15"/>
                <w:szCs w:val="15"/>
                <w:color w:val="231F20"/>
              </w:rPr>
              <w:t>CAMPUS PLAZA (Massachusetts)</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16,710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13,412</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1,989</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16,710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15,401</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32,111</w:t>
            </w:r>
          </w:p>
        </w:tc>
        <w:tc>
          <w:tcPr>
            <w:tcW w:w="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5,397</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1970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1/13/2016</w:t>
            </w: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231F20"/>
              </w:rPr>
              <w:t>(1)</w:t>
            </w:r>
          </w:p>
        </w:tc>
        <w:tc>
          <w:tcPr>
            <w:tcW w:w="0" w:type="dxa"/>
            <w:vAlign w:val="bottom"/>
          </w:tcPr>
          <w:p>
            <w:pPr>
              <w:spacing w:after="0"/>
              <w:rPr>
                <w:sz w:val="1"/>
                <w:szCs w:val="1"/>
                <w:color w:val="auto"/>
              </w:rPr>
            </w:pPr>
          </w:p>
        </w:tc>
      </w:tr>
      <w:tr>
        <w:trPr>
          <w:trHeight w:val="236"/>
        </w:trPr>
        <w:tc>
          <w:tcPr>
            <w:tcW w:w="244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231F20"/>
              </w:rPr>
              <w:t>CHELSEA COMMONS</w:t>
            </w: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1962/1969/</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8/25/06,</w:t>
            </w: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2"/>
        </w:trPr>
        <w:tc>
          <w:tcPr>
            <w:tcW w:w="2440" w:type="dxa"/>
            <w:vAlign w:val="bottom"/>
            <w:vMerge w:val="continue"/>
          </w:tcPr>
          <w:p>
            <w:pPr>
              <w:spacing w:after="0"/>
              <w:rPr>
                <w:sz w:val="13"/>
                <w:szCs w:val="13"/>
                <w:color w:val="auto"/>
              </w:rPr>
            </w:pP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3,002</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8,689</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231F20"/>
              </w:rPr>
              <w:t>19,466</w:t>
            </w:r>
          </w:p>
        </w:tc>
        <w:tc>
          <w:tcPr>
            <w:tcW w:w="8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231F20"/>
              </w:rPr>
              <w:t>12,918</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8,669</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231F20"/>
              </w:rPr>
              <w:t>32,404</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41,073</w:t>
            </w:r>
          </w:p>
        </w:tc>
        <w:tc>
          <w:tcPr>
            <w:tcW w:w="6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231F20"/>
              </w:rPr>
              <w:t>13,331</w:t>
            </w:r>
          </w:p>
        </w:tc>
        <w:tc>
          <w:tcPr>
            <w:tcW w:w="940" w:type="dxa"/>
            <w:vAlign w:val="bottom"/>
            <w:gridSpan w:val="2"/>
            <w:vMerge w:val="continue"/>
          </w:tcPr>
          <w:p>
            <w:pPr>
              <w:spacing w:after="0"/>
              <w:rPr>
                <w:sz w:val="13"/>
                <w:szCs w:val="13"/>
                <w:color w:val="auto"/>
              </w:rPr>
            </w:pPr>
          </w:p>
        </w:tc>
        <w:tc>
          <w:tcPr>
            <w:tcW w:w="940" w:type="dxa"/>
            <w:vAlign w:val="bottom"/>
            <w:gridSpan w:val="2"/>
          </w:tcPr>
          <w:p>
            <w:pPr>
              <w:jc w:val="right"/>
              <w:spacing w:after="0" w:line="152" w:lineRule="exact"/>
              <w:rPr>
                <w:sz w:val="20"/>
                <w:szCs w:val="20"/>
                <w:color w:val="auto"/>
              </w:rPr>
            </w:pPr>
            <w:r>
              <w:rPr>
                <w:rFonts w:ascii="Times New Roman" w:cs="Times New Roman" w:eastAsia="Times New Roman" w:hAnsi="Times New Roman"/>
                <w:sz w:val="15"/>
                <w:szCs w:val="15"/>
                <w:color w:val="231F20"/>
              </w:rPr>
              <w:t>1/30/07, &amp;</w:t>
            </w:r>
          </w:p>
        </w:tc>
        <w:tc>
          <w:tcPr>
            <w:tcW w:w="10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5"/>
                <w:szCs w:val="15"/>
                <w:color w:val="231F20"/>
              </w:rPr>
              <w:t>(1)</w:t>
            </w:r>
          </w:p>
        </w:tc>
        <w:tc>
          <w:tcPr>
            <w:tcW w:w="0" w:type="dxa"/>
            <w:vAlign w:val="bottom"/>
          </w:tcPr>
          <w:p>
            <w:pPr>
              <w:spacing w:after="0"/>
              <w:rPr>
                <w:sz w:val="1"/>
                <w:szCs w:val="1"/>
                <w:color w:val="auto"/>
              </w:rPr>
            </w:pPr>
          </w:p>
        </w:tc>
      </w:tr>
      <w:tr>
        <w:trPr>
          <w:trHeight w:val="198"/>
        </w:trPr>
        <w:tc>
          <w:tcPr>
            <w:tcW w:w="2440" w:type="dxa"/>
            <w:vAlign w:val="bottom"/>
          </w:tcPr>
          <w:p>
            <w:pPr>
              <w:ind w:left="60"/>
              <w:spacing w:after="0"/>
              <w:rPr>
                <w:sz w:val="20"/>
                <w:szCs w:val="20"/>
                <w:color w:val="auto"/>
              </w:rPr>
            </w:pPr>
            <w:r>
              <w:rPr>
                <w:rFonts w:ascii="Times New Roman" w:cs="Times New Roman" w:eastAsia="Times New Roman" w:hAnsi="Times New Roman"/>
                <w:sz w:val="15"/>
                <w:szCs w:val="15"/>
                <w:color w:val="231F20"/>
              </w:rPr>
              <w:t>(Massachusetts)</w:t>
            </w:r>
          </w:p>
        </w:tc>
        <w:tc>
          <w:tcPr>
            <w:tcW w:w="980" w:type="dxa"/>
            <w:vAlign w:val="bottom"/>
            <w:gridSpan w:val="2"/>
            <w:vMerge w:val="continue"/>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2008</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7/16/08</w:t>
            </w:r>
          </w:p>
        </w:tc>
        <w:tc>
          <w:tcPr>
            <w:tcW w:w="10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440" w:type="dxa"/>
            <w:vAlign w:val="bottom"/>
          </w:tcPr>
          <w:p>
            <w:pPr>
              <w:ind w:left="60"/>
              <w:spacing w:after="0"/>
              <w:rPr>
                <w:sz w:val="20"/>
                <w:szCs w:val="20"/>
                <w:color w:val="auto"/>
              </w:rPr>
            </w:pPr>
            <w:r>
              <w:rPr>
                <w:rFonts w:ascii="Times New Roman" w:cs="Times New Roman" w:eastAsia="Times New Roman" w:hAnsi="Times New Roman"/>
                <w:sz w:val="15"/>
                <w:szCs w:val="15"/>
                <w:color w:val="231F20"/>
              </w:rPr>
              <w:t>CHESTERBROOK (Virginia)</w:t>
            </w: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13,042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24,725</w:t>
            </w: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13,479</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13,042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38,204</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51,246</w:t>
            </w:r>
          </w:p>
        </w:tc>
        <w:tc>
          <w:tcPr>
            <w:tcW w:w="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5,570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1967/1991</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4/30/21</w:t>
            </w: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231F20"/>
              </w:rPr>
              <w:t>(1)</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5480" w:h="11880" w:orient="landscape"/>
          <w:cols w:equalWidth="0" w:num="1">
            <w:col w:w="13120"/>
          </w:cols>
          <w:pgMar w:left="1180" w:top="1094" w:right="1180" w:bottom="0" w:gutter="0" w:footer="0" w:header="0"/>
        </w:sect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F-41</w:t>
      </w:r>
    </w:p>
    <w:p>
      <w:pPr>
        <w:sectPr>
          <w:pgSz w:w="15480" w:h="11880" w:orient="landscape"/>
          <w:cols w:equalWidth="0" w:num="1">
            <w:col w:w="13120"/>
          </w:cols>
          <w:pgMar w:left="1180" w:top="1094" w:right="1180" w:bottom="0" w:gutter="0" w:footer="0" w:header="0"/>
          <w:type w:val="continuous"/>
        </w:sectPr>
      </w:pPr>
    </w:p>
    <w:bookmarkStart w:id="105" w:name="page106"/>
    <w:bookmarkEnd w:id="105"/>
    <w:p>
      <w:pPr>
        <w:jc w:val="center"/>
        <w:spacing w:after="0"/>
        <w:rPr>
          <w:sz w:val="20"/>
          <w:szCs w:val="20"/>
          <w:color w:val="auto"/>
        </w:rPr>
      </w:pPr>
      <w:r>
        <w:rPr>
          <w:rFonts w:ascii="Times New Roman" w:cs="Times New Roman" w:eastAsia="Times New Roman" w:hAnsi="Times New Roman"/>
          <w:sz w:val="19"/>
          <w:szCs w:val="19"/>
          <w:b w:val="1"/>
          <w:bCs w:val="1"/>
          <w:color w:val="231F20"/>
        </w:rPr>
        <w:t>FEDERAL REALTY INVESTMENT TRUST AND FEDERAL REALTY OP LP</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231F20"/>
        </w:rPr>
        <w:t>SCHEDULE III</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231F20"/>
        </w:rPr>
        <w:t>SUMMARY OF REAL ESTATE AND ACCUMULATED DEPRECIATION</w:t>
      </w:r>
    </w:p>
    <w:p>
      <w:pPr>
        <w:spacing w:after="0" w:line="1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9"/>
          <w:szCs w:val="19"/>
          <w:b w:val="1"/>
          <w:bCs w:val="1"/>
          <w:color w:val="231F20"/>
        </w:rPr>
        <w:t>DECEMBER 31, 2025</w:t>
      </w:r>
    </w:p>
    <w:p>
      <w:pPr>
        <w:spacing w:after="0" w:line="1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9"/>
          <w:szCs w:val="19"/>
          <w:b w:val="1"/>
          <w:bCs w:val="1"/>
          <w:color w:val="231F20"/>
        </w:rPr>
        <w:t>(Dollars in thousands)</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44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231F20"/>
              </w:rPr>
              <w:t>COLUMN A</w:t>
            </w:r>
          </w:p>
        </w:tc>
        <w:tc>
          <w:tcPr>
            <w:tcW w:w="80" w:type="dxa"/>
            <w:vAlign w:val="bottom"/>
          </w:tcPr>
          <w:p>
            <w:pPr>
              <w:spacing w:after="0"/>
              <w:rPr>
                <w:sz w:val="15"/>
                <w:szCs w:val="15"/>
                <w:color w:val="auto"/>
              </w:rPr>
            </w:pPr>
          </w:p>
        </w:tc>
        <w:tc>
          <w:tcPr>
            <w:tcW w:w="90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231F20"/>
              </w:rPr>
              <w:t>COLUMN B</w:t>
            </w:r>
          </w:p>
        </w:tc>
        <w:tc>
          <w:tcPr>
            <w:tcW w:w="80" w:type="dxa"/>
            <w:vAlign w:val="bottom"/>
          </w:tcPr>
          <w:p>
            <w:pPr>
              <w:spacing w:after="0"/>
              <w:rPr>
                <w:sz w:val="15"/>
                <w:szCs w:val="15"/>
                <w:color w:val="auto"/>
              </w:rPr>
            </w:pPr>
          </w:p>
        </w:tc>
        <w:tc>
          <w:tcPr>
            <w:tcW w:w="900" w:type="dxa"/>
            <w:vAlign w:val="bottom"/>
          </w:tcPr>
          <w:p>
            <w:pPr>
              <w:jc w:val="right"/>
              <w:ind w:right="53"/>
              <w:spacing w:after="0"/>
              <w:rPr>
                <w:sz w:val="20"/>
                <w:szCs w:val="20"/>
                <w:color w:val="auto"/>
              </w:rPr>
            </w:pPr>
            <w:r>
              <w:rPr>
                <w:rFonts w:ascii="Times New Roman" w:cs="Times New Roman" w:eastAsia="Times New Roman" w:hAnsi="Times New Roman"/>
                <w:sz w:val="13"/>
                <w:szCs w:val="13"/>
                <w:b w:val="1"/>
                <w:bCs w:val="1"/>
                <w:color w:val="231F20"/>
              </w:rPr>
              <w:t>COLUMN C</w:t>
            </w: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3"/>
                <w:szCs w:val="13"/>
                <w:b w:val="1"/>
                <w:bCs w:val="1"/>
                <w:color w:val="231F20"/>
              </w:rPr>
              <w:t>COLUMN D</w:t>
            </w:r>
          </w:p>
        </w:tc>
        <w:tc>
          <w:tcPr>
            <w:tcW w:w="80" w:type="dxa"/>
            <w:vAlign w:val="bottom"/>
          </w:tcPr>
          <w:p>
            <w:pPr>
              <w:spacing w:after="0"/>
              <w:rPr>
                <w:sz w:val="15"/>
                <w:szCs w:val="15"/>
                <w:color w:val="auto"/>
              </w:rPr>
            </w:pPr>
          </w:p>
        </w:tc>
        <w:tc>
          <w:tcPr>
            <w:tcW w:w="860" w:type="dxa"/>
            <w:vAlign w:val="bottom"/>
          </w:tcPr>
          <w:p>
            <w:pPr>
              <w:jc w:val="right"/>
              <w:ind w:right="13"/>
              <w:spacing w:after="0"/>
              <w:rPr>
                <w:sz w:val="20"/>
                <w:szCs w:val="20"/>
                <w:color w:val="auto"/>
              </w:rPr>
            </w:pPr>
            <w:r>
              <w:rPr>
                <w:rFonts w:ascii="Times New Roman" w:cs="Times New Roman" w:eastAsia="Times New Roman" w:hAnsi="Times New Roman"/>
                <w:sz w:val="13"/>
                <w:szCs w:val="13"/>
                <w:b w:val="1"/>
                <w:bCs w:val="1"/>
                <w:color w:val="231F20"/>
              </w:rPr>
              <w:t>COLUMN E</w:t>
            </w: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jc w:val="right"/>
              <w:ind w:right="46"/>
              <w:spacing w:after="0"/>
              <w:rPr>
                <w:sz w:val="20"/>
                <w:szCs w:val="20"/>
                <w:color w:val="auto"/>
              </w:rPr>
            </w:pPr>
            <w:r>
              <w:rPr>
                <w:rFonts w:ascii="Times New Roman" w:cs="Times New Roman" w:eastAsia="Times New Roman" w:hAnsi="Times New Roman"/>
                <w:sz w:val="13"/>
                <w:szCs w:val="13"/>
                <w:b w:val="1"/>
                <w:bCs w:val="1"/>
                <w:color w:val="231F20"/>
              </w:rPr>
              <w:t>COLUMN F</w:t>
            </w:r>
          </w:p>
        </w:tc>
        <w:tc>
          <w:tcPr>
            <w:tcW w:w="8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231F20"/>
              </w:rPr>
              <w:t>COLUMN G</w:t>
            </w:r>
          </w:p>
        </w:tc>
        <w:tc>
          <w:tcPr>
            <w:tcW w:w="8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231F20"/>
              </w:rPr>
              <w:t>COLUMN H</w:t>
            </w:r>
          </w:p>
        </w:tc>
        <w:tc>
          <w:tcPr>
            <w:tcW w:w="8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231F20"/>
              </w:rPr>
              <w:t>COLUMN I</w:t>
            </w:r>
          </w:p>
        </w:tc>
        <w:tc>
          <w:tcPr>
            <w:tcW w:w="0" w:type="dxa"/>
            <w:vAlign w:val="bottom"/>
          </w:tcPr>
          <w:p>
            <w:pPr>
              <w:spacing w:after="0"/>
              <w:rPr>
                <w:sz w:val="1"/>
                <w:szCs w:val="1"/>
                <w:color w:val="auto"/>
              </w:rPr>
            </w:pPr>
          </w:p>
        </w:tc>
      </w:tr>
      <w:tr>
        <w:trPr>
          <w:trHeight w:val="32"/>
        </w:trPr>
        <w:tc>
          <w:tcPr>
            <w:tcW w:w="244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90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98"/>
        </w:trPr>
        <w:tc>
          <w:tcPr>
            <w:tcW w:w="2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0" w:type="dxa"/>
            <w:vAlign w:val="bottom"/>
            <w:gridSpan w:val="4"/>
            <w:vMerge w:val="restart"/>
          </w:tcPr>
          <w:p>
            <w:pPr>
              <w:ind w:left="340"/>
              <w:spacing w:after="0"/>
              <w:rPr>
                <w:sz w:val="20"/>
                <w:szCs w:val="20"/>
                <w:color w:val="auto"/>
              </w:rPr>
            </w:pPr>
            <w:r>
              <w:rPr>
                <w:rFonts w:ascii="Times New Roman" w:cs="Times New Roman" w:eastAsia="Times New Roman" w:hAnsi="Times New Roman"/>
                <w:sz w:val="13"/>
                <w:szCs w:val="13"/>
                <w:b w:val="1"/>
                <w:bCs w:val="1"/>
                <w:color w:val="231F20"/>
              </w:rPr>
              <w:t>Initial cost to company</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231F20"/>
              </w:rPr>
              <w:t>Cost</w:t>
            </w:r>
          </w:p>
        </w:tc>
        <w:tc>
          <w:tcPr>
            <w:tcW w:w="80" w:type="dxa"/>
            <w:vAlign w:val="bottom"/>
          </w:tcPr>
          <w:p>
            <w:pPr>
              <w:spacing w:after="0"/>
              <w:rPr>
                <w:sz w:val="24"/>
                <w:szCs w:val="24"/>
                <w:color w:val="auto"/>
              </w:rPr>
            </w:pPr>
          </w:p>
        </w:tc>
        <w:tc>
          <w:tcPr>
            <w:tcW w:w="2900" w:type="dxa"/>
            <w:vAlign w:val="bottom"/>
            <w:gridSpan w:val="6"/>
          </w:tcPr>
          <w:p>
            <w:pPr>
              <w:jc w:val="center"/>
              <w:ind w:right="20"/>
              <w:spacing w:after="0"/>
              <w:rPr>
                <w:sz w:val="20"/>
                <w:szCs w:val="20"/>
                <w:color w:val="auto"/>
              </w:rPr>
            </w:pPr>
            <w:r>
              <w:rPr>
                <w:rFonts w:ascii="Times New Roman" w:cs="Times New Roman" w:eastAsia="Times New Roman" w:hAnsi="Times New Roman"/>
                <w:sz w:val="13"/>
                <w:szCs w:val="13"/>
                <w:b w:val="1"/>
                <w:bCs w:val="1"/>
                <w:color w:val="231F20"/>
              </w:rPr>
              <w:t>Gross amount at which carried at</w:t>
            </w: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231F20"/>
              </w:rPr>
              <w:t>Life on which</w:t>
            </w:r>
          </w:p>
        </w:tc>
        <w:tc>
          <w:tcPr>
            <w:tcW w:w="0" w:type="dxa"/>
            <w:vAlign w:val="bottom"/>
          </w:tcPr>
          <w:p>
            <w:pPr>
              <w:spacing w:after="0"/>
              <w:rPr>
                <w:sz w:val="1"/>
                <w:szCs w:val="1"/>
                <w:color w:val="auto"/>
              </w:rPr>
            </w:pPr>
          </w:p>
        </w:tc>
      </w:tr>
      <w:tr>
        <w:trPr>
          <w:trHeight w:val="133"/>
        </w:trPr>
        <w:tc>
          <w:tcPr>
            <w:tcW w:w="2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0" w:type="dxa"/>
            <w:vAlign w:val="bottom"/>
            <w:gridSpan w:val="4"/>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jc w:val="center"/>
              <w:spacing w:after="0" w:line="133" w:lineRule="exact"/>
              <w:rPr>
                <w:sz w:val="20"/>
                <w:szCs w:val="20"/>
                <w:color w:val="auto"/>
              </w:rPr>
            </w:pPr>
            <w:r>
              <w:rPr>
                <w:rFonts w:ascii="Times New Roman" w:cs="Times New Roman" w:eastAsia="Times New Roman" w:hAnsi="Times New Roman"/>
                <w:sz w:val="13"/>
                <w:szCs w:val="13"/>
                <w:b w:val="1"/>
                <w:bCs w:val="1"/>
                <w:color w:val="231F20"/>
              </w:rPr>
              <w:t>close of period</w:t>
            </w: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jc w:val="center"/>
              <w:spacing w:after="0" w:line="133" w:lineRule="exact"/>
              <w:rPr>
                <w:sz w:val="20"/>
                <w:szCs w:val="20"/>
                <w:color w:val="auto"/>
              </w:rPr>
            </w:pPr>
            <w:r>
              <w:rPr>
                <w:rFonts w:ascii="Times New Roman" w:cs="Times New Roman" w:eastAsia="Times New Roman" w:hAnsi="Times New Roman"/>
                <w:sz w:val="13"/>
                <w:szCs w:val="13"/>
                <w:b w:val="1"/>
                <w:bCs w:val="1"/>
                <w:color w:val="231F20"/>
              </w:rPr>
              <w:t>depreciation</w:t>
            </w:r>
          </w:p>
        </w:tc>
        <w:tc>
          <w:tcPr>
            <w:tcW w:w="0" w:type="dxa"/>
            <w:vAlign w:val="bottom"/>
          </w:tcPr>
          <w:p>
            <w:pPr>
              <w:spacing w:after="0"/>
              <w:rPr>
                <w:sz w:val="1"/>
                <w:szCs w:val="1"/>
                <w:color w:val="auto"/>
              </w:rPr>
            </w:pPr>
          </w:p>
        </w:tc>
      </w:tr>
      <w:tr>
        <w:trPr>
          <w:trHeight w:val="48"/>
        </w:trPr>
        <w:tc>
          <w:tcPr>
            <w:tcW w:w="2440" w:type="dxa"/>
            <w:vAlign w:val="bottom"/>
          </w:tcPr>
          <w:p>
            <w:pPr>
              <w:spacing w:after="0"/>
              <w:rPr>
                <w:sz w:val="4"/>
                <w:szCs w:val="4"/>
                <w:color w:val="auto"/>
              </w:rPr>
            </w:pPr>
          </w:p>
        </w:tc>
        <w:tc>
          <w:tcPr>
            <w:tcW w:w="8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 w:type="dxa"/>
            <w:vAlign w:val="bottom"/>
          </w:tcPr>
          <w:p>
            <w:pPr>
              <w:spacing w:after="0"/>
              <w:rPr>
                <w:sz w:val="4"/>
                <w:szCs w:val="4"/>
                <w:color w:val="auto"/>
              </w:rPr>
            </w:pPr>
          </w:p>
        </w:tc>
        <w:tc>
          <w:tcPr>
            <w:tcW w:w="900" w:type="dxa"/>
            <w:vAlign w:val="bottom"/>
            <w:tcBorders>
              <w:bottom w:val="single" w:sz="8" w:color="231F20"/>
            </w:tcBorders>
          </w:tcPr>
          <w:p>
            <w:pPr>
              <w:spacing w:after="0"/>
              <w:rPr>
                <w:sz w:val="4"/>
                <w:szCs w:val="4"/>
                <w:color w:val="auto"/>
              </w:rPr>
            </w:pPr>
          </w:p>
        </w:tc>
        <w:tc>
          <w:tcPr>
            <w:tcW w:w="80" w:type="dxa"/>
            <w:vAlign w:val="bottom"/>
            <w:tcBorders>
              <w:bottom w:val="single" w:sz="8" w:color="231F20"/>
            </w:tcBorders>
          </w:tcPr>
          <w:p>
            <w:pPr>
              <w:spacing w:after="0"/>
              <w:rPr>
                <w:sz w:val="4"/>
                <w:szCs w:val="4"/>
                <w:color w:val="auto"/>
              </w:rPr>
            </w:pPr>
          </w:p>
        </w:tc>
        <w:tc>
          <w:tcPr>
            <w:tcW w:w="940" w:type="dxa"/>
            <w:vAlign w:val="bottom"/>
            <w:tcBorders>
              <w:bottom w:val="single" w:sz="8" w:color="231F20"/>
            </w:tcBorders>
          </w:tcPr>
          <w:p>
            <w:pPr>
              <w:spacing w:after="0"/>
              <w:rPr>
                <w:sz w:val="4"/>
                <w:szCs w:val="4"/>
                <w:color w:val="auto"/>
              </w:rPr>
            </w:pPr>
          </w:p>
        </w:tc>
        <w:tc>
          <w:tcPr>
            <w:tcW w:w="80" w:type="dxa"/>
            <w:vAlign w:val="bottom"/>
          </w:tcPr>
          <w:p>
            <w:pPr>
              <w:spacing w:after="0"/>
              <w:rPr>
                <w:sz w:val="4"/>
                <w:szCs w:val="4"/>
                <w:color w:val="auto"/>
              </w:rPr>
            </w:pPr>
          </w:p>
        </w:tc>
        <w:tc>
          <w:tcPr>
            <w:tcW w:w="860" w:type="dxa"/>
            <w:vAlign w:val="bottom"/>
            <w:vMerge w:val="restart"/>
          </w:tcPr>
          <w:p>
            <w:pPr>
              <w:jc w:val="center"/>
              <w:spacing w:after="0" w:line="100" w:lineRule="exact"/>
              <w:rPr>
                <w:sz w:val="20"/>
                <w:szCs w:val="20"/>
                <w:color w:val="auto"/>
              </w:rPr>
            </w:pPr>
            <w:r>
              <w:rPr>
                <w:rFonts w:ascii="Times New Roman" w:cs="Times New Roman" w:eastAsia="Times New Roman" w:hAnsi="Times New Roman"/>
                <w:sz w:val="11"/>
                <w:szCs w:val="11"/>
                <w:b w:val="1"/>
                <w:bCs w:val="1"/>
                <w:color w:val="231F20"/>
              </w:rPr>
              <w:t>Capitalized</w:t>
            </w:r>
          </w:p>
        </w:tc>
        <w:tc>
          <w:tcPr>
            <w:tcW w:w="80" w:type="dxa"/>
            <w:vAlign w:val="bottom"/>
          </w:tcPr>
          <w:p>
            <w:pPr>
              <w:spacing w:after="0"/>
              <w:rPr>
                <w:sz w:val="4"/>
                <w:szCs w:val="4"/>
                <w:color w:val="auto"/>
              </w:rPr>
            </w:pPr>
          </w:p>
        </w:tc>
        <w:tc>
          <w:tcPr>
            <w:tcW w:w="860" w:type="dxa"/>
            <w:vAlign w:val="bottom"/>
            <w:tcBorders>
              <w:bottom w:val="single" w:sz="8" w:color="231F20"/>
            </w:tcBorders>
          </w:tcPr>
          <w:p>
            <w:pPr>
              <w:spacing w:after="0"/>
              <w:rPr>
                <w:sz w:val="4"/>
                <w:szCs w:val="4"/>
                <w:color w:val="auto"/>
              </w:rPr>
            </w:pPr>
          </w:p>
        </w:tc>
        <w:tc>
          <w:tcPr>
            <w:tcW w:w="80" w:type="dxa"/>
            <w:vAlign w:val="bottom"/>
            <w:tcBorders>
              <w:bottom w:val="single" w:sz="8" w:color="231F20"/>
            </w:tcBorders>
          </w:tcPr>
          <w:p>
            <w:pPr>
              <w:spacing w:after="0"/>
              <w:rPr>
                <w:sz w:val="4"/>
                <w:szCs w:val="4"/>
                <w:color w:val="auto"/>
              </w:rPr>
            </w:pPr>
          </w:p>
        </w:tc>
        <w:tc>
          <w:tcPr>
            <w:tcW w:w="960" w:type="dxa"/>
            <w:vAlign w:val="bottom"/>
            <w:tcBorders>
              <w:bottom w:val="single" w:sz="8" w:color="231F20"/>
            </w:tcBorders>
          </w:tcPr>
          <w:p>
            <w:pPr>
              <w:spacing w:after="0"/>
              <w:rPr>
                <w:sz w:val="4"/>
                <w:szCs w:val="4"/>
                <w:color w:val="auto"/>
              </w:rPr>
            </w:pPr>
          </w:p>
        </w:tc>
        <w:tc>
          <w:tcPr>
            <w:tcW w:w="60" w:type="dxa"/>
            <w:vAlign w:val="bottom"/>
            <w:tcBorders>
              <w:bottom w:val="single" w:sz="8" w:color="231F20"/>
            </w:tcBorders>
          </w:tcPr>
          <w:p>
            <w:pPr>
              <w:spacing w:after="0"/>
              <w:rPr>
                <w:sz w:val="4"/>
                <w:szCs w:val="4"/>
                <w:color w:val="auto"/>
              </w:rPr>
            </w:pPr>
          </w:p>
        </w:tc>
        <w:tc>
          <w:tcPr>
            <w:tcW w:w="880" w:type="dxa"/>
            <w:vAlign w:val="bottom"/>
            <w:tcBorders>
              <w:bottom w:val="single" w:sz="8" w:color="231F20"/>
            </w:tcBorders>
          </w:tcPr>
          <w:p>
            <w:pPr>
              <w:spacing w:after="0"/>
              <w:rPr>
                <w:sz w:val="4"/>
                <w:szCs w:val="4"/>
                <w:color w:val="auto"/>
              </w:rPr>
            </w:pPr>
          </w:p>
        </w:tc>
        <w:tc>
          <w:tcPr>
            <w:tcW w:w="60" w:type="dxa"/>
            <w:vAlign w:val="bottom"/>
          </w:tcPr>
          <w:p>
            <w:pPr>
              <w:spacing w:after="0"/>
              <w:rPr>
                <w:sz w:val="4"/>
                <w:szCs w:val="4"/>
                <w:color w:val="auto"/>
              </w:rPr>
            </w:pPr>
          </w:p>
        </w:tc>
        <w:tc>
          <w:tcPr>
            <w:tcW w:w="900" w:type="dxa"/>
            <w:vAlign w:val="bottom"/>
            <w:vMerge w:val="restart"/>
          </w:tcPr>
          <w:p>
            <w:pPr>
              <w:jc w:val="center"/>
              <w:spacing w:after="0" w:line="100" w:lineRule="exact"/>
              <w:rPr>
                <w:sz w:val="20"/>
                <w:szCs w:val="20"/>
                <w:color w:val="auto"/>
              </w:rPr>
            </w:pPr>
            <w:r>
              <w:rPr>
                <w:rFonts w:ascii="Times New Roman" w:cs="Times New Roman" w:eastAsia="Times New Roman" w:hAnsi="Times New Roman"/>
                <w:sz w:val="11"/>
                <w:szCs w:val="11"/>
                <w:b w:val="1"/>
                <w:bCs w:val="1"/>
                <w:color w:val="231F20"/>
              </w:rPr>
              <w:t>Accumulated</w:t>
            </w:r>
          </w:p>
        </w:tc>
        <w:tc>
          <w:tcPr>
            <w:tcW w:w="80" w:type="dxa"/>
            <w:vAlign w:val="bottom"/>
          </w:tcPr>
          <w:p>
            <w:pPr>
              <w:spacing w:after="0"/>
              <w:rPr>
                <w:sz w:val="4"/>
                <w:szCs w:val="4"/>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231F20"/>
                <w:w w:val="99"/>
              </w:rPr>
              <w:t>Date</w:t>
            </w:r>
          </w:p>
        </w:tc>
        <w:tc>
          <w:tcPr>
            <w:tcW w:w="80" w:type="dxa"/>
            <w:vAlign w:val="bottom"/>
          </w:tcPr>
          <w:p>
            <w:pPr>
              <w:spacing w:after="0"/>
              <w:rPr>
                <w:sz w:val="4"/>
                <w:szCs w:val="4"/>
                <w:color w:val="auto"/>
              </w:rPr>
            </w:pPr>
          </w:p>
        </w:tc>
        <w:tc>
          <w:tcPr>
            <w:tcW w:w="860" w:type="dxa"/>
            <w:vAlign w:val="bottom"/>
          </w:tcPr>
          <w:p>
            <w:pPr>
              <w:spacing w:after="0"/>
              <w:rPr>
                <w:sz w:val="4"/>
                <w:szCs w:val="4"/>
                <w:color w:val="auto"/>
              </w:rPr>
            </w:pPr>
          </w:p>
        </w:tc>
        <w:tc>
          <w:tcPr>
            <w:tcW w:w="80" w:type="dxa"/>
            <w:vAlign w:val="bottom"/>
          </w:tcPr>
          <w:p>
            <w:pPr>
              <w:spacing w:after="0"/>
              <w:rPr>
                <w:sz w:val="4"/>
                <w:szCs w:val="4"/>
                <w:color w:val="auto"/>
              </w:rPr>
            </w:pPr>
          </w:p>
        </w:tc>
        <w:tc>
          <w:tcPr>
            <w:tcW w:w="920" w:type="dxa"/>
            <w:vAlign w:val="bottom"/>
            <w:vMerge w:val="restart"/>
          </w:tcPr>
          <w:p>
            <w:pPr>
              <w:jc w:val="center"/>
              <w:spacing w:after="0" w:line="100" w:lineRule="exact"/>
              <w:rPr>
                <w:sz w:val="20"/>
                <w:szCs w:val="20"/>
                <w:color w:val="auto"/>
              </w:rPr>
            </w:pPr>
            <w:r>
              <w:rPr>
                <w:rFonts w:ascii="Times New Roman" w:cs="Times New Roman" w:eastAsia="Times New Roman" w:hAnsi="Times New Roman"/>
                <w:sz w:val="11"/>
                <w:szCs w:val="11"/>
                <w:b w:val="1"/>
                <w:bCs w:val="1"/>
                <w:color w:val="231F20"/>
              </w:rPr>
              <w:t>in latest</w:t>
            </w:r>
          </w:p>
        </w:tc>
        <w:tc>
          <w:tcPr>
            <w:tcW w:w="0" w:type="dxa"/>
            <w:vAlign w:val="bottom"/>
          </w:tcPr>
          <w:p>
            <w:pPr>
              <w:spacing w:after="0"/>
              <w:rPr>
                <w:sz w:val="1"/>
                <w:szCs w:val="1"/>
                <w:color w:val="auto"/>
              </w:rPr>
            </w:pPr>
          </w:p>
        </w:tc>
      </w:tr>
      <w:tr>
        <w:trPr>
          <w:trHeight w:val="32"/>
        </w:trPr>
        <w:tc>
          <w:tcPr>
            <w:tcW w:w="244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90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3"/>
        </w:trPr>
        <w:tc>
          <w:tcPr>
            <w:tcW w:w="2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3"/>
                <w:szCs w:val="13"/>
                <w:b w:val="1"/>
                <w:bCs w:val="1"/>
                <w:color w:val="231F20"/>
              </w:rPr>
              <w:t>Building and</w:t>
            </w:r>
          </w:p>
        </w:tc>
        <w:tc>
          <w:tcPr>
            <w:tcW w:w="860" w:type="dxa"/>
            <w:vAlign w:val="bottom"/>
          </w:tcPr>
          <w:p>
            <w:pPr>
              <w:jc w:val="center"/>
              <w:spacing w:after="0" w:line="133" w:lineRule="exact"/>
              <w:rPr>
                <w:sz w:val="20"/>
                <w:szCs w:val="20"/>
                <w:color w:val="auto"/>
              </w:rPr>
            </w:pPr>
            <w:r>
              <w:rPr>
                <w:rFonts w:ascii="Times New Roman" w:cs="Times New Roman" w:eastAsia="Times New Roman" w:hAnsi="Times New Roman"/>
                <w:sz w:val="13"/>
                <w:szCs w:val="13"/>
                <w:b w:val="1"/>
                <w:bCs w:val="1"/>
                <w:color w:val="231F20"/>
              </w:rPr>
              <w:t>Subsequent</w:t>
            </w: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231F20"/>
              </w:rPr>
              <w:t>Building and</w:t>
            </w: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jc w:val="center"/>
              <w:spacing w:after="0" w:line="133" w:lineRule="exact"/>
              <w:rPr>
                <w:sz w:val="20"/>
                <w:szCs w:val="20"/>
                <w:color w:val="auto"/>
              </w:rPr>
            </w:pPr>
            <w:r>
              <w:rPr>
                <w:rFonts w:ascii="Times New Roman" w:cs="Times New Roman" w:eastAsia="Times New Roman" w:hAnsi="Times New Roman"/>
                <w:sz w:val="13"/>
                <w:szCs w:val="13"/>
                <w:b w:val="1"/>
                <w:bCs w:val="1"/>
                <w:color w:val="231F20"/>
              </w:rPr>
              <w:t>Depreciation</w:t>
            </w:r>
          </w:p>
        </w:tc>
        <w:tc>
          <w:tcPr>
            <w:tcW w:w="8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231F20"/>
                <w:w w:val="99"/>
              </w:rPr>
              <w:t>Date</w:t>
            </w:r>
          </w:p>
        </w:tc>
        <w:tc>
          <w:tcPr>
            <w:tcW w:w="80" w:type="dxa"/>
            <w:vAlign w:val="bottom"/>
          </w:tcPr>
          <w:p>
            <w:pPr>
              <w:spacing w:after="0"/>
              <w:rPr>
                <w:sz w:val="11"/>
                <w:szCs w:val="11"/>
                <w:color w:val="auto"/>
              </w:rPr>
            </w:pPr>
          </w:p>
        </w:tc>
        <w:tc>
          <w:tcPr>
            <w:tcW w:w="920" w:type="dxa"/>
            <w:vAlign w:val="bottom"/>
          </w:tcPr>
          <w:p>
            <w:pPr>
              <w:jc w:val="center"/>
              <w:spacing w:after="0" w:line="133" w:lineRule="exact"/>
              <w:rPr>
                <w:sz w:val="20"/>
                <w:szCs w:val="20"/>
                <w:color w:val="auto"/>
              </w:rPr>
            </w:pPr>
            <w:r>
              <w:rPr>
                <w:rFonts w:ascii="Times New Roman" w:cs="Times New Roman" w:eastAsia="Times New Roman" w:hAnsi="Times New Roman"/>
                <w:sz w:val="13"/>
                <w:szCs w:val="13"/>
                <w:b w:val="1"/>
                <w:bCs w:val="1"/>
                <w:color w:val="231F20"/>
              </w:rPr>
              <w:t>income</w:t>
            </w:r>
          </w:p>
        </w:tc>
        <w:tc>
          <w:tcPr>
            <w:tcW w:w="0" w:type="dxa"/>
            <w:vAlign w:val="bottom"/>
          </w:tcPr>
          <w:p>
            <w:pPr>
              <w:spacing w:after="0"/>
              <w:rPr>
                <w:sz w:val="1"/>
                <w:szCs w:val="1"/>
                <w:color w:val="auto"/>
              </w:rPr>
            </w:pPr>
          </w:p>
        </w:tc>
      </w:tr>
      <w:tr>
        <w:trPr>
          <w:trHeight w:val="133"/>
        </w:trPr>
        <w:tc>
          <w:tcPr>
            <w:tcW w:w="2440" w:type="dxa"/>
            <w:vAlign w:val="bottom"/>
            <w:vMerge w:val="restart"/>
          </w:tcPr>
          <w:p>
            <w:pPr>
              <w:ind w:left="60"/>
              <w:spacing w:after="0"/>
              <w:rPr>
                <w:sz w:val="20"/>
                <w:szCs w:val="20"/>
                <w:color w:val="auto"/>
              </w:rPr>
            </w:pPr>
            <w:r>
              <w:rPr>
                <w:rFonts w:ascii="Times New Roman" w:cs="Times New Roman" w:eastAsia="Times New Roman" w:hAnsi="Times New Roman"/>
                <w:sz w:val="13"/>
                <w:szCs w:val="13"/>
                <w:b w:val="1"/>
                <w:bCs w:val="1"/>
                <w:color w:val="231F20"/>
              </w:rPr>
              <w:t>Descriptions</w:t>
            </w:r>
          </w:p>
        </w:tc>
        <w:tc>
          <w:tcPr>
            <w:tcW w:w="80" w:type="dxa"/>
            <w:vAlign w:val="bottom"/>
          </w:tcPr>
          <w:p>
            <w:pPr>
              <w:spacing w:after="0"/>
              <w:rPr>
                <w:sz w:val="11"/>
                <w:szCs w:val="11"/>
                <w:color w:val="auto"/>
              </w:rPr>
            </w:pPr>
          </w:p>
        </w:tc>
        <w:tc>
          <w:tcPr>
            <w:tcW w:w="900" w:type="dxa"/>
            <w:vAlign w:val="bottom"/>
            <w:vMerge w:val="restart"/>
          </w:tcPr>
          <w:p>
            <w:pPr>
              <w:ind w:left="40"/>
              <w:spacing w:after="0"/>
              <w:rPr>
                <w:sz w:val="20"/>
                <w:szCs w:val="20"/>
                <w:color w:val="auto"/>
              </w:rPr>
            </w:pPr>
            <w:r>
              <w:rPr>
                <w:rFonts w:ascii="Times New Roman" w:cs="Times New Roman" w:eastAsia="Times New Roman" w:hAnsi="Times New Roman"/>
                <w:sz w:val="13"/>
                <w:szCs w:val="13"/>
                <w:b w:val="1"/>
                <w:bCs w:val="1"/>
                <w:color w:val="231F20"/>
              </w:rPr>
              <w:t>Encumbrance</w:t>
            </w:r>
          </w:p>
        </w:tc>
        <w:tc>
          <w:tcPr>
            <w:tcW w:w="80" w:type="dxa"/>
            <w:vAlign w:val="bottom"/>
          </w:tcPr>
          <w:p>
            <w:pPr>
              <w:spacing w:after="0"/>
              <w:rPr>
                <w:sz w:val="11"/>
                <w:szCs w:val="11"/>
                <w:color w:val="auto"/>
              </w:rPr>
            </w:pPr>
          </w:p>
        </w:tc>
        <w:tc>
          <w:tcPr>
            <w:tcW w:w="900" w:type="dxa"/>
            <w:vAlign w:val="bottom"/>
            <w:vMerge w:val="restart"/>
          </w:tcPr>
          <w:p>
            <w:pPr>
              <w:jc w:val="right"/>
              <w:ind w:right="213"/>
              <w:spacing w:after="0"/>
              <w:rPr>
                <w:sz w:val="20"/>
                <w:szCs w:val="20"/>
                <w:color w:val="auto"/>
              </w:rPr>
            </w:pPr>
            <w:r>
              <w:rPr>
                <w:rFonts w:ascii="Times New Roman" w:cs="Times New Roman" w:eastAsia="Times New Roman" w:hAnsi="Times New Roman"/>
                <w:sz w:val="13"/>
                <w:szCs w:val="13"/>
                <w:b w:val="1"/>
                <w:bCs w:val="1"/>
                <w:color w:val="231F20"/>
              </w:rPr>
              <w:t>Land</w:t>
            </w:r>
          </w:p>
        </w:tc>
        <w:tc>
          <w:tcPr>
            <w:tcW w:w="8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860" w:type="dxa"/>
            <w:vAlign w:val="bottom"/>
          </w:tcPr>
          <w:p>
            <w:pPr>
              <w:jc w:val="center"/>
              <w:spacing w:after="0" w:line="133" w:lineRule="exact"/>
              <w:rPr>
                <w:sz w:val="20"/>
                <w:szCs w:val="20"/>
                <w:color w:val="auto"/>
              </w:rPr>
            </w:pPr>
            <w:r>
              <w:rPr>
                <w:rFonts w:ascii="Times New Roman" w:cs="Times New Roman" w:eastAsia="Times New Roman" w:hAnsi="Times New Roman"/>
                <w:sz w:val="13"/>
                <w:szCs w:val="13"/>
                <w:b w:val="1"/>
                <w:bCs w:val="1"/>
                <w:color w:val="231F20"/>
                <w:w w:val="91"/>
              </w:rPr>
              <w:t>to</w:t>
            </w:r>
          </w:p>
        </w:tc>
        <w:tc>
          <w:tcPr>
            <w:tcW w:w="80" w:type="dxa"/>
            <w:vAlign w:val="bottom"/>
          </w:tcPr>
          <w:p>
            <w:pPr>
              <w:spacing w:after="0"/>
              <w:rPr>
                <w:sz w:val="11"/>
                <w:szCs w:val="11"/>
                <w:color w:val="auto"/>
              </w:rPr>
            </w:pPr>
          </w:p>
        </w:tc>
        <w:tc>
          <w:tcPr>
            <w:tcW w:w="860" w:type="dxa"/>
            <w:vAlign w:val="bottom"/>
            <w:vMerge w:val="restart"/>
          </w:tcPr>
          <w:p>
            <w:pPr>
              <w:jc w:val="right"/>
              <w:ind w:right="193"/>
              <w:spacing w:after="0"/>
              <w:rPr>
                <w:sz w:val="20"/>
                <w:szCs w:val="20"/>
                <w:color w:val="auto"/>
              </w:rPr>
            </w:pPr>
            <w:r>
              <w:rPr>
                <w:rFonts w:ascii="Times New Roman" w:cs="Times New Roman" w:eastAsia="Times New Roman" w:hAnsi="Times New Roman"/>
                <w:sz w:val="13"/>
                <w:szCs w:val="13"/>
                <w:b w:val="1"/>
                <w:bCs w:val="1"/>
                <w:color w:val="231F20"/>
              </w:rPr>
              <w:t>Land</w:t>
            </w:r>
          </w:p>
        </w:tc>
        <w:tc>
          <w:tcPr>
            <w:tcW w:w="8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gridSpan w:val="2"/>
            <w:vMerge w:val="restart"/>
          </w:tcPr>
          <w:p>
            <w:pPr>
              <w:ind w:left="300"/>
              <w:spacing w:after="0"/>
              <w:rPr>
                <w:sz w:val="20"/>
                <w:szCs w:val="20"/>
                <w:color w:val="auto"/>
              </w:rPr>
            </w:pPr>
            <w:r>
              <w:rPr>
                <w:rFonts w:ascii="Times New Roman" w:cs="Times New Roman" w:eastAsia="Times New Roman" w:hAnsi="Times New Roman"/>
                <w:sz w:val="13"/>
                <w:szCs w:val="13"/>
                <w:b w:val="1"/>
                <w:bCs w:val="1"/>
                <w:color w:val="231F20"/>
              </w:rPr>
              <w:t>Total</w:t>
            </w:r>
          </w:p>
        </w:tc>
        <w:tc>
          <w:tcPr>
            <w:tcW w:w="900" w:type="dxa"/>
            <w:vAlign w:val="bottom"/>
          </w:tcPr>
          <w:p>
            <w:pPr>
              <w:jc w:val="center"/>
              <w:spacing w:after="0" w:line="133" w:lineRule="exact"/>
              <w:rPr>
                <w:sz w:val="20"/>
                <w:szCs w:val="20"/>
                <w:color w:val="auto"/>
              </w:rPr>
            </w:pPr>
            <w:r>
              <w:rPr>
                <w:rFonts w:ascii="Times New Roman" w:cs="Times New Roman" w:eastAsia="Times New Roman" w:hAnsi="Times New Roman"/>
                <w:sz w:val="13"/>
                <w:szCs w:val="13"/>
                <w:b w:val="1"/>
                <w:bCs w:val="1"/>
                <w:color w:val="231F20"/>
              </w:rPr>
              <w:t>and</w:t>
            </w:r>
          </w:p>
        </w:tc>
        <w:tc>
          <w:tcPr>
            <w:tcW w:w="80" w:type="dxa"/>
            <w:vAlign w:val="bottom"/>
          </w:tcPr>
          <w:p>
            <w:pPr>
              <w:spacing w:after="0"/>
              <w:rPr>
                <w:sz w:val="11"/>
                <w:szCs w:val="11"/>
                <w:color w:val="auto"/>
              </w:rPr>
            </w:pPr>
          </w:p>
        </w:tc>
        <w:tc>
          <w:tcPr>
            <w:tcW w:w="860" w:type="dxa"/>
            <w:vAlign w:val="bottom"/>
          </w:tcPr>
          <w:p>
            <w:pPr>
              <w:jc w:val="center"/>
              <w:spacing w:after="0" w:line="133" w:lineRule="exact"/>
              <w:rPr>
                <w:sz w:val="20"/>
                <w:szCs w:val="20"/>
                <w:color w:val="auto"/>
              </w:rPr>
            </w:pPr>
            <w:r>
              <w:rPr>
                <w:rFonts w:ascii="Times New Roman" w:cs="Times New Roman" w:eastAsia="Times New Roman" w:hAnsi="Times New Roman"/>
                <w:sz w:val="13"/>
                <w:szCs w:val="13"/>
                <w:b w:val="1"/>
                <w:bCs w:val="1"/>
                <w:color w:val="231F20"/>
                <w:w w:val="91"/>
              </w:rPr>
              <w:t>of</w:t>
            </w:r>
          </w:p>
        </w:tc>
        <w:tc>
          <w:tcPr>
            <w:tcW w:w="8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jc w:val="center"/>
              <w:spacing w:after="0" w:line="133" w:lineRule="exact"/>
              <w:rPr>
                <w:sz w:val="20"/>
                <w:szCs w:val="20"/>
                <w:color w:val="auto"/>
              </w:rPr>
            </w:pPr>
            <w:r>
              <w:rPr>
                <w:rFonts w:ascii="Times New Roman" w:cs="Times New Roman" w:eastAsia="Times New Roman" w:hAnsi="Times New Roman"/>
                <w:sz w:val="13"/>
                <w:szCs w:val="13"/>
                <w:b w:val="1"/>
                <w:bCs w:val="1"/>
                <w:color w:val="231F20"/>
              </w:rPr>
              <w:t>statements is</w:t>
            </w:r>
          </w:p>
        </w:tc>
        <w:tc>
          <w:tcPr>
            <w:tcW w:w="0" w:type="dxa"/>
            <w:vAlign w:val="bottom"/>
          </w:tcPr>
          <w:p>
            <w:pPr>
              <w:spacing w:after="0"/>
              <w:rPr>
                <w:sz w:val="1"/>
                <w:szCs w:val="1"/>
                <w:color w:val="auto"/>
              </w:rPr>
            </w:pPr>
          </w:p>
        </w:tc>
      </w:tr>
      <w:tr>
        <w:trPr>
          <w:trHeight w:val="180"/>
        </w:trPr>
        <w:tc>
          <w:tcPr>
            <w:tcW w:w="24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b w:val="1"/>
                <w:bCs w:val="1"/>
                <w:color w:val="231F20"/>
              </w:rPr>
              <w:t>Improvements</w:t>
            </w: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231F20"/>
              </w:rPr>
              <w:t>Acquisition</w:t>
            </w:r>
          </w:p>
        </w:tc>
        <w:tc>
          <w:tcPr>
            <w:tcW w:w="8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231F20"/>
              </w:rPr>
              <w:t>Improvements</w:t>
            </w:r>
          </w:p>
        </w:tc>
        <w:tc>
          <w:tcPr>
            <w:tcW w:w="6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231F20"/>
              </w:rPr>
              <w:t>Amortization</w:t>
            </w:r>
          </w:p>
        </w:tc>
        <w:tc>
          <w:tcPr>
            <w:tcW w:w="8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231F20"/>
              </w:rPr>
              <w:t>Construction</w:t>
            </w:r>
          </w:p>
        </w:tc>
        <w:tc>
          <w:tcPr>
            <w:tcW w:w="8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231F20"/>
              </w:rPr>
              <w:t>Acquired</w:t>
            </w:r>
          </w:p>
        </w:tc>
        <w:tc>
          <w:tcPr>
            <w:tcW w:w="8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231F20"/>
              </w:rPr>
              <w:t>computed</w:t>
            </w:r>
          </w:p>
        </w:tc>
        <w:tc>
          <w:tcPr>
            <w:tcW w:w="0" w:type="dxa"/>
            <w:vAlign w:val="bottom"/>
          </w:tcPr>
          <w:p>
            <w:pPr>
              <w:spacing w:after="0"/>
              <w:rPr>
                <w:sz w:val="1"/>
                <w:szCs w:val="1"/>
                <w:color w:val="auto"/>
              </w:rPr>
            </w:pPr>
          </w:p>
        </w:tc>
      </w:tr>
      <w:tr>
        <w:trPr>
          <w:trHeight w:val="181"/>
        </w:trPr>
        <w:tc>
          <w:tcPr>
            <w:tcW w:w="2440" w:type="dxa"/>
            <w:vAlign w:val="bottom"/>
            <w:tcBorders>
              <w:top w:val="single" w:sz="8" w:color="231F20"/>
            </w:tcBorders>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Borders>
              <w:top w:val="single" w:sz="8" w:color="231F20"/>
            </w:tcBorders>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Borders>
              <w:top w:val="single" w:sz="8" w:color="231F20"/>
            </w:tcBorders>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Borders>
              <w:top w:val="single" w:sz="8" w:color="231F20"/>
            </w:tcBorders>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Borders>
              <w:top w:val="single" w:sz="8" w:color="231F20"/>
            </w:tcBorders>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Borders>
              <w:top w:val="single" w:sz="8" w:color="231F20"/>
            </w:tcBorders>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Borders>
              <w:top w:val="single" w:sz="8" w:color="231F20"/>
            </w:tcBorders>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Borders>
              <w:top w:val="single" w:sz="8" w:color="231F20"/>
            </w:tcBorders>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Borders>
              <w:top w:val="single" w:sz="8" w:color="231F20"/>
            </w:tcBorders>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Borders>
              <w:top w:val="single" w:sz="8" w:color="231F20"/>
            </w:tcBorders>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15"/>
                <w:szCs w:val="15"/>
                <w:color w:val="231F20"/>
              </w:rPr>
              <w:t>5/4/15,</w:t>
            </w:r>
          </w:p>
        </w:tc>
        <w:tc>
          <w:tcPr>
            <w:tcW w:w="80" w:type="dxa"/>
            <w:vAlign w:val="bottom"/>
          </w:tcPr>
          <w:p>
            <w:pPr>
              <w:spacing w:after="0"/>
              <w:rPr>
                <w:sz w:val="15"/>
                <w:szCs w:val="15"/>
                <w:color w:val="auto"/>
              </w:rPr>
            </w:pPr>
          </w:p>
        </w:tc>
        <w:tc>
          <w:tcPr>
            <w:tcW w:w="920" w:type="dxa"/>
            <w:vAlign w:val="bottom"/>
            <w:tcBorders>
              <w:top w:val="single" w:sz="8" w:color="231F20"/>
            </w:tcBorders>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2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40" w:type="dxa"/>
            <w:vAlign w:val="bottom"/>
            <w:gridSpan w:val="2"/>
          </w:tcPr>
          <w:p>
            <w:pPr>
              <w:jc w:val="right"/>
              <w:spacing w:after="0" w:line="152" w:lineRule="exact"/>
              <w:rPr>
                <w:sz w:val="20"/>
                <w:szCs w:val="20"/>
                <w:color w:val="auto"/>
              </w:rPr>
            </w:pPr>
            <w:r>
              <w:rPr>
                <w:rFonts w:ascii="Times New Roman" w:cs="Times New Roman" w:eastAsia="Times New Roman" w:hAnsi="Times New Roman"/>
                <w:sz w:val="15"/>
                <w:szCs w:val="15"/>
                <w:color w:val="231F20"/>
              </w:rPr>
              <w:t>7/1/15,</w:t>
            </w: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1990/1994,</w:t>
            </w:r>
          </w:p>
        </w:tc>
        <w:tc>
          <w:tcPr>
            <w:tcW w:w="940" w:type="dxa"/>
            <w:vAlign w:val="bottom"/>
            <w:gridSpan w:val="2"/>
          </w:tcPr>
          <w:p>
            <w:pPr>
              <w:jc w:val="right"/>
              <w:spacing w:after="0" w:line="152" w:lineRule="exact"/>
              <w:rPr>
                <w:sz w:val="20"/>
                <w:szCs w:val="20"/>
                <w:color w:val="auto"/>
              </w:rPr>
            </w:pPr>
            <w:r>
              <w:rPr>
                <w:rFonts w:ascii="Times New Roman" w:cs="Times New Roman" w:eastAsia="Times New Roman" w:hAnsi="Times New Roman"/>
                <w:sz w:val="15"/>
                <w:szCs w:val="15"/>
                <w:color w:val="231F20"/>
              </w:rPr>
              <w:t>12/16/15,</w:t>
            </w: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940" w:type="dxa"/>
            <w:vAlign w:val="bottom"/>
            <w:gridSpan w:val="2"/>
          </w:tcPr>
          <w:p>
            <w:pPr>
              <w:jc w:val="right"/>
              <w:spacing w:after="0" w:line="152" w:lineRule="exact"/>
              <w:rPr>
                <w:sz w:val="20"/>
                <w:szCs w:val="20"/>
                <w:color w:val="auto"/>
              </w:rPr>
            </w:pPr>
            <w:r>
              <w:rPr>
                <w:rFonts w:ascii="Times New Roman" w:cs="Times New Roman" w:eastAsia="Times New Roman" w:hAnsi="Times New Roman"/>
                <w:sz w:val="15"/>
                <w:szCs w:val="15"/>
                <w:color w:val="231F20"/>
              </w:rPr>
              <w:t>7/26/16,</w:t>
            </w: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44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231F20"/>
              </w:rPr>
              <w:t>COCOWALK (Florida)</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32,513</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71,536</w:t>
            </w:r>
          </w:p>
        </w:tc>
        <w:tc>
          <w:tcPr>
            <w:tcW w:w="8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231F20"/>
              </w:rPr>
              <w:t>102,416</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48,943</w:t>
            </w: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157,522</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206,465</w:t>
            </w:r>
          </w:p>
        </w:tc>
        <w:tc>
          <w:tcPr>
            <w:tcW w:w="6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231F20"/>
              </w:rPr>
              <w:t>40,751</w:t>
            </w:r>
          </w:p>
        </w:tc>
        <w:tc>
          <w:tcPr>
            <w:tcW w:w="940" w:type="dxa"/>
            <w:vAlign w:val="bottom"/>
            <w:gridSpan w:val="2"/>
          </w:tcPr>
          <w:p>
            <w:pPr>
              <w:jc w:val="right"/>
              <w:spacing w:after="0" w:line="152" w:lineRule="exact"/>
              <w:rPr>
                <w:sz w:val="20"/>
                <w:szCs w:val="20"/>
                <w:color w:val="auto"/>
              </w:rPr>
            </w:pPr>
            <w:r>
              <w:rPr>
                <w:rFonts w:ascii="Times New Roman" w:cs="Times New Roman" w:eastAsia="Times New Roman" w:hAnsi="Times New Roman"/>
                <w:sz w:val="15"/>
                <w:szCs w:val="15"/>
                <w:color w:val="231F20"/>
              </w:rPr>
              <w:t>1922-1973,</w:t>
            </w:r>
          </w:p>
        </w:tc>
        <w:tc>
          <w:tcPr>
            <w:tcW w:w="940" w:type="dxa"/>
            <w:vAlign w:val="bottom"/>
            <w:gridSpan w:val="2"/>
          </w:tcPr>
          <w:p>
            <w:pPr>
              <w:jc w:val="right"/>
              <w:spacing w:after="0" w:line="152" w:lineRule="exact"/>
              <w:rPr>
                <w:sz w:val="20"/>
                <w:szCs w:val="20"/>
                <w:color w:val="auto"/>
              </w:rPr>
            </w:pPr>
            <w:r>
              <w:rPr>
                <w:rFonts w:ascii="Times New Roman" w:cs="Times New Roman" w:eastAsia="Times New Roman" w:hAnsi="Times New Roman"/>
                <w:sz w:val="15"/>
                <w:szCs w:val="15"/>
                <w:color w:val="231F20"/>
              </w:rPr>
              <w:t>6/30/17, &amp;</w:t>
            </w:r>
          </w:p>
        </w:tc>
        <w:tc>
          <w:tcPr>
            <w:tcW w:w="10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5"/>
                <w:szCs w:val="15"/>
                <w:color w:val="231F20"/>
              </w:rPr>
              <w:t>(1)</w:t>
            </w:r>
          </w:p>
        </w:tc>
        <w:tc>
          <w:tcPr>
            <w:tcW w:w="0" w:type="dxa"/>
            <w:vAlign w:val="bottom"/>
          </w:tcPr>
          <w:p>
            <w:pPr>
              <w:spacing w:after="0"/>
              <w:rPr>
                <w:sz w:val="1"/>
                <w:szCs w:val="1"/>
                <w:color w:val="auto"/>
              </w:rPr>
            </w:pPr>
          </w:p>
        </w:tc>
      </w:tr>
      <w:tr>
        <w:trPr>
          <w:trHeight w:val="198"/>
        </w:trPr>
        <w:tc>
          <w:tcPr>
            <w:tcW w:w="24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2018-2021</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8/10/17</w:t>
            </w:r>
          </w:p>
        </w:tc>
        <w:tc>
          <w:tcPr>
            <w:tcW w:w="10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70"/>
        </w:trPr>
        <w:tc>
          <w:tcPr>
            <w:tcW w:w="2440" w:type="dxa"/>
            <w:vAlign w:val="bottom"/>
          </w:tcPr>
          <w:p>
            <w:pPr>
              <w:ind w:left="60"/>
              <w:spacing w:after="0"/>
              <w:rPr>
                <w:sz w:val="20"/>
                <w:szCs w:val="20"/>
                <w:color w:val="auto"/>
              </w:rPr>
            </w:pPr>
            <w:r>
              <w:rPr>
                <w:rFonts w:ascii="Times New Roman" w:cs="Times New Roman" w:eastAsia="Times New Roman" w:hAnsi="Times New Roman"/>
                <w:sz w:val="15"/>
                <w:szCs w:val="15"/>
                <w:color w:val="231F20"/>
              </w:rPr>
              <w:t>COLORADO BLVD (California)</w:t>
            </w: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2,415</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3,964</w:t>
            </w:r>
          </w:p>
        </w:tc>
        <w:tc>
          <w:tcPr>
            <w:tcW w:w="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7,723</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2,415</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11,687</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14,102</w:t>
            </w:r>
          </w:p>
        </w:tc>
        <w:tc>
          <w:tcPr>
            <w:tcW w:w="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10,866</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1905-1988</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8/14/98</w:t>
            </w: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231F20"/>
              </w:rPr>
              <w:t>(1)</w:t>
            </w:r>
          </w:p>
        </w:tc>
        <w:tc>
          <w:tcPr>
            <w:tcW w:w="0" w:type="dxa"/>
            <w:vAlign w:val="bottom"/>
          </w:tcPr>
          <w:p>
            <w:pPr>
              <w:spacing w:after="0"/>
              <w:rPr>
                <w:sz w:val="1"/>
                <w:szCs w:val="1"/>
                <w:color w:val="auto"/>
              </w:rPr>
            </w:pPr>
          </w:p>
        </w:tc>
      </w:tr>
      <w:tr>
        <w:trPr>
          <w:trHeight w:val="231"/>
        </w:trPr>
        <w:tc>
          <w:tcPr>
            <w:tcW w:w="2440" w:type="dxa"/>
            <w:vAlign w:val="bottom"/>
          </w:tcPr>
          <w:p>
            <w:pPr>
              <w:ind w:left="60"/>
              <w:spacing w:after="0"/>
              <w:rPr>
                <w:sz w:val="20"/>
                <w:szCs w:val="20"/>
                <w:color w:val="auto"/>
              </w:rPr>
            </w:pPr>
            <w:r>
              <w:rPr>
                <w:rFonts w:ascii="Times New Roman" w:cs="Times New Roman" w:eastAsia="Times New Roman" w:hAnsi="Times New Roman"/>
                <w:sz w:val="15"/>
                <w:szCs w:val="15"/>
                <w:color w:val="231F20"/>
              </w:rPr>
              <w:t>CONGRESSIONAL PLAZA</w:t>
            </w: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2,793</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7,424</w:t>
            </w:r>
          </w:p>
        </w:tc>
        <w:tc>
          <w:tcPr>
            <w:tcW w:w="80" w:type="dxa"/>
            <w:vAlign w:val="bottom"/>
          </w:tcPr>
          <w:p>
            <w:pPr>
              <w:spacing w:after="0"/>
              <w:rPr>
                <w:sz w:val="20"/>
                <w:szCs w:val="20"/>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231F20"/>
              </w:rPr>
              <w:t>99,450</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2,793</w:t>
            </w: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106,874</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109,667</w:t>
            </w:r>
          </w:p>
        </w:tc>
        <w:tc>
          <w:tcPr>
            <w:tcW w:w="60" w:type="dxa"/>
            <w:vAlign w:val="bottom"/>
          </w:tcPr>
          <w:p>
            <w:pPr>
              <w:spacing w:after="0"/>
              <w:rPr>
                <w:sz w:val="20"/>
                <w:szCs w:val="20"/>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231F20"/>
              </w:rPr>
              <w:t>73,768</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1965/2003/</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4/1/1965</w:t>
            </w:r>
          </w:p>
        </w:tc>
        <w:tc>
          <w:tcPr>
            <w:tcW w:w="10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5"/>
                <w:szCs w:val="15"/>
                <w:color w:val="231F20"/>
              </w:rPr>
              <w:t>(1)</w:t>
            </w:r>
          </w:p>
        </w:tc>
        <w:tc>
          <w:tcPr>
            <w:tcW w:w="0" w:type="dxa"/>
            <w:vAlign w:val="bottom"/>
          </w:tcPr>
          <w:p>
            <w:pPr>
              <w:spacing w:after="0"/>
              <w:rPr>
                <w:sz w:val="1"/>
                <w:szCs w:val="1"/>
                <w:color w:val="auto"/>
              </w:rPr>
            </w:pPr>
          </w:p>
        </w:tc>
      </w:tr>
      <w:tr>
        <w:trPr>
          <w:trHeight w:val="175"/>
        </w:trPr>
        <w:tc>
          <w:tcPr>
            <w:tcW w:w="2440" w:type="dxa"/>
            <w:vAlign w:val="bottom"/>
          </w:tcPr>
          <w:p>
            <w:pPr>
              <w:ind w:left="60"/>
              <w:spacing w:after="0"/>
              <w:rPr>
                <w:sz w:val="20"/>
                <w:szCs w:val="20"/>
                <w:color w:val="auto"/>
              </w:rPr>
            </w:pPr>
            <w:r>
              <w:rPr>
                <w:rFonts w:ascii="Times New Roman" w:cs="Times New Roman" w:eastAsia="Times New Roman" w:hAnsi="Times New Roman"/>
                <w:sz w:val="15"/>
                <w:szCs w:val="15"/>
                <w:color w:val="231F20"/>
              </w:rPr>
              <w:t>(Maryland)</w:t>
            </w: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2016</w:t>
            </w:r>
          </w:p>
        </w:tc>
        <w:tc>
          <w:tcPr>
            <w:tcW w:w="940" w:type="dxa"/>
            <w:vAlign w:val="bottom"/>
            <w:gridSpan w:val="2"/>
            <w:vMerge w:val="continue"/>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440" w:type="dxa"/>
            <w:vAlign w:val="bottom"/>
          </w:tcPr>
          <w:p>
            <w:pPr>
              <w:ind w:left="60"/>
              <w:spacing w:after="0"/>
              <w:rPr>
                <w:sz w:val="20"/>
                <w:szCs w:val="20"/>
                <w:color w:val="auto"/>
              </w:rPr>
            </w:pPr>
            <w:r>
              <w:rPr>
                <w:rFonts w:ascii="Times New Roman" w:cs="Times New Roman" w:eastAsia="Times New Roman" w:hAnsi="Times New Roman"/>
                <w:sz w:val="15"/>
                <w:szCs w:val="15"/>
                <w:color w:val="231F20"/>
              </w:rPr>
              <w:t>COURTHOUSE CENTER</w:t>
            </w: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1,750</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1,869</w:t>
            </w:r>
          </w:p>
        </w:tc>
        <w:tc>
          <w:tcPr>
            <w:tcW w:w="8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231F20"/>
              </w:rPr>
              <w:t>4,024</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1,750</w:t>
            </w: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5,893</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7,643</w:t>
            </w:r>
          </w:p>
        </w:tc>
        <w:tc>
          <w:tcPr>
            <w:tcW w:w="6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231F20"/>
              </w:rPr>
              <w:t>4,504</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1975</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12/17/1997</w:t>
            </w:r>
          </w:p>
        </w:tc>
        <w:tc>
          <w:tcPr>
            <w:tcW w:w="10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5"/>
                <w:szCs w:val="15"/>
                <w:color w:val="231F20"/>
              </w:rPr>
              <w:t>(1)</w:t>
            </w:r>
          </w:p>
        </w:tc>
        <w:tc>
          <w:tcPr>
            <w:tcW w:w="0" w:type="dxa"/>
            <w:vAlign w:val="bottom"/>
          </w:tcPr>
          <w:p>
            <w:pPr>
              <w:spacing w:after="0"/>
              <w:rPr>
                <w:sz w:val="1"/>
                <w:szCs w:val="1"/>
                <w:color w:val="auto"/>
              </w:rPr>
            </w:pPr>
          </w:p>
        </w:tc>
      </w:tr>
      <w:tr>
        <w:trPr>
          <w:trHeight w:val="198"/>
        </w:trPr>
        <w:tc>
          <w:tcPr>
            <w:tcW w:w="2440" w:type="dxa"/>
            <w:vAlign w:val="bottom"/>
          </w:tcPr>
          <w:p>
            <w:pPr>
              <w:ind w:left="60"/>
              <w:spacing w:after="0"/>
              <w:rPr>
                <w:sz w:val="20"/>
                <w:szCs w:val="20"/>
                <w:color w:val="auto"/>
              </w:rPr>
            </w:pPr>
            <w:r>
              <w:rPr>
                <w:rFonts w:ascii="Times New Roman" w:cs="Times New Roman" w:eastAsia="Times New Roman" w:hAnsi="Times New Roman"/>
                <w:sz w:val="15"/>
                <w:szCs w:val="15"/>
                <w:color w:val="231F20"/>
              </w:rPr>
              <w:t>(Maryland)</w:t>
            </w: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440" w:type="dxa"/>
            <w:vAlign w:val="bottom"/>
          </w:tcPr>
          <w:p>
            <w:pPr>
              <w:ind w:left="60"/>
              <w:spacing w:after="0"/>
              <w:rPr>
                <w:sz w:val="20"/>
                <w:szCs w:val="20"/>
                <w:color w:val="auto"/>
              </w:rPr>
            </w:pPr>
            <w:r>
              <w:rPr>
                <w:rFonts w:ascii="Times New Roman" w:cs="Times New Roman" w:eastAsia="Times New Roman" w:hAnsi="Times New Roman"/>
                <w:sz w:val="15"/>
                <w:szCs w:val="15"/>
                <w:color w:val="231F20"/>
              </w:rPr>
              <w:t>CROSSROADS (Illinois)</w:t>
            </w: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4,635</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11,611</w:t>
            </w: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21,881</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4,635</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33,492</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38,127</w:t>
            </w:r>
          </w:p>
        </w:tc>
        <w:tc>
          <w:tcPr>
            <w:tcW w:w="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27,419</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1959</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7/19/1993</w:t>
            </w: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231F20"/>
              </w:rPr>
              <w:t>(1)</w:t>
            </w:r>
          </w:p>
        </w:tc>
        <w:tc>
          <w:tcPr>
            <w:tcW w:w="0" w:type="dxa"/>
            <w:vAlign w:val="bottom"/>
          </w:tcPr>
          <w:p>
            <w:pPr>
              <w:spacing w:after="0"/>
              <w:rPr>
                <w:sz w:val="1"/>
                <w:szCs w:val="1"/>
                <w:color w:val="auto"/>
              </w:rPr>
            </w:pPr>
          </w:p>
        </w:tc>
      </w:tr>
      <w:tr>
        <w:trPr>
          <w:trHeight w:val="231"/>
        </w:trPr>
        <w:tc>
          <w:tcPr>
            <w:tcW w:w="2440" w:type="dxa"/>
            <w:vAlign w:val="bottom"/>
          </w:tcPr>
          <w:p>
            <w:pPr>
              <w:ind w:left="60"/>
              <w:spacing w:after="0"/>
              <w:rPr>
                <w:sz w:val="20"/>
                <w:szCs w:val="20"/>
                <w:color w:val="auto"/>
              </w:rPr>
            </w:pPr>
            <w:r>
              <w:rPr>
                <w:rFonts w:ascii="Times New Roman" w:cs="Times New Roman" w:eastAsia="Times New Roman" w:hAnsi="Times New Roman"/>
                <w:sz w:val="15"/>
                <w:szCs w:val="15"/>
                <w:color w:val="231F20"/>
              </w:rPr>
              <w:t>CROW CANYON COMMONS</w:t>
            </w: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27,245</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54,575</w:t>
            </w:r>
          </w:p>
        </w:tc>
        <w:tc>
          <w:tcPr>
            <w:tcW w:w="80" w:type="dxa"/>
            <w:vAlign w:val="bottom"/>
          </w:tcPr>
          <w:p>
            <w:pPr>
              <w:spacing w:after="0"/>
              <w:rPr>
                <w:sz w:val="20"/>
                <w:szCs w:val="20"/>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231F20"/>
              </w:rPr>
              <w:t>12,624</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27,245</w:t>
            </w: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67,199</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94,444</w:t>
            </w:r>
          </w:p>
        </w:tc>
        <w:tc>
          <w:tcPr>
            <w:tcW w:w="60" w:type="dxa"/>
            <w:vAlign w:val="bottom"/>
          </w:tcPr>
          <w:p>
            <w:pPr>
              <w:spacing w:after="0"/>
              <w:rPr>
                <w:sz w:val="20"/>
                <w:szCs w:val="20"/>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231F20"/>
              </w:rPr>
              <w:t>39,542</w:t>
            </w:r>
          </w:p>
        </w:tc>
        <w:tc>
          <w:tcPr>
            <w:tcW w:w="8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5"/>
                <w:szCs w:val="15"/>
                <w:color w:val="231F20"/>
              </w:rPr>
              <w:t>Late 1970's/</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12/29/05 &amp;</w:t>
            </w:r>
          </w:p>
        </w:tc>
        <w:tc>
          <w:tcPr>
            <w:tcW w:w="10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5"/>
                <w:szCs w:val="15"/>
                <w:color w:val="231F20"/>
              </w:rPr>
              <w:t>(1)</w:t>
            </w:r>
          </w:p>
        </w:tc>
        <w:tc>
          <w:tcPr>
            <w:tcW w:w="0" w:type="dxa"/>
            <w:vAlign w:val="bottom"/>
          </w:tcPr>
          <w:p>
            <w:pPr>
              <w:spacing w:after="0"/>
              <w:rPr>
                <w:sz w:val="1"/>
                <w:szCs w:val="1"/>
                <w:color w:val="auto"/>
              </w:rPr>
            </w:pPr>
          </w:p>
        </w:tc>
      </w:tr>
      <w:tr>
        <w:trPr>
          <w:trHeight w:val="198"/>
        </w:trPr>
        <w:tc>
          <w:tcPr>
            <w:tcW w:w="2440" w:type="dxa"/>
            <w:vAlign w:val="bottom"/>
          </w:tcPr>
          <w:p>
            <w:pPr>
              <w:ind w:left="60"/>
              <w:spacing w:after="0"/>
              <w:rPr>
                <w:sz w:val="20"/>
                <w:szCs w:val="20"/>
                <w:color w:val="auto"/>
              </w:rPr>
            </w:pPr>
            <w:r>
              <w:rPr>
                <w:rFonts w:ascii="Times New Roman" w:cs="Times New Roman" w:eastAsia="Times New Roman" w:hAnsi="Times New Roman"/>
                <w:sz w:val="15"/>
                <w:szCs w:val="15"/>
                <w:color w:val="231F20"/>
              </w:rPr>
              <w:t>(California)</w:t>
            </w: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1998/2006</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2/28/07</w:t>
            </w:r>
          </w:p>
        </w:tc>
        <w:tc>
          <w:tcPr>
            <w:tcW w:w="10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44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231F20"/>
              </w:rPr>
              <w:t>DARIEN COMMONS (Connecticut)</w:t>
            </w: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30,368</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19,523</w:t>
            </w:r>
          </w:p>
        </w:tc>
        <w:tc>
          <w:tcPr>
            <w:tcW w:w="80" w:type="dxa"/>
            <w:vAlign w:val="bottom"/>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231F20"/>
              </w:rPr>
              <w:t>104,899</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30,368</w:t>
            </w: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124,422</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154,790</w:t>
            </w:r>
          </w:p>
        </w:tc>
        <w:tc>
          <w:tcPr>
            <w:tcW w:w="6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231F20"/>
              </w:rPr>
              <w:t>15,521</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1920-2009/</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4/3/13 &amp;</w:t>
            </w:r>
          </w:p>
        </w:tc>
        <w:tc>
          <w:tcPr>
            <w:tcW w:w="10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5"/>
                <w:szCs w:val="15"/>
                <w:color w:val="231F20"/>
              </w:rPr>
              <w:t>(1)</w:t>
            </w:r>
          </w:p>
        </w:tc>
        <w:tc>
          <w:tcPr>
            <w:tcW w:w="0" w:type="dxa"/>
            <w:vAlign w:val="bottom"/>
          </w:tcPr>
          <w:p>
            <w:pPr>
              <w:spacing w:after="0"/>
              <w:rPr>
                <w:sz w:val="1"/>
                <w:szCs w:val="1"/>
                <w:color w:val="auto"/>
              </w:rPr>
            </w:pPr>
          </w:p>
        </w:tc>
      </w:tr>
      <w:tr>
        <w:trPr>
          <w:trHeight w:val="184"/>
        </w:trPr>
        <w:tc>
          <w:tcPr>
            <w:tcW w:w="24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2022-2023</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7/20/18</w:t>
            </w:r>
          </w:p>
        </w:tc>
        <w:tc>
          <w:tcPr>
            <w:tcW w:w="10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12/31/93,</w:t>
            </w: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2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40" w:type="dxa"/>
            <w:vAlign w:val="bottom"/>
            <w:gridSpan w:val="2"/>
          </w:tcPr>
          <w:p>
            <w:pPr>
              <w:jc w:val="right"/>
              <w:spacing w:after="0" w:line="152" w:lineRule="exact"/>
              <w:rPr>
                <w:sz w:val="20"/>
                <w:szCs w:val="20"/>
                <w:color w:val="auto"/>
              </w:rPr>
            </w:pPr>
            <w:r>
              <w:rPr>
                <w:rFonts w:ascii="Times New Roman" w:cs="Times New Roman" w:eastAsia="Times New Roman" w:hAnsi="Times New Roman"/>
                <w:sz w:val="15"/>
                <w:szCs w:val="15"/>
                <w:color w:val="231F20"/>
              </w:rPr>
              <w:t>12/14/16,</w:t>
            </w: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44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231F20"/>
              </w:rPr>
              <w:t>DEDHAM PLAZA (Massachusetts)</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16,354</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13,413</w:t>
            </w:r>
          </w:p>
        </w:tc>
        <w:tc>
          <w:tcPr>
            <w:tcW w:w="8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231F20"/>
              </w:rPr>
              <w:t>24,638</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16,354</w:t>
            </w: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38,051</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54,405</w:t>
            </w:r>
          </w:p>
        </w:tc>
        <w:tc>
          <w:tcPr>
            <w:tcW w:w="6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231F20"/>
              </w:rPr>
              <w:t>23,901</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1959</w:t>
            </w:r>
          </w:p>
        </w:tc>
        <w:tc>
          <w:tcPr>
            <w:tcW w:w="940" w:type="dxa"/>
            <w:vAlign w:val="bottom"/>
            <w:gridSpan w:val="2"/>
          </w:tcPr>
          <w:p>
            <w:pPr>
              <w:jc w:val="right"/>
              <w:spacing w:after="0" w:line="152" w:lineRule="exact"/>
              <w:rPr>
                <w:sz w:val="20"/>
                <w:szCs w:val="20"/>
                <w:color w:val="auto"/>
              </w:rPr>
            </w:pPr>
            <w:r>
              <w:rPr>
                <w:rFonts w:ascii="Times New Roman" w:cs="Times New Roman" w:eastAsia="Times New Roman" w:hAnsi="Times New Roman"/>
                <w:sz w:val="15"/>
                <w:szCs w:val="15"/>
                <w:color w:val="231F20"/>
              </w:rPr>
              <w:t>1/29/19, &amp;</w:t>
            </w:r>
          </w:p>
        </w:tc>
        <w:tc>
          <w:tcPr>
            <w:tcW w:w="10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5"/>
                <w:szCs w:val="15"/>
                <w:color w:val="231F20"/>
              </w:rPr>
              <w:t>(1)</w:t>
            </w:r>
          </w:p>
        </w:tc>
        <w:tc>
          <w:tcPr>
            <w:tcW w:w="0" w:type="dxa"/>
            <w:vAlign w:val="bottom"/>
          </w:tcPr>
          <w:p>
            <w:pPr>
              <w:spacing w:after="0"/>
              <w:rPr>
                <w:sz w:val="1"/>
                <w:szCs w:val="1"/>
                <w:color w:val="auto"/>
              </w:rPr>
            </w:pPr>
          </w:p>
        </w:tc>
      </w:tr>
      <w:tr>
        <w:trPr>
          <w:trHeight w:val="180"/>
        </w:trPr>
        <w:tc>
          <w:tcPr>
            <w:tcW w:w="24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3/12/19</w:t>
            </w:r>
          </w:p>
        </w:tc>
        <w:tc>
          <w:tcPr>
            <w:tcW w:w="10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1982/1994/</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5/30/08,</w:t>
            </w: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244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231F20"/>
              </w:rPr>
              <w:t>DEL MAR VILLAGE (Florida)</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15,624</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41,712</w:t>
            </w:r>
          </w:p>
        </w:tc>
        <w:tc>
          <w:tcPr>
            <w:tcW w:w="8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231F20"/>
              </w:rPr>
              <w:t>19,151</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15,587</w:t>
            </w: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60,900</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76,487</w:t>
            </w:r>
          </w:p>
        </w:tc>
        <w:tc>
          <w:tcPr>
            <w:tcW w:w="6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231F20"/>
              </w:rPr>
              <w:t>36,090</w:t>
            </w:r>
          </w:p>
        </w:tc>
        <w:tc>
          <w:tcPr>
            <w:tcW w:w="940" w:type="dxa"/>
            <w:vAlign w:val="bottom"/>
            <w:gridSpan w:val="2"/>
            <w:vMerge w:val="continue"/>
          </w:tcPr>
          <w:p>
            <w:pPr>
              <w:spacing w:after="0"/>
              <w:rPr>
                <w:sz w:val="13"/>
                <w:szCs w:val="13"/>
                <w:color w:val="auto"/>
              </w:rPr>
            </w:pPr>
          </w:p>
        </w:tc>
        <w:tc>
          <w:tcPr>
            <w:tcW w:w="940" w:type="dxa"/>
            <w:vAlign w:val="bottom"/>
            <w:gridSpan w:val="2"/>
          </w:tcPr>
          <w:p>
            <w:pPr>
              <w:jc w:val="right"/>
              <w:spacing w:after="0" w:line="152" w:lineRule="exact"/>
              <w:rPr>
                <w:sz w:val="20"/>
                <w:szCs w:val="20"/>
                <w:color w:val="auto"/>
              </w:rPr>
            </w:pPr>
            <w:r>
              <w:rPr>
                <w:rFonts w:ascii="Times New Roman" w:cs="Times New Roman" w:eastAsia="Times New Roman" w:hAnsi="Times New Roman"/>
                <w:sz w:val="15"/>
                <w:szCs w:val="15"/>
                <w:color w:val="231F20"/>
              </w:rPr>
              <w:t>7/11/08, &amp;</w:t>
            </w:r>
          </w:p>
        </w:tc>
        <w:tc>
          <w:tcPr>
            <w:tcW w:w="10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5"/>
                <w:szCs w:val="15"/>
                <w:color w:val="231F20"/>
              </w:rPr>
              <w:t>(1)</w:t>
            </w:r>
          </w:p>
        </w:tc>
        <w:tc>
          <w:tcPr>
            <w:tcW w:w="0" w:type="dxa"/>
            <w:vAlign w:val="bottom"/>
          </w:tcPr>
          <w:p>
            <w:pPr>
              <w:spacing w:after="0"/>
              <w:rPr>
                <w:sz w:val="1"/>
                <w:szCs w:val="1"/>
                <w:color w:val="auto"/>
              </w:rPr>
            </w:pPr>
          </w:p>
        </w:tc>
      </w:tr>
      <w:tr>
        <w:trPr>
          <w:trHeight w:val="198"/>
        </w:trPr>
        <w:tc>
          <w:tcPr>
            <w:tcW w:w="24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2007</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10/14/14</w:t>
            </w:r>
          </w:p>
        </w:tc>
        <w:tc>
          <w:tcPr>
            <w:tcW w:w="10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440" w:type="dxa"/>
            <w:vAlign w:val="bottom"/>
          </w:tcPr>
          <w:p>
            <w:pPr>
              <w:ind w:left="60"/>
              <w:spacing w:after="0"/>
              <w:rPr>
                <w:sz w:val="20"/>
                <w:szCs w:val="20"/>
                <w:color w:val="auto"/>
              </w:rPr>
            </w:pPr>
            <w:r>
              <w:rPr>
                <w:rFonts w:ascii="Times New Roman" w:cs="Times New Roman" w:eastAsia="Times New Roman" w:hAnsi="Times New Roman"/>
                <w:sz w:val="15"/>
                <w:szCs w:val="15"/>
                <w:color w:val="231F20"/>
              </w:rPr>
              <w:t>DEL MONTE SHOPPING CENTER</w:t>
            </w: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39,612</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89,949</w:t>
            </w:r>
          </w:p>
        </w:tc>
        <w:tc>
          <w:tcPr>
            <w:tcW w:w="80" w:type="dxa"/>
            <w:vAlign w:val="bottom"/>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231F20"/>
              </w:rPr>
              <w:t>723</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39,612</w:t>
            </w: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90,672</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130,284</w:t>
            </w:r>
          </w:p>
        </w:tc>
        <w:tc>
          <w:tcPr>
            <w:tcW w:w="6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231F20"/>
              </w:rPr>
              <w:t>3,905</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1968, 1976,</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2/25/2025</w:t>
            </w:r>
          </w:p>
        </w:tc>
        <w:tc>
          <w:tcPr>
            <w:tcW w:w="10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5"/>
                <w:szCs w:val="15"/>
                <w:color w:val="231F20"/>
              </w:rPr>
              <w:t>(1)</w:t>
            </w:r>
          </w:p>
        </w:tc>
        <w:tc>
          <w:tcPr>
            <w:tcW w:w="0" w:type="dxa"/>
            <w:vAlign w:val="bottom"/>
          </w:tcPr>
          <w:p>
            <w:pPr>
              <w:spacing w:after="0"/>
              <w:rPr>
                <w:sz w:val="1"/>
                <w:szCs w:val="1"/>
                <w:color w:val="auto"/>
              </w:rPr>
            </w:pPr>
          </w:p>
        </w:tc>
      </w:tr>
      <w:tr>
        <w:trPr>
          <w:trHeight w:val="198"/>
        </w:trPr>
        <w:tc>
          <w:tcPr>
            <w:tcW w:w="2440" w:type="dxa"/>
            <w:vAlign w:val="bottom"/>
          </w:tcPr>
          <w:p>
            <w:pPr>
              <w:ind w:left="60"/>
              <w:spacing w:after="0"/>
              <w:rPr>
                <w:sz w:val="20"/>
                <w:szCs w:val="20"/>
                <w:color w:val="auto"/>
              </w:rPr>
            </w:pPr>
            <w:r>
              <w:rPr>
                <w:rFonts w:ascii="Times New Roman" w:cs="Times New Roman" w:eastAsia="Times New Roman" w:hAnsi="Times New Roman"/>
                <w:sz w:val="15"/>
                <w:szCs w:val="15"/>
                <w:color w:val="231F20"/>
              </w:rPr>
              <w:t>(California)</w:t>
            </w: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1984, 2004</w:t>
            </w:r>
          </w:p>
        </w:tc>
        <w:tc>
          <w:tcPr>
            <w:tcW w:w="940" w:type="dxa"/>
            <w:vAlign w:val="bottom"/>
            <w:gridSpan w:val="2"/>
            <w:vMerge w:val="continue"/>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44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231F20"/>
              </w:rPr>
              <w:t>EAST BAY BRIDGE (California)</w:t>
            </w: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29,069</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138,035</w:t>
            </w:r>
          </w:p>
        </w:tc>
        <w:tc>
          <w:tcPr>
            <w:tcW w:w="80" w:type="dxa"/>
            <w:vAlign w:val="bottom"/>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231F20"/>
              </w:rPr>
              <w:t>12,156</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29,069</w:t>
            </w: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150,191</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179,260</w:t>
            </w:r>
          </w:p>
        </w:tc>
        <w:tc>
          <w:tcPr>
            <w:tcW w:w="6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231F20"/>
              </w:rPr>
              <w:t>64,493</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1994-2001,</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12/21/2012</w:t>
            </w:r>
          </w:p>
        </w:tc>
        <w:tc>
          <w:tcPr>
            <w:tcW w:w="10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5"/>
                <w:szCs w:val="15"/>
                <w:color w:val="231F20"/>
              </w:rPr>
              <w:t>(1)</w:t>
            </w:r>
          </w:p>
        </w:tc>
        <w:tc>
          <w:tcPr>
            <w:tcW w:w="0" w:type="dxa"/>
            <w:vAlign w:val="bottom"/>
          </w:tcPr>
          <w:p>
            <w:pPr>
              <w:spacing w:after="0"/>
              <w:rPr>
                <w:sz w:val="1"/>
                <w:szCs w:val="1"/>
                <w:color w:val="auto"/>
              </w:rPr>
            </w:pPr>
          </w:p>
        </w:tc>
      </w:tr>
      <w:tr>
        <w:trPr>
          <w:trHeight w:val="198"/>
        </w:trPr>
        <w:tc>
          <w:tcPr>
            <w:tcW w:w="24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2011/2012</w:t>
            </w:r>
          </w:p>
        </w:tc>
        <w:tc>
          <w:tcPr>
            <w:tcW w:w="940" w:type="dxa"/>
            <w:vAlign w:val="bottom"/>
            <w:gridSpan w:val="2"/>
            <w:vMerge w:val="continue"/>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440" w:type="dxa"/>
            <w:vAlign w:val="bottom"/>
          </w:tcPr>
          <w:p>
            <w:pPr>
              <w:ind w:left="60"/>
              <w:spacing w:after="0"/>
              <w:rPr>
                <w:sz w:val="20"/>
                <w:szCs w:val="20"/>
                <w:color w:val="auto"/>
              </w:rPr>
            </w:pPr>
            <w:r>
              <w:rPr>
                <w:rFonts w:ascii="Times New Roman" w:cs="Times New Roman" w:eastAsia="Times New Roman" w:hAnsi="Times New Roman"/>
                <w:sz w:val="15"/>
                <w:szCs w:val="15"/>
                <w:color w:val="231F20"/>
              </w:rPr>
              <w:t>ELLISBURG (New Jersey)</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4,028</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11,309</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24,630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4,013</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35,954</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39,967</w:t>
            </w:r>
          </w:p>
        </w:tc>
        <w:tc>
          <w:tcPr>
            <w:tcW w:w="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25,951</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1959</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10/16/1992</w:t>
            </w: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231F20"/>
              </w:rPr>
              <w:t>(1)</w:t>
            </w:r>
          </w:p>
        </w:tc>
        <w:tc>
          <w:tcPr>
            <w:tcW w:w="0" w:type="dxa"/>
            <w:vAlign w:val="bottom"/>
          </w:tcPr>
          <w:p>
            <w:pPr>
              <w:spacing w:after="0"/>
              <w:rPr>
                <w:sz w:val="1"/>
                <w:szCs w:val="1"/>
                <w:color w:val="auto"/>
              </w:rPr>
            </w:pPr>
          </w:p>
        </w:tc>
      </w:tr>
      <w:tr>
        <w:trPr>
          <w:trHeight w:val="231"/>
        </w:trPr>
        <w:tc>
          <w:tcPr>
            <w:tcW w:w="2440" w:type="dxa"/>
            <w:vAlign w:val="bottom"/>
          </w:tcPr>
          <w:p>
            <w:pPr>
              <w:ind w:left="60"/>
              <w:spacing w:after="0"/>
              <w:rPr>
                <w:sz w:val="20"/>
                <w:szCs w:val="20"/>
                <w:color w:val="auto"/>
              </w:rPr>
            </w:pPr>
            <w:r>
              <w:rPr>
                <w:rFonts w:ascii="Times New Roman" w:cs="Times New Roman" w:eastAsia="Times New Roman" w:hAnsi="Times New Roman"/>
                <w:sz w:val="15"/>
                <w:szCs w:val="15"/>
                <w:color w:val="231F20"/>
              </w:rPr>
              <w:t>ESCONDIDO PROMENADE</w:t>
            </w: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29,281</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105,736</w:t>
            </w:r>
          </w:p>
        </w:tc>
        <w:tc>
          <w:tcPr>
            <w:tcW w:w="80" w:type="dxa"/>
            <w:vAlign w:val="bottom"/>
          </w:tcPr>
          <w:p>
            <w:pPr>
              <w:spacing w:after="0"/>
              <w:rPr>
                <w:sz w:val="20"/>
                <w:szCs w:val="20"/>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231F20"/>
              </w:rPr>
              <w:t>791</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29,281</w:t>
            </w: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106,527</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135,808</w:t>
            </w:r>
          </w:p>
        </w:tc>
        <w:tc>
          <w:tcPr>
            <w:tcW w:w="60" w:type="dxa"/>
            <w:vAlign w:val="bottom"/>
          </w:tcPr>
          <w:p>
            <w:pPr>
              <w:spacing w:after="0"/>
              <w:rPr>
                <w:sz w:val="20"/>
                <w:szCs w:val="20"/>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231F20"/>
              </w:rPr>
              <w:t>15,508</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1987</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5/26/2023</w:t>
            </w:r>
          </w:p>
        </w:tc>
        <w:tc>
          <w:tcPr>
            <w:tcW w:w="10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5"/>
                <w:szCs w:val="15"/>
                <w:color w:val="231F20"/>
              </w:rPr>
              <w:t>(1)</w:t>
            </w:r>
          </w:p>
        </w:tc>
        <w:tc>
          <w:tcPr>
            <w:tcW w:w="0" w:type="dxa"/>
            <w:vAlign w:val="bottom"/>
          </w:tcPr>
          <w:p>
            <w:pPr>
              <w:spacing w:after="0"/>
              <w:rPr>
                <w:sz w:val="1"/>
                <w:szCs w:val="1"/>
                <w:color w:val="auto"/>
              </w:rPr>
            </w:pPr>
          </w:p>
        </w:tc>
      </w:tr>
      <w:tr>
        <w:trPr>
          <w:trHeight w:val="161"/>
        </w:trPr>
        <w:tc>
          <w:tcPr>
            <w:tcW w:w="2440" w:type="dxa"/>
            <w:vAlign w:val="bottom"/>
          </w:tcPr>
          <w:p>
            <w:pPr>
              <w:ind w:left="60"/>
              <w:spacing w:after="0" w:line="161" w:lineRule="exact"/>
              <w:rPr>
                <w:sz w:val="20"/>
                <w:szCs w:val="20"/>
                <w:color w:val="auto"/>
              </w:rPr>
            </w:pPr>
            <w:r>
              <w:rPr>
                <w:rFonts w:ascii="Times New Roman" w:cs="Times New Roman" w:eastAsia="Times New Roman" w:hAnsi="Times New Roman"/>
                <w:sz w:val="15"/>
                <w:szCs w:val="15"/>
                <w:color w:val="231F20"/>
              </w:rPr>
              <w:t>(California)</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44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231F20"/>
              </w:rPr>
              <w:t>FAIRFAX JUNCTION (Virgina)</w:t>
            </w: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16,768</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23,825</w:t>
            </w:r>
          </w:p>
        </w:tc>
        <w:tc>
          <w:tcPr>
            <w:tcW w:w="8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231F20"/>
              </w:rPr>
              <w:t>6,246</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16,768</w:t>
            </w: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30,071</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46,839</w:t>
            </w:r>
          </w:p>
        </w:tc>
        <w:tc>
          <w:tcPr>
            <w:tcW w:w="6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231F20"/>
              </w:rPr>
              <w:t>7,960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1981/1986/</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2/8/19 &amp;</w:t>
            </w:r>
          </w:p>
        </w:tc>
        <w:tc>
          <w:tcPr>
            <w:tcW w:w="10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5"/>
                <w:szCs w:val="15"/>
                <w:color w:val="231F20"/>
              </w:rPr>
              <w:t>(1)</w:t>
            </w:r>
          </w:p>
        </w:tc>
        <w:tc>
          <w:tcPr>
            <w:tcW w:w="0" w:type="dxa"/>
            <w:vAlign w:val="bottom"/>
          </w:tcPr>
          <w:p>
            <w:pPr>
              <w:spacing w:after="0"/>
              <w:rPr>
                <w:sz w:val="1"/>
                <w:szCs w:val="1"/>
                <w:color w:val="auto"/>
              </w:rPr>
            </w:pPr>
          </w:p>
        </w:tc>
      </w:tr>
      <w:tr>
        <w:trPr>
          <w:trHeight w:val="198"/>
        </w:trPr>
        <w:tc>
          <w:tcPr>
            <w:tcW w:w="24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2000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1/10/20</w:t>
            </w:r>
          </w:p>
        </w:tc>
        <w:tc>
          <w:tcPr>
            <w:tcW w:w="10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440" w:type="dxa"/>
            <w:vAlign w:val="bottom"/>
          </w:tcPr>
          <w:p>
            <w:pPr>
              <w:ind w:left="60"/>
              <w:spacing w:after="0"/>
              <w:rPr>
                <w:sz w:val="20"/>
                <w:szCs w:val="20"/>
                <w:color w:val="auto"/>
              </w:rPr>
            </w:pPr>
            <w:r>
              <w:rPr>
                <w:rFonts w:ascii="Times New Roman" w:cs="Times New Roman" w:eastAsia="Times New Roman" w:hAnsi="Times New Roman"/>
                <w:sz w:val="15"/>
                <w:szCs w:val="15"/>
                <w:color w:val="231F20"/>
              </w:rPr>
              <w:t>FEDERAL PLAZA (Maryland)</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10,216</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17,895</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47,132</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10,216</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65,027</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75,243</w:t>
            </w:r>
          </w:p>
        </w:tc>
        <w:tc>
          <w:tcPr>
            <w:tcW w:w="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57,602</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1970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6/29/1989</w:t>
            </w: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231F20"/>
              </w:rPr>
              <w:t>(1)</w:t>
            </w:r>
          </w:p>
        </w:tc>
        <w:tc>
          <w:tcPr>
            <w:tcW w:w="0" w:type="dxa"/>
            <w:vAlign w:val="bottom"/>
          </w:tcPr>
          <w:p>
            <w:pPr>
              <w:spacing w:after="0"/>
              <w:rPr>
                <w:sz w:val="1"/>
                <w:szCs w:val="1"/>
                <w:color w:val="auto"/>
              </w:rPr>
            </w:pPr>
          </w:p>
        </w:tc>
      </w:tr>
      <w:tr>
        <w:trPr>
          <w:trHeight w:val="242"/>
        </w:trPr>
        <w:tc>
          <w:tcPr>
            <w:tcW w:w="2440" w:type="dxa"/>
            <w:vAlign w:val="bottom"/>
          </w:tcPr>
          <w:p>
            <w:pPr>
              <w:ind w:left="60"/>
              <w:spacing w:after="0"/>
              <w:rPr>
                <w:sz w:val="20"/>
                <w:szCs w:val="20"/>
                <w:color w:val="auto"/>
              </w:rPr>
            </w:pPr>
            <w:r>
              <w:rPr>
                <w:rFonts w:ascii="Times New Roman" w:cs="Times New Roman" w:eastAsia="Times New Roman" w:hAnsi="Times New Roman"/>
                <w:sz w:val="15"/>
                <w:szCs w:val="15"/>
                <w:color w:val="231F20"/>
              </w:rPr>
              <w:t>FINLEY SQUARE (Illinois)</w:t>
            </w: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9,252</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9,544</w:t>
            </w:r>
          </w:p>
        </w:tc>
        <w:tc>
          <w:tcPr>
            <w:tcW w:w="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23,237</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9,252</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32,781</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42,033</w:t>
            </w:r>
          </w:p>
        </w:tc>
        <w:tc>
          <w:tcPr>
            <w:tcW w:w="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22,553</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1974</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4/27/1995</w:t>
            </w: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231F20"/>
              </w:rPr>
              <w:t>(1)</w:t>
            </w:r>
          </w:p>
        </w:tc>
        <w:tc>
          <w:tcPr>
            <w:tcW w:w="0" w:type="dxa"/>
            <w:vAlign w:val="bottom"/>
          </w:tcPr>
          <w:p>
            <w:pPr>
              <w:spacing w:after="0"/>
              <w:rPr>
                <w:sz w:val="1"/>
                <w:szCs w:val="1"/>
                <w:color w:val="auto"/>
              </w:rPr>
            </w:pPr>
          </w:p>
        </w:tc>
      </w:tr>
      <w:tr>
        <w:trPr>
          <w:trHeight w:val="242"/>
        </w:trPr>
        <w:tc>
          <w:tcPr>
            <w:tcW w:w="2440" w:type="dxa"/>
            <w:vAlign w:val="bottom"/>
          </w:tcPr>
          <w:p>
            <w:pPr>
              <w:ind w:left="60"/>
              <w:spacing w:after="0"/>
              <w:rPr>
                <w:sz w:val="20"/>
                <w:szCs w:val="20"/>
                <w:color w:val="auto"/>
              </w:rPr>
            </w:pPr>
            <w:r>
              <w:rPr>
                <w:rFonts w:ascii="Times New Roman" w:cs="Times New Roman" w:eastAsia="Times New Roman" w:hAnsi="Times New Roman"/>
                <w:sz w:val="15"/>
                <w:szCs w:val="15"/>
                <w:color w:val="231F20"/>
              </w:rPr>
              <w:t>FLOURTOWN (Pennsylvania)</w:t>
            </w: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1,345</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3,943</w:t>
            </w:r>
          </w:p>
        </w:tc>
        <w:tc>
          <w:tcPr>
            <w:tcW w:w="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14,713</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1,507</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18,494</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20,001</w:t>
            </w:r>
          </w:p>
        </w:tc>
        <w:tc>
          <w:tcPr>
            <w:tcW w:w="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9,477</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1957</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4/25/1980</w:t>
            </w: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231F20"/>
              </w:rPr>
              <w:t>(1)</w:t>
            </w:r>
          </w:p>
        </w:tc>
        <w:tc>
          <w:tcPr>
            <w:tcW w:w="0" w:type="dxa"/>
            <w:vAlign w:val="bottom"/>
          </w:tcPr>
          <w:p>
            <w:pPr>
              <w:spacing w:after="0"/>
              <w:rPr>
                <w:sz w:val="1"/>
                <w:szCs w:val="1"/>
                <w:color w:val="auto"/>
              </w:rPr>
            </w:pPr>
          </w:p>
        </w:tc>
      </w:tr>
      <w:tr>
        <w:trPr>
          <w:trHeight w:val="242"/>
        </w:trPr>
        <w:tc>
          <w:tcPr>
            <w:tcW w:w="2440" w:type="dxa"/>
            <w:vAlign w:val="bottom"/>
          </w:tcPr>
          <w:p>
            <w:pPr>
              <w:ind w:left="60"/>
              <w:spacing w:after="0"/>
              <w:rPr>
                <w:sz w:val="20"/>
                <w:szCs w:val="20"/>
                <w:color w:val="auto"/>
              </w:rPr>
            </w:pPr>
            <w:r>
              <w:rPr>
                <w:rFonts w:ascii="Times New Roman" w:cs="Times New Roman" w:eastAsia="Times New Roman" w:hAnsi="Times New Roman"/>
                <w:sz w:val="15"/>
                <w:szCs w:val="15"/>
                <w:color w:val="231F20"/>
              </w:rPr>
              <w:t>FOURTH STREET (California)</w:t>
            </w: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13,978</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9,909</w:t>
            </w:r>
          </w:p>
        </w:tc>
        <w:tc>
          <w:tcPr>
            <w:tcW w:w="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4,226</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13,978</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14,135</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28,113</w:t>
            </w:r>
          </w:p>
        </w:tc>
        <w:tc>
          <w:tcPr>
            <w:tcW w:w="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5,908</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1948,1975</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5/19/2017</w:t>
            </w: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231F20"/>
              </w:rPr>
              <w:t>(1)</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5480" w:h="11880" w:orient="landscape"/>
          <w:cols w:equalWidth="0" w:num="1">
            <w:col w:w="13120"/>
          </w:cols>
          <w:pgMar w:left="1180" w:top="865" w:right="1180" w:bottom="0" w:gutter="0" w:footer="0" w:header="0"/>
        </w:sectPr>
      </w:pP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F-42</w:t>
      </w:r>
    </w:p>
    <w:p>
      <w:pPr>
        <w:sectPr>
          <w:pgSz w:w="15480" w:h="11880" w:orient="landscape"/>
          <w:cols w:equalWidth="0" w:num="1">
            <w:col w:w="13120"/>
          </w:cols>
          <w:pgMar w:left="1180" w:top="865" w:right="1180" w:bottom="0" w:gutter="0" w:footer="0" w:header="0"/>
          <w:type w:val="continuous"/>
        </w:sectPr>
      </w:pPr>
    </w:p>
    <w:bookmarkStart w:id="106" w:name="page107"/>
    <w:bookmarkEnd w:id="106"/>
    <w:p>
      <w:pPr>
        <w:jc w:val="center"/>
        <w:spacing w:after="0"/>
        <w:rPr>
          <w:sz w:val="20"/>
          <w:szCs w:val="20"/>
          <w:color w:val="auto"/>
        </w:rPr>
      </w:pPr>
      <w:r>
        <w:rPr>
          <w:rFonts w:ascii="Times New Roman" w:cs="Times New Roman" w:eastAsia="Times New Roman" w:hAnsi="Times New Roman"/>
          <w:sz w:val="19"/>
          <w:szCs w:val="19"/>
          <w:b w:val="1"/>
          <w:bCs w:val="1"/>
          <w:color w:val="231F20"/>
        </w:rPr>
        <w:t>FEDERAL REALTY INVESTMENT TRUST AND FEDERAL REALTY OP LP</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231F20"/>
        </w:rPr>
        <w:t>SCHEDULE III</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231F20"/>
        </w:rPr>
        <w:t>SUMMARY OF REAL ESTATE AND ACCUMULATED DEPRECIATION</w:t>
      </w:r>
    </w:p>
    <w:p>
      <w:pPr>
        <w:spacing w:after="0" w:line="1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9"/>
          <w:szCs w:val="19"/>
          <w:b w:val="1"/>
          <w:bCs w:val="1"/>
          <w:color w:val="231F20"/>
        </w:rPr>
        <w:t>DECEMBER 31, 2025</w:t>
      </w:r>
    </w:p>
    <w:p>
      <w:pPr>
        <w:spacing w:after="0" w:line="1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9"/>
          <w:szCs w:val="19"/>
          <w:b w:val="1"/>
          <w:bCs w:val="1"/>
          <w:color w:val="231F20"/>
        </w:rPr>
        <w:t>(Dollars in thousands)</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44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231F20"/>
              </w:rPr>
              <w:t>COLUMN A</w:t>
            </w:r>
          </w:p>
        </w:tc>
        <w:tc>
          <w:tcPr>
            <w:tcW w:w="80" w:type="dxa"/>
            <w:vAlign w:val="bottom"/>
          </w:tcPr>
          <w:p>
            <w:pPr>
              <w:spacing w:after="0"/>
              <w:rPr>
                <w:sz w:val="15"/>
                <w:szCs w:val="15"/>
                <w:color w:val="auto"/>
              </w:rPr>
            </w:pPr>
          </w:p>
        </w:tc>
        <w:tc>
          <w:tcPr>
            <w:tcW w:w="900" w:type="dxa"/>
            <w:vAlign w:val="bottom"/>
          </w:tcPr>
          <w:p>
            <w:pPr>
              <w:jc w:val="right"/>
              <w:ind w:right="53"/>
              <w:spacing w:after="0"/>
              <w:rPr>
                <w:sz w:val="20"/>
                <w:szCs w:val="20"/>
                <w:color w:val="auto"/>
              </w:rPr>
            </w:pPr>
            <w:r>
              <w:rPr>
                <w:rFonts w:ascii="Times New Roman" w:cs="Times New Roman" w:eastAsia="Times New Roman" w:hAnsi="Times New Roman"/>
                <w:sz w:val="13"/>
                <w:szCs w:val="13"/>
                <w:b w:val="1"/>
                <w:bCs w:val="1"/>
                <w:color w:val="231F20"/>
              </w:rPr>
              <w:t>COLUMN B</w:t>
            </w:r>
          </w:p>
        </w:tc>
        <w:tc>
          <w:tcPr>
            <w:tcW w:w="80" w:type="dxa"/>
            <w:vAlign w:val="bottom"/>
          </w:tcPr>
          <w:p>
            <w:pPr>
              <w:spacing w:after="0"/>
              <w:rPr>
                <w:sz w:val="15"/>
                <w:szCs w:val="15"/>
                <w:color w:val="auto"/>
              </w:rPr>
            </w:pP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3"/>
                <w:szCs w:val="13"/>
                <w:b w:val="1"/>
                <w:bCs w:val="1"/>
                <w:color w:val="231F20"/>
              </w:rPr>
              <w:t>COLUMN C</w:t>
            </w: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3"/>
                <w:szCs w:val="13"/>
                <w:b w:val="1"/>
                <w:bCs w:val="1"/>
                <w:color w:val="231F20"/>
              </w:rPr>
              <w:t>COLUMN D</w:t>
            </w:r>
          </w:p>
        </w:tc>
        <w:tc>
          <w:tcPr>
            <w:tcW w:w="80" w:type="dxa"/>
            <w:vAlign w:val="bottom"/>
          </w:tcPr>
          <w:p>
            <w:pPr>
              <w:spacing w:after="0"/>
              <w:rPr>
                <w:sz w:val="15"/>
                <w:szCs w:val="15"/>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3"/>
                <w:szCs w:val="13"/>
                <w:b w:val="1"/>
                <w:bCs w:val="1"/>
                <w:color w:val="231F20"/>
              </w:rPr>
              <w:t>COLUMN E</w:t>
            </w: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jc w:val="right"/>
              <w:ind w:right="46"/>
              <w:spacing w:after="0"/>
              <w:rPr>
                <w:sz w:val="20"/>
                <w:szCs w:val="20"/>
                <w:color w:val="auto"/>
              </w:rPr>
            </w:pPr>
            <w:r>
              <w:rPr>
                <w:rFonts w:ascii="Times New Roman" w:cs="Times New Roman" w:eastAsia="Times New Roman" w:hAnsi="Times New Roman"/>
                <w:sz w:val="13"/>
                <w:szCs w:val="13"/>
                <w:b w:val="1"/>
                <w:bCs w:val="1"/>
                <w:color w:val="231F20"/>
              </w:rPr>
              <w:t>COLUMN F</w:t>
            </w:r>
          </w:p>
        </w:tc>
        <w:tc>
          <w:tcPr>
            <w:tcW w:w="8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231F20"/>
              </w:rPr>
              <w:t>COLUMN G</w:t>
            </w:r>
          </w:p>
        </w:tc>
        <w:tc>
          <w:tcPr>
            <w:tcW w:w="8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231F20"/>
              </w:rPr>
              <w:t>COLUMN H</w:t>
            </w:r>
          </w:p>
        </w:tc>
        <w:tc>
          <w:tcPr>
            <w:tcW w:w="8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231F20"/>
              </w:rPr>
              <w:t>COLUMN I</w:t>
            </w:r>
          </w:p>
        </w:tc>
        <w:tc>
          <w:tcPr>
            <w:tcW w:w="0" w:type="dxa"/>
            <w:vAlign w:val="bottom"/>
          </w:tcPr>
          <w:p>
            <w:pPr>
              <w:spacing w:after="0"/>
              <w:rPr>
                <w:sz w:val="1"/>
                <w:szCs w:val="1"/>
                <w:color w:val="auto"/>
              </w:rPr>
            </w:pPr>
          </w:p>
        </w:tc>
      </w:tr>
      <w:tr>
        <w:trPr>
          <w:trHeight w:val="32"/>
        </w:trPr>
        <w:tc>
          <w:tcPr>
            <w:tcW w:w="244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90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98"/>
        </w:trPr>
        <w:tc>
          <w:tcPr>
            <w:tcW w:w="2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0" w:type="dxa"/>
            <w:vAlign w:val="bottom"/>
            <w:gridSpan w:val="4"/>
            <w:vMerge w:val="restart"/>
          </w:tcPr>
          <w:p>
            <w:pPr>
              <w:ind w:left="340"/>
              <w:spacing w:after="0"/>
              <w:rPr>
                <w:sz w:val="20"/>
                <w:szCs w:val="20"/>
                <w:color w:val="auto"/>
              </w:rPr>
            </w:pPr>
            <w:r>
              <w:rPr>
                <w:rFonts w:ascii="Times New Roman" w:cs="Times New Roman" w:eastAsia="Times New Roman" w:hAnsi="Times New Roman"/>
                <w:sz w:val="13"/>
                <w:szCs w:val="13"/>
                <w:b w:val="1"/>
                <w:bCs w:val="1"/>
                <w:color w:val="231F20"/>
              </w:rPr>
              <w:t>Initial cost to company</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231F20"/>
              </w:rPr>
              <w:t>Cost</w:t>
            </w:r>
          </w:p>
        </w:tc>
        <w:tc>
          <w:tcPr>
            <w:tcW w:w="80" w:type="dxa"/>
            <w:vAlign w:val="bottom"/>
          </w:tcPr>
          <w:p>
            <w:pPr>
              <w:spacing w:after="0"/>
              <w:rPr>
                <w:sz w:val="24"/>
                <w:szCs w:val="24"/>
                <w:color w:val="auto"/>
              </w:rPr>
            </w:pPr>
          </w:p>
        </w:tc>
        <w:tc>
          <w:tcPr>
            <w:tcW w:w="2900" w:type="dxa"/>
            <w:vAlign w:val="bottom"/>
            <w:gridSpan w:val="6"/>
          </w:tcPr>
          <w:p>
            <w:pPr>
              <w:jc w:val="center"/>
              <w:ind w:right="20"/>
              <w:spacing w:after="0"/>
              <w:rPr>
                <w:sz w:val="20"/>
                <w:szCs w:val="20"/>
                <w:color w:val="auto"/>
              </w:rPr>
            </w:pPr>
            <w:r>
              <w:rPr>
                <w:rFonts w:ascii="Times New Roman" w:cs="Times New Roman" w:eastAsia="Times New Roman" w:hAnsi="Times New Roman"/>
                <w:sz w:val="13"/>
                <w:szCs w:val="13"/>
                <w:b w:val="1"/>
                <w:bCs w:val="1"/>
                <w:color w:val="231F20"/>
              </w:rPr>
              <w:t>Gross amount at which carried at</w:t>
            </w: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231F20"/>
              </w:rPr>
              <w:t>Life on which</w:t>
            </w:r>
          </w:p>
        </w:tc>
        <w:tc>
          <w:tcPr>
            <w:tcW w:w="0" w:type="dxa"/>
            <w:vAlign w:val="bottom"/>
          </w:tcPr>
          <w:p>
            <w:pPr>
              <w:spacing w:after="0"/>
              <w:rPr>
                <w:sz w:val="1"/>
                <w:szCs w:val="1"/>
                <w:color w:val="auto"/>
              </w:rPr>
            </w:pPr>
          </w:p>
        </w:tc>
      </w:tr>
      <w:tr>
        <w:trPr>
          <w:trHeight w:val="133"/>
        </w:trPr>
        <w:tc>
          <w:tcPr>
            <w:tcW w:w="2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0" w:type="dxa"/>
            <w:vAlign w:val="bottom"/>
            <w:gridSpan w:val="4"/>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jc w:val="center"/>
              <w:spacing w:after="0" w:line="133" w:lineRule="exact"/>
              <w:rPr>
                <w:sz w:val="20"/>
                <w:szCs w:val="20"/>
                <w:color w:val="auto"/>
              </w:rPr>
            </w:pPr>
            <w:r>
              <w:rPr>
                <w:rFonts w:ascii="Times New Roman" w:cs="Times New Roman" w:eastAsia="Times New Roman" w:hAnsi="Times New Roman"/>
                <w:sz w:val="13"/>
                <w:szCs w:val="13"/>
                <w:b w:val="1"/>
                <w:bCs w:val="1"/>
                <w:color w:val="231F20"/>
              </w:rPr>
              <w:t>close of period</w:t>
            </w: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jc w:val="center"/>
              <w:spacing w:after="0" w:line="133" w:lineRule="exact"/>
              <w:rPr>
                <w:sz w:val="20"/>
                <w:szCs w:val="20"/>
                <w:color w:val="auto"/>
              </w:rPr>
            </w:pPr>
            <w:r>
              <w:rPr>
                <w:rFonts w:ascii="Times New Roman" w:cs="Times New Roman" w:eastAsia="Times New Roman" w:hAnsi="Times New Roman"/>
                <w:sz w:val="13"/>
                <w:szCs w:val="13"/>
                <w:b w:val="1"/>
                <w:bCs w:val="1"/>
                <w:color w:val="231F20"/>
              </w:rPr>
              <w:t>depreciation</w:t>
            </w:r>
          </w:p>
        </w:tc>
        <w:tc>
          <w:tcPr>
            <w:tcW w:w="0" w:type="dxa"/>
            <w:vAlign w:val="bottom"/>
          </w:tcPr>
          <w:p>
            <w:pPr>
              <w:spacing w:after="0"/>
              <w:rPr>
                <w:sz w:val="1"/>
                <w:szCs w:val="1"/>
                <w:color w:val="auto"/>
              </w:rPr>
            </w:pPr>
          </w:p>
        </w:tc>
      </w:tr>
      <w:tr>
        <w:trPr>
          <w:trHeight w:val="48"/>
        </w:trPr>
        <w:tc>
          <w:tcPr>
            <w:tcW w:w="2440" w:type="dxa"/>
            <w:vAlign w:val="bottom"/>
          </w:tcPr>
          <w:p>
            <w:pPr>
              <w:spacing w:after="0"/>
              <w:rPr>
                <w:sz w:val="4"/>
                <w:szCs w:val="4"/>
                <w:color w:val="auto"/>
              </w:rPr>
            </w:pPr>
          </w:p>
        </w:tc>
        <w:tc>
          <w:tcPr>
            <w:tcW w:w="8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 w:type="dxa"/>
            <w:vAlign w:val="bottom"/>
          </w:tcPr>
          <w:p>
            <w:pPr>
              <w:spacing w:after="0"/>
              <w:rPr>
                <w:sz w:val="4"/>
                <w:szCs w:val="4"/>
                <w:color w:val="auto"/>
              </w:rPr>
            </w:pPr>
          </w:p>
        </w:tc>
        <w:tc>
          <w:tcPr>
            <w:tcW w:w="900" w:type="dxa"/>
            <w:vAlign w:val="bottom"/>
            <w:tcBorders>
              <w:bottom w:val="single" w:sz="8" w:color="231F20"/>
            </w:tcBorders>
          </w:tcPr>
          <w:p>
            <w:pPr>
              <w:spacing w:after="0"/>
              <w:rPr>
                <w:sz w:val="4"/>
                <w:szCs w:val="4"/>
                <w:color w:val="auto"/>
              </w:rPr>
            </w:pPr>
          </w:p>
        </w:tc>
        <w:tc>
          <w:tcPr>
            <w:tcW w:w="80" w:type="dxa"/>
            <w:vAlign w:val="bottom"/>
            <w:tcBorders>
              <w:bottom w:val="single" w:sz="8" w:color="231F20"/>
            </w:tcBorders>
          </w:tcPr>
          <w:p>
            <w:pPr>
              <w:spacing w:after="0"/>
              <w:rPr>
                <w:sz w:val="4"/>
                <w:szCs w:val="4"/>
                <w:color w:val="auto"/>
              </w:rPr>
            </w:pPr>
          </w:p>
        </w:tc>
        <w:tc>
          <w:tcPr>
            <w:tcW w:w="940" w:type="dxa"/>
            <w:vAlign w:val="bottom"/>
            <w:tcBorders>
              <w:bottom w:val="single" w:sz="8" w:color="231F20"/>
            </w:tcBorders>
          </w:tcPr>
          <w:p>
            <w:pPr>
              <w:spacing w:after="0"/>
              <w:rPr>
                <w:sz w:val="4"/>
                <w:szCs w:val="4"/>
                <w:color w:val="auto"/>
              </w:rPr>
            </w:pPr>
          </w:p>
        </w:tc>
        <w:tc>
          <w:tcPr>
            <w:tcW w:w="80" w:type="dxa"/>
            <w:vAlign w:val="bottom"/>
          </w:tcPr>
          <w:p>
            <w:pPr>
              <w:spacing w:after="0"/>
              <w:rPr>
                <w:sz w:val="4"/>
                <w:szCs w:val="4"/>
                <w:color w:val="auto"/>
              </w:rPr>
            </w:pPr>
          </w:p>
        </w:tc>
        <w:tc>
          <w:tcPr>
            <w:tcW w:w="860" w:type="dxa"/>
            <w:vAlign w:val="bottom"/>
            <w:vMerge w:val="restart"/>
          </w:tcPr>
          <w:p>
            <w:pPr>
              <w:jc w:val="center"/>
              <w:spacing w:after="0" w:line="100" w:lineRule="exact"/>
              <w:rPr>
                <w:sz w:val="20"/>
                <w:szCs w:val="20"/>
                <w:color w:val="auto"/>
              </w:rPr>
            </w:pPr>
            <w:r>
              <w:rPr>
                <w:rFonts w:ascii="Times New Roman" w:cs="Times New Roman" w:eastAsia="Times New Roman" w:hAnsi="Times New Roman"/>
                <w:sz w:val="11"/>
                <w:szCs w:val="11"/>
                <w:b w:val="1"/>
                <w:bCs w:val="1"/>
                <w:color w:val="231F20"/>
              </w:rPr>
              <w:t>Capitalized</w:t>
            </w:r>
          </w:p>
        </w:tc>
        <w:tc>
          <w:tcPr>
            <w:tcW w:w="80" w:type="dxa"/>
            <w:vAlign w:val="bottom"/>
          </w:tcPr>
          <w:p>
            <w:pPr>
              <w:spacing w:after="0"/>
              <w:rPr>
                <w:sz w:val="4"/>
                <w:szCs w:val="4"/>
                <w:color w:val="auto"/>
              </w:rPr>
            </w:pPr>
          </w:p>
        </w:tc>
        <w:tc>
          <w:tcPr>
            <w:tcW w:w="860" w:type="dxa"/>
            <w:vAlign w:val="bottom"/>
            <w:tcBorders>
              <w:bottom w:val="single" w:sz="8" w:color="231F20"/>
            </w:tcBorders>
          </w:tcPr>
          <w:p>
            <w:pPr>
              <w:spacing w:after="0"/>
              <w:rPr>
                <w:sz w:val="4"/>
                <w:szCs w:val="4"/>
                <w:color w:val="auto"/>
              </w:rPr>
            </w:pPr>
          </w:p>
        </w:tc>
        <w:tc>
          <w:tcPr>
            <w:tcW w:w="80" w:type="dxa"/>
            <w:vAlign w:val="bottom"/>
            <w:tcBorders>
              <w:bottom w:val="single" w:sz="8" w:color="231F20"/>
            </w:tcBorders>
          </w:tcPr>
          <w:p>
            <w:pPr>
              <w:spacing w:after="0"/>
              <w:rPr>
                <w:sz w:val="4"/>
                <w:szCs w:val="4"/>
                <w:color w:val="auto"/>
              </w:rPr>
            </w:pPr>
          </w:p>
        </w:tc>
        <w:tc>
          <w:tcPr>
            <w:tcW w:w="960" w:type="dxa"/>
            <w:vAlign w:val="bottom"/>
            <w:tcBorders>
              <w:bottom w:val="single" w:sz="8" w:color="231F20"/>
            </w:tcBorders>
          </w:tcPr>
          <w:p>
            <w:pPr>
              <w:spacing w:after="0"/>
              <w:rPr>
                <w:sz w:val="4"/>
                <w:szCs w:val="4"/>
                <w:color w:val="auto"/>
              </w:rPr>
            </w:pPr>
          </w:p>
        </w:tc>
        <w:tc>
          <w:tcPr>
            <w:tcW w:w="60" w:type="dxa"/>
            <w:vAlign w:val="bottom"/>
            <w:tcBorders>
              <w:bottom w:val="single" w:sz="8" w:color="231F20"/>
            </w:tcBorders>
          </w:tcPr>
          <w:p>
            <w:pPr>
              <w:spacing w:after="0"/>
              <w:rPr>
                <w:sz w:val="4"/>
                <w:szCs w:val="4"/>
                <w:color w:val="auto"/>
              </w:rPr>
            </w:pPr>
          </w:p>
        </w:tc>
        <w:tc>
          <w:tcPr>
            <w:tcW w:w="880" w:type="dxa"/>
            <w:vAlign w:val="bottom"/>
            <w:tcBorders>
              <w:bottom w:val="single" w:sz="8" w:color="231F20"/>
            </w:tcBorders>
          </w:tcPr>
          <w:p>
            <w:pPr>
              <w:spacing w:after="0"/>
              <w:rPr>
                <w:sz w:val="4"/>
                <w:szCs w:val="4"/>
                <w:color w:val="auto"/>
              </w:rPr>
            </w:pPr>
          </w:p>
        </w:tc>
        <w:tc>
          <w:tcPr>
            <w:tcW w:w="60" w:type="dxa"/>
            <w:vAlign w:val="bottom"/>
          </w:tcPr>
          <w:p>
            <w:pPr>
              <w:spacing w:after="0"/>
              <w:rPr>
                <w:sz w:val="4"/>
                <w:szCs w:val="4"/>
                <w:color w:val="auto"/>
              </w:rPr>
            </w:pPr>
          </w:p>
        </w:tc>
        <w:tc>
          <w:tcPr>
            <w:tcW w:w="900" w:type="dxa"/>
            <w:vAlign w:val="bottom"/>
            <w:vMerge w:val="restart"/>
          </w:tcPr>
          <w:p>
            <w:pPr>
              <w:jc w:val="center"/>
              <w:spacing w:after="0" w:line="100" w:lineRule="exact"/>
              <w:rPr>
                <w:sz w:val="20"/>
                <w:szCs w:val="20"/>
                <w:color w:val="auto"/>
              </w:rPr>
            </w:pPr>
            <w:r>
              <w:rPr>
                <w:rFonts w:ascii="Times New Roman" w:cs="Times New Roman" w:eastAsia="Times New Roman" w:hAnsi="Times New Roman"/>
                <w:sz w:val="11"/>
                <w:szCs w:val="11"/>
                <w:b w:val="1"/>
                <w:bCs w:val="1"/>
                <w:color w:val="231F20"/>
              </w:rPr>
              <w:t>Accumulated</w:t>
            </w:r>
          </w:p>
        </w:tc>
        <w:tc>
          <w:tcPr>
            <w:tcW w:w="80" w:type="dxa"/>
            <w:vAlign w:val="bottom"/>
          </w:tcPr>
          <w:p>
            <w:pPr>
              <w:spacing w:after="0"/>
              <w:rPr>
                <w:sz w:val="4"/>
                <w:szCs w:val="4"/>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231F20"/>
                <w:w w:val="99"/>
              </w:rPr>
              <w:t>Date</w:t>
            </w:r>
          </w:p>
        </w:tc>
        <w:tc>
          <w:tcPr>
            <w:tcW w:w="80" w:type="dxa"/>
            <w:vAlign w:val="bottom"/>
          </w:tcPr>
          <w:p>
            <w:pPr>
              <w:spacing w:after="0"/>
              <w:rPr>
                <w:sz w:val="4"/>
                <w:szCs w:val="4"/>
                <w:color w:val="auto"/>
              </w:rPr>
            </w:pPr>
          </w:p>
        </w:tc>
        <w:tc>
          <w:tcPr>
            <w:tcW w:w="860" w:type="dxa"/>
            <w:vAlign w:val="bottom"/>
          </w:tcPr>
          <w:p>
            <w:pPr>
              <w:spacing w:after="0"/>
              <w:rPr>
                <w:sz w:val="4"/>
                <w:szCs w:val="4"/>
                <w:color w:val="auto"/>
              </w:rPr>
            </w:pPr>
          </w:p>
        </w:tc>
        <w:tc>
          <w:tcPr>
            <w:tcW w:w="80" w:type="dxa"/>
            <w:vAlign w:val="bottom"/>
          </w:tcPr>
          <w:p>
            <w:pPr>
              <w:spacing w:after="0"/>
              <w:rPr>
                <w:sz w:val="4"/>
                <w:szCs w:val="4"/>
                <w:color w:val="auto"/>
              </w:rPr>
            </w:pPr>
          </w:p>
        </w:tc>
        <w:tc>
          <w:tcPr>
            <w:tcW w:w="920" w:type="dxa"/>
            <w:vAlign w:val="bottom"/>
            <w:vMerge w:val="restart"/>
          </w:tcPr>
          <w:p>
            <w:pPr>
              <w:jc w:val="center"/>
              <w:spacing w:after="0" w:line="100" w:lineRule="exact"/>
              <w:rPr>
                <w:sz w:val="20"/>
                <w:szCs w:val="20"/>
                <w:color w:val="auto"/>
              </w:rPr>
            </w:pPr>
            <w:r>
              <w:rPr>
                <w:rFonts w:ascii="Times New Roman" w:cs="Times New Roman" w:eastAsia="Times New Roman" w:hAnsi="Times New Roman"/>
                <w:sz w:val="11"/>
                <w:szCs w:val="11"/>
                <w:b w:val="1"/>
                <w:bCs w:val="1"/>
                <w:color w:val="231F20"/>
              </w:rPr>
              <w:t>in latest</w:t>
            </w:r>
          </w:p>
        </w:tc>
        <w:tc>
          <w:tcPr>
            <w:tcW w:w="0" w:type="dxa"/>
            <w:vAlign w:val="bottom"/>
          </w:tcPr>
          <w:p>
            <w:pPr>
              <w:spacing w:after="0"/>
              <w:rPr>
                <w:sz w:val="1"/>
                <w:szCs w:val="1"/>
                <w:color w:val="auto"/>
              </w:rPr>
            </w:pPr>
          </w:p>
        </w:tc>
      </w:tr>
      <w:tr>
        <w:trPr>
          <w:trHeight w:val="32"/>
        </w:trPr>
        <w:tc>
          <w:tcPr>
            <w:tcW w:w="244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90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3"/>
        </w:trPr>
        <w:tc>
          <w:tcPr>
            <w:tcW w:w="2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3"/>
                <w:szCs w:val="13"/>
                <w:b w:val="1"/>
                <w:bCs w:val="1"/>
                <w:color w:val="231F20"/>
              </w:rPr>
              <w:t>Building and</w:t>
            </w:r>
          </w:p>
        </w:tc>
        <w:tc>
          <w:tcPr>
            <w:tcW w:w="860" w:type="dxa"/>
            <w:vAlign w:val="bottom"/>
          </w:tcPr>
          <w:p>
            <w:pPr>
              <w:jc w:val="center"/>
              <w:spacing w:after="0" w:line="133" w:lineRule="exact"/>
              <w:rPr>
                <w:sz w:val="20"/>
                <w:szCs w:val="20"/>
                <w:color w:val="auto"/>
              </w:rPr>
            </w:pPr>
            <w:r>
              <w:rPr>
                <w:rFonts w:ascii="Times New Roman" w:cs="Times New Roman" w:eastAsia="Times New Roman" w:hAnsi="Times New Roman"/>
                <w:sz w:val="13"/>
                <w:szCs w:val="13"/>
                <w:b w:val="1"/>
                <w:bCs w:val="1"/>
                <w:color w:val="231F20"/>
              </w:rPr>
              <w:t>Subsequent</w:t>
            </w: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231F20"/>
              </w:rPr>
              <w:t>Building and</w:t>
            </w: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jc w:val="center"/>
              <w:spacing w:after="0" w:line="133" w:lineRule="exact"/>
              <w:rPr>
                <w:sz w:val="20"/>
                <w:szCs w:val="20"/>
                <w:color w:val="auto"/>
              </w:rPr>
            </w:pPr>
            <w:r>
              <w:rPr>
                <w:rFonts w:ascii="Times New Roman" w:cs="Times New Roman" w:eastAsia="Times New Roman" w:hAnsi="Times New Roman"/>
                <w:sz w:val="13"/>
                <w:szCs w:val="13"/>
                <w:b w:val="1"/>
                <w:bCs w:val="1"/>
                <w:color w:val="231F20"/>
              </w:rPr>
              <w:t>Depreciation</w:t>
            </w:r>
          </w:p>
        </w:tc>
        <w:tc>
          <w:tcPr>
            <w:tcW w:w="8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231F20"/>
                <w:w w:val="99"/>
              </w:rPr>
              <w:t>Date</w:t>
            </w:r>
          </w:p>
        </w:tc>
        <w:tc>
          <w:tcPr>
            <w:tcW w:w="80" w:type="dxa"/>
            <w:vAlign w:val="bottom"/>
          </w:tcPr>
          <w:p>
            <w:pPr>
              <w:spacing w:after="0"/>
              <w:rPr>
                <w:sz w:val="11"/>
                <w:szCs w:val="11"/>
                <w:color w:val="auto"/>
              </w:rPr>
            </w:pPr>
          </w:p>
        </w:tc>
        <w:tc>
          <w:tcPr>
            <w:tcW w:w="920" w:type="dxa"/>
            <w:vAlign w:val="bottom"/>
          </w:tcPr>
          <w:p>
            <w:pPr>
              <w:jc w:val="center"/>
              <w:spacing w:after="0" w:line="133" w:lineRule="exact"/>
              <w:rPr>
                <w:sz w:val="20"/>
                <w:szCs w:val="20"/>
                <w:color w:val="auto"/>
              </w:rPr>
            </w:pPr>
            <w:r>
              <w:rPr>
                <w:rFonts w:ascii="Times New Roman" w:cs="Times New Roman" w:eastAsia="Times New Roman" w:hAnsi="Times New Roman"/>
                <w:sz w:val="13"/>
                <w:szCs w:val="13"/>
                <w:b w:val="1"/>
                <w:bCs w:val="1"/>
                <w:color w:val="231F20"/>
              </w:rPr>
              <w:t>income</w:t>
            </w:r>
          </w:p>
        </w:tc>
        <w:tc>
          <w:tcPr>
            <w:tcW w:w="0" w:type="dxa"/>
            <w:vAlign w:val="bottom"/>
          </w:tcPr>
          <w:p>
            <w:pPr>
              <w:spacing w:after="0"/>
              <w:rPr>
                <w:sz w:val="1"/>
                <w:szCs w:val="1"/>
                <w:color w:val="auto"/>
              </w:rPr>
            </w:pPr>
          </w:p>
        </w:tc>
      </w:tr>
      <w:tr>
        <w:trPr>
          <w:trHeight w:val="133"/>
        </w:trPr>
        <w:tc>
          <w:tcPr>
            <w:tcW w:w="2440" w:type="dxa"/>
            <w:vAlign w:val="bottom"/>
            <w:vMerge w:val="restart"/>
          </w:tcPr>
          <w:p>
            <w:pPr>
              <w:ind w:left="60"/>
              <w:spacing w:after="0"/>
              <w:rPr>
                <w:sz w:val="20"/>
                <w:szCs w:val="20"/>
                <w:color w:val="auto"/>
              </w:rPr>
            </w:pPr>
            <w:r>
              <w:rPr>
                <w:rFonts w:ascii="Times New Roman" w:cs="Times New Roman" w:eastAsia="Times New Roman" w:hAnsi="Times New Roman"/>
                <w:sz w:val="13"/>
                <w:szCs w:val="13"/>
                <w:b w:val="1"/>
                <w:bCs w:val="1"/>
                <w:color w:val="231F20"/>
              </w:rPr>
              <w:t>Descriptions</w:t>
            </w:r>
          </w:p>
        </w:tc>
        <w:tc>
          <w:tcPr>
            <w:tcW w:w="8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231F20"/>
              </w:rPr>
              <w:t>Encumbrance</w:t>
            </w:r>
          </w:p>
        </w:tc>
        <w:tc>
          <w:tcPr>
            <w:tcW w:w="80" w:type="dxa"/>
            <w:vAlign w:val="bottom"/>
          </w:tcPr>
          <w:p>
            <w:pPr>
              <w:spacing w:after="0"/>
              <w:rPr>
                <w:sz w:val="11"/>
                <w:szCs w:val="11"/>
                <w:color w:val="auto"/>
              </w:rPr>
            </w:pPr>
          </w:p>
        </w:tc>
        <w:tc>
          <w:tcPr>
            <w:tcW w:w="900" w:type="dxa"/>
            <w:vAlign w:val="bottom"/>
            <w:vMerge w:val="restart"/>
          </w:tcPr>
          <w:p>
            <w:pPr>
              <w:jc w:val="right"/>
              <w:ind w:right="210"/>
              <w:spacing w:after="0"/>
              <w:rPr>
                <w:sz w:val="20"/>
                <w:szCs w:val="20"/>
                <w:color w:val="auto"/>
              </w:rPr>
            </w:pPr>
            <w:r>
              <w:rPr>
                <w:rFonts w:ascii="Times New Roman" w:cs="Times New Roman" w:eastAsia="Times New Roman" w:hAnsi="Times New Roman"/>
                <w:sz w:val="13"/>
                <w:szCs w:val="13"/>
                <w:b w:val="1"/>
                <w:bCs w:val="1"/>
                <w:color w:val="231F20"/>
              </w:rPr>
              <w:t>Land</w:t>
            </w:r>
          </w:p>
        </w:tc>
        <w:tc>
          <w:tcPr>
            <w:tcW w:w="8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860" w:type="dxa"/>
            <w:vAlign w:val="bottom"/>
          </w:tcPr>
          <w:p>
            <w:pPr>
              <w:jc w:val="center"/>
              <w:spacing w:after="0" w:line="133" w:lineRule="exact"/>
              <w:rPr>
                <w:sz w:val="20"/>
                <w:szCs w:val="20"/>
                <w:color w:val="auto"/>
              </w:rPr>
            </w:pPr>
            <w:r>
              <w:rPr>
                <w:rFonts w:ascii="Times New Roman" w:cs="Times New Roman" w:eastAsia="Times New Roman" w:hAnsi="Times New Roman"/>
                <w:sz w:val="13"/>
                <w:szCs w:val="13"/>
                <w:b w:val="1"/>
                <w:bCs w:val="1"/>
                <w:color w:val="231F20"/>
                <w:w w:val="91"/>
              </w:rPr>
              <w:t>to</w:t>
            </w:r>
          </w:p>
        </w:tc>
        <w:tc>
          <w:tcPr>
            <w:tcW w:w="80" w:type="dxa"/>
            <w:vAlign w:val="bottom"/>
          </w:tcPr>
          <w:p>
            <w:pPr>
              <w:spacing w:after="0"/>
              <w:rPr>
                <w:sz w:val="11"/>
                <w:szCs w:val="11"/>
                <w:color w:val="auto"/>
              </w:rPr>
            </w:pPr>
          </w:p>
        </w:tc>
        <w:tc>
          <w:tcPr>
            <w:tcW w:w="860" w:type="dxa"/>
            <w:vAlign w:val="bottom"/>
            <w:vMerge w:val="restart"/>
          </w:tcPr>
          <w:p>
            <w:pPr>
              <w:jc w:val="right"/>
              <w:ind w:right="191"/>
              <w:spacing w:after="0"/>
              <w:rPr>
                <w:sz w:val="20"/>
                <w:szCs w:val="20"/>
                <w:color w:val="auto"/>
              </w:rPr>
            </w:pPr>
            <w:r>
              <w:rPr>
                <w:rFonts w:ascii="Times New Roman" w:cs="Times New Roman" w:eastAsia="Times New Roman" w:hAnsi="Times New Roman"/>
                <w:sz w:val="13"/>
                <w:szCs w:val="13"/>
                <w:b w:val="1"/>
                <w:bCs w:val="1"/>
                <w:color w:val="231F20"/>
              </w:rPr>
              <w:t>Land</w:t>
            </w:r>
          </w:p>
        </w:tc>
        <w:tc>
          <w:tcPr>
            <w:tcW w:w="8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gridSpan w:val="2"/>
            <w:vMerge w:val="restart"/>
          </w:tcPr>
          <w:p>
            <w:pPr>
              <w:ind w:left="300"/>
              <w:spacing w:after="0"/>
              <w:rPr>
                <w:sz w:val="20"/>
                <w:szCs w:val="20"/>
                <w:color w:val="auto"/>
              </w:rPr>
            </w:pPr>
            <w:r>
              <w:rPr>
                <w:rFonts w:ascii="Times New Roman" w:cs="Times New Roman" w:eastAsia="Times New Roman" w:hAnsi="Times New Roman"/>
                <w:sz w:val="13"/>
                <w:szCs w:val="13"/>
                <w:b w:val="1"/>
                <w:bCs w:val="1"/>
                <w:color w:val="231F20"/>
              </w:rPr>
              <w:t>Total</w:t>
            </w:r>
          </w:p>
        </w:tc>
        <w:tc>
          <w:tcPr>
            <w:tcW w:w="900" w:type="dxa"/>
            <w:vAlign w:val="bottom"/>
          </w:tcPr>
          <w:p>
            <w:pPr>
              <w:jc w:val="center"/>
              <w:spacing w:after="0" w:line="133" w:lineRule="exact"/>
              <w:rPr>
                <w:sz w:val="20"/>
                <w:szCs w:val="20"/>
                <w:color w:val="auto"/>
              </w:rPr>
            </w:pPr>
            <w:r>
              <w:rPr>
                <w:rFonts w:ascii="Times New Roman" w:cs="Times New Roman" w:eastAsia="Times New Roman" w:hAnsi="Times New Roman"/>
                <w:sz w:val="13"/>
                <w:szCs w:val="13"/>
                <w:b w:val="1"/>
                <w:bCs w:val="1"/>
                <w:color w:val="231F20"/>
              </w:rPr>
              <w:t>and</w:t>
            </w:r>
          </w:p>
        </w:tc>
        <w:tc>
          <w:tcPr>
            <w:tcW w:w="80" w:type="dxa"/>
            <w:vAlign w:val="bottom"/>
          </w:tcPr>
          <w:p>
            <w:pPr>
              <w:spacing w:after="0"/>
              <w:rPr>
                <w:sz w:val="11"/>
                <w:szCs w:val="11"/>
                <w:color w:val="auto"/>
              </w:rPr>
            </w:pPr>
          </w:p>
        </w:tc>
        <w:tc>
          <w:tcPr>
            <w:tcW w:w="860" w:type="dxa"/>
            <w:vAlign w:val="bottom"/>
          </w:tcPr>
          <w:p>
            <w:pPr>
              <w:jc w:val="center"/>
              <w:spacing w:after="0" w:line="133" w:lineRule="exact"/>
              <w:rPr>
                <w:sz w:val="20"/>
                <w:szCs w:val="20"/>
                <w:color w:val="auto"/>
              </w:rPr>
            </w:pPr>
            <w:r>
              <w:rPr>
                <w:rFonts w:ascii="Times New Roman" w:cs="Times New Roman" w:eastAsia="Times New Roman" w:hAnsi="Times New Roman"/>
                <w:sz w:val="13"/>
                <w:szCs w:val="13"/>
                <w:b w:val="1"/>
                <w:bCs w:val="1"/>
                <w:color w:val="231F20"/>
                <w:w w:val="91"/>
              </w:rPr>
              <w:t>of</w:t>
            </w:r>
          </w:p>
        </w:tc>
        <w:tc>
          <w:tcPr>
            <w:tcW w:w="8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jc w:val="center"/>
              <w:spacing w:after="0" w:line="133" w:lineRule="exact"/>
              <w:rPr>
                <w:sz w:val="20"/>
                <w:szCs w:val="20"/>
                <w:color w:val="auto"/>
              </w:rPr>
            </w:pPr>
            <w:r>
              <w:rPr>
                <w:rFonts w:ascii="Times New Roman" w:cs="Times New Roman" w:eastAsia="Times New Roman" w:hAnsi="Times New Roman"/>
                <w:sz w:val="13"/>
                <w:szCs w:val="13"/>
                <w:b w:val="1"/>
                <w:bCs w:val="1"/>
                <w:color w:val="231F20"/>
              </w:rPr>
              <w:t>statements is</w:t>
            </w:r>
          </w:p>
        </w:tc>
        <w:tc>
          <w:tcPr>
            <w:tcW w:w="0" w:type="dxa"/>
            <w:vAlign w:val="bottom"/>
          </w:tcPr>
          <w:p>
            <w:pPr>
              <w:spacing w:after="0"/>
              <w:rPr>
                <w:sz w:val="1"/>
                <w:szCs w:val="1"/>
                <w:color w:val="auto"/>
              </w:rPr>
            </w:pPr>
          </w:p>
        </w:tc>
      </w:tr>
      <w:tr>
        <w:trPr>
          <w:trHeight w:val="180"/>
        </w:trPr>
        <w:tc>
          <w:tcPr>
            <w:tcW w:w="24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b w:val="1"/>
                <w:bCs w:val="1"/>
                <w:color w:val="231F20"/>
              </w:rPr>
              <w:t>Improvements</w:t>
            </w: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231F20"/>
              </w:rPr>
              <w:t>Acquisition</w:t>
            </w:r>
          </w:p>
        </w:tc>
        <w:tc>
          <w:tcPr>
            <w:tcW w:w="8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231F20"/>
              </w:rPr>
              <w:t>Improvements</w:t>
            </w:r>
          </w:p>
        </w:tc>
        <w:tc>
          <w:tcPr>
            <w:tcW w:w="6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231F20"/>
              </w:rPr>
              <w:t>Amortization</w:t>
            </w:r>
          </w:p>
        </w:tc>
        <w:tc>
          <w:tcPr>
            <w:tcW w:w="8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231F20"/>
              </w:rPr>
              <w:t>Construction</w:t>
            </w:r>
          </w:p>
        </w:tc>
        <w:tc>
          <w:tcPr>
            <w:tcW w:w="8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231F20"/>
              </w:rPr>
              <w:t>Acquired</w:t>
            </w:r>
          </w:p>
        </w:tc>
        <w:tc>
          <w:tcPr>
            <w:tcW w:w="8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231F20"/>
              </w:rPr>
              <w:t>computed</w:t>
            </w:r>
          </w:p>
        </w:tc>
        <w:tc>
          <w:tcPr>
            <w:tcW w:w="0" w:type="dxa"/>
            <w:vAlign w:val="bottom"/>
          </w:tcPr>
          <w:p>
            <w:pPr>
              <w:spacing w:after="0"/>
              <w:rPr>
                <w:sz w:val="1"/>
                <w:szCs w:val="1"/>
                <w:color w:val="auto"/>
              </w:rPr>
            </w:pPr>
          </w:p>
        </w:tc>
      </w:tr>
      <w:tr>
        <w:trPr>
          <w:trHeight w:val="198"/>
        </w:trPr>
        <w:tc>
          <w:tcPr>
            <w:tcW w:w="2440" w:type="dxa"/>
            <w:vAlign w:val="bottom"/>
            <w:tcBorders>
              <w:top w:val="single" w:sz="8" w:color="231F20"/>
            </w:tcBorders>
          </w:tcPr>
          <w:p>
            <w:pPr>
              <w:ind w:left="60"/>
              <w:spacing w:after="0"/>
              <w:rPr>
                <w:sz w:val="20"/>
                <w:szCs w:val="20"/>
                <w:color w:val="auto"/>
              </w:rPr>
            </w:pPr>
            <w:r>
              <w:rPr>
                <w:rFonts w:ascii="Times New Roman" w:cs="Times New Roman" w:eastAsia="Times New Roman" w:hAnsi="Times New Roman"/>
                <w:sz w:val="15"/>
                <w:szCs w:val="15"/>
                <w:color w:val="231F20"/>
              </w:rPr>
              <w:t>FREEDOM PLAZA (California)</w:t>
            </w:r>
          </w:p>
        </w:tc>
        <w:tc>
          <w:tcPr>
            <w:tcW w:w="80" w:type="dxa"/>
            <w:vAlign w:val="bottom"/>
          </w:tcPr>
          <w:p>
            <w:pPr>
              <w:spacing w:after="0"/>
              <w:rPr>
                <w:sz w:val="17"/>
                <w:szCs w:val="17"/>
                <w:color w:val="auto"/>
              </w:rPr>
            </w:pPr>
          </w:p>
        </w:tc>
        <w:tc>
          <w:tcPr>
            <w:tcW w:w="900" w:type="dxa"/>
            <w:vAlign w:val="bottom"/>
            <w:tcBorders>
              <w:top w:val="single" w:sz="8" w:color="231F20"/>
            </w:tcBorders>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80" w:type="dxa"/>
            <w:vAlign w:val="bottom"/>
          </w:tcPr>
          <w:p>
            <w:pPr>
              <w:spacing w:after="0"/>
              <w:rPr>
                <w:sz w:val="17"/>
                <w:szCs w:val="17"/>
                <w:color w:val="auto"/>
              </w:rPr>
            </w:pPr>
          </w:p>
        </w:tc>
        <w:tc>
          <w:tcPr>
            <w:tcW w:w="94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15"/>
                <w:szCs w:val="15"/>
                <w:color w:val="231F20"/>
              </w:rPr>
              <w:t>3,255</w:t>
            </w:r>
          </w:p>
        </w:tc>
        <w:tc>
          <w:tcPr>
            <w:tcW w:w="80" w:type="dxa"/>
            <w:vAlign w:val="bottom"/>
          </w:tcPr>
          <w:p>
            <w:pPr>
              <w:spacing w:after="0"/>
              <w:rPr>
                <w:sz w:val="17"/>
                <w:szCs w:val="17"/>
                <w:color w:val="auto"/>
              </w:rPr>
            </w:pPr>
          </w:p>
        </w:tc>
        <w:tc>
          <w:tcPr>
            <w:tcW w:w="86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15"/>
                <w:szCs w:val="15"/>
                <w:color w:val="231F20"/>
              </w:rPr>
              <w:t>40,780</w:t>
            </w:r>
          </w:p>
        </w:tc>
        <w:tc>
          <w:tcPr>
            <w:tcW w:w="80" w:type="dxa"/>
            <w:vAlign w:val="bottom"/>
          </w:tcPr>
          <w:p>
            <w:pPr>
              <w:spacing w:after="0"/>
              <w:rPr>
                <w:sz w:val="17"/>
                <w:szCs w:val="17"/>
                <w:color w:val="auto"/>
              </w:rPr>
            </w:pPr>
          </w:p>
        </w:tc>
        <w:tc>
          <w:tcPr>
            <w:tcW w:w="86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80" w:type="dxa"/>
            <w:vAlign w:val="bottom"/>
          </w:tcPr>
          <w:p>
            <w:pPr>
              <w:spacing w:after="0"/>
              <w:rPr>
                <w:sz w:val="17"/>
                <w:szCs w:val="17"/>
                <w:color w:val="auto"/>
              </w:rPr>
            </w:pPr>
          </w:p>
        </w:tc>
        <w:tc>
          <w:tcPr>
            <w:tcW w:w="96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15"/>
                <w:szCs w:val="15"/>
                <w:color w:val="231F20"/>
              </w:rPr>
              <w:t>44,035</w:t>
            </w:r>
          </w:p>
        </w:tc>
        <w:tc>
          <w:tcPr>
            <w:tcW w:w="60" w:type="dxa"/>
            <w:vAlign w:val="bottom"/>
          </w:tcPr>
          <w:p>
            <w:pPr>
              <w:spacing w:after="0"/>
              <w:rPr>
                <w:sz w:val="17"/>
                <w:szCs w:val="17"/>
                <w:color w:val="auto"/>
              </w:rPr>
            </w:pPr>
          </w:p>
        </w:tc>
        <w:tc>
          <w:tcPr>
            <w:tcW w:w="88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15"/>
                <w:szCs w:val="15"/>
                <w:color w:val="231F20"/>
              </w:rPr>
              <w:t>44,035</w:t>
            </w:r>
          </w:p>
        </w:tc>
        <w:tc>
          <w:tcPr>
            <w:tcW w:w="60" w:type="dxa"/>
            <w:vAlign w:val="bottom"/>
          </w:tcPr>
          <w:p>
            <w:pPr>
              <w:spacing w:after="0"/>
              <w:rPr>
                <w:sz w:val="17"/>
                <w:szCs w:val="17"/>
                <w:color w:val="auto"/>
              </w:rPr>
            </w:pPr>
          </w:p>
        </w:tc>
        <w:tc>
          <w:tcPr>
            <w:tcW w:w="90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15"/>
                <w:szCs w:val="15"/>
                <w:color w:val="231F20"/>
              </w:rPr>
              <w:t>6,809</w:t>
            </w:r>
          </w:p>
        </w:tc>
        <w:tc>
          <w:tcPr>
            <w:tcW w:w="80" w:type="dxa"/>
            <w:vAlign w:val="bottom"/>
          </w:tcPr>
          <w:p>
            <w:pPr>
              <w:spacing w:after="0"/>
              <w:rPr>
                <w:sz w:val="17"/>
                <w:szCs w:val="17"/>
                <w:color w:val="auto"/>
              </w:rPr>
            </w:pPr>
          </w:p>
        </w:tc>
        <w:tc>
          <w:tcPr>
            <w:tcW w:w="86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15"/>
                <w:szCs w:val="15"/>
                <w:color w:val="231F20"/>
              </w:rPr>
              <w:t>2018-2020</w:t>
            </w:r>
          </w:p>
        </w:tc>
        <w:tc>
          <w:tcPr>
            <w:tcW w:w="80" w:type="dxa"/>
            <w:vAlign w:val="bottom"/>
          </w:tcPr>
          <w:p>
            <w:pPr>
              <w:spacing w:after="0"/>
              <w:rPr>
                <w:sz w:val="17"/>
                <w:szCs w:val="17"/>
                <w:color w:val="auto"/>
              </w:rPr>
            </w:pPr>
          </w:p>
        </w:tc>
        <w:tc>
          <w:tcPr>
            <w:tcW w:w="86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15"/>
                <w:szCs w:val="15"/>
                <w:color w:val="231F20"/>
              </w:rPr>
              <w:t>6/15/2018</w:t>
            </w:r>
          </w:p>
        </w:tc>
        <w:tc>
          <w:tcPr>
            <w:tcW w:w="80" w:type="dxa"/>
            <w:vAlign w:val="bottom"/>
          </w:tcPr>
          <w:p>
            <w:pPr>
              <w:spacing w:after="0"/>
              <w:rPr>
                <w:sz w:val="17"/>
                <w:szCs w:val="17"/>
                <w:color w:val="auto"/>
              </w:rPr>
            </w:pPr>
          </w:p>
        </w:tc>
        <w:tc>
          <w:tcPr>
            <w:tcW w:w="920" w:type="dxa"/>
            <w:vAlign w:val="bottom"/>
            <w:tcBorders>
              <w:top w:val="single" w:sz="8" w:color="231F20"/>
            </w:tcBorders>
          </w:tcPr>
          <w:p>
            <w:pPr>
              <w:jc w:val="center"/>
              <w:spacing w:after="0"/>
              <w:rPr>
                <w:sz w:val="20"/>
                <w:szCs w:val="20"/>
                <w:color w:val="auto"/>
              </w:rPr>
            </w:pPr>
            <w:r>
              <w:rPr>
                <w:rFonts w:ascii="Times New Roman" w:cs="Times New Roman" w:eastAsia="Times New Roman" w:hAnsi="Times New Roman"/>
                <w:sz w:val="15"/>
                <w:szCs w:val="15"/>
                <w:color w:val="231F20"/>
              </w:rPr>
              <w:t>(1)</w:t>
            </w:r>
          </w:p>
        </w:tc>
        <w:tc>
          <w:tcPr>
            <w:tcW w:w="0" w:type="dxa"/>
            <w:vAlign w:val="bottom"/>
          </w:tcPr>
          <w:p>
            <w:pPr>
              <w:spacing w:after="0"/>
              <w:rPr>
                <w:sz w:val="1"/>
                <w:szCs w:val="1"/>
                <w:color w:val="auto"/>
              </w:rPr>
            </w:pPr>
          </w:p>
        </w:tc>
      </w:tr>
      <w:tr>
        <w:trPr>
          <w:trHeight w:val="233"/>
        </w:trPr>
        <w:tc>
          <w:tcPr>
            <w:tcW w:w="2440" w:type="dxa"/>
            <w:vAlign w:val="bottom"/>
          </w:tcPr>
          <w:p>
            <w:pPr>
              <w:ind w:left="60"/>
              <w:spacing w:after="0"/>
              <w:rPr>
                <w:sz w:val="20"/>
                <w:szCs w:val="20"/>
                <w:color w:val="auto"/>
              </w:rPr>
            </w:pPr>
            <w:r>
              <w:rPr>
                <w:rFonts w:ascii="Times New Roman" w:cs="Times New Roman" w:eastAsia="Times New Roman" w:hAnsi="Times New Roman"/>
                <w:sz w:val="15"/>
                <w:szCs w:val="15"/>
                <w:color w:val="231F20"/>
              </w:rPr>
              <w:t>FRESH MEADOWS (New York)</w:t>
            </w: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24,625</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25,255</w:t>
            </w:r>
          </w:p>
        </w:tc>
        <w:tc>
          <w:tcPr>
            <w:tcW w:w="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49,772</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24,633</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75,019</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99,652</w:t>
            </w:r>
          </w:p>
        </w:tc>
        <w:tc>
          <w:tcPr>
            <w:tcW w:w="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55,923</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1946-1949</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12/5/1997</w:t>
            </w: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231F20"/>
              </w:rPr>
              <w:t>(1)</w:t>
            </w:r>
          </w:p>
        </w:tc>
        <w:tc>
          <w:tcPr>
            <w:tcW w:w="0" w:type="dxa"/>
            <w:vAlign w:val="bottom"/>
          </w:tcPr>
          <w:p>
            <w:pPr>
              <w:spacing w:after="0"/>
              <w:rPr>
                <w:sz w:val="1"/>
                <w:szCs w:val="1"/>
                <w:color w:val="auto"/>
              </w:rPr>
            </w:pPr>
          </w:p>
        </w:tc>
      </w:tr>
      <w:tr>
        <w:trPr>
          <w:trHeight w:val="231"/>
        </w:trPr>
        <w:tc>
          <w:tcPr>
            <w:tcW w:w="2440" w:type="dxa"/>
            <w:vAlign w:val="bottom"/>
          </w:tcPr>
          <w:p>
            <w:pPr>
              <w:ind w:left="60"/>
              <w:spacing w:after="0"/>
              <w:rPr>
                <w:sz w:val="20"/>
                <w:szCs w:val="20"/>
                <w:color w:val="auto"/>
              </w:rPr>
            </w:pPr>
            <w:r>
              <w:rPr>
                <w:rFonts w:ascii="Times New Roman" w:cs="Times New Roman" w:eastAsia="Times New Roman" w:hAnsi="Times New Roman"/>
                <w:sz w:val="15"/>
                <w:szCs w:val="15"/>
                <w:color w:val="231F20"/>
              </w:rPr>
              <w:t>FRIENDSHIP CENTER (District of</w:t>
            </w: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12,696</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20,803</w:t>
            </w:r>
          </w:p>
        </w:tc>
        <w:tc>
          <w:tcPr>
            <w:tcW w:w="80" w:type="dxa"/>
            <w:vAlign w:val="bottom"/>
          </w:tcPr>
          <w:p>
            <w:pPr>
              <w:spacing w:after="0"/>
              <w:rPr>
                <w:sz w:val="20"/>
                <w:szCs w:val="20"/>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231F20"/>
              </w:rPr>
              <w:t>6,341</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12,696</w:t>
            </w: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27,144</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39,840</w:t>
            </w:r>
          </w:p>
        </w:tc>
        <w:tc>
          <w:tcPr>
            <w:tcW w:w="60" w:type="dxa"/>
            <w:vAlign w:val="bottom"/>
          </w:tcPr>
          <w:p>
            <w:pPr>
              <w:spacing w:after="0"/>
              <w:rPr>
                <w:sz w:val="20"/>
                <w:szCs w:val="20"/>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231F20"/>
              </w:rPr>
              <w:t>15,132</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1998</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9/21/2001</w:t>
            </w:r>
          </w:p>
        </w:tc>
        <w:tc>
          <w:tcPr>
            <w:tcW w:w="10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5"/>
                <w:szCs w:val="15"/>
                <w:color w:val="231F20"/>
              </w:rPr>
              <w:t>(1)</w:t>
            </w:r>
          </w:p>
        </w:tc>
        <w:tc>
          <w:tcPr>
            <w:tcW w:w="0" w:type="dxa"/>
            <w:vAlign w:val="bottom"/>
          </w:tcPr>
          <w:p>
            <w:pPr>
              <w:spacing w:after="0"/>
              <w:rPr>
                <w:sz w:val="1"/>
                <w:szCs w:val="1"/>
                <w:color w:val="auto"/>
              </w:rPr>
            </w:pPr>
          </w:p>
        </w:tc>
      </w:tr>
      <w:tr>
        <w:trPr>
          <w:trHeight w:val="198"/>
        </w:trPr>
        <w:tc>
          <w:tcPr>
            <w:tcW w:w="2440" w:type="dxa"/>
            <w:vAlign w:val="bottom"/>
          </w:tcPr>
          <w:p>
            <w:pPr>
              <w:ind w:left="60"/>
              <w:spacing w:after="0"/>
              <w:rPr>
                <w:sz w:val="20"/>
                <w:szCs w:val="20"/>
                <w:color w:val="auto"/>
              </w:rPr>
            </w:pPr>
            <w:r>
              <w:rPr>
                <w:rFonts w:ascii="Times New Roman" w:cs="Times New Roman" w:eastAsia="Times New Roman" w:hAnsi="Times New Roman"/>
                <w:sz w:val="15"/>
                <w:szCs w:val="15"/>
                <w:color w:val="231F20"/>
              </w:rPr>
              <w:t>Columbia)</w:t>
            </w: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440" w:type="dxa"/>
            <w:vAlign w:val="bottom"/>
          </w:tcPr>
          <w:p>
            <w:pPr>
              <w:ind w:left="60"/>
              <w:spacing w:after="0"/>
              <w:rPr>
                <w:sz w:val="20"/>
                <w:szCs w:val="20"/>
                <w:color w:val="auto"/>
              </w:rPr>
            </w:pPr>
            <w:r>
              <w:rPr>
                <w:rFonts w:ascii="Times New Roman" w:cs="Times New Roman" w:eastAsia="Times New Roman" w:hAnsi="Times New Roman"/>
                <w:sz w:val="15"/>
                <w:szCs w:val="15"/>
                <w:color w:val="231F20"/>
              </w:rPr>
              <w:t>GAITHERSBURG SQUARE</w:t>
            </w: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7,701</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5,271</w:t>
            </w:r>
          </w:p>
        </w:tc>
        <w:tc>
          <w:tcPr>
            <w:tcW w:w="80" w:type="dxa"/>
            <w:vAlign w:val="bottom"/>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231F20"/>
              </w:rPr>
              <w:t>26,745</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5,973</w:t>
            </w: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33,744</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39,717</w:t>
            </w:r>
          </w:p>
        </w:tc>
        <w:tc>
          <w:tcPr>
            <w:tcW w:w="6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231F20"/>
              </w:rPr>
              <w:t>24,032</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1966</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4/22/1993</w:t>
            </w:r>
          </w:p>
        </w:tc>
        <w:tc>
          <w:tcPr>
            <w:tcW w:w="10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5"/>
                <w:szCs w:val="15"/>
                <w:color w:val="231F20"/>
              </w:rPr>
              <w:t>(1)</w:t>
            </w:r>
          </w:p>
        </w:tc>
        <w:tc>
          <w:tcPr>
            <w:tcW w:w="0" w:type="dxa"/>
            <w:vAlign w:val="bottom"/>
          </w:tcPr>
          <w:p>
            <w:pPr>
              <w:spacing w:after="0"/>
              <w:rPr>
                <w:sz w:val="1"/>
                <w:szCs w:val="1"/>
                <w:color w:val="auto"/>
              </w:rPr>
            </w:pPr>
          </w:p>
        </w:tc>
      </w:tr>
      <w:tr>
        <w:trPr>
          <w:trHeight w:val="198"/>
        </w:trPr>
        <w:tc>
          <w:tcPr>
            <w:tcW w:w="2440" w:type="dxa"/>
            <w:vAlign w:val="bottom"/>
          </w:tcPr>
          <w:p>
            <w:pPr>
              <w:ind w:left="60"/>
              <w:spacing w:after="0"/>
              <w:rPr>
                <w:sz w:val="20"/>
                <w:szCs w:val="20"/>
                <w:color w:val="auto"/>
              </w:rPr>
            </w:pPr>
            <w:r>
              <w:rPr>
                <w:rFonts w:ascii="Times New Roman" w:cs="Times New Roman" w:eastAsia="Times New Roman" w:hAnsi="Times New Roman"/>
                <w:sz w:val="15"/>
                <w:szCs w:val="15"/>
                <w:color w:val="231F20"/>
              </w:rPr>
              <w:t>(Maryland)</w:t>
            </w: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440" w:type="dxa"/>
            <w:vAlign w:val="bottom"/>
          </w:tcPr>
          <w:p>
            <w:pPr>
              <w:ind w:left="60"/>
              <w:spacing w:after="0"/>
              <w:rPr>
                <w:sz w:val="20"/>
                <w:szCs w:val="20"/>
                <w:color w:val="auto"/>
              </w:rPr>
            </w:pPr>
            <w:r>
              <w:rPr>
                <w:rFonts w:ascii="Times New Roman" w:cs="Times New Roman" w:eastAsia="Times New Roman" w:hAnsi="Times New Roman"/>
                <w:sz w:val="15"/>
                <w:szCs w:val="15"/>
                <w:color w:val="231F20"/>
              </w:rPr>
              <w:t>GARDEN MARKET (Illinois)</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2,677</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4,829</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9,909</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2,677</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14,738</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17,415</w:t>
            </w:r>
          </w:p>
        </w:tc>
        <w:tc>
          <w:tcPr>
            <w:tcW w:w="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11,584</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1958</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7/28/1994</w:t>
            </w: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231F20"/>
              </w:rPr>
              <w:t>(1)</w:t>
            </w:r>
          </w:p>
        </w:tc>
        <w:tc>
          <w:tcPr>
            <w:tcW w:w="0" w:type="dxa"/>
            <w:vAlign w:val="bottom"/>
          </w:tcPr>
          <w:p>
            <w:pPr>
              <w:spacing w:after="0"/>
              <w:rPr>
                <w:sz w:val="1"/>
                <w:szCs w:val="1"/>
                <w:color w:val="auto"/>
              </w:rPr>
            </w:pPr>
          </w:p>
        </w:tc>
      </w:tr>
      <w:tr>
        <w:trPr>
          <w:trHeight w:val="231"/>
        </w:trPr>
        <w:tc>
          <w:tcPr>
            <w:tcW w:w="2440" w:type="dxa"/>
            <w:vAlign w:val="bottom"/>
          </w:tcPr>
          <w:p>
            <w:pPr>
              <w:ind w:left="60"/>
              <w:spacing w:after="0"/>
              <w:rPr>
                <w:sz w:val="20"/>
                <w:szCs w:val="20"/>
                <w:color w:val="auto"/>
              </w:rPr>
            </w:pPr>
            <w:r>
              <w:rPr>
                <w:rFonts w:ascii="Times New Roman" w:cs="Times New Roman" w:eastAsia="Times New Roman" w:hAnsi="Times New Roman"/>
                <w:sz w:val="15"/>
                <w:szCs w:val="15"/>
                <w:color w:val="231F20"/>
              </w:rPr>
              <w:t>GEORGETOWNE SHOPPING</w:t>
            </w: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32,202</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49,586</w:t>
            </w:r>
          </w:p>
        </w:tc>
        <w:tc>
          <w:tcPr>
            <w:tcW w:w="80" w:type="dxa"/>
            <w:vAlign w:val="bottom"/>
          </w:tcPr>
          <w:p>
            <w:pPr>
              <w:spacing w:after="0"/>
              <w:rPr>
                <w:sz w:val="20"/>
                <w:szCs w:val="20"/>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231F20"/>
              </w:rPr>
              <w:t>6,447</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32,202</w:t>
            </w: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56,033</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88,235</w:t>
            </w:r>
          </w:p>
        </w:tc>
        <w:tc>
          <w:tcPr>
            <w:tcW w:w="60" w:type="dxa"/>
            <w:vAlign w:val="bottom"/>
          </w:tcPr>
          <w:p>
            <w:pPr>
              <w:spacing w:after="0"/>
              <w:rPr>
                <w:sz w:val="20"/>
                <w:szCs w:val="20"/>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231F20"/>
              </w:rPr>
              <w:t>11,813</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1969/2006/</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11/15/19</w:t>
            </w:r>
          </w:p>
        </w:tc>
        <w:tc>
          <w:tcPr>
            <w:tcW w:w="10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5"/>
                <w:szCs w:val="15"/>
                <w:color w:val="231F20"/>
              </w:rPr>
              <w:t>(1)</w:t>
            </w:r>
          </w:p>
        </w:tc>
        <w:tc>
          <w:tcPr>
            <w:tcW w:w="0" w:type="dxa"/>
            <w:vAlign w:val="bottom"/>
          </w:tcPr>
          <w:p>
            <w:pPr>
              <w:spacing w:after="0"/>
              <w:rPr>
                <w:sz w:val="1"/>
                <w:szCs w:val="1"/>
                <w:color w:val="auto"/>
              </w:rPr>
            </w:pPr>
          </w:p>
        </w:tc>
      </w:tr>
      <w:tr>
        <w:trPr>
          <w:trHeight w:val="198"/>
        </w:trPr>
        <w:tc>
          <w:tcPr>
            <w:tcW w:w="2440" w:type="dxa"/>
            <w:vAlign w:val="bottom"/>
          </w:tcPr>
          <w:p>
            <w:pPr>
              <w:ind w:left="60"/>
              <w:spacing w:after="0"/>
              <w:rPr>
                <w:sz w:val="20"/>
                <w:szCs w:val="20"/>
                <w:color w:val="auto"/>
              </w:rPr>
            </w:pPr>
            <w:r>
              <w:rPr>
                <w:rFonts w:ascii="Times New Roman" w:cs="Times New Roman" w:eastAsia="Times New Roman" w:hAnsi="Times New Roman"/>
                <w:sz w:val="15"/>
                <w:szCs w:val="15"/>
                <w:color w:val="231F20"/>
              </w:rPr>
              <w:t>CENTER (New York)</w:t>
            </w: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2015</w:t>
            </w:r>
          </w:p>
        </w:tc>
        <w:tc>
          <w:tcPr>
            <w:tcW w:w="940" w:type="dxa"/>
            <w:vAlign w:val="bottom"/>
            <w:gridSpan w:val="2"/>
            <w:vMerge w:val="continue"/>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440" w:type="dxa"/>
            <w:vAlign w:val="bottom"/>
          </w:tcPr>
          <w:p>
            <w:pPr>
              <w:ind w:left="60"/>
              <w:spacing w:after="0"/>
              <w:rPr>
                <w:sz w:val="20"/>
                <w:szCs w:val="20"/>
                <w:color w:val="auto"/>
              </w:rPr>
            </w:pPr>
            <w:r>
              <w:rPr>
                <w:rFonts w:ascii="Times New Roman" w:cs="Times New Roman" w:eastAsia="Times New Roman" w:hAnsi="Times New Roman"/>
                <w:sz w:val="15"/>
                <w:szCs w:val="15"/>
                <w:color w:val="231F20"/>
              </w:rPr>
              <w:t>GOVERNOR PLAZA (Maryland)</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2,068</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4,905</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28,793</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2,068</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33,698</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35,766</w:t>
            </w:r>
          </w:p>
        </w:tc>
        <w:tc>
          <w:tcPr>
            <w:tcW w:w="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25,388</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1963</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10/1/1985</w:t>
            </w: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231F20"/>
              </w:rPr>
              <w:t>(1)</w:t>
            </w:r>
          </w:p>
        </w:tc>
        <w:tc>
          <w:tcPr>
            <w:tcW w:w="0" w:type="dxa"/>
            <w:vAlign w:val="bottom"/>
          </w:tcPr>
          <w:p>
            <w:pPr>
              <w:spacing w:after="0"/>
              <w:rPr>
                <w:sz w:val="1"/>
                <w:szCs w:val="1"/>
                <w:color w:val="auto"/>
              </w:rPr>
            </w:pPr>
          </w:p>
        </w:tc>
      </w:tr>
      <w:tr>
        <w:trPr>
          <w:trHeight w:val="242"/>
        </w:trPr>
        <w:tc>
          <w:tcPr>
            <w:tcW w:w="2440" w:type="dxa"/>
            <w:vAlign w:val="bottom"/>
          </w:tcPr>
          <w:p>
            <w:pPr>
              <w:ind w:left="60"/>
              <w:spacing w:after="0"/>
              <w:rPr>
                <w:sz w:val="20"/>
                <w:szCs w:val="20"/>
                <w:color w:val="auto"/>
              </w:rPr>
            </w:pPr>
            <w:r>
              <w:rPr>
                <w:rFonts w:ascii="Times New Roman" w:cs="Times New Roman" w:eastAsia="Times New Roman" w:hAnsi="Times New Roman"/>
                <w:sz w:val="15"/>
                <w:szCs w:val="15"/>
                <w:color w:val="231F20"/>
              </w:rPr>
              <w:t>GRAHAM PARK PLAZA (Virginia)</w:t>
            </w: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642</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7,629</w:t>
            </w:r>
          </w:p>
        </w:tc>
        <w:tc>
          <w:tcPr>
            <w:tcW w:w="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20,154</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653</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27,772</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28,425</w:t>
            </w:r>
          </w:p>
        </w:tc>
        <w:tc>
          <w:tcPr>
            <w:tcW w:w="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21,031</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1971</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7/21/1983</w:t>
            </w: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231F20"/>
              </w:rPr>
              <w:t>(1)</w:t>
            </w:r>
          </w:p>
        </w:tc>
        <w:tc>
          <w:tcPr>
            <w:tcW w:w="0" w:type="dxa"/>
            <w:vAlign w:val="bottom"/>
          </w:tcPr>
          <w:p>
            <w:pPr>
              <w:spacing w:after="0"/>
              <w:rPr>
                <w:sz w:val="1"/>
                <w:szCs w:val="1"/>
                <w:color w:val="auto"/>
              </w:rPr>
            </w:pPr>
          </w:p>
        </w:tc>
      </w:tr>
      <w:tr>
        <w:trPr>
          <w:trHeight w:val="242"/>
        </w:trPr>
        <w:tc>
          <w:tcPr>
            <w:tcW w:w="2440" w:type="dxa"/>
            <w:vAlign w:val="bottom"/>
          </w:tcPr>
          <w:p>
            <w:pPr>
              <w:ind w:left="60"/>
              <w:spacing w:after="0"/>
              <w:rPr>
                <w:sz w:val="20"/>
                <w:szCs w:val="20"/>
                <w:color w:val="auto"/>
              </w:rPr>
            </w:pPr>
            <w:r>
              <w:rPr>
                <w:rFonts w:ascii="Times New Roman" w:cs="Times New Roman" w:eastAsia="Times New Roman" w:hAnsi="Times New Roman"/>
                <w:sz w:val="15"/>
                <w:szCs w:val="15"/>
                <w:color w:val="231F20"/>
              </w:rPr>
              <w:t>GRATIOT PLAZA (Michigan)</w:t>
            </w: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525</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1,601</w:t>
            </w:r>
          </w:p>
        </w:tc>
        <w:tc>
          <w:tcPr>
            <w:tcW w:w="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19,588</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525</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21,189</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21,714</w:t>
            </w:r>
          </w:p>
        </w:tc>
        <w:tc>
          <w:tcPr>
            <w:tcW w:w="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17,254</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1964</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3/29/1973</w:t>
            </w: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231F20"/>
              </w:rPr>
              <w:t>(1)</w:t>
            </w:r>
          </w:p>
        </w:tc>
        <w:tc>
          <w:tcPr>
            <w:tcW w:w="0" w:type="dxa"/>
            <w:vAlign w:val="bottom"/>
          </w:tcPr>
          <w:p>
            <w:pPr>
              <w:spacing w:after="0"/>
              <w:rPr>
                <w:sz w:val="1"/>
                <w:szCs w:val="1"/>
                <w:color w:val="auto"/>
              </w:rPr>
            </w:pPr>
          </w:p>
        </w:tc>
      </w:tr>
      <w:tr>
        <w:trPr>
          <w:trHeight w:val="242"/>
        </w:trPr>
        <w:tc>
          <w:tcPr>
            <w:tcW w:w="2440" w:type="dxa"/>
            <w:vAlign w:val="bottom"/>
          </w:tcPr>
          <w:p>
            <w:pPr>
              <w:ind w:left="60"/>
              <w:spacing w:after="0"/>
              <w:rPr>
                <w:sz w:val="20"/>
                <w:szCs w:val="20"/>
                <w:color w:val="auto"/>
              </w:rPr>
            </w:pPr>
            <w:r>
              <w:rPr>
                <w:rFonts w:ascii="Times New Roman" w:cs="Times New Roman" w:eastAsia="Times New Roman" w:hAnsi="Times New Roman"/>
                <w:sz w:val="15"/>
                <w:szCs w:val="15"/>
                <w:color w:val="231F20"/>
              </w:rPr>
              <w:t>GREENLAWN PLAZA (New York)</w:t>
            </w: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10,590</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20,869</w:t>
            </w:r>
          </w:p>
        </w:tc>
        <w:tc>
          <w:tcPr>
            <w:tcW w:w="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3,411</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10,946</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23,924</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34,870</w:t>
            </w:r>
          </w:p>
        </w:tc>
        <w:tc>
          <w:tcPr>
            <w:tcW w:w="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8,194</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1975/2004</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1/13/2016</w:t>
            </w: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231F20"/>
              </w:rPr>
              <w:t>(1)</w:t>
            </w:r>
          </w:p>
        </w:tc>
        <w:tc>
          <w:tcPr>
            <w:tcW w:w="0" w:type="dxa"/>
            <w:vAlign w:val="bottom"/>
          </w:tcPr>
          <w:p>
            <w:pPr>
              <w:spacing w:after="0"/>
              <w:rPr>
                <w:sz w:val="1"/>
                <w:szCs w:val="1"/>
                <w:color w:val="auto"/>
              </w:rPr>
            </w:pPr>
          </w:p>
        </w:tc>
      </w:tr>
      <w:tr>
        <w:trPr>
          <w:trHeight w:val="231"/>
        </w:trPr>
        <w:tc>
          <w:tcPr>
            <w:tcW w:w="2440" w:type="dxa"/>
            <w:vAlign w:val="bottom"/>
          </w:tcPr>
          <w:p>
            <w:pPr>
              <w:ind w:left="60"/>
              <w:spacing w:after="0"/>
              <w:rPr>
                <w:sz w:val="20"/>
                <w:szCs w:val="20"/>
                <w:color w:val="auto"/>
              </w:rPr>
            </w:pPr>
            <w:r>
              <w:rPr>
                <w:rFonts w:ascii="Times New Roman" w:cs="Times New Roman" w:eastAsia="Times New Roman" w:hAnsi="Times New Roman"/>
                <w:sz w:val="15"/>
                <w:szCs w:val="15"/>
                <w:color w:val="231F20"/>
              </w:rPr>
              <w:t>GREENWICH AVENUE</w:t>
            </w: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7,484</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5,445</w:t>
            </w:r>
          </w:p>
        </w:tc>
        <w:tc>
          <w:tcPr>
            <w:tcW w:w="80" w:type="dxa"/>
            <w:vAlign w:val="bottom"/>
          </w:tcPr>
          <w:p>
            <w:pPr>
              <w:spacing w:after="0"/>
              <w:rPr>
                <w:sz w:val="20"/>
                <w:szCs w:val="20"/>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231F20"/>
              </w:rPr>
              <w:t>10,819</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7,484</w:t>
            </w: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16,264</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23,748</w:t>
            </w:r>
          </w:p>
        </w:tc>
        <w:tc>
          <w:tcPr>
            <w:tcW w:w="60" w:type="dxa"/>
            <w:vAlign w:val="bottom"/>
          </w:tcPr>
          <w:p>
            <w:pPr>
              <w:spacing w:after="0"/>
              <w:rPr>
                <w:sz w:val="20"/>
                <w:szCs w:val="20"/>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231F20"/>
              </w:rPr>
              <w:t>8,836</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1968</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4/12/1995</w:t>
            </w:r>
          </w:p>
        </w:tc>
        <w:tc>
          <w:tcPr>
            <w:tcW w:w="10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5"/>
                <w:szCs w:val="15"/>
                <w:color w:val="231F20"/>
              </w:rPr>
              <w:t>(1)</w:t>
            </w:r>
          </w:p>
        </w:tc>
        <w:tc>
          <w:tcPr>
            <w:tcW w:w="0" w:type="dxa"/>
            <w:vAlign w:val="bottom"/>
          </w:tcPr>
          <w:p>
            <w:pPr>
              <w:spacing w:after="0"/>
              <w:rPr>
                <w:sz w:val="1"/>
                <w:szCs w:val="1"/>
                <w:color w:val="auto"/>
              </w:rPr>
            </w:pPr>
          </w:p>
        </w:tc>
      </w:tr>
      <w:tr>
        <w:trPr>
          <w:trHeight w:val="165"/>
        </w:trPr>
        <w:tc>
          <w:tcPr>
            <w:tcW w:w="2440" w:type="dxa"/>
            <w:vAlign w:val="bottom"/>
          </w:tcPr>
          <w:p>
            <w:pPr>
              <w:ind w:left="60"/>
              <w:spacing w:after="0" w:line="166" w:lineRule="exact"/>
              <w:rPr>
                <w:sz w:val="20"/>
                <w:szCs w:val="20"/>
                <w:color w:val="auto"/>
              </w:rPr>
            </w:pPr>
            <w:r>
              <w:rPr>
                <w:rFonts w:ascii="Times New Roman" w:cs="Times New Roman" w:eastAsia="Times New Roman" w:hAnsi="Times New Roman"/>
                <w:sz w:val="15"/>
                <w:szCs w:val="15"/>
                <w:color w:val="231F20"/>
              </w:rPr>
              <w:t>(Connecticut)</w:t>
            </w: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1961, 1963,</w:t>
            </w: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244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231F20"/>
              </w:rPr>
              <w:t>GROSSMONT CENTER (California)</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125,434</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50,311</w:t>
            </w:r>
          </w:p>
        </w:tc>
        <w:tc>
          <w:tcPr>
            <w:tcW w:w="8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231F20"/>
              </w:rPr>
              <w:t>3,659</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125,434</w:t>
            </w: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53,970</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179,404</w:t>
            </w:r>
          </w:p>
        </w:tc>
        <w:tc>
          <w:tcPr>
            <w:tcW w:w="6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231F20"/>
              </w:rPr>
              <w:t>13,197</w:t>
            </w:r>
          </w:p>
        </w:tc>
        <w:tc>
          <w:tcPr>
            <w:tcW w:w="940" w:type="dxa"/>
            <w:vAlign w:val="bottom"/>
            <w:gridSpan w:val="2"/>
          </w:tcPr>
          <w:p>
            <w:pPr>
              <w:jc w:val="right"/>
              <w:spacing w:after="0" w:line="152" w:lineRule="exact"/>
              <w:rPr>
                <w:sz w:val="20"/>
                <w:szCs w:val="20"/>
                <w:color w:val="auto"/>
              </w:rPr>
            </w:pPr>
            <w:r>
              <w:rPr>
                <w:rFonts w:ascii="Times New Roman" w:cs="Times New Roman" w:eastAsia="Times New Roman" w:hAnsi="Times New Roman"/>
                <w:sz w:val="15"/>
                <w:szCs w:val="15"/>
                <w:color w:val="231F20"/>
              </w:rPr>
              <w:t>1982-1983,</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6/1/2021</w:t>
            </w:r>
          </w:p>
        </w:tc>
        <w:tc>
          <w:tcPr>
            <w:tcW w:w="10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5"/>
                <w:szCs w:val="15"/>
                <w:color w:val="231F20"/>
              </w:rPr>
              <w:t>(1)</w:t>
            </w:r>
          </w:p>
        </w:tc>
        <w:tc>
          <w:tcPr>
            <w:tcW w:w="0" w:type="dxa"/>
            <w:vAlign w:val="bottom"/>
          </w:tcPr>
          <w:p>
            <w:pPr>
              <w:spacing w:after="0"/>
              <w:rPr>
                <w:sz w:val="1"/>
                <w:szCs w:val="1"/>
                <w:color w:val="auto"/>
              </w:rPr>
            </w:pPr>
          </w:p>
        </w:tc>
      </w:tr>
      <w:tr>
        <w:trPr>
          <w:trHeight w:val="198"/>
        </w:trPr>
        <w:tc>
          <w:tcPr>
            <w:tcW w:w="24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2002</w:t>
            </w:r>
          </w:p>
        </w:tc>
        <w:tc>
          <w:tcPr>
            <w:tcW w:w="940" w:type="dxa"/>
            <w:vAlign w:val="bottom"/>
            <w:gridSpan w:val="2"/>
            <w:vMerge w:val="continue"/>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440" w:type="dxa"/>
            <w:vAlign w:val="bottom"/>
          </w:tcPr>
          <w:p>
            <w:pPr>
              <w:ind w:left="60"/>
              <w:spacing w:after="0"/>
              <w:rPr>
                <w:sz w:val="20"/>
                <w:szCs w:val="20"/>
                <w:color w:val="auto"/>
              </w:rPr>
            </w:pPr>
            <w:r>
              <w:rPr>
                <w:rFonts w:ascii="Times New Roman" w:cs="Times New Roman" w:eastAsia="Times New Roman" w:hAnsi="Times New Roman"/>
                <w:sz w:val="15"/>
                <w:szCs w:val="15"/>
                <w:color w:val="231F20"/>
              </w:rPr>
              <w:t>HASTINGS RANCH PLAZA</w:t>
            </w: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2,257</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22,393</w:t>
            </w:r>
          </w:p>
        </w:tc>
        <w:tc>
          <w:tcPr>
            <w:tcW w:w="80" w:type="dxa"/>
            <w:vAlign w:val="bottom"/>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231F20"/>
              </w:rPr>
              <w:t>1,347</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2,257</w:t>
            </w: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23,740</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25,997</w:t>
            </w:r>
          </w:p>
        </w:tc>
        <w:tc>
          <w:tcPr>
            <w:tcW w:w="6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231F20"/>
              </w:rPr>
              <w:t>7,080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1958, 1984,</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2/1/2017</w:t>
            </w:r>
          </w:p>
        </w:tc>
        <w:tc>
          <w:tcPr>
            <w:tcW w:w="10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5"/>
                <w:szCs w:val="15"/>
                <w:color w:val="231F20"/>
              </w:rPr>
              <w:t>(1)</w:t>
            </w:r>
          </w:p>
        </w:tc>
        <w:tc>
          <w:tcPr>
            <w:tcW w:w="0" w:type="dxa"/>
            <w:vAlign w:val="bottom"/>
          </w:tcPr>
          <w:p>
            <w:pPr>
              <w:spacing w:after="0"/>
              <w:rPr>
                <w:sz w:val="1"/>
                <w:szCs w:val="1"/>
                <w:color w:val="auto"/>
              </w:rPr>
            </w:pPr>
          </w:p>
        </w:tc>
      </w:tr>
      <w:tr>
        <w:trPr>
          <w:trHeight w:val="198"/>
        </w:trPr>
        <w:tc>
          <w:tcPr>
            <w:tcW w:w="2440" w:type="dxa"/>
            <w:vAlign w:val="bottom"/>
          </w:tcPr>
          <w:p>
            <w:pPr>
              <w:ind w:left="60"/>
              <w:spacing w:after="0"/>
              <w:rPr>
                <w:sz w:val="20"/>
                <w:szCs w:val="20"/>
                <w:color w:val="auto"/>
              </w:rPr>
            </w:pPr>
            <w:r>
              <w:rPr>
                <w:rFonts w:ascii="Times New Roman" w:cs="Times New Roman" w:eastAsia="Times New Roman" w:hAnsi="Times New Roman"/>
                <w:sz w:val="15"/>
                <w:szCs w:val="15"/>
                <w:color w:val="231F20"/>
              </w:rPr>
              <w:t>(California)</w:t>
            </w: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2006, 2007</w:t>
            </w:r>
          </w:p>
        </w:tc>
        <w:tc>
          <w:tcPr>
            <w:tcW w:w="940" w:type="dxa"/>
            <w:vAlign w:val="bottom"/>
            <w:gridSpan w:val="2"/>
            <w:vMerge w:val="continue"/>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440" w:type="dxa"/>
            <w:vAlign w:val="bottom"/>
          </w:tcPr>
          <w:p>
            <w:pPr>
              <w:ind w:left="60"/>
              <w:spacing w:after="0"/>
              <w:rPr>
                <w:sz w:val="20"/>
                <w:szCs w:val="20"/>
                <w:color w:val="auto"/>
              </w:rPr>
            </w:pPr>
            <w:r>
              <w:rPr>
                <w:rFonts w:ascii="Times New Roman" w:cs="Times New Roman" w:eastAsia="Times New Roman" w:hAnsi="Times New Roman"/>
                <w:sz w:val="15"/>
                <w:szCs w:val="15"/>
                <w:color w:val="231F20"/>
              </w:rPr>
              <w:t>HAUPPAUGE (New York)</w:t>
            </w: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8,791</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15,262</w:t>
            </w: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18,688</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8,518</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34,223</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42,741</w:t>
            </w:r>
          </w:p>
        </w:tc>
        <w:tc>
          <w:tcPr>
            <w:tcW w:w="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19,752</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1963</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8/6/1998</w:t>
            </w: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231F20"/>
              </w:rPr>
              <w:t>(1)</w:t>
            </w:r>
          </w:p>
        </w:tc>
        <w:tc>
          <w:tcPr>
            <w:tcW w:w="0" w:type="dxa"/>
            <w:vAlign w:val="bottom"/>
          </w:tcPr>
          <w:p>
            <w:pPr>
              <w:spacing w:after="0"/>
              <w:rPr>
                <w:sz w:val="1"/>
                <w:szCs w:val="1"/>
                <w:color w:val="auto"/>
              </w:rPr>
            </w:pPr>
          </w:p>
        </w:tc>
      </w:tr>
      <w:tr>
        <w:trPr>
          <w:trHeight w:val="176"/>
        </w:trPr>
        <w:tc>
          <w:tcPr>
            <w:tcW w:w="2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9/18/19,</w:t>
            </w: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2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40" w:type="dxa"/>
            <w:vAlign w:val="bottom"/>
            <w:gridSpan w:val="2"/>
          </w:tcPr>
          <w:p>
            <w:pPr>
              <w:jc w:val="right"/>
              <w:spacing w:after="0" w:line="152" w:lineRule="exact"/>
              <w:rPr>
                <w:sz w:val="20"/>
                <w:szCs w:val="20"/>
                <w:color w:val="auto"/>
              </w:rPr>
            </w:pPr>
            <w:r>
              <w:rPr>
                <w:rFonts w:ascii="Times New Roman" w:cs="Times New Roman" w:eastAsia="Times New Roman" w:hAnsi="Times New Roman"/>
                <w:sz w:val="15"/>
                <w:szCs w:val="15"/>
                <w:color w:val="231F20"/>
              </w:rPr>
              <w:t>11/26/19,</w:t>
            </w: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40" w:type="dxa"/>
            <w:vAlign w:val="bottom"/>
            <w:gridSpan w:val="2"/>
          </w:tcPr>
          <w:p>
            <w:pPr>
              <w:jc w:val="right"/>
              <w:spacing w:after="0" w:line="152" w:lineRule="exact"/>
              <w:rPr>
                <w:sz w:val="20"/>
                <w:szCs w:val="20"/>
                <w:color w:val="auto"/>
              </w:rPr>
            </w:pPr>
            <w:r>
              <w:rPr>
                <w:rFonts w:ascii="Times New Roman" w:cs="Times New Roman" w:eastAsia="Times New Roman" w:hAnsi="Times New Roman"/>
                <w:sz w:val="15"/>
                <w:szCs w:val="15"/>
                <w:color w:val="231F20"/>
              </w:rPr>
              <w:t>12/19/19,</w:t>
            </w: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44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231F20"/>
              </w:rPr>
              <w:t>HOBOKEN (New Jersey)</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73,913</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56,866</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167,835</w:t>
            </w:r>
          </w:p>
        </w:tc>
        <w:tc>
          <w:tcPr>
            <w:tcW w:w="8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231F20"/>
              </w:rPr>
              <w:t>11,414</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56,872</w:t>
            </w: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179,243</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236,115</w:t>
            </w:r>
          </w:p>
        </w:tc>
        <w:tc>
          <w:tcPr>
            <w:tcW w:w="6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231F20"/>
              </w:rPr>
              <w:t>32,680</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1887-2006</w:t>
            </w:r>
          </w:p>
        </w:tc>
        <w:tc>
          <w:tcPr>
            <w:tcW w:w="940" w:type="dxa"/>
            <w:vAlign w:val="bottom"/>
            <w:gridSpan w:val="2"/>
          </w:tcPr>
          <w:p>
            <w:pPr>
              <w:jc w:val="right"/>
              <w:spacing w:after="0" w:line="152" w:lineRule="exact"/>
              <w:rPr>
                <w:sz w:val="20"/>
                <w:szCs w:val="20"/>
                <w:color w:val="auto"/>
              </w:rPr>
            </w:pPr>
            <w:r>
              <w:rPr>
                <w:rFonts w:ascii="Times New Roman" w:cs="Times New Roman" w:eastAsia="Times New Roman" w:hAnsi="Times New Roman"/>
                <w:sz w:val="15"/>
                <w:szCs w:val="15"/>
                <w:color w:val="231F20"/>
              </w:rPr>
              <w:t>2/12/20, &amp;</w:t>
            </w:r>
          </w:p>
        </w:tc>
        <w:tc>
          <w:tcPr>
            <w:tcW w:w="10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5"/>
                <w:szCs w:val="15"/>
                <w:color w:val="231F20"/>
              </w:rPr>
              <w:t>(1)</w:t>
            </w:r>
          </w:p>
        </w:tc>
        <w:tc>
          <w:tcPr>
            <w:tcW w:w="0" w:type="dxa"/>
            <w:vAlign w:val="bottom"/>
          </w:tcPr>
          <w:p>
            <w:pPr>
              <w:spacing w:after="0"/>
              <w:rPr>
                <w:sz w:val="1"/>
                <w:szCs w:val="1"/>
                <w:color w:val="auto"/>
              </w:rPr>
            </w:pPr>
          </w:p>
        </w:tc>
      </w:tr>
      <w:tr>
        <w:trPr>
          <w:trHeight w:val="165"/>
        </w:trPr>
        <w:tc>
          <w:tcPr>
            <w:tcW w:w="2440" w:type="dxa"/>
            <w:vAlign w:val="bottom"/>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940" w:type="dxa"/>
            <w:vAlign w:val="bottom"/>
            <w:gridSpan w:val="2"/>
          </w:tcPr>
          <w:p>
            <w:pPr>
              <w:jc w:val="right"/>
              <w:spacing w:after="0" w:line="166" w:lineRule="exact"/>
              <w:rPr>
                <w:sz w:val="20"/>
                <w:szCs w:val="20"/>
                <w:color w:val="auto"/>
              </w:rPr>
            </w:pPr>
            <w:r>
              <w:rPr>
                <w:rFonts w:ascii="Times New Roman" w:cs="Times New Roman" w:eastAsia="Times New Roman" w:hAnsi="Times New Roman"/>
                <w:sz w:val="15"/>
                <w:szCs w:val="15"/>
                <w:color w:val="231F20"/>
              </w:rPr>
              <w:t>11/18/22</w:t>
            </w:r>
          </w:p>
        </w:tc>
        <w:tc>
          <w:tcPr>
            <w:tcW w:w="10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1962/2022-</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12/12/88,</w:t>
            </w: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244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231F20"/>
              </w:rPr>
              <w:t>HUNTINGTON (New York)</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12,194</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16,008</w:t>
            </w:r>
          </w:p>
        </w:tc>
        <w:tc>
          <w:tcPr>
            <w:tcW w:w="8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231F20"/>
              </w:rPr>
              <w:t>85,745</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12,294</w:t>
            </w: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101,653</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113,947</w:t>
            </w:r>
          </w:p>
        </w:tc>
        <w:tc>
          <w:tcPr>
            <w:tcW w:w="6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231F20"/>
              </w:rPr>
              <w:t>26,158</w:t>
            </w:r>
          </w:p>
        </w:tc>
        <w:tc>
          <w:tcPr>
            <w:tcW w:w="940" w:type="dxa"/>
            <w:vAlign w:val="bottom"/>
            <w:gridSpan w:val="2"/>
            <w:vMerge w:val="continue"/>
          </w:tcPr>
          <w:p>
            <w:pPr>
              <w:spacing w:after="0"/>
              <w:rPr>
                <w:sz w:val="13"/>
                <w:szCs w:val="13"/>
                <w:color w:val="auto"/>
              </w:rPr>
            </w:pPr>
          </w:p>
        </w:tc>
        <w:tc>
          <w:tcPr>
            <w:tcW w:w="940" w:type="dxa"/>
            <w:vAlign w:val="bottom"/>
            <w:gridSpan w:val="2"/>
          </w:tcPr>
          <w:p>
            <w:pPr>
              <w:jc w:val="right"/>
              <w:spacing w:after="0" w:line="152" w:lineRule="exact"/>
              <w:rPr>
                <w:sz w:val="20"/>
                <w:szCs w:val="20"/>
                <w:color w:val="auto"/>
              </w:rPr>
            </w:pPr>
            <w:r>
              <w:rPr>
                <w:rFonts w:ascii="Times New Roman" w:cs="Times New Roman" w:eastAsia="Times New Roman" w:hAnsi="Times New Roman"/>
                <w:sz w:val="15"/>
                <w:szCs w:val="15"/>
                <w:color w:val="231F20"/>
              </w:rPr>
              <w:t>10/26/07, &amp;</w:t>
            </w:r>
          </w:p>
        </w:tc>
        <w:tc>
          <w:tcPr>
            <w:tcW w:w="10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5"/>
                <w:szCs w:val="15"/>
                <w:color w:val="231F20"/>
              </w:rPr>
              <w:t>(1)</w:t>
            </w:r>
          </w:p>
        </w:tc>
        <w:tc>
          <w:tcPr>
            <w:tcW w:w="0" w:type="dxa"/>
            <w:vAlign w:val="bottom"/>
          </w:tcPr>
          <w:p>
            <w:pPr>
              <w:spacing w:after="0"/>
              <w:rPr>
                <w:sz w:val="1"/>
                <w:szCs w:val="1"/>
                <w:color w:val="auto"/>
              </w:rPr>
            </w:pPr>
          </w:p>
        </w:tc>
      </w:tr>
      <w:tr>
        <w:trPr>
          <w:trHeight w:val="165"/>
        </w:trPr>
        <w:tc>
          <w:tcPr>
            <w:tcW w:w="24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940" w:type="dxa"/>
            <w:vAlign w:val="bottom"/>
            <w:gridSpan w:val="2"/>
          </w:tcPr>
          <w:p>
            <w:pPr>
              <w:jc w:val="right"/>
              <w:spacing w:after="0" w:line="166" w:lineRule="exact"/>
              <w:rPr>
                <w:sz w:val="20"/>
                <w:szCs w:val="20"/>
                <w:color w:val="auto"/>
              </w:rPr>
            </w:pPr>
            <w:r>
              <w:rPr>
                <w:rFonts w:ascii="Times New Roman" w:cs="Times New Roman" w:eastAsia="Times New Roman" w:hAnsi="Times New Roman"/>
                <w:sz w:val="15"/>
                <w:szCs w:val="15"/>
                <w:color w:val="231F20"/>
              </w:rPr>
              <w:t>2024</w:t>
            </w:r>
          </w:p>
        </w:tc>
        <w:tc>
          <w:tcPr>
            <w:tcW w:w="940" w:type="dxa"/>
            <w:vAlign w:val="bottom"/>
            <w:gridSpan w:val="2"/>
          </w:tcPr>
          <w:p>
            <w:pPr>
              <w:jc w:val="right"/>
              <w:spacing w:after="0" w:line="166" w:lineRule="exact"/>
              <w:rPr>
                <w:sz w:val="20"/>
                <w:szCs w:val="20"/>
                <w:color w:val="auto"/>
              </w:rPr>
            </w:pPr>
            <w:r>
              <w:rPr>
                <w:rFonts w:ascii="Times New Roman" w:cs="Times New Roman" w:eastAsia="Times New Roman" w:hAnsi="Times New Roman"/>
                <w:sz w:val="15"/>
                <w:szCs w:val="15"/>
                <w:color w:val="231F20"/>
              </w:rPr>
              <w:t>11/24/15</w:t>
            </w:r>
          </w:p>
        </w:tc>
        <w:tc>
          <w:tcPr>
            <w:tcW w:w="10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44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231F20"/>
              </w:rPr>
              <w:t>HUNTINGTON SQUARE (New</w:t>
            </w: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1980/2004-</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8/16/2010</w:t>
            </w: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24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12,023</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33,509</w:t>
            </w:r>
          </w:p>
        </w:tc>
        <w:tc>
          <w:tcPr>
            <w:tcW w:w="8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231F20"/>
              </w:rPr>
              <w:t>6,378</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12,534</w:t>
            </w: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39,376</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51,910</w:t>
            </w:r>
          </w:p>
        </w:tc>
        <w:tc>
          <w:tcPr>
            <w:tcW w:w="6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231F20"/>
              </w:rPr>
              <w:t>10,227</w:t>
            </w:r>
          </w:p>
        </w:tc>
        <w:tc>
          <w:tcPr>
            <w:tcW w:w="940" w:type="dxa"/>
            <w:vAlign w:val="bottom"/>
            <w:gridSpan w:val="2"/>
            <w:vMerge w:val="continue"/>
          </w:tcPr>
          <w:p>
            <w:pPr>
              <w:spacing w:after="0"/>
              <w:rPr>
                <w:sz w:val="13"/>
                <w:szCs w:val="13"/>
                <w:color w:val="auto"/>
              </w:rPr>
            </w:pPr>
          </w:p>
        </w:tc>
        <w:tc>
          <w:tcPr>
            <w:tcW w:w="940" w:type="dxa"/>
            <w:vAlign w:val="bottom"/>
            <w:gridSpan w:val="2"/>
          </w:tcPr>
          <w:p>
            <w:pPr>
              <w:jc w:val="right"/>
              <w:spacing w:after="0" w:line="152" w:lineRule="exact"/>
              <w:rPr>
                <w:sz w:val="20"/>
                <w:szCs w:val="20"/>
                <w:color w:val="auto"/>
              </w:rPr>
            </w:pPr>
            <w:r>
              <w:rPr>
                <w:rFonts w:ascii="Times New Roman" w:cs="Times New Roman" w:eastAsia="Times New Roman" w:hAnsi="Times New Roman"/>
                <w:sz w:val="15"/>
                <w:szCs w:val="15"/>
                <w:color w:val="231F20"/>
              </w:rPr>
              <w:t>&amp;</w:t>
            </w:r>
          </w:p>
        </w:tc>
        <w:tc>
          <w:tcPr>
            <w:tcW w:w="10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5"/>
                <w:szCs w:val="15"/>
                <w:color w:val="231F20"/>
              </w:rPr>
              <w:t>(1)</w:t>
            </w:r>
          </w:p>
        </w:tc>
        <w:tc>
          <w:tcPr>
            <w:tcW w:w="0" w:type="dxa"/>
            <w:vAlign w:val="bottom"/>
          </w:tcPr>
          <w:p>
            <w:pPr>
              <w:spacing w:after="0"/>
              <w:rPr>
                <w:sz w:val="1"/>
                <w:szCs w:val="1"/>
                <w:color w:val="auto"/>
              </w:rPr>
            </w:pPr>
          </w:p>
        </w:tc>
      </w:tr>
      <w:tr>
        <w:trPr>
          <w:trHeight w:val="198"/>
        </w:trPr>
        <w:tc>
          <w:tcPr>
            <w:tcW w:w="2440" w:type="dxa"/>
            <w:vAlign w:val="bottom"/>
          </w:tcPr>
          <w:p>
            <w:pPr>
              <w:ind w:left="60"/>
              <w:spacing w:after="0"/>
              <w:rPr>
                <w:sz w:val="20"/>
                <w:szCs w:val="20"/>
                <w:color w:val="auto"/>
              </w:rPr>
            </w:pPr>
            <w:r>
              <w:rPr>
                <w:rFonts w:ascii="Times New Roman" w:cs="Times New Roman" w:eastAsia="Times New Roman" w:hAnsi="Times New Roman"/>
                <w:sz w:val="15"/>
                <w:szCs w:val="15"/>
                <w:color w:val="231F20"/>
              </w:rPr>
              <w:t>York)</w:t>
            </w: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2007/2019</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1/31/2023</w:t>
            </w:r>
          </w:p>
        </w:tc>
        <w:tc>
          <w:tcPr>
            <w:tcW w:w="10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440" w:type="dxa"/>
            <w:vAlign w:val="bottom"/>
          </w:tcPr>
          <w:p>
            <w:pPr>
              <w:ind w:left="60"/>
              <w:spacing w:after="0"/>
              <w:rPr>
                <w:sz w:val="20"/>
                <w:szCs w:val="20"/>
                <w:color w:val="auto"/>
              </w:rPr>
            </w:pPr>
            <w:r>
              <w:rPr>
                <w:rFonts w:ascii="Times New Roman" w:cs="Times New Roman" w:eastAsia="Times New Roman" w:hAnsi="Times New Roman"/>
                <w:sz w:val="15"/>
                <w:szCs w:val="15"/>
                <w:color w:val="231F20"/>
              </w:rPr>
              <w:t>IDYLWOOD PLAZA (Virginia)</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4,308</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10,026</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5,832</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4,308</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15,858</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20,166</w:t>
            </w:r>
          </w:p>
        </w:tc>
        <w:tc>
          <w:tcPr>
            <w:tcW w:w="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11,587</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1991</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4/15/1994</w:t>
            </w: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231F20"/>
              </w:rPr>
              <w:t>(1)</w:t>
            </w:r>
          </w:p>
        </w:tc>
        <w:tc>
          <w:tcPr>
            <w:tcW w:w="0" w:type="dxa"/>
            <w:vAlign w:val="bottom"/>
          </w:tcPr>
          <w:p>
            <w:pPr>
              <w:spacing w:after="0"/>
              <w:rPr>
                <w:sz w:val="1"/>
                <w:szCs w:val="1"/>
                <w:color w:val="auto"/>
              </w:rPr>
            </w:pPr>
          </w:p>
        </w:tc>
      </w:tr>
      <w:tr>
        <w:trPr>
          <w:trHeight w:val="217"/>
        </w:trPr>
        <w:tc>
          <w:tcPr>
            <w:tcW w:w="2440" w:type="dxa"/>
            <w:vAlign w:val="bottom"/>
          </w:tcPr>
          <w:p>
            <w:pPr>
              <w:ind w:left="60"/>
              <w:spacing w:after="0"/>
              <w:rPr>
                <w:sz w:val="20"/>
                <w:szCs w:val="20"/>
                <w:color w:val="auto"/>
              </w:rPr>
            </w:pPr>
            <w:r>
              <w:rPr>
                <w:rFonts w:ascii="Times New Roman" w:cs="Times New Roman" w:eastAsia="Times New Roman" w:hAnsi="Times New Roman"/>
                <w:sz w:val="15"/>
                <w:szCs w:val="15"/>
                <w:color w:val="231F20"/>
              </w:rPr>
              <w:t>KINGSTOWNE TOWNE CENTER</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72,234</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137,466</w:t>
            </w:r>
          </w:p>
        </w:tc>
        <w:tc>
          <w:tcPr>
            <w:tcW w:w="8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231F20"/>
              </w:rPr>
              <w:t>2,721</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72,234</w:t>
            </w: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140,187</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212,421</w:t>
            </w:r>
          </w:p>
        </w:tc>
        <w:tc>
          <w:tcPr>
            <w:tcW w:w="60" w:type="dxa"/>
            <w:vAlign w:val="bottom"/>
          </w:tcPr>
          <w:p>
            <w:pPr>
              <w:spacing w:after="0"/>
              <w:rPr>
                <w:sz w:val="18"/>
                <w:szCs w:val="18"/>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231F20"/>
              </w:rPr>
              <w:t>18,379</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1996/2001/</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4/20/22 &amp;</w:t>
            </w:r>
          </w:p>
        </w:tc>
        <w:tc>
          <w:tcPr>
            <w:tcW w:w="10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5"/>
                <w:szCs w:val="15"/>
                <w:color w:val="231F20"/>
              </w:rPr>
              <w:t>(1)</w:t>
            </w:r>
          </w:p>
        </w:tc>
        <w:tc>
          <w:tcPr>
            <w:tcW w:w="0" w:type="dxa"/>
            <w:vAlign w:val="bottom"/>
          </w:tcPr>
          <w:p>
            <w:pPr>
              <w:spacing w:after="0"/>
              <w:rPr>
                <w:sz w:val="1"/>
                <w:szCs w:val="1"/>
                <w:color w:val="auto"/>
              </w:rPr>
            </w:pPr>
          </w:p>
        </w:tc>
      </w:tr>
      <w:tr>
        <w:trPr>
          <w:trHeight w:val="198"/>
        </w:trPr>
        <w:tc>
          <w:tcPr>
            <w:tcW w:w="2440" w:type="dxa"/>
            <w:vAlign w:val="bottom"/>
          </w:tcPr>
          <w:p>
            <w:pPr>
              <w:ind w:left="60"/>
              <w:spacing w:after="0"/>
              <w:rPr>
                <w:sz w:val="20"/>
                <w:szCs w:val="20"/>
                <w:color w:val="auto"/>
              </w:rPr>
            </w:pPr>
            <w:r>
              <w:rPr>
                <w:rFonts w:ascii="Times New Roman" w:cs="Times New Roman" w:eastAsia="Times New Roman" w:hAnsi="Times New Roman"/>
                <w:sz w:val="15"/>
                <w:szCs w:val="15"/>
                <w:color w:val="231F20"/>
              </w:rPr>
              <w:t>(Virginia)</w:t>
            </w: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2006</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7/27/22</w:t>
            </w:r>
          </w:p>
        </w:tc>
        <w:tc>
          <w:tcPr>
            <w:tcW w:w="10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440" w:type="dxa"/>
            <w:vAlign w:val="bottom"/>
          </w:tcPr>
          <w:p>
            <w:pPr>
              <w:ind w:left="60"/>
              <w:spacing w:after="0"/>
              <w:rPr>
                <w:sz w:val="20"/>
                <w:szCs w:val="20"/>
                <w:color w:val="auto"/>
              </w:rPr>
            </w:pPr>
            <w:r>
              <w:rPr>
                <w:rFonts w:ascii="Times New Roman" w:cs="Times New Roman" w:eastAsia="Times New Roman" w:hAnsi="Times New Roman"/>
                <w:sz w:val="15"/>
                <w:szCs w:val="15"/>
                <w:color w:val="231F20"/>
              </w:rPr>
              <w:t>LANCASTER (Pennsylvania)</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2,103</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6,602</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432</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8,273</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8,705</w:t>
            </w:r>
          </w:p>
        </w:tc>
        <w:tc>
          <w:tcPr>
            <w:tcW w:w="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6,949</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1958</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4/24/1980</w:t>
            </w: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231F20"/>
              </w:rPr>
              <w:t>(1)</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5480" w:h="11880" w:orient="landscape"/>
          <w:cols w:equalWidth="0" w:num="1">
            <w:col w:w="13120"/>
          </w:cols>
          <w:pgMar w:left="1180" w:top="865" w:right="1180" w:bottom="0" w:gutter="0" w:footer="0" w:header="0"/>
        </w:sect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F-43</w:t>
      </w:r>
    </w:p>
    <w:p>
      <w:pPr>
        <w:sectPr>
          <w:pgSz w:w="15480" w:h="11880" w:orient="landscape"/>
          <w:cols w:equalWidth="0" w:num="1">
            <w:col w:w="13120"/>
          </w:cols>
          <w:pgMar w:left="1180" w:top="865" w:right="1180" w:bottom="0" w:gutter="0" w:footer="0" w:header="0"/>
          <w:type w:val="continuous"/>
        </w:sectPr>
      </w:pPr>
    </w:p>
    <w:bookmarkStart w:id="107" w:name="page108"/>
    <w:bookmarkEnd w:id="107"/>
    <w:p>
      <w:pPr>
        <w:jc w:val="center"/>
        <w:spacing w:after="0"/>
        <w:rPr>
          <w:sz w:val="20"/>
          <w:szCs w:val="20"/>
          <w:color w:val="auto"/>
        </w:rPr>
      </w:pPr>
      <w:r>
        <w:rPr>
          <w:rFonts w:ascii="Times New Roman" w:cs="Times New Roman" w:eastAsia="Times New Roman" w:hAnsi="Times New Roman"/>
          <w:sz w:val="19"/>
          <w:szCs w:val="19"/>
          <w:b w:val="1"/>
          <w:bCs w:val="1"/>
          <w:color w:val="231F20"/>
        </w:rPr>
        <w:t>FEDERAL REALTY INVESTMENT TRUST AND FEDERAL REALTY OP LP</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231F20"/>
        </w:rPr>
        <w:t>SCHEDULE III</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231F20"/>
        </w:rPr>
        <w:t>SUMMARY OF REAL ESTATE AND ACCUMULATED DEPRECIATION</w:t>
      </w:r>
    </w:p>
    <w:p>
      <w:pPr>
        <w:spacing w:after="0" w:line="1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9"/>
          <w:szCs w:val="19"/>
          <w:b w:val="1"/>
          <w:bCs w:val="1"/>
          <w:color w:val="231F20"/>
        </w:rPr>
        <w:t>DECEMBER 31, 2025</w:t>
      </w:r>
    </w:p>
    <w:p>
      <w:pPr>
        <w:spacing w:after="0" w:line="1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9"/>
          <w:szCs w:val="19"/>
          <w:b w:val="1"/>
          <w:bCs w:val="1"/>
          <w:color w:val="231F20"/>
        </w:rPr>
        <w:t>(Dollars in thousands)</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44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231F20"/>
              </w:rPr>
              <w:t>COLUMN A</w:t>
            </w:r>
          </w:p>
        </w:tc>
        <w:tc>
          <w:tcPr>
            <w:tcW w:w="80" w:type="dxa"/>
            <w:vAlign w:val="bottom"/>
          </w:tcPr>
          <w:p>
            <w:pPr>
              <w:spacing w:after="0"/>
              <w:rPr>
                <w:sz w:val="15"/>
                <w:szCs w:val="15"/>
                <w:color w:val="auto"/>
              </w:rPr>
            </w:pPr>
          </w:p>
        </w:tc>
        <w:tc>
          <w:tcPr>
            <w:tcW w:w="90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231F20"/>
              </w:rPr>
              <w:t>COLUMN B</w:t>
            </w:r>
          </w:p>
        </w:tc>
        <w:tc>
          <w:tcPr>
            <w:tcW w:w="80" w:type="dxa"/>
            <w:vAlign w:val="bottom"/>
          </w:tcPr>
          <w:p>
            <w:pPr>
              <w:spacing w:after="0"/>
              <w:rPr>
                <w:sz w:val="15"/>
                <w:szCs w:val="15"/>
                <w:color w:val="auto"/>
              </w:rPr>
            </w:pPr>
          </w:p>
        </w:tc>
        <w:tc>
          <w:tcPr>
            <w:tcW w:w="900" w:type="dxa"/>
            <w:vAlign w:val="bottom"/>
          </w:tcPr>
          <w:p>
            <w:pPr>
              <w:jc w:val="right"/>
              <w:ind w:right="53"/>
              <w:spacing w:after="0"/>
              <w:rPr>
                <w:sz w:val="20"/>
                <w:szCs w:val="20"/>
                <w:color w:val="auto"/>
              </w:rPr>
            </w:pPr>
            <w:r>
              <w:rPr>
                <w:rFonts w:ascii="Times New Roman" w:cs="Times New Roman" w:eastAsia="Times New Roman" w:hAnsi="Times New Roman"/>
                <w:sz w:val="13"/>
                <w:szCs w:val="13"/>
                <w:b w:val="1"/>
                <w:bCs w:val="1"/>
                <w:color w:val="231F20"/>
              </w:rPr>
              <w:t>COLUMN C</w:t>
            </w: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3"/>
                <w:szCs w:val="13"/>
                <w:b w:val="1"/>
                <w:bCs w:val="1"/>
                <w:color w:val="231F20"/>
              </w:rPr>
              <w:t>COLUMN D</w:t>
            </w:r>
          </w:p>
        </w:tc>
        <w:tc>
          <w:tcPr>
            <w:tcW w:w="80" w:type="dxa"/>
            <w:vAlign w:val="bottom"/>
          </w:tcPr>
          <w:p>
            <w:pPr>
              <w:spacing w:after="0"/>
              <w:rPr>
                <w:sz w:val="15"/>
                <w:szCs w:val="15"/>
                <w:color w:val="auto"/>
              </w:rPr>
            </w:pPr>
          </w:p>
        </w:tc>
        <w:tc>
          <w:tcPr>
            <w:tcW w:w="860" w:type="dxa"/>
            <w:vAlign w:val="bottom"/>
          </w:tcPr>
          <w:p>
            <w:pPr>
              <w:jc w:val="right"/>
              <w:ind w:right="13"/>
              <w:spacing w:after="0"/>
              <w:rPr>
                <w:sz w:val="20"/>
                <w:szCs w:val="20"/>
                <w:color w:val="auto"/>
              </w:rPr>
            </w:pPr>
            <w:r>
              <w:rPr>
                <w:rFonts w:ascii="Times New Roman" w:cs="Times New Roman" w:eastAsia="Times New Roman" w:hAnsi="Times New Roman"/>
                <w:sz w:val="13"/>
                <w:szCs w:val="13"/>
                <w:b w:val="1"/>
                <w:bCs w:val="1"/>
                <w:color w:val="231F20"/>
              </w:rPr>
              <w:t>COLUMN E</w:t>
            </w: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jc w:val="right"/>
              <w:ind w:right="46"/>
              <w:spacing w:after="0"/>
              <w:rPr>
                <w:sz w:val="20"/>
                <w:szCs w:val="20"/>
                <w:color w:val="auto"/>
              </w:rPr>
            </w:pPr>
            <w:r>
              <w:rPr>
                <w:rFonts w:ascii="Times New Roman" w:cs="Times New Roman" w:eastAsia="Times New Roman" w:hAnsi="Times New Roman"/>
                <w:sz w:val="13"/>
                <w:szCs w:val="13"/>
                <w:b w:val="1"/>
                <w:bCs w:val="1"/>
                <w:color w:val="231F20"/>
              </w:rPr>
              <w:t>COLUMN F</w:t>
            </w:r>
          </w:p>
        </w:tc>
        <w:tc>
          <w:tcPr>
            <w:tcW w:w="8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231F20"/>
              </w:rPr>
              <w:t>COLUMN G</w:t>
            </w:r>
          </w:p>
        </w:tc>
        <w:tc>
          <w:tcPr>
            <w:tcW w:w="8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231F20"/>
              </w:rPr>
              <w:t>COLUMN H</w:t>
            </w:r>
          </w:p>
        </w:tc>
        <w:tc>
          <w:tcPr>
            <w:tcW w:w="8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231F20"/>
              </w:rPr>
              <w:t>COLUMN I</w:t>
            </w:r>
          </w:p>
        </w:tc>
        <w:tc>
          <w:tcPr>
            <w:tcW w:w="0" w:type="dxa"/>
            <w:vAlign w:val="bottom"/>
          </w:tcPr>
          <w:p>
            <w:pPr>
              <w:spacing w:after="0"/>
              <w:rPr>
                <w:sz w:val="1"/>
                <w:szCs w:val="1"/>
                <w:color w:val="auto"/>
              </w:rPr>
            </w:pPr>
          </w:p>
        </w:tc>
      </w:tr>
      <w:tr>
        <w:trPr>
          <w:trHeight w:val="32"/>
        </w:trPr>
        <w:tc>
          <w:tcPr>
            <w:tcW w:w="244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90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98"/>
        </w:trPr>
        <w:tc>
          <w:tcPr>
            <w:tcW w:w="2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0" w:type="dxa"/>
            <w:vAlign w:val="bottom"/>
            <w:gridSpan w:val="4"/>
            <w:vMerge w:val="restart"/>
          </w:tcPr>
          <w:p>
            <w:pPr>
              <w:ind w:left="340"/>
              <w:spacing w:after="0"/>
              <w:rPr>
                <w:sz w:val="20"/>
                <w:szCs w:val="20"/>
                <w:color w:val="auto"/>
              </w:rPr>
            </w:pPr>
            <w:r>
              <w:rPr>
                <w:rFonts w:ascii="Times New Roman" w:cs="Times New Roman" w:eastAsia="Times New Roman" w:hAnsi="Times New Roman"/>
                <w:sz w:val="13"/>
                <w:szCs w:val="13"/>
                <w:b w:val="1"/>
                <w:bCs w:val="1"/>
                <w:color w:val="231F20"/>
              </w:rPr>
              <w:t>Initial cost to company</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231F20"/>
              </w:rPr>
              <w:t>Cost</w:t>
            </w:r>
          </w:p>
        </w:tc>
        <w:tc>
          <w:tcPr>
            <w:tcW w:w="80" w:type="dxa"/>
            <w:vAlign w:val="bottom"/>
          </w:tcPr>
          <w:p>
            <w:pPr>
              <w:spacing w:after="0"/>
              <w:rPr>
                <w:sz w:val="24"/>
                <w:szCs w:val="24"/>
                <w:color w:val="auto"/>
              </w:rPr>
            </w:pPr>
          </w:p>
        </w:tc>
        <w:tc>
          <w:tcPr>
            <w:tcW w:w="2900" w:type="dxa"/>
            <w:vAlign w:val="bottom"/>
            <w:gridSpan w:val="6"/>
          </w:tcPr>
          <w:p>
            <w:pPr>
              <w:jc w:val="center"/>
              <w:ind w:right="20"/>
              <w:spacing w:after="0"/>
              <w:rPr>
                <w:sz w:val="20"/>
                <w:szCs w:val="20"/>
                <w:color w:val="auto"/>
              </w:rPr>
            </w:pPr>
            <w:r>
              <w:rPr>
                <w:rFonts w:ascii="Times New Roman" w:cs="Times New Roman" w:eastAsia="Times New Roman" w:hAnsi="Times New Roman"/>
                <w:sz w:val="13"/>
                <w:szCs w:val="13"/>
                <w:b w:val="1"/>
                <w:bCs w:val="1"/>
                <w:color w:val="231F20"/>
              </w:rPr>
              <w:t>Gross amount at which carried at</w:t>
            </w: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231F20"/>
              </w:rPr>
              <w:t>Life on which</w:t>
            </w:r>
          </w:p>
        </w:tc>
        <w:tc>
          <w:tcPr>
            <w:tcW w:w="0" w:type="dxa"/>
            <w:vAlign w:val="bottom"/>
          </w:tcPr>
          <w:p>
            <w:pPr>
              <w:spacing w:after="0"/>
              <w:rPr>
                <w:sz w:val="1"/>
                <w:szCs w:val="1"/>
                <w:color w:val="auto"/>
              </w:rPr>
            </w:pPr>
          </w:p>
        </w:tc>
      </w:tr>
      <w:tr>
        <w:trPr>
          <w:trHeight w:val="133"/>
        </w:trPr>
        <w:tc>
          <w:tcPr>
            <w:tcW w:w="2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0" w:type="dxa"/>
            <w:vAlign w:val="bottom"/>
            <w:gridSpan w:val="4"/>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jc w:val="center"/>
              <w:spacing w:after="0" w:line="133" w:lineRule="exact"/>
              <w:rPr>
                <w:sz w:val="20"/>
                <w:szCs w:val="20"/>
                <w:color w:val="auto"/>
              </w:rPr>
            </w:pPr>
            <w:r>
              <w:rPr>
                <w:rFonts w:ascii="Times New Roman" w:cs="Times New Roman" w:eastAsia="Times New Roman" w:hAnsi="Times New Roman"/>
                <w:sz w:val="13"/>
                <w:szCs w:val="13"/>
                <w:b w:val="1"/>
                <w:bCs w:val="1"/>
                <w:color w:val="231F20"/>
              </w:rPr>
              <w:t>close of period</w:t>
            </w: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jc w:val="center"/>
              <w:spacing w:after="0" w:line="133" w:lineRule="exact"/>
              <w:rPr>
                <w:sz w:val="20"/>
                <w:szCs w:val="20"/>
                <w:color w:val="auto"/>
              </w:rPr>
            </w:pPr>
            <w:r>
              <w:rPr>
                <w:rFonts w:ascii="Times New Roman" w:cs="Times New Roman" w:eastAsia="Times New Roman" w:hAnsi="Times New Roman"/>
                <w:sz w:val="13"/>
                <w:szCs w:val="13"/>
                <w:b w:val="1"/>
                <w:bCs w:val="1"/>
                <w:color w:val="231F20"/>
              </w:rPr>
              <w:t>depreciation</w:t>
            </w:r>
          </w:p>
        </w:tc>
        <w:tc>
          <w:tcPr>
            <w:tcW w:w="0" w:type="dxa"/>
            <w:vAlign w:val="bottom"/>
          </w:tcPr>
          <w:p>
            <w:pPr>
              <w:spacing w:after="0"/>
              <w:rPr>
                <w:sz w:val="1"/>
                <w:szCs w:val="1"/>
                <w:color w:val="auto"/>
              </w:rPr>
            </w:pPr>
          </w:p>
        </w:tc>
      </w:tr>
      <w:tr>
        <w:trPr>
          <w:trHeight w:val="48"/>
        </w:trPr>
        <w:tc>
          <w:tcPr>
            <w:tcW w:w="2440" w:type="dxa"/>
            <w:vAlign w:val="bottom"/>
          </w:tcPr>
          <w:p>
            <w:pPr>
              <w:spacing w:after="0"/>
              <w:rPr>
                <w:sz w:val="4"/>
                <w:szCs w:val="4"/>
                <w:color w:val="auto"/>
              </w:rPr>
            </w:pPr>
          </w:p>
        </w:tc>
        <w:tc>
          <w:tcPr>
            <w:tcW w:w="8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 w:type="dxa"/>
            <w:vAlign w:val="bottom"/>
          </w:tcPr>
          <w:p>
            <w:pPr>
              <w:spacing w:after="0"/>
              <w:rPr>
                <w:sz w:val="4"/>
                <w:szCs w:val="4"/>
                <w:color w:val="auto"/>
              </w:rPr>
            </w:pPr>
          </w:p>
        </w:tc>
        <w:tc>
          <w:tcPr>
            <w:tcW w:w="900" w:type="dxa"/>
            <w:vAlign w:val="bottom"/>
            <w:tcBorders>
              <w:bottom w:val="single" w:sz="8" w:color="231F20"/>
            </w:tcBorders>
          </w:tcPr>
          <w:p>
            <w:pPr>
              <w:spacing w:after="0"/>
              <w:rPr>
                <w:sz w:val="4"/>
                <w:szCs w:val="4"/>
                <w:color w:val="auto"/>
              </w:rPr>
            </w:pPr>
          </w:p>
        </w:tc>
        <w:tc>
          <w:tcPr>
            <w:tcW w:w="80" w:type="dxa"/>
            <w:vAlign w:val="bottom"/>
            <w:tcBorders>
              <w:bottom w:val="single" w:sz="8" w:color="231F20"/>
            </w:tcBorders>
          </w:tcPr>
          <w:p>
            <w:pPr>
              <w:spacing w:after="0"/>
              <w:rPr>
                <w:sz w:val="4"/>
                <w:szCs w:val="4"/>
                <w:color w:val="auto"/>
              </w:rPr>
            </w:pPr>
          </w:p>
        </w:tc>
        <w:tc>
          <w:tcPr>
            <w:tcW w:w="940" w:type="dxa"/>
            <w:vAlign w:val="bottom"/>
            <w:tcBorders>
              <w:bottom w:val="single" w:sz="8" w:color="231F20"/>
            </w:tcBorders>
          </w:tcPr>
          <w:p>
            <w:pPr>
              <w:spacing w:after="0"/>
              <w:rPr>
                <w:sz w:val="4"/>
                <w:szCs w:val="4"/>
                <w:color w:val="auto"/>
              </w:rPr>
            </w:pPr>
          </w:p>
        </w:tc>
        <w:tc>
          <w:tcPr>
            <w:tcW w:w="80" w:type="dxa"/>
            <w:vAlign w:val="bottom"/>
          </w:tcPr>
          <w:p>
            <w:pPr>
              <w:spacing w:after="0"/>
              <w:rPr>
                <w:sz w:val="4"/>
                <w:szCs w:val="4"/>
                <w:color w:val="auto"/>
              </w:rPr>
            </w:pPr>
          </w:p>
        </w:tc>
        <w:tc>
          <w:tcPr>
            <w:tcW w:w="860" w:type="dxa"/>
            <w:vAlign w:val="bottom"/>
            <w:vMerge w:val="restart"/>
          </w:tcPr>
          <w:p>
            <w:pPr>
              <w:jc w:val="center"/>
              <w:spacing w:after="0" w:line="100" w:lineRule="exact"/>
              <w:rPr>
                <w:sz w:val="20"/>
                <w:szCs w:val="20"/>
                <w:color w:val="auto"/>
              </w:rPr>
            </w:pPr>
            <w:r>
              <w:rPr>
                <w:rFonts w:ascii="Times New Roman" w:cs="Times New Roman" w:eastAsia="Times New Roman" w:hAnsi="Times New Roman"/>
                <w:sz w:val="11"/>
                <w:szCs w:val="11"/>
                <w:b w:val="1"/>
                <w:bCs w:val="1"/>
                <w:color w:val="231F20"/>
              </w:rPr>
              <w:t>Capitalized</w:t>
            </w:r>
          </w:p>
        </w:tc>
        <w:tc>
          <w:tcPr>
            <w:tcW w:w="80" w:type="dxa"/>
            <w:vAlign w:val="bottom"/>
          </w:tcPr>
          <w:p>
            <w:pPr>
              <w:spacing w:after="0"/>
              <w:rPr>
                <w:sz w:val="4"/>
                <w:szCs w:val="4"/>
                <w:color w:val="auto"/>
              </w:rPr>
            </w:pPr>
          </w:p>
        </w:tc>
        <w:tc>
          <w:tcPr>
            <w:tcW w:w="860" w:type="dxa"/>
            <w:vAlign w:val="bottom"/>
            <w:tcBorders>
              <w:bottom w:val="single" w:sz="8" w:color="231F20"/>
            </w:tcBorders>
          </w:tcPr>
          <w:p>
            <w:pPr>
              <w:spacing w:after="0"/>
              <w:rPr>
                <w:sz w:val="4"/>
                <w:szCs w:val="4"/>
                <w:color w:val="auto"/>
              </w:rPr>
            </w:pPr>
          </w:p>
        </w:tc>
        <w:tc>
          <w:tcPr>
            <w:tcW w:w="80" w:type="dxa"/>
            <w:vAlign w:val="bottom"/>
            <w:tcBorders>
              <w:bottom w:val="single" w:sz="8" w:color="231F20"/>
            </w:tcBorders>
          </w:tcPr>
          <w:p>
            <w:pPr>
              <w:spacing w:after="0"/>
              <w:rPr>
                <w:sz w:val="4"/>
                <w:szCs w:val="4"/>
                <w:color w:val="auto"/>
              </w:rPr>
            </w:pPr>
          </w:p>
        </w:tc>
        <w:tc>
          <w:tcPr>
            <w:tcW w:w="960" w:type="dxa"/>
            <w:vAlign w:val="bottom"/>
            <w:tcBorders>
              <w:bottom w:val="single" w:sz="8" w:color="231F20"/>
            </w:tcBorders>
          </w:tcPr>
          <w:p>
            <w:pPr>
              <w:spacing w:after="0"/>
              <w:rPr>
                <w:sz w:val="4"/>
                <w:szCs w:val="4"/>
                <w:color w:val="auto"/>
              </w:rPr>
            </w:pPr>
          </w:p>
        </w:tc>
        <w:tc>
          <w:tcPr>
            <w:tcW w:w="60" w:type="dxa"/>
            <w:vAlign w:val="bottom"/>
            <w:tcBorders>
              <w:bottom w:val="single" w:sz="8" w:color="231F20"/>
            </w:tcBorders>
          </w:tcPr>
          <w:p>
            <w:pPr>
              <w:spacing w:after="0"/>
              <w:rPr>
                <w:sz w:val="4"/>
                <w:szCs w:val="4"/>
                <w:color w:val="auto"/>
              </w:rPr>
            </w:pPr>
          </w:p>
        </w:tc>
        <w:tc>
          <w:tcPr>
            <w:tcW w:w="880" w:type="dxa"/>
            <w:vAlign w:val="bottom"/>
            <w:tcBorders>
              <w:bottom w:val="single" w:sz="8" w:color="231F20"/>
            </w:tcBorders>
          </w:tcPr>
          <w:p>
            <w:pPr>
              <w:spacing w:after="0"/>
              <w:rPr>
                <w:sz w:val="4"/>
                <w:szCs w:val="4"/>
                <w:color w:val="auto"/>
              </w:rPr>
            </w:pPr>
          </w:p>
        </w:tc>
        <w:tc>
          <w:tcPr>
            <w:tcW w:w="60" w:type="dxa"/>
            <w:vAlign w:val="bottom"/>
          </w:tcPr>
          <w:p>
            <w:pPr>
              <w:spacing w:after="0"/>
              <w:rPr>
                <w:sz w:val="4"/>
                <w:szCs w:val="4"/>
                <w:color w:val="auto"/>
              </w:rPr>
            </w:pPr>
          </w:p>
        </w:tc>
        <w:tc>
          <w:tcPr>
            <w:tcW w:w="900" w:type="dxa"/>
            <w:vAlign w:val="bottom"/>
            <w:vMerge w:val="restart"/>
          </w:tcPr>
          <w:p>
            <w:pPr>
              <w:jc w:val="center"/>
              <w:spacing w:after="0" w:line="100" w:lineRule="exact"/>
              <w:rPr>
                <w:sz w:val="20"/>
                <w:szCs w:val="20"/>
                <w:color w:val="auto"/>
              </w:rPr>
            </w:pPr>
            <w:r>
              <w:rPr>
                <w:rFonts w:ascii="Times New Roman" w:cs="Times New Roman" w:eastAsia="Times New Roman" w:hAnsi="Times New Roman"/>
                <w:sz w:val="11"/>
                <w:szCs w:val="11"/>
                <w:b w:val="1"/>
                <w:bCs w:val="1"/>
                <w:color w:val="231F20"/>
              </w:rPr>
              <w:t>Accumulated</w:t>
            </w:r>
          </w:p>
        </w:tc>
        <w:tc>
          <w:tcPr>
            <w:tcW w:w="80" w:type="dxa"/>
            <w:vAlign w:val="bottom"/>
          </w:tcPr>
          <w:p>
            <w:pPr>
              <w:spacing w:after="0"/>
              <w:rPr>
                <w:sz w:val="4"/>
                <w:szCs w:val="4"/>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231F20"/>
                <w:w w:val="99"/>
              </w:rPr>
              <w:t>Date</w:t>
            </w:r>
          </w:p>
        </w:tc>
        <w:tc>
          <w:tcPr>
            <w:tcW w:w="80" w:type="dxa"/>
            <w:vAlign w:val="bottom"/>
          </w:tcPr>
          <w:p>
            <w:pPr>
              <w:spacing w:after="0"/>
              <w:rPr>
                <w:sz w:val="4"/>
                <w:szCs w:val="4"/>
                <w:color w:val="auto"/>
              </w:rPr>
            </w:pPr>
          </w:p>
        </w:tc>
        <w:tc>
          <w:tcPr>
            <w:tcW w:w="860" w:type="dxa"/>
            <w:vAlign w:val="bottom"/>
          </w:tcPr>
          <w:p>
            <w:pPr>
              <w:spacing w:after="0"/>
              <w:rPr>
                <w:sz w:val="4"/>
                <w:szCs w:val="4"/>
                <w:color w:val="auto"/>
              </w:rPr>
            </w:pPr>
          </w:p>
        </w:tc>
        <w:tc>
          <w:tcPr>
            <w:tcW w:w="80" w:type="dxa"/>
            <w:vAlign w:val="bottom"/>
          </w:tcPr>
          <w:p>
            <w:pPr>
              <w:spacing w:after="0"/>
              <w:rPr>
                <w:sz w:val="4"/>
                <w:szCs w:val="4"/>
                <w:color w:val="auto"/>
              </w:rPr>
            </w:pPr>
          </w:p>
        </w:tc>
        <w:tc>
          <w:tcPr>
            <w:tcW w:w="920" w:type="dxa"/>
            <w:vAlign w:val="bottom"/>
            <w:vMerge w:val="restart"/>
          </w:tcPr>
          <w:p>
            <w:pPr>
              <w:jc w:val="center"/>
              <w:spacing w:after="0" w:line="100" w:lineRule="exact"/>
              <w:rPr>
                <w:sz w:val="20"/>
                <w:szCs w:val="20"/>
                <w:color w:val="auto"/>
              </w:rPr>
            </w:pPr>
            <w:r>
              <w:rPr>
                <w:rFonts w:ascii="Times New Roman" w:cs="Times New Roman" w:eastAsia="Times New Roman" w:hAnsi="Times New Roman"/>
                <w:sz w:val="11"/>
                <w:szCs w:val="11"/>
                <w:b w:val="1"/>
                <w:bCs w:val="1"/>
                <w:color w:val="231F20"/>
              </w:rPr>
              <w:t>in latest</w:t>
            </w:r>
          </w:p>
        </w:tc>
        <w:tc>
          <w:tcPr>
            <w:tcW w:w="0" w:type="dxa"/>
            <w:vAlign w:val="bottom"/>
          </w:tcPr>
          <w:p>
            <w:pPr>
              <w:spacing w:after="0"/>
              <w:rPr>
                <w:sz w:val="1"/>
                <w:szCs w:val="1"/>
                <w:color w:val="auto"/>
              </w:rPr>
            </w:pPr>
          </w:p>
        </w:tc>
      </w:tr>
      <w:tr>
        <w:trPr>
          <w:trHeight w:val="32"/>
        </w:trPr>
        <w:tc>
          <w:tcPr>
            <w:tcW w:w="244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90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3"/>
        </w:trPr>
        <w:tc>
          <w:tcPr>
            <w:tcW w:w="2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3"/>
                <w:szCs w:val="13"/>
                <w:b w:val="1"/>
                <w:bCs w:val="1"/>
                <w:color w:val="231F20"/>
              </w:rPr>
              <w:t>Building and</w:t>
            </w:r>
          </w:p>
        </w:tc>
        <w:tc>
          <w:tcPr>
            <w:tcW w:w="860" w:type="dxa"/>
            <w:vAlign w:val="bottom"/>
          </w:tcPr>
          <w:p>
            <w:pPr>
              <w:jc w:val="center"/>
              <w:spacing w:after="0" w:line="133" w:lineRule="exact"/>
              <w:rPr>
                <w:sz w:val="20"/>
                <w:szCs w:val="20"/>
                <w:color w:val="auto"/>
              </w:rPr>
            </w:pPr>
            <w:r>
              <w:rPr>
                <w:rFonts w:ascii="Times New Roman" w:cs="Times New Roman" w:eastAsia="Times New Roman" w:hAnsi="Times New Roman"/>
                <w:sz w:val="13"/>
                <w:szCs w:val="13"/>
                <w:b w:val="1"/>
                <w:bCs w:val="1"/>
                <w:color w:val="231F20"/>
              </w:rPr>
              <w:t>Subsequent</w:t>
            </w: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231F20"/>
              </w:rPr>
              <w:t>Building and</w:t>
            </w: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jc w:val="center"/>
              <w:spacing w:after="0" w:line="133" w:lineRule="exact"/>
              <w:rPr>
                <w:sz w:val="20"/>
                <w:szCs w:val="20"/>
                <w:color w:val="auto"/>
              </w:rPr>
            </w:pPr>
            <w:r>
              <w:rPr>
                <w:rFonts w:ascii="Times New Roman" w:cs="Times New Roman" w:eastAsia="Times New Roman" w:hAnsi="Times New Roman"/>
                <w:sz w:val="13"/>
                <w:szCs w:val="13"/>
                <w:b w:val="1"/>
                <w:bCs w:val="1"/>
                <w:color w:val="231F20"/>
              </w:rPr>
              <w:t>Depreciation</w:t>
            </w:r>
          </w:p>
        </w:tc>
        <w:tc>
          <w:tcPr>
            <w:tcW w:w="8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231F20"/>
                <w:w w:val="99"/>
              </w:rPr>
              <w:t>Date</w:t>
            </w:r>
          </w:p>
        </w:tc>
        <w:tc>
          <w:tcPr>
            <w:tcW w:w="80" w:type="dxa"/>
            <w:vAlign w:val="bottom"/>
          </w:tcPr>
          <w:p>
            <w:pPr>
              <w:spacing w:after="0"/>
              <w:rPr>
                <w:sz w:val="11"/>
                <w:szCs w:val="11"/>
                <w:color w:val="auto"/>
              </w:rPr>
            </w:pPr>
          </w:p>
        </w:tc>
        <w:tc>
          <w:tcPr>
            <w:tcW w:w="920" w:type="dxa"/>
            <w:vAlign w:val="bottom"/>
          </w:tcPr>
          <w:p>
            <w:pPr>
              <w:jc w:val="center"/>
              <w:spacing w:after="0" w:line="133" w:lineRule="exact"/>
              <w:rPr>
                <w:sz w:val="20"/>
                <w:szCs w:val="20"/>
                <w:color w:val="auto"/>
              </w:rPr>
            </w:pPr>
            <w:r>
              <w:rPr>
                <w:rFonts w:ascii="Times New Roman" w:cs="Times New Roman" w:eastAsia="Times New Roman" w:hAnsi="Times New Roman"/>
                <w:sz w:val="13"/>
                <w:szCs w:val="13"/>
                <w:b w:val="1"/>
                <w:bCs w:val="1"/>
                <w:color w:val="231F20"/>
              </w:rPr>
              <w:t>income</w:t>
            </w:r>
          </w:p>
        </w:tc>
        <w:tc>
          <w:tcPr>
            <w:tcW w:w="0" w:type="dxa"/>
            <w:vAlign w:val="bottom"/>
          </w:tcPr>
          <w:p>
            <w:pPr>
              <w:spacing w:after="0"/>
              <w:rPr>
                <w:sz w:val="1"/>
                <w:szCs w:val="1"/>
                <w:color w:val="auto"/>
              </w:rPr>
            </w:pPr>
          </w:p>
        </w:tc>
      </w:tr>
      <w:tr>
        <w:trPr>
          <w:trHeight w:val="133"/>
        </w:trPr>
        <w:tc>
          <w:tcPr>
            <w:tcW w:w="2440" w:type="dxa"/>
            <w:vAlign w:val="bottom"/>
            <w:vMerge w:val="restart"/>
          </w:tcPr>
          <w:p>
            <w:pPr>
              <w:ind w:left="60"/>
              <w:spacing w:after="0"/>
              <w:rPr>
                <w:sz w:val="20"/>
                <w:szCs w:val="20"/>
                <w:color w:val="auto"/>
              </w:rPr>
            </w:pPr>
            <w:r>
              <w:rPr>
                <w:rFonts w:ascii="Times New Roman" w:cs="Times New Roman" w:eastAsia="Times New Roman" w:hAnsi="Times New Roman"/>
                <w:sz w:val="13"/>
                <w:szCs w:val="13"/>
                <w:b w:val="1"/>
                <w:bCs w:val="1"/>
                <w:color w:val="231F20"/>
              </w:rPr>
              <w:t>Descriptions</w:t>
            </w:r>
          </w:p>
        </w:tc>
        <w:tc>
          <w:tcPr>
            <w:tcW w:w="80" w:type="dxa"/>
            <w:vAlign w:val="bottom"/>
          </w:tcPr>
          <w:p>
            <w:pPr>
              <w:spacing w:after="0"/>
              <w:rPr>
                <w:sz w:val="11"/>
                <w:szCs w:val="11"/>
                <w:color w:val="auto"/>
              </w:rPr>
            </w:pPr>
          </w:p>
        </w:tc>
        <w:tc>
          <w:tcPr>
            <w:tcW w:w="900" w:type="dxa"/>
            <w:vAlign w:val="bottom"/>
            <w:vMerge w:val="restart"/>
          </w:tcPr>
          <w:p>
            <w:pPr>
              <w:ind w:left="40"/>
              <w:spacing w:after="0"/>
              <w:rPr>
                <w:sz w:val="20"/>
                <w:szCs w:val="20"/>
                <w:color w:val="auto"/>
              </w:rPr>
            </w:pPr>
            <w:r>
              <w:rPr>
                <w:rFonts w:ascii="Times New Roman" w:cs="Times New Roman" w:eastAsia="Times New Roman" w:hAnsi="Times New Roman"/>
                <w:sz w:val="13"/>
                <w:szCs w:val="13"/>
                <w:b w:val="1"/>
                <w:bCs w:val="1"/>
                <w:color w:val="231F20"/>
              </w:rPr>
              <w:t>Encumbrance</w:t>
            </w:r>
          </w:p>
        </w:tc>
        <w:tc>
          <w:tcPr>
            <w:tcW w:w="80" w:type="dxa"/>
            <w:vAlign w:val="bottom"/>
          </w:tcPr>
          <w:p>
            <w:pPr>
              <w:spacing w:after="0"/>
              <w:rPr>
                <w:sz w:val="11"/>
                <w:szCs w:val="11"/>
                <w:color w:val="auto"/>
              </w:rPr>
            </w:pPr>
          </w:p>
        </w:tc>
        <w:tc>
          <w:tcPr>
            <w:tcW w:w="900" w:type="dxa"/>
            <w:vAlign w:val="bottom"/>
            <w:vMerge w:val="restart"/>
          </w:tcPr>
          <w:p>
            <w:pPr>
              <w:jc w:val="right"/>
              <w:ind w:right="213"/>
              <w:spacing w:after="0"/>
              <w:rPr>
                <w:sz w:val="20"/>
                <w:szCs w:val="20"/>
                <w:color w:val="auto"/>
              </w:rPr>
            </w:pPr>
            <w:r>
              <w:rPr>
                <w:rFonts w:ascii="Times New Roman" w:cs="Times New Roman" w:eastAsia="Times New Roman" w:hAnsi="Times New Roman"/>
                <w:sz w:val="13"/>
                <w:szCs w:val="13"/>
                <w:b w:val="1"/>
                <w:bCs w:val="1"/>
                <w:color w:val="231F20"/>
              </w:rPr>
              <w:t>Land</w:t>
            </w:r>
          </w:p>
        </w:tc>
        <w:tc>
          <w:tcPr>
            <w:tcW w:w="8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860" w:type="dxa"/>
            <w:vAlign w:val="bottom"/>
          </w:tcPr>
          <w:p>
            <w:pPr>
              <w:jc w:val="center"/>
              <w:spacing w:after="0" w:line="133" w:lineRule="exact"/>
              <w:rPr>
                <w:sz w:val="20"/>
                <w:szCs w:val="20"/>
                <w:color w:val="auto"/>
              </w:rPr>
            </w:pPr>
            <w:r>
              <w:rPr>
                <w:rFonts w:ascii="Times New Roman" w:cs="Times New Roman" w:eastAsia="Times New Roman" w:hAnsi="Times New Roman"/>
                <w:sz w:val="13"/>
                <w:szCs w:val="13"/>
                <w:b w:val="1"/>
                <w:bCs w:val="1"/>
                <w:color w:val="231F20"/>
                <w:w w:val="91"/>
              </w:rPr>
              <w:t>to</w:t>
            </w:r>
          </w:p>
        </w:tc>
        <w:tc>
          <w:tcPr>
            <w:tcW w:w="80" w:type="dxa"/>
            <w:vAlign w:val="bottom"/>
          </w:tcPr>
          <w:p>
            <w:pPr>
              <w:spacing w:after="0"/>
              <w:rPr>
                <w:sz w:val="11"/>
                <w:szCs w:val="11"/>
                <w:color w:val="auto"/>
              </w:rPr>
            </w:pPr>
          </w:p>
        </w:tc>
        <w:tc>
          <w:tcPr>
            <w:tcW w:w="860" w:type="dxa"/>
            <w:vAlign w:val="bottom"/>
            <w:vMerge w:val="restart"/>
          </w:tcPr>
          <w:p>
            <w:pPr>
              <w:jc w:val="right"/>
              <w:ind w:right="193"/>
              <w:spacing w:after="0"/>
              <w:rPr>
                <w:sz w:val="20"/>
                <w:szCs w:val="20"/>
                <w:color w:val="auto"/>
              </w:rPr>
            </w:pPr>
            <w:r>
              <w:rPr>
                <w:rFonts w:ascii="Times New Roman" w:cs="Times New Roman" w:eastAsia="Times New Roman" w:hAnsi="Times New Roman"/>
                <w:sz w:val="13"/>
                <w:szCs w:val="13"/>
                <w:b w:val="1"/>
                <w:bCs w:val="1"/>
                <w:color w:val="231F20"/>
              </w:rPr>
              <w:t>Land</w:t>
            </w:r>
          </w:p>
        </w:tc>
        <w:tc>
          <w:tcPr>
            <w:tcW w:w="8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vMerge w:val="restart"/>
          </w:tcPr>
          <w:p>
            <w:pPr>
              <w:jc w:val="right"/>
              <w:ind w:right="193"/>
              <w:spacing w:after="0"/>
              <w:rPr>
                <w:sz w:val="20"/>
                <w:szCs w:val="20"/>
                <w:color w:val="auto"/>
              </w:rPr>
            </w:pPr>
            <w:r>
              <w:rPr>
                <w:rFonts w:ascii="Times New Roman" w:cs="Times New Roman" w:eastAsia="Times New Roman" w:hAnsi="Times New Roman"/>
                <w:sz w:val="13"/>
                <w:szCs w:val="13"/>
                <w:b w:val="1"/>
                <w:bCs w:val="1"/>
                <w:color w:val="231F20"/>
              </w:rPr>
              <w:t>Total</w:t>
            </w:r>
          </w:p>
        </w:tc>
        <w:tc>
          <w:tcPr>
            <w:tcW w:w="60" w:type="dxa"/>
            <w:vAlign w:val="bottom"/>
            <w:vMerge w:val="restart"/>
          </w:tcPr>
          <w:p>
            <w:pPr>
              <w:spacing w:after="0"/>
              <w:rPr>
                <w:sz w:val="11"/>
                <w:szCs w:val="11"/>
                <w:color w:val="auto"/>
              </w:rPr>
            </w:pPr>
          </w:p>
        </w:tc>
        <w:tc>
          <w:tcPr>
            <w:tcW w:w="900" w:type="dxa"/>
            <w:vAlign w:val="bottom"/>
          </w:tcPr>
          <w:p>
            <w:pPr>
              <w:jc w:val="center"/>
              <w:spacing w:after="0" w:line="133" w:lineRule="exact"/>
              <w:rPr>
                <w:sz w:val="20"/>
                <w:szCs w:val="20"/>
                <w:color w:val="auto"/>
              </w:rPr>
            </w:pPr>
            <w:r>
              <w:rPr>
                <w:rFonts w:ascii="Times New Roman" w:cs="Times New Roman" w:eastAsia="Times New Roman" w:hAnsi="Times New Roman"/>
                <w:sz w:val="13"/>
                <w:szCs w:val="13"/>
                <w:b w:val="1"/>
                <w:bCs w:val="1"/>
                <w:color w:val="231F20"/>
              </w:rPr>
              <w:t>and</w:t>
            </w:r>
          </w:p>
        </w:tc>
        <w:tc>
          <w:tcPr>
            <w:tcW w:w="80" w:type="dxa"/>
            <w:vAlign w:val="bottom"/>
          </w:tcPr>
          <w:p>
            <w:pPr>
              <w:spacing w:after="0"/>
              <w:rPr>
                <w:sz w:val="11"/>
                <w:szCs w:val="11"/>
                <w:color w:val="auto"/>
              </w:rPr>
            </w:pPr>
          </w:p>
        </w:tc>
        <w:tc>
          <w:tcPr>
            <w:tcW w:w="860" w:type="dxa"/>
            <w:vAlign w:val="bottom"/>
          </w:tcPr>
          <w:p>
            <w:pPr>
              <w:jc w:val="center"/>
              <w:spacing w:after="0" w:line="133" w:lineRule="exact"/>
              <w:rPr>
                <w:sz w:val="20"/>
                <w:szCs w:val="20"/>
                <w:color w:val="auto"/>
              </w:rPr>
            </w:pPr>
            <w:r>
              <w:rPr>
                <w:rFonts w:ascii="Times New Roman" w:cs="Times New Roman" w:eastAsia="Times New Roman" w:hAnsi="Times New Roman"/>
                <w:sz w:val="13"/>
                <w:szCs w:val="13"/>
                <w:b w:val="1"/>
                <w:bCs w:val="1"/>
                <w:color w:val="231F20"/>
                <w:w w:val="91"/>
              </w:rPr>
              <w:t>of</w:t>
            </w:r>
          </w:p>
        </w:tc>
        <w:tc>
          <w:tcPr>
            <w:tcW w:w="8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jc w:val="center"/>
              <w:spacing w:after="0" w:line="133" w:lineRule="exact"/>
              <w:rPr>
                <w:sz w:val="20"/>
                <w:szCs w:val="20"/>
                <w:color w:val="auto"/>
              </w:rPr>
            </w:pPr>
            <w:r>
              <w:rPr>
                <w:rFonts w:ascii="Times New Roman" w:cs="Times New Roman" w:eastAsia="Times New Roman" w:hAnsi="Times New Roman"/>
                <w:sz w:val="13"/>
                <w:szCs w:val="13"/>
                <w:b w:val="1"/>
                <w:bCs w:val="1"/>
                <w:color w:val="231F20"/>
              </w:rPr>
              <w:t>statements is</w:t>
            </w:r>
          </w:p>
        </w:tc>
        <w:tc>
          <w:tcPr>
            <w:tcW w:w="0" w:type="dxa"/>
            <w:vAlign w:val="bottom"/>
          </w:tcPr>
          <w:p>
            <w:pPr>
              <w:spacing w:after="0"/>
              <w:rPr>
                <w:sz w:val="1"/>
                <w:szCs w:val="1"/>
                <w:color w:val="auto"/>
              </w:rPr>
            </w:pPr>
          </w:p>
        </w:tc>
      </w:tr>
      <w:tr>
        <w:trPr>
          <w:trHeight w:val="180"/>
        </w:trPr>
        <w:tc>
          <w:tcPr>
            <w:tcW w:w="2440" w:type="dxa"/>
            <w:vAlign w:val="bottom"/>
            <w:tcBorders>
              <w:bottom w:val="single" w:sz="8" w:color="231F20"/>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Borders>
              <w:bottom w:val="single" w:sz="8" w:color="231F20"/>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Borders>
              <w:bottom w:val="single" w:sz="8" w:color="231F20"/>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3"/>
                <w:szCs w:val="13"/>
                <w:b w:val="1"/>
                <w:bCs w:val="1"/>
                <w:color w:val="231F20"/>
              </w:rPr>
              <w:t>Improvements</w:t>
            </w:r>
          </w:p>
        </w:tc>
        <w:tc>
          <w:tcPr>
            <w:tcW w:w="80" w:type="dxa"/>
            <w:vAlign w:val="bottom"/>
          </w:tcPr>
          <w:p>
            <w:pPr>
              <w:spacing w:after="0"/>
              <w:rPr>
                <w:sz w:val="15"/>
                <w:szCs w:val="15"/>
                <w:color w:val="auto"/>
              </w:rPr>
            </w:pPr>
          </w:p>
        </w:tc>
        <w:tc>
          <w:tcPr>
            <w:tcW w:w="86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3"/>
                <w:szCs w:val="13"/>
                <w:b w:val="1"/>
                <w:bCs w:val="1"/>
                <w:color w:val="231F20"/>
              </w:rPr>
              <w:t>Acquisition</w:t>
            </w:r>
          </w:p>
        </w:tc>
        <w:tc>
          <w:tcPr>
            <w:tcW w:w="80" w:type="dxa"/>
            <w:vAlign w:val="bottom"/>
          </w:tcPr>
          <w:p>
            <w:pPr>
              <w:spacing w:after="0"/>
              <w:rPr>
                <w:sz w:val="15"/>
                <w:szCs w:val="15"/>
                <w:color w:val="auto"/>
              </w:rPr>
            </w:pPr>
          </w:p>
        </w:tc>
        <w:tc>
          <w:tcPr>
            <w:tcW w:w="860" w:type="dxa"/>
            <w:vAlign w:val="bottom"/>
            <w:tcBorders>
              <w:bottom w:val="single" w:sz="8" w:color="231F20"/>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3"/>
                <w:szCs w:val="13"/>
                <w:b w:val="1"/>
                <w:bCs w:val="1"/>
                <w:color w:val="231F20"/>
              </w:rPr>
              <w:t>Improvements</w:t>
            </w:r>
          </w:p>
        </w:tc>
        <w:tc>
          <w:tcPr>
            <w:tcW w:w="60" w:type="dxa"/>
            <w:vAlign w:val="bottom"/>
          </w:tcPr>
          <w:p>
            <w:pPr>
              <w:spacing w:after="0"/>
              <w:rPr>
                <w:sz w:val="15"/>
                <w:szCs w:val="15"/>
                <w:color w:val="auto"/>
              </w:rPr>
            </w:pPr>
          </w:p>
        </w:tc>
        <w:tc>
          <w:tcPr>
            <w:tcW w:w="880" w:type="dxa"/>
            <w:vAlign w:val="bottom"/>
            <w:tcBorders>
              <w:bottom w:val="single" w:sz="8" w:color="231F20"/>
            </w:tcBorders>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90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3"/>
                <w:szCs w:val="13"/>
                <w:b w:val="1"/>
                <w:bCs w:val="1"/>
                <w:color w:val="231F20"/>
              </w:rPr>
              <w:t>Amortization</w:t>
            </w:r>
          </w:p>
        </w:tc>
        <w:tc>
          <w:tcPr>
            <w:tcW w:w="80" w:type="dxa"/>
            <w:vAlign w:val="bottom"/>
          </w:tcPr>
          <w:p>
            <w:pPr>
              <w:spacing w:after="0"/>
              <w:rPr>
                <w:sz w:val="15"/>
                <w:szCs w:val="15"/>
                <w:color w:val="auto"/>
              </w:rPr>
            </w:pPr>
          </w:p>
        </w:tc>
        <w:tc>
          <w:tcPr>
            <w:tcW w:w="86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3"/>
                <w:szCs w:val="13"/>
                <w:b w:val="1"/>
                <w:bCs w:val="1"/>
                <w:color w:val="231F20"/>
              </w:rPr>
              <w:t>Construction</w:t>
            </w:r>
          </w:p>
        </w:tc>
        <w:tc>
          <w:tcPr>
            <w:tcW w:w="80" w:type="dxa"/>
            <w:vAlign w:val="bottom"/>
          </w:tcPr>
          <w:p>
            <w:pPr>
              <w:spacing w:after="0"/>
              <w:rPr>
                <w:sz w:val="15"/>
                <w:szCs w:val="15"/>
                <w:color w:val="auto"/>
              </w:rPr>
            </w:pPr>
          </w:p>
        </w:tc>
        <w:tc>
          <w:tcPr>
            <w:tcW w:w="86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3"/>
                <w:szCs w:val="13"/>
                <w:b w:val="1"/>
                <w:bCs w:val="1"/>
                <w:color w:val="231F20"/>
              </w:rPr>
              <w:t>Acquired</w:t>
            </w:r>
          </w:p>
        </w:tc>
        <w:tc>
          <w:tcPr>
            <w:tcW w:w="80" w:type="dxa"/>
            <w:vAlign w:val="bottom"/>
          </w:tcPr>
          <w:p>
            <w:pPr>
              <w:spacing w:after="0"/>
              <w:rPr>
                <w:sz w:val="15"/>
                <w:szCs w:val="15"/>
                <w:color w:val="auto"/>
              </w:rPr>
            </w:pPr>
          </w:p>
        </w:tc>
        <w:tc>
          <w:tcPr>
            <w:tcW w:w="92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3"/>
                <w:szCs w:val="13"/>
                <w:b w:val="1"/>
                <w:bCs w:val="1"/>
                <w:color w:val="231F20"/>
              </w:rPr>
              <w:t>computed</w:t>
            </w:r>
          </w:p>
        </w:tc>
        <w:tc>
          <w:tcPr>
            <w:tcW w:w="0" w:type="dxa"/>
            <w:vAlign w:val="bottom"/>
          </w:tcPr>
          <w:p>
            <w:pPr>
              <w:spacing w:after="0"/>
              <w:rPr>
                <w:sz w:val="1"/>
                <w:szCs w:val="1"/>
                <w:color w:val="auto"/>
              </w:rPr>
            </w:pPr>
          </w:p>
        </w:tc>
      </w:tr>
      <w:tr>
        <w:trPr>
          <w:trHeight w:val="176"/>
        </w:trPr>
        <w:tc>
          <w:tcPr>
            <w:tcW w:w="2440" w:type="dxa"/>
            <w:vAlign w:val="bottom"/>
          </w:tcPr>
          <w:p>
            <w:pPr>
              <w:ind w:left="60"/>
              <w:spacing w:after="0"/>
              <w:rPr>
                <w:sz w:val="20"/>
                <w:szCs w:val="20"/>
                <w:color w:val="auto"/>
              </w:rPr>
            </w:pPr>
            <w:r>
              <w:rPr>
                <w:rFonts w:ascii="Times New Roman" w:cs="Times New Roman" w:eastAsia="Times New Roman" w:hAnsi="Times New Roman"/>
                <w:sz w:val="15"/>
                <w:szCs w:val="15"/>
                <w:color w:val="231F20"/>
              </w:rPr>
              <w:t>LANGHORNE SQUARE</w:t>
            </w: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720</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2,974</w:t>
            </w:r>
          </w:p>
        </w:tc>
        <w:tc>
          <w:tcPr>
            <w:tcW w:w="8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231F20"/>
              </w:rPr>
              <w:t>21,091</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720</w:t>
            </w: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24,065</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24,785</w:t>
            </w:r>
          </w:p>
        </w:tc>
        <w:tc>
          <w:tcPr>
            <w:tcW w:w="6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231F20"/>
              </w:rPr>
              <w:t>19,774</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1966</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1/31/1985</w:t>
            </w:r>
          </w:p>
        </w:tc>
        <w:tc>
          <w:tcPr>
            <w:tcW w:w="10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5"/>
                <w:szCs w:val="15"/>
                <w:color w:val="231F20"/>
              </w:rPr>
              <w:t>(1)</w:t>
            </w:r>
          </w:p>
        </w:tc>
        <w:tc>
          <w:tcPr>
            <w:tcW w:w="0" w:type="dxa"/>
            <w:vAlign w:val="bottom"/>
          </w:tcPr>
          <w:p>
            <w:pPr>
              <w:spacing w:after="0"/>
              <w:rPr>
                <w:sz w:val="1"/>
                <w:szCs w:val="1"/>
                <w:color w:val="auto"/>
              </w:rPr>
            </w:pPr>
          </w:p>
        </w:tc>
      </w:tr>
      <w:tr>
        <w:trPr>
          <w:trHeight w:val="198"/>
        </w:trPr>
        <w:tc>
          <w:tcPr>
            <w:tcW w:w="2440" w:type="dxa"/>
            <w:vAlign w:val="bottom"/>
          </w:tcPr>
          <w:p>
            <w:pPr>
              <w:ind w:left="60"/>
              <w:spacing w:after="0"/>
              <w:rPr>
                <w:sz w:val="20"/>
                <w:szCs w:val="20"/>
                <w:color w:val="auto"/>
              </w:rPr>
            </w:pPr>
            <w:r>
              <w:rPr>
                <w:rFonts w:ascii="Times New Roman" w:cs="Times New Roman" w:eastAsia="Times New Roman" w:hAnsi="Times New Roman"/>
                <w:sz w:val="15"/>
                <w:szCs w:val="15"/>
                <w:color w:val="231F20"/>
              </w:rPr>
              <w:t>(Pennsylvania)</w:t>
            </w: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440" w:type="dxa"/>
            <w:vAlign w:val="bottom"/>
          </w:tcPr>
          <w:p>
            <w:pPr>
              <w:ind w:left="60"/>
              <w:spacing w:after="0"/>
              <w:rPr>
                <w:sz w:val="20"/>
                <w:szCs w:val="20"/>
                <w:color w:val="auto"/>
              </w:rPr>
            </w:pPr>
            <w:r>
              <w:rPr>
                <w:rFonts w:ascii="Times New Roman" w:cs="Times New Roman" w:eastAsia="Times New Roman" w:hAnsi="Times New Roman"/>
                <w:sz w:val="15"/>
                <w:szCs w:val="15"/>
                <w:color w:val="231F20"/>
              </w:rPr>
              <w:t>LAUREL (Maryland)</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7,458</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22,525</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32,386</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7,551</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54,818</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62,369</w:t>
            </w:r>
          </w:p>
        </w:tc>
        <w:tc>
          <w:tcPr>
            <w:tcW w:w="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48,584</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1956</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8/15/1986</w:t>
            </w: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231F20"/>
              </w:rPr>
              <w:t>(1)</w:t>
            </w:r>
          </w:p>
        </w:tc>
        <w:tc>
          <w:tcPr>
            <w:tcW w:w="0" w:type="dxa"/>
            <w:vAlign w:val="bottom"/>
          </w:tcPr>
          <w:p>
            <w:pPr>
              <w:spacing w:after="0"/>
              <w:rPr>
                <w:sz w:val="1"/>
                <w:szCs w:val="1"/>
                <w:color w:val="auto"/>
              </w:rPr>
            </w:pPr>
          </w:p>
        </w:tc>
      </w:tr>
      <w:tr>
        <w:trPr>
          <w:trHeight w:val="231"/>
        </w:trPr>
        <w:tc>
          <w:tcPr>
            <w:tcW w:w="244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231F20"/>
              </w:rPr>
              <w:t>LAWRENCE PARK (Pennsylvania)</w:t>
            </w: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6,150</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8,491</w:t>
            </w:r>
          </w:p>
        </w:tc>
        <w:tc>
          <w:tcPr>
            <w:tcW w:w="80" w:type="dxa"/>
            <w:vAlign w:val="bottom"/>
          </w:tcPr>
          <w:p>
            <w:pPr>
              <w:spacing w:after="0"/>
              <w:rPr>
                <w:sz w:val="20"/>
                <w:szCs w:val="20"/>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231F20"/>
              </w:rPr>
              <w:t>51,692</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6,161</w:t>
            </w: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60,172</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66,333</w:t>
            </w:r>
          </w:p>
        </w:tc>
        <w:tc>
          <w:tcPr>
            <w:tcW w:w="60" w:type="dxa"/>
            <w:vAlign w:val="bottom"/>
          </w:tcPr>
          <w:p>
            <w:pPr>
              <w:spacing w:after="0"/>
              <w:rPr>
                <w:sz w:val="20"/>
                <w:szCs w:val="20"/>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231F20"/>
              </w:rPr>
              <w:t>30,704</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1972</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7/23/1980</w:t>
            </w:r>
          </w:p>
        </w:tc>
        <w:tc>
          <w:tcPr>
            <w:tcW w:w="10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5"/>
                <w:szCs w:val="15"/>
                <w:color w:val="231F20"/>
              </w:rPr>
              <w:t>(1)</w:t>
            </w:r>
          </w:p>
        </w:tc>
        <w:tc>
          <w:tcPr>
            <w:tcW w:w="0" w:type="dxa"/>
            <w:vAlign w:val="bottom"/>
          </w:tcPr>
          <w:p>
            <w:pPr>
              <w:spacing w:after="0"/>
              <w:rPr>
                <w:sz w:val="1"/>
                <w:szCs w:val="1"/>
                <w:color w:val="auto"/>
              </w:rPr>
            </w:pPr>
          </w:p>
        </w:tc>
      </w:tr>
      <w:tr>
        <w:trPr>
          <w:trHeight w:val="198"/>
        </w:trPr>
        <w:tc>
          <w:tcPr>
            <w:tcW w:w="24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&amp; 4/3/17</w:t>
            </w:r>
          </w:p>
        </w:tc>
        <w:tc>
          <w:tcPr>
            <w:tcW w:w="10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440" w:type="dxa"/>
            <w:vAlign w:val="bottom"/>
          </w:tcPr>
          <w:p>
            <w:pPr>
              <w:ind w:left="60"/>
              <w:spacing w:after="0"/>
              <w:rPr>
                <w:sz w:val="20"/>
                <w:szCs w:val="20"/>
                <w:color w:val="auto"/>
              </w:rPr>
            </w:pPr>
            <w:r>
              <w:rPr>
                <w:rFonts w:ascii="Times New Roman" w:cs="Times New Roman" w:eastAsia="Times New Roman" w:hAnsi="Times New Roman"/>
                <w:sz w:val="15"/>
                <w:szCs w:val="15"/>
                <w:color w:val="231F20"/>
              </w:rPr>
              <w:t>LINDEN SQUARE (Massachusetts)</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79,382</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19,247</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61,693</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79,346</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80,976</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160,322</w:t>
            </w:r>
          </w:p>
        </w:tc>
        <w:tc>
          <w:tcPr>
            <w:tcW w:w="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42,199</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1960-2008</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8/24/2006</w:t>
            </w: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231F20"/>
              </w:rPr>
              <w:t>(1)</w:t>
            </w:r>
          </w:p>
        </w:tc>
        <w:tc>
          <w:tcPr>
            <w:tcW w:w="0" w:type="dxa"/>
            <w:vAlign w:val="bottom"/>
          </w:tcPr>
          <w:p>
            <w:pPr>
              <w:spacing w:after="0"/>
              <w:rPr>
                <w:sz w:val="1"/>
                <w:szCs w:val="1"/>
                <w:color w:val="auto"/>
              </w:rPr>
            </w:pPr>
          </w:p>
        </w:tc>
      </w:tr>
      <w:tr>
        <w:trPr>
          <w:trHeight w:val="240"/>
        </w:trPr>
        <w:tc>
          <w:tcPr>
            <w:tcW w:w="2440" w:type="dxa"/>
            <w:vAlign w:val="bottom"/>
          </w:tcPr>
          <w:p>
            <w:pPr>
              <w:ind w:left="60"/>
              <w:spacing w:after="0"/>
              <w:rPr>
                <w:sz w:val="20"/>
                <w:szCs w:val="20"/>
                <w:color w:val="auto"/>
              </w:rPr>
            </w:pPr>
            <w:r>
              <w:rPr>
                <w:rFonts w:ascii="Times New Roman" w:cs="Times New Roman" w:eastAsia="Times New Roman" w:hAnsi="Times New Roman"/>
                <w:sz w:val="15"/>
                <w:szCs w:val="15"/>
                <w:color w:val="231F20"/>
              </w:rPr>
              <w:t>MELVILLE MALL (New York)</w:t>
            </w: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35,622</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32,882</w:t>
            </w:r>
          </w:p>
        </w:tc>
        <w:tc>
          <w:tcPr>
            <w:tcW w:w="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40,409</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35,522</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73,391</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108,913</w:t>
            </w:r>
          </w:p>
        </w:tc>
        <w:tc>
          <w:tcPr>
            <w:tcW w:w="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33,580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1974</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10/16/2006</w:t>
            </w: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231F20"/>
              </w:rPr>
              <w:t>(1)</w:t>
            </w:r>
          </w:p>
        </w:tc>
        <w:tc>
          <w:tcPr>
            <w:tcW w:w="0" w:type="dxa"/>
            <w:vAlign w:val="bottom"/>
          </w:tcPr>
          <w:p>
            <w:pPr>
              <w:spacing w:after="0"/>
              <w:rPr>
                <w:sz w:val="1"/>
                <w:szCs w:val="1"/>
                <w:color w:val="auto"/>
              </w:rPr>
            </w:pPr>
          </w:p>
        </w:tc>
      </w:tr>
      <w:tr>
        <w:trPr>
          <w:trHeight w:val="182"/>
        </w:trPr>
        <w:tc>
          <w:tcPr>
            <w:tcW w:w="2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10/14/03,</w:t>
            </w: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244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231F20"/>
              </w:rPr>
              <w:t>MERCER ON ONE (New Jersey)</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19,152</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44,384</w:t>
            </w:r>
          </w:p>
        </w:tc>
        <w:tc>
          <w:tcPr>
            <w:tcW w:w="8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231F20"/>
              </w:rPr>
              <w:t>63,215</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19,102</w:t>
            </w: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107,649</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126,751</w:t>
            </w:r>
          </w:p>
        </w:tc>
        <w:tc>
          <w:tcPr>
            <w:tcW w:w="6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231F20"/>
              </w:rPr>
              <w:t>51,570</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1975</w:t>
            </w:r>
          </w:p>
        </w:tc>
        <w:tc>
          <w:tcPr>
            <w:tcW w:w="940" w:type="dxa"/>
            <w:vAlign w:val="bottom"/>
            <w:gridSpan w:val="2"/>
          </w:tcPr>
          <w:p>
            <w:pPr>
              <w:jc w:val="right"/>
              <w:spacing w:after="0" w:line="152" w:lineRule="exact"/>
              <w:rPr>
                <w:sz w:val="20"/>
                <w:szCs w:val="20"/>
                <w:color w:val="auto"/>
              </w:rPr>
            </w:pPr>
            <w:r>
              <w:rPr>
                <w:rFonts w:ascii="Times New Roman" w:cs="Times New Roman" w:eastAsia="Times New Roman" w:hAnsi="Times New Roman"/>
                <w:sz w:val="15"/>
                <w:szCs w:val="15"/>
                <w:color w:val="231F20"/>
              </w:rPr>
              <w:t>1/31/17, &amp;</w:t>
            </w:r>
          </w:p>
        </w:tc>
        <w:tc>
          <w:tcPr>
            <w:tcW w:w="10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5"/>
                <w:szCs w:val="15"/>
                <w:color w:val="231F20"/>
              </w:rPr>
              <w:t>(1)</w:t>
            </w:r>
          </w:p>
        </w:tc>
        <w:tc>
          <w:tcPr>
            <w:tcW w:w="0" w:type="dxa"/>
            <w:vAlign w:val="bottom"/>
          </w:tcPr>
          <w:p>
            <w:pPr>
              <w:spacing w:after="0"/>
              <w:rPr>
                <w:sz w:val="1"/>
                <w:szCs w:val="1"/>
                <w:color w:val="auto"/>
              </w:rPr>
            </w:pPr>
          </w:p>
        </w:tc>
      </w:tr>
      <w:tr>
        <w:trPr>
          <w:trHeight w:val="198"/>
        </w:trPr>
        <w:tc>
          <w:tcPr>
            <w:tcW w:w="24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10/12/2023</w:t>
            </w:r>
          </w:p>
        </w:tc>
        <w:tc>
          <w:tcPr>
            <w:tcW w:w="10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44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231F20"/>
              </w:rPr>
              <w:t>MONTROSE CROSSING</w:t>
            </w: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1960s,</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12/27/11 &amp;</w:t>
            </w: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24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48,624</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91,819</w:t>
            </w:r>
          </w:p>
        </w:tc>
        <w:tc>
          <w:tcPr>
            <w:tcW w:w="8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231F20"/>
              </w:rPr>
              <w:t>31,660</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48,624</w:t>
            </w: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123,479</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172,103</w:t>
            </w:r>
          </w:p>
        </w:tc>
        <w:tc>
          <w:tcPr>
            <w:tcW w:w="6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231F20"/>
              </w:rPr>
              <w:t>56,463</w:t>
            </w:r>
          </w:p>
        </w:tc>
        <w:tc>
          <w:tcPr>
            <w:tcW w:w="80" w:type="dxa"/>
            <w:vAlign w:val="bottom"/>
          </w:tcPr>
          <w:p>
            <w:pPr>
              <w:spacing w:after="0"/>
              <w:rPr>
                <w:sz w:val="13"/>
                <w:szCs w:val="13"/>
                <w:color w:val="auto"/>
              </w:rPr>
            </w:pPr>
          </w:p>
        </w:tc>
        <w:tc>
          <w:tcPr>
            <w:tcW w:w="860" w:type="dxa"/>
            <w:vAlign w:val="bottom"/>
          </w:tcPr>
          <w:p>
            <w:pPr>
              <w:jc w:val="right"/>
              <w:spacing w:after="0" w:line="152" w:lineRule="exact"/>
              <w:rPr>
                <w:sz w:val="20"/>
                <w:szCs w:val="20"/>
                <w:color w:val="auto"/>
              </w:rPr>
            </w:pPr>
            <w:r>
              <w:rPr>
                <w:rFonts w:ascii="Times New Roman" w:cs="Times New Roman" w:eastAsia="Times New Roman" w:hAnsi="Times New Roman"/>
                <w:sz w:val="15"/>
                <w:szCs w:val="15"/>
                <w:color w:val="231F20"/>
              </w:rPr>
              <w:t>1970s, 1996</w:t>
            </w:r>
          </w:p>
        </w:tc>
        <w:tc>
          <w:tcPr>
            <w:tcW w:w="940" w:type="dxa"/>
            <w:vAlign w:val="bottom"/>
            <w:gridSpan w:val="2"/>
            <w:vMerge w:val="continue"/>
          </w:tcPr>
          <w:p>
            <w:pPr>
              <w:spacing w:after="0"/>
              <w:rPr>
                <w:sz w:val="13"/>
                <w:szCs w:val="13"/>
                <w:color w:val="auto"/>
              </w:rPr>
            </w:pPr>
          </w:p>
        </w:tc>
        <w:tc>
          <w:tcPr>
            <w:tcW w:w="10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5"/>
                <w:szCs w:val="15"/>
                <w:color w:val="231F20"/>
              </w:rPr>
              <w:t>(1)</w:t>
            </w:r>
          </w:p>
        </w:tc>
        <w:tc>
          <w:tcPr>
            <w:tcW w:w="0" w:type="dxa"/>
            <w:vAlign w:val="bottom"/>
          </w:tcPr>
          <w:p>
            <w:pPr>
              <w:spacing w:after="0"/>
              <w:rPr>
                <w:sz w:val="1"/>
                <w:szCs w:val="1"/>
                <w:color w:val="auto"/>
              </w:rPr>
            </w:pPr>
          </w:p>
        </w:tc>
      </w:tr>
      <w:tr>
        <w:trPr>
          <w:trHeight w:val="198"/>
        </w:trPr>
        <w:tc>
          <w:tcPr>
            <w:tcW w:w="2440" w:type="dxa"/>
            <w:vAlign w:val="bottom"/>
          </w:tcPr>
          <w:p>
            <w:pPr>
              <w:ind w:left="60"/>
              <w:spacing w:after="0"/>
              <w:rPr>
                <w:sz w:val="20"/>
                <w:szCs w:val="20"/>
                <w:color w:val="auto"/>
              </w:rPr>
            </w:pPr>
            <w:r>
              <w:rPr>
                <w:rFonts w:ascii="Times New Roman" w:cs="Times New Roman" w:eastAsia="Times New Roman" w:hAnsi="Times New Roman"/>
                <w:sz w:val="15"/>
                <w:szCs w:val="15"/>
                <w:color w:val="231F20"/>
              </w:rPr>
              <w:t>(Maryland)</w:t>
            </w: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&amp; 2011</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12/19/13</w:t>
            </w:r>
          </w:p>
        </w:tc>
        <w:tc>
          <w:tcPr>
            <w:tcW w:w="10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44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231F20"/>
              </w:rPr>
              <w:t>MOUNT VERNON/SOUTH</w:t>
            </w: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3/31/03,</w:t>
            </w: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24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1966/1972/</w:t>
            </w:r>
          </w:p>
        </w:tc>
        <w:tc>
          <w:tcPr>
            <w:tcW w:w="940" w:type="dxa"/>
            <w:vAlign w:val="bottom"/>
            <w:gridSpan w:val="2"/>
          </w:tcPr>
          <w:p>
            <w:pPr>
              <w:jc w:val="right"/>
              <w:spacing w:after="0" w:line="152" w:lineRule="exact"/>
              <w:rPr>
                <w:sz w:val="20"/>
                <w:szCs w:val="20"/>
                <w:color w:val="auto"/>
              </w:rPr>
            </w:pPr>
            <w:r>
              <w:rPr>
                <w:rFonts w:ascii="Times New Roman" w:cs="Times New Roman" w:eastAsia="Times New Roman" w:hAnsi="Times New Roman"/>
                <w:sz w:val="15"/>
                <w:szCs w:val="15"/>
                <w:color w:val="231F20"/>
              </w:rPr>
              <w:t>3/21/03,</w:t>
            </w: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440" w:type="dxa"/>
            <w:vAlign w:val="bottom"/>
          </w:tcPr>
          <w:p>
            <w:pPr>
              <w:ind w:left="60"/>
              <w:spacing w:after="0" w:line="152" w:lineRule="exact"/>
              <w:rPr>
                <w:sz w:val="20"/>
                <w:szCs w:val="20"/>
                <w:color w:val="auto"/>
              </w:rPr>
            </w:pPr>
            <w:r>
              <w:rPr>
                <w:rFonts w:ascii="Times New Roman" w:cs="Times New Roman" w:eastAsia="Times New Roman" w:hAnsi="Times New Roman"/>
                <w:sz w:val="15"/>
                <w:szCs w:val="15"/>
                <w:color w:val="231F20"/>
              </w:rPr>
              <w:t>VALLEY/7770 RICHMOND HWY.</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15,769</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33,501</w:t>
            </w:r>
          </w:p>
        </w:tc>
        <w:tc>
          <w:tcPr>
            <w:tcW w:w="8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231F20"/>
              </w:rPr>
              <w:t>50,112</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15,851</w:t>
            </w: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83,531</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99,382</w:t>
            </w:r>
          </w:p>
        </w:tc>
        <w:tc>
          <w:tcPr>
            <w:tcW w:w="6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231F20"/>
              </w:rPr>
              <w:t>56,892</w:t>
            </w:r>
          </w:p>
        </w:tc>
        <w:tc>
          <w:tcPr>
            <w:tcW w:w="940" w:type="dxa"/>
            <w:vAlign w:val="bottom"/>
            <w:gridSpan w:val="2"/>
            <w:vMerge w:val="continue"/>
          </w:tcPr>
          <w:p>
            <w:pPr>
              <w:spacing w:after="0"/>
              <w:rPr>
                <w:sz w:val="13"/>
                <w:szCs w:val="13"/>
                <w:color w:val="auto"/>
              </w:rPr>
            </w:pPr>
          </w:p>
        </w:tc>
        <w:tc>
          <w:tcPr>
            <w:tcW w:w="940" w:type="dxa"/>
            <w:vAlign w:val="bottom"/>
            <w:gridSpan w:val="2"/>
          </w:tcPr>
          <w:p>
            <w:pPr>
              <w:jc w:val="right"/>
              <w:spacing w:after="0" w:line="152" w:lineRule="exact"/>
              <w:rPr>
                <w:sz w:val="20"/>
                <w:szCs w:val="20"/>
                <w:color w:val="auto"/>
              </w:rPr>
            </w:pPr>
            <w:r>
              <w:rPr>
                <w:rFonts w:ascii="Times New Roman" w:cs="Times New Roman" w:eastAsia="Times New Roman" w:hAnsi="Times New Roman"/>
                <w:sz w:val="15"/>
                <w:szCs w:val="15"/>
                <w:color w:val="231F20"/>
              </w:rPr>
              <w:t>1/27/06 &amp;</w:t>
            </w:r>
          </w:p>
        </w:tc>
        <w:tc>
          <w:tcPr>
            <w:tcW w:w="10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5"/>
                <w:szCs w:val="15"/>
                <w:color w:val="231F20"/>
              </w:rPr>
              <w:t>(1)</w:t>
            </w:r>
          </w:p>
        </w:tc>
        <w:tc>
          <w:tcPr>
            <w:tcW w:w="0" w:type="dxa"/>
            <w:vAlign w:val="bottom"/>
          </w:tcPr>
          <w:p>
            <w:pPr>
              <w:spacing w:after="0"/>
              <w:rPr>
                <w:sz w:val="1"/>
                <w:szCs w:val="1"/>
                <w:color w:val="auto"/>
              </w:rPr>
            </w:pPr>
          </w:p>
        </w:tc>
      </w:tr>
      <w:tr>
        <w:trPr>
          <w:trHeight w:val="198"/>
        </w:trPr>
        <w:tc>
          <w:tcPr>
            <w:tcW w:w="2440" w:type="dxa"/>
            <w:vAlign w:val="bottom"/>
          </w:tcPr>
          <w:p>
            <w:pPr>
              <w:ind w:left="60"/>
              <w:spacing w:after="0"/>
              <w:rPr>
                <w:sz w:val="20"/>
                <w:szCs w:val="20"/>
                <w:color w:val="auto"/>
              </w:rPr>
            </w:pPr>
            <w:r>
              <w:rPr>
                <w:rFonts w:ascii="Times New Roman" w:cs="Times New Roman" w:eastAsia="Times New Roman" w:hAnsi="Times New Roman"/>
                <w:sz w:val="15"/>
                <w:szCs w:val="15"/>
                <w:color w:val="231F20"/>
              </w:rPr>
              <w:t>(Virginia)</w:t>
            </w: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1987/2001</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1/4/21</w:t>
            </w:r>
          </w:p>
        </w:tc>
        <w:tc>
          <w:tcPr>
            <w:tcW w:w="10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440" w:type="dxa"/>
            <w:vAlign w:val="bottom"/>
          </w:tcPr>
          <w:p>
            <w:pPr>
              <w:ind w:left="60"/>
              <w:spacing w:after="0"/>
              <w:rPr>
                <w:sz w:val="20"/>
                <w:szCs w:val="20"/>
                <w:color w:val="auto"/>
              </w:rPr>
            </w:pPr>
            <w:r>
              <w:rPr>
                <w:rFonts w:ascii="Times New Roman" w:cs="Times New Roman" w:eastAsia="Times New Roman" w:hAnsi="Times New Roman"/>
                <w:sz w:val="15"/>
                <w:szCs w:val="15"/>
                <w:color w:val="231F20"/>
              </w:rPr>
              <w:t>NORTH DARTMOUTH</w:t>
            </w: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9,366</w:t>
            </w:r>
          </w:p>
        </w:tc>
        <w:tc>
          <w:tcPr>
            <w:tcW w:w="80" w:type="dxa"/>
            <w:vAlign w:val="bottom"/>
          </w:tcPr>
          <w:p>
            <w:pPr>
              <w:spacing w:after="0"/>
              <w:rPr>
                <w:sz w:val="17"/>
                <w:szCs w:val="17"/>
                <w:color w:val="auto"/>
              </w:rPr>
            </w:pPr>
          </w:p>
        </w:tc>
        <w:tc>
          <w:tcPr>
            <w:tcW w:w="10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5"/>
                <w:szCs w:val="15"/>
                <w:color w:val="231F20"/>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231F20"/>
              </w:rPr>
              <w:t>(7,422)</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1,941</w:t>
            </w: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3</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1,944</w:t>
            </w:r>
          </w:p>
        </w:tc>
        <w:tc>
          <w:tcPr>
            <w:tcW w:w="6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231F20"/>
              </w:rPr>
              <w:t>2</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2004</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8/24/2006</w:t>
            </w:r>
          </w:p>
        </w:tc>
        <w:tc>
          <w:tcPr>
            <w:tcW w:w="10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5"/>
                <w:szCs w:val="15"/>
                <w:color w:val="231F20"/>
              </w:rPr>
              <w:t>(1)</w:t>
            </w:r>
          </w:p>
        </w:tc>
        <w:tc>
          <w:tcPr>
            <w:tcW w:w="0" w:type="dxa"/>
            <w:vAlign w:val="bottom"/>
          </w:tcPr>
          <w:p>
            <w:pPr>
              <w:spacing w:after="0"/>
              <w:rPr>
                <w:sz w:val="1"/>
                <w:szCs w:val="1"/>
                <w:color w:val="auto"/>
              </w:rPr>
            </w:pPr>
          </w:p>
        </w:tc>
      </w:tr>
      <w:tr>
        <w:trPr>
          <w:trHeight w:val="198"/>
        </w:trPr>
        <w:tc>
          <w:tcPr>
            <w:tcW w:w="2440" w:type="dxa"/>
            <w:vAlign w:val="bottom"/>
          </w:tcPr>
          <w:p>
            <w:pPr>
              <w:ind w:left="60"/>
              <w:spacing w:after="0"/>
              <w:rPr>
                <w:sz w:val="20"/>
                <w:szCs w:val="20"/>
                <w:color w:val="auto"/>
              </w:rPr>
            </w:pPr>
            <w:r>
              <w:rPr>
                <w:rFonts w:ascii="Times New Roman" w:cs="Times New Roman" w:eastAsia="Times New Roman" w:hAnsi="Times New Roman"/>
                <w:sz w:val="15"/>
                <w:szCs w:val="15"/>
                <w:color w:val="231F20"/>
              </w:rPr>
              <w:t>(Massachusetts)</w:t>
            </w: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440" w:type="dxa"/>
            <w:vAlign w:val="bottom"/>
          </w:tcPr>
          <w:p>
            <w:pPr>
              <w:ind w:left="60"/>
              <w:spacing w:after="0"/>
              <w:rPr>
                <w:sz w:val="20"/>
                <w:szCs w:val="20"/>
                <w:color w:val="auto"/>
              </w:rPr>
            </w:pPr>
            <w:r>
              <w:rPr>
                <w:rFonts w:ascii="Times New Roman" w:cs="Times New Roman" w:eastAsia="Times New Roman" w:hAnsi="Times New Roman"/>
                <w:sz w:val="15"/>
                <w:szCs w:val="15"/>
                <w:color w:val="231F20"/>
              </w:rPr>
              <w:t>NORTHEAST (Pennsylvania)</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938</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8,779</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26,660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939</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35,438</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36,377</w:t>
            </w:r>
          </w:p>
        </w:tc>
        <w:tc>
          <w:tcPr>
            <w:tcW w:w="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25,884</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1959</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8/30/1983</w:t>
            </w: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231F20"/>
              </w:rPr>
              <w:t>(1)</w:t>
            </w:r>
          </w:p>
        </w:tc>
        <w:tc>
          <w:tcPr>
            <w:tcW w:w="0" w:type="dxa"/>
            <w:vAlign w:val="bottom"/>
          </w:tcPr>
          <w:p>
            <w:pPr>
              <w:spacing w:after="0"/>
              <w:rPr>
                <w:sz w:val="1"/>
                <w:szCs w:val="1"/>
                <w:color w:val="auto"/>
              </w:rPr>
            </w:pPr>
          </w:p>
        </w:tc>
      </w:tr>
      <w:tr>
        <w:trPr>
          <w:trHeight w:val="242"/>
        </w:trPr>
        <w:tc>
          <w:tcPr>
            <w:tcW w:w="2440" w:type="dxa"/>
            <w:vAlign w:val="bottom"/>
          </w:tcPr>
          <w:p>
            <w:pPr>
              <w:ind w:left="60"/>
              <w:spacing w:after="0"/>
              <w:rPr>
                <w:sz w:val="20"/>
                <w:szCs w:val="20"/>
                <w:color w:val="auto"/>
              </w:rPr>
            </w:pPr>
            <w:r>
              <w:rPr>
                <w:rFonts w:ascii="Times New Roman" w:cs="Times New Roman" w:eastAsia="Times New Roman" w:hAnsi="Times New Roman"/>
                <w:sz w:val="15"/>
                <w:szCs w:val="15"/>
                <w:color w:val="231F20"/>
              </w:rPr>
              <w:t>OLD KEENE MILL (Virginia)</w:t>
            </w: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638</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998</w:t>
            </w:r>
          </w:p>
        </w:tc>
        <w:tc>
          <w:tcPr>
            <w:tcW w:w="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18,575</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638</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19,573</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20,211</w:t>
            </w:r>
          </w:p>
        </w:tc>
        <w:tc>
          <w:tcPr>
            <w:tcW w:w="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9,356</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1968</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6/15/1976</w:t>
            </w: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231F20"/>
              </w:rPr>
              <w:t>(1)</w:t>
            </w:r>
          </w:p>
        </w:tc>
        <w:tc>
          <w:tcPr>
            <w:tcW w:w="0" w:type="dxa"/>
            <w:vAlign w:val="bottom"/>
          </w:tcPr>
          <w:p>
            <w:pPr>
              <w:spacing w:after="0"/>
              <w:rPr>
                <w:sz w:val="1"/>
                <w:szCs w:val="1"/>
                <w:color w:val="auto"/>
              </w:rPr>
            </w:pPr>
          </w:p>
        </w:tc>
      </w:tr>
      <w:tr>
        <w:trPr>
          <w:trHeight w:val="231"/>
        </w:trPr>
        <w:tc>
          <w:tcPr>
            <w:tcW w:w="244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231F20"/>
              </w:rPr>
              <w:t>OLD TOWN CENTER (California)</w:t>
            </w: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3,420</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2,765</w:t>
            </w:r>
          </w:p>
        </w:tc>
        <w:tc>
          <w:tcPr>
            <w:tcW w:w="80" w:type="dxa"/>
            <w:vAlign w:val="bottom"/>
          </w:tcPr>
          <w:p>
            <w:pPr>
              <w:spacing w:after="0"/>
              <w:rPr>
                <w:sz w:val="20"/>
                <w:szCs w:val="20"/>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231F20"/>
              </w:rPr>
              <w:t>38,276</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3,420</w:t>
            </w: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41,041</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44,461</w:t>
            </w:r>
          </w:p>
        </w:tc>
        <w:tc>
          <w:tcPr>
            <w:tcW w:w="60" w:type="dxa"/>
            <w:vAlign w:val="bottom"/>
          </w:tcPr>
          <w:p>
            <w:pPr>
              <w:spacing w:after="0"/>
              <w:rPr>
                <w:sz w:val="20"/>
                <w:szCs w:val="20"/>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231F20"/>
              </w:rPr>
              <w:t>28,992</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1962,</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10/22/1997</w:t>
            </w:r>
          </w:p>
        </w:tc>
        <w:tc>
          <w:tcPr>
            <w:tcW w:w="10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5"/>
                <w:szCs w:val="15"/>
                <w:color w:val="231F20"/>
              </w:rPr>
              <w:t>(1)</w:t>
            </w:r>
          </w:p>
        </w:tc>
        <w:tc>
          <w:tcPr>
            <w:tcW w:w="0" w:type="dxa"/>
            <w:vAlign w:val="bottom"/>
          </w:tcPr>
          <w:p>
            <w:pPr>
              <w:spacing w:after="0"/>
              <w:rPr>
                <w:sz w:val="1"/>
                <w:szCs w:val="1"/>
                <w:color w:val="auto"/>
              </w:rPr>
            </w:pPr>
          </w:p>
        </w:tc>
      </w:tr>
      <w:tr>
        <w:trPr>
          <w:trHeight w:val="198"/>
        </w:trPr>
        <w:tc>
          <w:tcPr>
            <w:tcW w:w="24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1997-1998</w:t>
            </w:r>
          </w:p>
        </w:tc>
        <w:tc>
          <w:tcPr>
            <w:tcW w:w="940" w:type="dxa"/>
            <w:vAlign w:val="bottom"/>
            <w:gridSpan w:val="2"/>
            <w:vMerge w:val="continue"/>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440" w:type="dxa"/>
            <w:vAlign w:val="bottom"/>
          </w:tcPr>
          <w:p>
            <w:pPr>
              <w:ind w:left="60"/>
              <w:spacing w:after="0"/>
              <w:rPr>
                <w:sz w:val="20"/>
                <w:szCs w:val="20"/>
                <w:color w:val="auto"/>
              </w:rPr>
            </w:pPr>
            <w:r>
              <w:rPr>
                <w:rFonts w:ascii="Times New Roman" w:cs="Times New Roman" w:eastAsia="Times New Roman" w:hAnsi="Times New Roman"/>
                <w:sz w:val="15"/>
                <w:szCs w:val="15"/>
                <w:color w:val="231F20"/>
              </w:rPr>
              <w:t>OLIVO AT MISSION HILLS</w:t>
            </w: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15,048</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46,732</w:t>
            </w:r>
          </w:p>
        </w:tc>
        <w:tc>
          <w:tcPr>
            <w:tcW w:w="8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231F20"/>
              </w:rPr>
              <w:t>21,127</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15,048</w:t>
            </w: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67,859</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82,907</w:t>
            </w:r>
          </w:p>
        </w:tc>
        <w:tc>
          <w:tcPr>
            <w:tcW w:w="6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231F20"/>
              </w:rPr>
              <w:t>14,545</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2017-2018</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8/2/2017</w:t>
            </w:r>
          </w:p>
        </w:tc>
        <w:tc>
          <w:tcPr>
            <w:tcW w:w="10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5"/>
                <w:szCs w:val="15"/>
                <w:color w:val="231F20"/>
              </w:rPr>
              <w:t>(1)</w:t>
            </w:r>
          </w:p>
        </w:tc>
        <w:tc>
          <w:tcPr>
            <w:tcW w:w="0" w:type="dxa"/>
            <w:vAlign w:val="bottom"/>
          </w:tcPr>
          <w:p>
            <w:pPr>
              <w:spacing w:after="0"/>
              <w:rPr>
                <w:sz w:val="1"/>
                <w:szCs w:val="1"/>
                <w:color w:val="auto"/>
              </w:rPr>
            </w:pPr>
          </w:p>
        </w:tc>
      </w:tr>
      <w:tr>
        <w:trPr>
          <w:trHeight w:val="198"/>
        </w:trPr>
        <w:tc>
          <w:tcPr>
            <w:tcW w:w="2440" w:type="dxa"/>
            <w:vAlign w:val="bottom"/>
          </w:tcPr>
          <w:p>
            <w:pPr>
              <w:ind w:left="60"/>
              <w:spacing w:after="0"/>
              <w:rPr>
                <w:sz w:val="20"/>
                <w:szCs w:val="20"/>
                <w:color w:val="auto"/>
              </w:rPr>
            </w:pPr>
            <w:r>
              <w:rPr>
                <w:rFonts w:ascii="Times New Roman" w:cs="Times New Roman" w:eastAsia="Times New Roman" w:hAnsi="Times New Roman"/>
                <w:sz w:val="15"/>
                <w:szCs w:val="15"/>
                <w:color w:val="231F20"/>
              </w:rPr>
              <w:t>(California)</w:t>
            </w: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440" w:type="dxa"/>
            <w:vAlign w:val="bottom"/>
          </w:tcPr>
          <w:p>
            <w:pPr>
              <w:ind w:left="60"/>
              <w:spacing w:after="0"/>
              <w:rPr>
                <w:sz w:val="20"/>
                <w:szCs w:val="20"/>
                <w:color w:val="auto"/>
              </w:rPr>
            </w:pPr>
            <w:r>
              <w:rPr>
                <w:rFonts w:ascii="Times New Roman" w:cs="Times New Roman" w:eastAsia="Times New Roman" w:hAnsi="Times New Roman"/>
                <w:sz w:val="15"/>
                <w:szCs w:val="15"/>
                <w:color w:val="231F20"/>
              </w:rPr>
              <w:t>PERRING PLAZA (Maryland)</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2,800</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6,461</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34,168</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2,800</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40,629</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43,429</w:t>
            </w:r>
          </w:p>
        </w:tc>
        <w:tc>
          <w:tcPr>
            <w:tcW w:w="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25,185</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1963</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10/1/1985</w:t>
            </w: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231F20"/>
              </w:rPr>
              <w:t>(1)</w:t>
            </w:r>
          </w:p>
        </w:tc>
        <w:tc>
          <w:tcPr>
            <w:tcW w:w="0" w:type="dxa"/>
            <w:vAlign w:val="bottom"/>
          </w:tcPr>
          <w:p>
            <w:pPr>
              <w:spacing w:after="0"/>
              <w:rPr>
                <w:sz w:val="1"/>
                <w:szCs w:val="1"/>
                <w:color w:val="auto"/>
              </w:rPr>
            </w:pPr>
          </w:p>
        </w:tc>
      </w:tr>
      <w:tr>
        <w:trPr>
          <w:trHeight w:val="207"/>
        </w:trPr>
        <w:tc>
          <w:tcPr>
            <w:tcW w:w="2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1963,</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5/18/82,</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2"/>
        </w:trPr>
        <w:tc>
          <w:tcPr>
            <w:tcW w:w="244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231F20"/>
              </w:rPr>
              <w:t>PIKE &amp; ROSE (Maryland)</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27,102</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10,335</w:t>
            </w:r>
          </w:p>
        </w:tc>
        <w:tc>
          <w:tcPr>
            <w:tcW w:w="8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231F20"/>
              </w:rPr>
              <w:t>762,658</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32,890</w:t>
            </w: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767,205</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800,095</w:t>
            </w:r>
          </w:p>
        </w:tc>
        <w:tc>
          <w:tcPr>
            <w:tcW w:w="6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231F20"/>
              </w:rPr>
              <w:t>142,373</w:t>
            </w:r>
          </w:p>
        </w:tc>
        <w:tc>
          <w:tcPr>
            <w:tcW w:w="940" w:type="dxa"/>
            <w:vAlign w:val="bottom"/>
            <w:gridSpan w:val="2"/>
            <w:vMerge w:val="continue"/>
          </w:tcPr>
          <w:p>
            <w:pPr>
              <w:spacing w:after="0"/>
              <w:rPr>
                <w:sz w:val="13"/>
                <w:szCs w:val="13"/>
                <w:color w:val="auto"/>
              </w:rPr>
            </w:pPr>
          </w:p>
        </w:tc>
        <w:tc>
          <w:tcPr>
            <w:tcW w:w="940" w:type="dxa"/>
            <w:vAlign w:val="bottom"/>
            <w:gridSpan w:val="2"/>
          </w:tcPr>
          <w:p>
            <w:pPr>
              <w:jc w:val="right"/>
              <w:spacing w:after="0" w:line="152" w:lineRule="exact"/>
              <w:rPr>
                <w:sz w:val="20"/>
                <w:szCs w:val="20"/>
                <w:color w:val="auto"/>
              </w:rPr>
            </w:pPr>
            <w:r>
              <w:rPr>
                <w:rFonts w:ascii="Times New Roman" w:cs="Times New Roman" w:eastAsia="Times New Roman" w:hAnsi="Times New Roman"/>
                <w:sz w:val="15"/>
                <w:szCs w:val="15"/>
                <w:color w:val="231F20"/>
              </w:rPr>
              <w:t>10/26/07, &amp;</w:t>
            </w:r>
          </w:p>
        </w:tc>
        <w:tc>
          <w:tcPr>
            <w:tcW w:w="10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5"/>
                <w:szCs w:val="15"/>
                <w:color w:val="231F20"/>
              </w:rPr>
              <w:t>(1)</w:t>
            </w:r>
          </w:p>
        </w:tc>
        <w:tc>
          <w:tcPr>
            <w:tcW w:w="0" w:type="dxa"/>
            <w:vAlign w:val="bottom"/>
          </w:tcPr>
          <w:p>
            <w:pPr>
              <w:spacing w:after="0"/>
              <w:rPr>
                <w:sz w:val="1"/>
                <w:szCs w:val="1"/>
                <w:color w:val="auto"/>
              </w:rPr>
            </w:pPr>
          </w:p>
        </w:tc>
      </w:tr>
      <w:tr>
        <w:trPr>
          <w:trHeight w:val="198"/>
        </w:trPr>
        <w:tc>
          <w:tcPr>
            <w:tcW w:w="24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2012-2025</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7/31/12</w:t>
            </w:r>
          </w:p>
        </w:tc>
        <w:tc>
          <w:tcPr>
            <w:tcW w:w="10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44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231F20"/>
              </w:rPr>
              <w:t>PIKE 7 PLAZA (Virginia)</w:t>
            </w: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14,970</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22,799</w:t>
            </w:r>
          </w:p>
        </w:tc>
        <w:tc>
          <w:tcPr>
            <w:tcW w:w="80" w:type="dxa"/>
            <w:vAlign w:val="bottom"/>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231F20"/>
              </w:rPr>
              <w:t>19,278</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14,914</w:t>
            </w: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42,133</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57,047</w:t>
            </w:r>
          </w:p>
        </w:tc>
        <w:tc>
          <w:tcPr>
            <w:tcW w:w="6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231F20"/>
              </w:rPr>
              <w:t>25,930</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1968</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3/31/97 &amp;</w:t>
            </w:r>
          </w:p>
        </w:tc>
        <w:tc>
          <w:tcPr>
            <w:tcW w:w="10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5"/>
                <w:szCs w:val="15"/>
                <w:color w:val="231F20"/>
              </w:rPr>
              <w:t>(1)</w:t>
            </w:r>
          </w:p>
        </w:tc>
        <w:tc>
          <w:tcPr>
            <w:tcW w:w="0" w:type="dxa"/>
            <w:vAlign w:val="bottom"/>
          </w:tcPr>
          <w:p>
            <w:pPr>
              <w:spacing w:after="0"/>
              <w:rPr>
                <w:sz w:val="1"/>
                <w:szCs w:val="1"/>
                <w:color w:val="auto"/>
              </w:rPr>
            </w:pPr>
          </w:p>
        </w:tc>
      </w:tr>
      <w:tr>
        <w:trPr>
          <w:trHeight w:val="198"/>
        </w:trPr>
        <w:tc>
          <w:tcPr>
            <w:tcW w:w="24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7/8/15</w:t>
            </w:r>
          </w:p>
        </w:tc>
        <w:tc>
          <w:tcPr>
            <w:tcW w:w="10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440" w:type="dxa"/>
            <w:vAlign w:val="bottom"/>
          </w:tcPr>
          <w:p>
            <w:pPr>
              <w:ind w:left="60"/>
              <w:spacing w:after="0"/>
              <w:rPr>
                <w:sz w:val="20"/>
                <w:szCs w:val="20"/>
                <w:color w:val="auto"/>
              </w:rPr>
            </w:pPr>
            <w:r>
              <w:rPr>
                <w:rFonts w:ascii="Times New Roman" w:cs="Times New Roman" w:eastAsia="Times New Roman" w:hAnsi="Times New Roman"/>
                <w:sz w:val="15"/>
                <w:szCs w:val="15"/>
                <w:color w:val="231F20"/>
              </w:rPr>
              <w:t>PINOLE VISTA CROSSING</w:t>
            </w: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25,218</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33,286</w:t>
            </w:r>
          </w:p>
        </w:tc>
        <w:tc>
          <w:tcPr>
            <w:tcW w:w="80" w:type="dxa"/>
            <w:vAlign w:val="bottom"/>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231F20"/>
              </w:rPr>
              <w:t>(12)</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25,218</w:t>
            </w: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33,274</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58,492</w:t>
            </w:r>
          </w:p>
        </w:tc>
        <w:tc>
          <w:tcPr>
            <w:tcW w:w="6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231F20"/>
              </w:rPr>
              <w:t>2,472</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1995, 2015</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7/31/2024</w:t>
            </w:r>
          </w:p>
        </w:tc>
        <w:tc>
          <w:tcPr>
            <w:tcW w:w="10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5"/>
                <w:szCs w:val="15"/>
                <w:color w:val="231F20"/>
              </w:rPr>
              <w:t>(1)</w:t>
            </w:r>
          </w:p>
        </w:tc>
        <w:tc>
          <w:tcPr>
            <w:tcW w:w="0" w:type="dxa"/>
            <w:vAlign w:val="bottom"/>
          </w:tcPr>
          <w:p>
            <w:pPr>
              <w:spacing w:after="0"/>
              <w:rPr>
                <w:sz w:val="1"/>
                <w:szCs w:val="1"/>
                <w:color w:val="auto"/>
              </w:rPr>
            </w:pPr>
          </w:p>
        </w:tc>
      </w:tr>
      <w:tr>
        <w:trPr>
          <w:trHeight w:val="198"/>
        </w:trPr>
        <w:tc>
          <w:tcPr>
            <w:tcW w:w="2440" w:type="dxa"/>
            <w:vAlign w:val="bottom"/>
          </w:tcPr>
          <w:p>
            <w:pPr>
              <w:ind w:left="60"/>
              <w:spacing w:after="0"/>
              <w:rPr>
                <w:sz w:val="20"/>
                <w:szCs w:val="20"/>
                <w:color w:val="auto"/>
              </w:rPr>
            </w:pPr>
            <w:r>
              <w:rPr>
                <w:rFonts w:ascii="Times New Roman" w:cs="Times New Roman" w:eastAsia="Times New Roman" w:hAnsi="Times New Roman"/>
                <w:sz w:val="15"/>
                <w:szCs w:val="15"/>
                <w:color w:val="231F20"/>
              </w:rPr>
              <w:t>(California)</w:t>
            </w: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440" w:type="dxa"/>
            <w:vAlign w:val="bottom"/>
          </w:tcPr>
          <w:p>
            <w:pPr>
              <w:ind w:left="60"/>
              <w:spacing w:after="0"/>
              <w:rPr>
                <w:sz w:val="20"/>
                <w:szCs w:val="20"/>
                <w:color w:val="auto"/>
              </w:rPr>
            </w:pPr>
            <w:r>
              <w:rPr>
                <w:rFonts w:ascii="Times New Roman" w:cs="Times New Roman" w:eastAsia="Times New Roman" w:hAnsi="Times New Roman"/>
                <w:sz w:val="15"/>
                <w:szCs w:val="15"/>
                <w:color w:val="231F20"/>
              </w:rPr>
              <w:t>PLAZA DEL MERCADO</w:t>
            </w: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10,305</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21,553</w:t>
            </w:r>
          </w:p>
        </w:tc>
        <w:tc>
          <w:tcPr>
            <w:tcW w:w="80" w:type="dxa"/>
            <w:vAlign w:val="bottom"/>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231F20"/>
              </w:rPr>
              <w:t>15,363</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10,305</w:t>
            </w: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36,916</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47,221</w:t>
            </w:r>
          </w:p>
        </w:tc>
        <w:tc>
          <w:tcPr>
            <w:tcW w:w="6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231F20"/>
              </w:rPr>
              <w:t>14,253</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1969</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1/13/2016</w:t>
            </w:r>
          </w:p>
        </w:tc>
        <w:tc>
          <w:tcPr>
            <w:tcW w:w="10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5"/>
                <w:szCs w:val="15"/>
                <w:color w:val="231F20"/>
              </w:rPr>
              <w:t>(1)</w:t>
            </w:r>
          </w:p>
        </w:tc>
        <w:tc>
          <w:tcPr>
            <w:tcW w:w="0" w:type="dxa"/>
            <w:vAlign w:val="bottom"/>
          </w:tcPr>
          <w:p>
            <w:pPr>
              <w:spacing w:after="0"/>
              <w:rPr>
                <w:sz w:val="1"/>
                <w:szCs w:val="1"/>
                <w:color w:val="auto"/>
              </w:rPr>
            </w:pPr>
          </w:p>
        </w:tc>
      </w:tr>
      <w:tr>
        <w:trPr>
          <w:trHeight w:val="198"/>
        </w:trPr>
        <w:tc>
          <w:tcPr>
            <w:tcW w:w="2440" w:type="dxa"/>
            <w:vAlign w:val="bottom"/>
          </w:tcPr>
          <w:p>
            <w:pPr>
              <w:ind w:left="60"/>
              <w:spacing w:after="0"/>
              <w:rPr>
                <w:sz w:val="20"/>
                <w:szCs w:val="20"/>
                <w:color w:val="auto"/>
              </w:rPr>
            </w:pPr>
            <w:r>
              <w:rPr>
                <w:rFonts w:ascii="Times New Roman" w:cs="Times New Roman" w:eastAsia="Times New Roman" w:hAnsi="Times New Roman"/>
                <w:sz w:val="15"/>
                <w:szCs w:val="15"/>
                <w:color w:val="231F20"/>
              </w:rPr>
              <w:t>(Maryland)</w:t>
            </w: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440" w:type="dxa"/>
            <w:vAlign w:val="bottom"/>
          </w:tcPr>
          <w:p>
            <w:pPr>
              <w:ind w:left="60"/>
              <w:spacing w:after="0"/>
              <w:rPr>
                <w:sz w:val="20"/>
                <w:szCs w:val="20"/>
                <w:color w:val="auto"/>
              </w:rPr>
            </w:pPr>
            <w:r>
              <w:rPr>
                <w:rFonts w:ascii="Times New Roman" w:cs="Times New Roman" w:eastAsia="Times New Roman" w:hAnsi="Times New Roman"/>
                <w:sz w:val="15"/>
                <w:szCs w:val="15"/>
                <w:color w:val="231F20"/>
              </w:rPr>
              <w:t>PLAZA DEL SOL (California)</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5,605</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12,331</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31</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5,605</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12,362</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17,967</w:t>
            </w:r>
          </w:p>
        </w:tc>
        <w:tc>
          <w:tcPr>
            <w:tcW w:w="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3,342</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2009</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8/2/2017</w:t>
            </w: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231F20"/>
              </w:rPr>
              <w:t>(1)</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5480" w:h="11880" w:orient="landscape"/>
          <w:cols w:equalWidth="0" w:num="1">
            <w:col w:w="13120"/>
          </w:cols>
          <w:pgMar w:left="1180" w:top="865" w:right="1180" w:bottom="0" w:gutter="0" w:footer="0" w:header="0"/>
        </w:sectPr>
      </w:pP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F-44</w:t>
      </w:r>
    </w:p>
    <w:p>
      <w:pPr>
        <w:sectPr>
          <w:pgSz w:w="15480" w:h="11880" w:orient="landscape"/>
          <w:cols w:equalWidth="0" w:num="1">
            <w:col w:w="13120"/>
          </w:cols>
          <w:pgMar w:left="1180" w:top="865" w:right="1180" w:bottom="0" w:gutter="0" w:footer="0" w:header="0"/>
          <w:type w:val="continuous"/>
        </w:sectPr>
      </w:pPr>
    </w:p>
    <w:bookmarkStart w:id="108" w:name="page109"/>
    <w:bookmarkEnd w:id="108"/>
    <w:p>
      <w:pPr>
        <w:jc w:val="center"/>
        <w:spacing w:after="0"/>
        <w:rPr>
          <w:sz w:val="20"/>
          <w:szCs w:val="20"/>
          <w:color w:val="auto"/>
        </w:rPr>
      </w:pPr>
      <w:r>
        <w:rPr>
          <w:rFonts w:ascii="Times New Roman" w:cs="Times New Roman" w:eastAsia="Times New Roman" w:hAnsi="Times New Roman"/>
          <w:sz w:val="19"/>
          <w:szCs w:val="19"/>
          <w:b w:val="1"/>
          <w:bCs w:val="1"/>
          <w:color w:val="231F20"/>
        </w:rPr>
        <w:t>FEDERAL REALTY INVESTMENT TRUST AND FEDERAL REALTY OP LP</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231F20"/>
        </w:rPr>
        <w:t>SCHEDULE III</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231F20"/>
        </w:rPr>
        <w:t>SUMMARY OF REAL ESTATE AND ACCUMULATED DEPRECIATION</w:t>
      </w:r>
    </w:p>
    <w:p>
      <w:pPr>
        <w:spacing w:after="0" w:line="1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9"/>
          <w:szCs w:val="19"/>
          <w:b w:val="1"/>
          <w:bCs w:val="1"/>
          <w:color w:val="231F20"/>
        </w:rPr>
        <w:t>DECEMBER 31, 2025</w:t>
      </w:r>
    </w:p>
    <w:p>
      <w:pPr>
        <w:spacing w:after="0" w:line="1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9"/>
          <w:szCs w:val="19"/>
          <w:b w:val="1"/>
          <w:bCs w:val="1"/>
          <w:color w:val="231F20"/>
        </w:rPr>
        <w:t>(Dollars in thousands)</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44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231F20"/>
              </w:rPr>
              <w:t>COLUMN A</w:t>
            </w:r>
          </w:p>
        </w:tc>
        <w:tc>
          <w:tcPr>
            <w:tcW w:w="80" w:type="dxa"/>
            <w:vAlign w:val="bottom"/>
          </w:tcPr>
          <w:p>
            <w:pPr>
              <w:spacing w:after="0"/>
              <w:rPr>
                <w:sz w:val="15"/>
                <w:szCs w:val="15"/>
                <w:color w:val="auto"/>
              </w:rPr>
            </w:pPr>
          </w:p>
        </w:tc>
        <w:tc>
          <w:tcPr>
            <w:tcW w:w="90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231F20"/>
              </w:rPr>
              <w:t>COLUMN B</w:t>
            </w:r>
          </w:p>
        </w:tc>
        <w:tc>
          <w:tcPr>
            <w:tcW w:w="80" w:type="dxa"/>
            <w:vAlign w:val="bottom"/>
          </w:tcPr>
          <w:p>
            <w:pPr>
              <w:spacing w:after="0"/>
              <w:rPr>
                <w:sz w:val="15"/>
                <w:szCs w:val="15"/>
                <w:color w:val="auto"/>
              </w:rPr>
            </w:pPr>
          </w:p>
        </w:tc>
        <w:tc>
          <w:tcPr>
            <w:tcW w:w="900" w:type="dxa"/>
            <w:vAlign w:val="bottom"/>
          </w:tcPr>
          <w:p>
            <w:pPr>
              <w:jc w:val="right"/>
              <w:ind w:right="51"/>
              <w:spacing w:after="0"/>
              <w:rPr>
                <w:sz w:val="20"/>
                <w:szCs w:val="20"/>
                <w:color w:val="auto"/>
              </w:rPr>
            </w:pPr>
            <w:r>
              <w:rPr>
                <w:rFonts w:ascii="Times New Roman" w:cs="Times New Roman" w:eastAsia="Times New Roman" w:hAnsi="Times New Roman"/>
                <w:sz w:val="13"/>
                <w:szCs w:val="13"/>
                <w:b w:val="1"/>
                <w:bCs w:val="1"/>
                <w:color w:val="231F20"/>
              </w:rPr>
              <w:t>COLUMN C</w:t>
            </w: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3"/>
                <w:szCs w:val="13"/>
                <w:b w:val="1"/>
                <w:bCs w:val="1"/>
                <w:color w:val="231F20"/>
              </w:rPr>
              <w:t>COLUMN D</w:t>
            </w:r>
          </w:p>
        </w:tc>
        <w:tc>
          <w:tcPr>
            <w:tcW w:w="80" w:type="dxa"/>
            <w:vAlign w:val="bottom"/>
          </w:tcPr>
          <w:p>
            <w:pPr>
              <w:spacing w:after="0"/>
              <w:rPr>
                <w:sz w:val="15"/>
                <w:szCs w:val="15"/>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3"/>
                <w:szCs w:val="13"/>
                <w:b w:val="1"/>
                <w:bCs w:val="1"/>
                <w:color w:val="231F20"/>
              </w:rPr>
              <w:t>COLUMN E</w:t>
            </w: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jc w:val="right"/>
              <w:ind w:right="47"/>
              <w:spacing w:after="0"/>
              <w:rPr>
                <w:sz w:val="20"/>
                <w:szCs w:val="20"/>
                <w:color w:val="auto"/>
              </w:rPr>
            </w:pPr>
            <w:r>
              <w:rPr>
                <w:rFonts w:ascii="Times New Roman" w:cs="Times New Roman" w:eastAsia="Times New Roman" w:hAnsi="Times New Roman"/>
                <w:sz w:val="13"/>
                <w:szCs w:val="13"/>
                <w:b w:val="1"/>
                <w:bCs w:val="1"/>
                <w:color w:val="231F20"/>
              </w:rPr>
              <w:t>COLUMN F</w:t>
            </w:r>
          </w:p>
        </w:tc>
        <w:tc>
          <w:tcPr>
            <w:tcW w:w="8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231F20"/>
              </w:rPr>
              <w:t>COLUMN G</w:t>
            </w:r>
          </w:p>
        </w:tc>
        <w:tc>
          <w:tcPr>
            <w:tcW w:w="8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231F20"/>
              </w:rPr>
              <w:t>COLUMN H</w:t>
            </w:r>
          </w:p>
        </w:tc>
        <w:tc>
          <w:tcPr>
            <w:tcW w:w="8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231F20"/>
              </w:rPr>
              <w:t>COLUMN I</w:t>
            </w:r>
          </w:p>
        </w:tc>
        <w:tc>
          <w:tcPr>
            <w:tcW w:w="0" w:type="dxa"/>
            <w:vAlign w:val="bottom"/>
          </w:tcPr>
          <w:p>
            <w:pPr>
              <w:spacing w:after="0"/>
              <w:rPr>
                <w:sz w:val="1"/>
                <w:szCs w:val="1"/>
                <w:color w:val="auto"/>
              </w:rPr>
            </w:pPr>
          </w:p>
        </w:tc>
      </w:tr>
      <w:tr>
        <w:trPr>
          <w:trHeight w:val="32"/>
        </w:trPr>
        <w:tc>
          <w:tcPr>
            <w:tcW w:w="244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90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98"/>
        </w:trPr>
        <w:tc>
          <w:tcPr>
            <w:tcW w:w="2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0" w:type="dxa"/>
            <w:vAlign w:val="bottom"/>
            <w:gridSpan w:val="4"/>
            <w:vMerge w:val="restart"/>
          </w:tcPr>
          <w:p>
            <w:pPr>
              <w:ind w:left="340"/>
              <w:spacing w:after="0"/>
              <w:rPr>
                <w:sz w:val="20"/>
                <w:szCs w:val="20"/>
                <w:color w:val="auto"/>
              </w:rPr>
            </w:pPr>
            <w:r>
              <w:rPr>
                <w:rFonts w:ascii="Times New Roman" w:cs="Times New Roman" w:eastAsia="Times New Roman" w:hAnsi="Times New Roman"/>
                <w:sz w:val="13"/>
                <w:szCs w:val="13"/>
                <w:b w:val="1"/>
                <w:bCs w:val="1"/>
                <w:color w:val="231F20"/>
              </w:rPr>
              <w:t>Initial cost to company</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231F20"/>
              </w:rPr>
              <w:t>Cost</w:t>
            </w:r>
          </w:p>
        </w:tc>
        <w:tc>
          <w:tcPr>
            <w:tcW w:w="80" w:type="dxa"/>
            <w:vAlign w:val="bottom"/>
          </w:tcPr>
          <w:p>
            <w:pPr>
              <w:spacing w:after="0"/>
              <w:rPr>
                <w:sz w:val="24"/>
                <w:szCs w:val="24"/>
                <w:color w:val="auto"/>
              </w:rPr>
            </w:pPr>
          </w:p>
        </w:tc>
        <w:tc>
          <w:tcPr>
            <w:tcW w:w="2900" w:type="dxa"/>
            <w:vAlign w:val="bottom"/>
            <w:gridSpan w:val="6"/>
          </w:tcPr>
          <w:p>
            <w:pPr>
              <w:jc w:val="center"/>
              <w:ind w:right="20"/>
              <w:spacing w:after="0"/>
              <w:rPr>
                <w:sz w:val="20"/>
                <w:szCs w:val="20"/>
                <w:color w:val="auto"/>
              </w:rPr>
            </w:pPr>
            <w:r>
              <w:rPr>
                <w:rFonts w:ascii="Times New Roman" w:cs="Times New Roman" w:eastAsia="Times New Roman" w:hAnsi="Times New Roman"/>
                <w:sz w:val="13"/>
                <w:szCs w:val="13"/>
                <w:b w:val="1"/>
                <w:bCs w:val="1"/>
                <w:color w:val="231F20"/>
              </w:rPr>
              <w:t>Gross amount at which carried at</w:t>
            </w: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231F20"/>
              </w:rPr>
              <w:t>Life on which</w:t>
            </w:r>
          </w:p>
        </w:tc>
        <w:tc>
          <w:tcPr>
            <w:tcW w:w="0" w:type="dxa"/>
            <w:vAlign w:val="bottom"/>
          </w:tcPr>
          <w:p>
            <w:pPr>
              <w:spacing w:after="0"/>
              <w:rPr>
                <w:sz w:val="1"/>
                <w:szCs w:val="1"/>
                <w:color w:val="auto"/>
              </w:rPr>
            </w:pPr>
          </w:p>
        </w:tc>
      </w:tr>
      <w:tr>
        <w:trPr>
          <w:trHeight w:val="133"/>
        </w:trPr>
        <w:tc>
          <w:tcPr>
            <w:tcW w:w="2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0" w:type="dxa"/>
            <w:vAlign w:val="bottom"/>
            <w:gridSpan w:val="4"/>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jc w:val="center"/>
              <w:spacing w:after="0" w:line="133" w:lineRule="exact"/>
              <w:rPr>
                <w:sz w:val="20"/>
                <w:szCs w:val="20"/>
                <w:color w:val="auto"/>
              </w:rPr>
            </w:pPr>
            <w:r>
              <w:rPr>
                <w:rFonts w:ascii="Times New Roman" w:cs="Times New Roman" w:eastAsia="Times New Roman" w:hAnsi="Times New Roman"/>
                <w:sz w:val="13"/>
                <w:szCs w:val="13"/>
                <w:b w:val="1"/>
                <w:bCs w:val="1"/>
                <w:color w:val="231F20"/>
              </w:rPr>
              <w:t>close of period</w:t>
            </w: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jc w:val="center"/>
              <w:spacing w:after="0" w:line="133" w:lineRule="exact"/>
              <w:rPr>
                <w:sz w:val="20"/>
                <w:szCs w:val="20"/>
                <w:color w:val="auto"/>
              </w:rPr>
            </w:pPr>
            <w:r>
              <w:rPr>
                <w:rFonts w:ascii="Times New Roman" w:cs="Times New Roman" w:eastAsia="Times New Roman" w:hAnsi="Times New Roman"/>
                <w:sz w:val="13"/>
                <w:szCs w:val="13"/>
                <w:b w:val="1"/>
                <w:bCs w:val="1"/>
                <w:color w:val="231F20"/>
              </w:rPr>
              <w:t>depreciation</w:t>
            </w:r>
          </w:p>
        </w:tc>
        <w:tc>
          <w:tcPr>
            <w:tcW w:w="0" w:type="dxa"/>
            <w:vAlign w:val="bottom"/>
          </w:tcPr>
          <w:p>
            <w:pPr>
              <w:spacing w:after="0"/>
              <w:rPr>
                <w:sz w:val="1"/>
                <w:szCs w:val="1"/>
                <w:color w:val="auto"/>
              </w:rPr>
            </w:pPr>
          </w:p>
        </w:tc>
      </w:tr>
      <w:tr>
        <w:trPr>
          <w:trHeight w:val="48"/>
        </w:trPr>
        <w:tc>
          <w:tcPr>
            <w:tcW w:w="2440" w:type="dxa"/>
            <w:vAlign w:val="bottom"/>
          </w:tcPr>
          <w:p>
            <w:pPr>
              <w:spacing w:after="0"/>
              <w:rPr>
                <w:sz w:val="4"/>
                <w:szCs w:val="4"/>
                <w:color w:val="auto"/>
              </w:rPr>
            </w:pPr>
          </w:p>
        </w:tc>
        <w:tc>
          <w:tcPr>
            <w:tcW w:w="8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 w:type="dxa"/>
            <w:vAlign w:val="bottom"/>
          </w:tcPr>
          <w:p>
            <w:pPr>
              <w:spacing w:after="0"/>
              <w:rPr>
                <w:sz w:val="4"/>
                <w:szCs w:val="4"/>
                <w:color w:val="auto"/>
              </w:rPr>
            </w:pPr>
          </w:p>
        </w:tc>
        <w:tc>
          <w:tcPr>
            <w:tcW w:w="900" w:type="dxa"/>
            <w:vAlign w:val="bottom"/>
            <w:tcBorders>
              <w:bottom w:val="single" w:sz="8" w:color="231F20"/>
            </w:tcBorders>
          </w:tcPr>
          <w:p>
            <w:pPr>
              <w:spacing w:after="0"/>
              <w:rPr>
                <w:sz w:val="4"/>
                <w:szCs w:val="4"/>
                <w:color w:val="auto"/>
              </w:rPr>
            </w:pPr>
          </w:p>
        </w:tc>
        <w:tc>
          <w:tcPr>
            <w:tcW w:w="80" w:type="dxa"/>
            <w:vAlign w:val="bottom"/>
            <w:tcBorders>
              <w:bottom w:val="single" w:sz="8" w:color="231F20"/>
            </w:tcBorders>
          </w:tcPr>
          <w:p>
            <w:pPr>
              <w:spacing w:after="0"/>
              <w:rPr>
                <w:sz w:val="4"/>
                <w:szCs w:val="4"/>
                <w:color w:val="auto"/>
              </w:rPr>
            </w:pPr>
          </w:p>
        </w:tc>
        <w:tc>
          <w:tcPr>
            <w:tcW w:w="940" w:type="dxa"/>
            <w:vAlign w:val="bottom"/>
            <w:tcBorders>
              <w:bottom w:val="single" w:sz="8" w:color="231F20"/>
            </w:tcBorders>
          </w:tcPr>
          <w:p>
            <w:pPr>
              <w:spacing w:after="0"/>
              <w:rPr>
                <w:sz w:val="4"/>
                <w:szCs w:val="4"/>
                <w:color w:val="auto"/>
              </w:rPr>
            </w:pPr>
          </w:p>
        </w:tc>
        <w:tc>
          <w:tcPr>
            <w:tcW w:w="80" w:type="dxa"/>
            <w:vAlign w:val="bottom"/>
          </w:tcPr>
          <w:p>
            <w:pPr>
              <w:spacing w:after="0"/>
              <w:rPr>
                <w:sz w:val="4"/>
                <w:szCs w:val="4"/>
                <w:color w:val="auto"/>
              </w:rPr>
            </w:pPr>
          </w:p>
        </w:tc>
        <w:tc>
          <w:tcPr>
            <w:tcW w:w="860" w:type="dxa"/>
            <w:vAlign w:val="bottom"/>
            <w:vMerge w:val="restart"/>
          </w:tcPr>
          <w:p>
            <w:pPr>
              <w:jc w:val="center"/>
              <w:spacing w:after="0" w:line="100" w:lineRule="exact"/>
              <w:rPr>
                <w:sz w:val="20"/>
                <w:szCs w:val="20"/>
                <w:color w:val="auto"/>
              </w:rPr>
            </w:pPr>
            <w:r>
              <w:rPr>
                <w:rFonts w:ascii="Times New Roman" w:cs="Times New Roman" w:eastAsia="Times New Roman" w:hAnsi="Times New Roman"/>
                <w:sz w:val="11"/>
                <w:szCs w:val="11"/>
                <w:b w:val="1"/>
                <w:bCs w:val="1"/>
                <w:color w:val="231F20"/>
              </w:rPr>
              <w:t>Capitalized</w:t>
            </w:r>
          </w:p>
        </w:tc>
        <w:tc>
          <w:tcPr>
            <w:tcW w:w="80" w:type="dxa"/>
            <w:vAlign w:val="bottom"/>
          </w:tcPr>
          <w:p>
            <w:pPr>
              <w:spacing w:after="0"/>
              <w:rPr>
                <w:sz w:val="4"/>
                <w:szCs w:val="4"/>
                <w:color w:val="auto"/>
              </w:rPr>
            </w:pPr>
          </w:p>
        </w:tc>
        <w:tc>
          <w:tcPr>
            <w:tcW w:w="860" w:type="dxa"/>
            <w:vAlign w:val="bottom"/>
            <w:tcBorders>
              <w:bottom w:val="single" w:sz="8" w:color="231F20"/>
            </w:tcBorders>
          </w:tcPr>
          <w:p>
            <w:pPr>
              <w:spacing w:after="0"/>
              <w:rPr>
                <w:sz w:val="4"/>
                <w:szCs w:val="4"/>
                <w:color w:val="auto"/>
              </w:rPr>
            </w:pPr>
          </w:p>
        </w:tc>
        <w:tc>
          <w:tcPr>
            <w:tcW w:w="80" w:type="dxa"/>
            <w:vAlign w:val="bottom"/>
            <w:tcBorders>
              <w:bottom w:val="single" w:sz="8" w:color="231F20"/>
            </w:tcBorders>
          </w:tcPr>
          <w:p>
            <w:pPr>
              <w:spacing w:after="0"/>
              <w:rPr>
                <w:sz w:val="4"/>
                <w:szCs w:val="4"/>
                <w:color w:val="auto"/>
              </w:rPr>
            </w:pPr>
          </w:p>
        </w:tc>
        <w:tc>
          <w:tcPr>
            <w:tcW w:w="960" w:type="dxa"/>
            <w:vAlign w:val="bottom"/>
            <w:tcBorders>
              <w:bottom w:val="single" w:sz="8" w:color="231F20"/>
            </w:tcBorders>
          </w:tcPr>
          <w:p>
            <w:pPr>
              <w:spacing w:after="0"/>
              <w:rPr>
                <w:sz w:val="4"/>
                <w:szCs w:val="4"/>
                <w:color w:val="auto"/>
              </w:rPr>
            </w:pPr>
          </w:p>
        </w:tc>
        <w:tc>
          <w:tcPr>
            <w:tcW w:w="60" w:type="dxa"/>
            <w:vAlign w:val="bottom"/>
            <w:tcBorders>
              <w:bottom w:val="single" w:sz="8" w:color="231F20"/>
            </w:tcBorders>
          </w:tcPr>
          <w:p>
            <w:pPr>
              <w:spacing w:after="0"/>
              <w:rPr>
                <w:sz w:val="4"/>
                <w:szCs w:val="4"/>
                <w:color w:val="auto"/>
              </w:rPr>
            </w:pPr>
          </w:p>
        </w:tc>
        <w:tc>
          <w:tcPr>
            <w:tcW w:w="880" w:type="dxa"/>
            <w:vAlign w:val="bottom"/>
            <w:tcBorders>
              <w:bottom w:val="single" w:sz="8" w:color="231F20"/>
            </w:tcBorders>
          </w:tcPr>
          <w:p>
            <w:pPr>
              <w:spacing w:after="0"/>
              <w:rPr>
                <w:sz w:val="4"/>
                <w:szCs w:val="4"/>
                <w:color w:val="auto"/>
              </w:rPr>
            </w:pPr>
          </w:p>
        </w:tc>
        <w:tc>
          <w:tcPr>
            <w:tcW w:w="60" w:type="dxa"/>
            <w:vAlign w:val="bottom"/>
          </w:tcPr>
          <w:p>
            <w:pPr>
              <w:spacing w:after="0"/>
              <w:rPr>
                <w:sz w:val="4"/>
                <w:szCs w:val="4"/>
                <w:color w:val="auto"/>
              </w:rPr>
            </w:pPr>
          </w:p>
        </w:tc>
        <w:tc>
          <w:tcPr>
            <w:tcW w:w="900" w:type="dxa"/>
            <w:vAlign w:val="bottom"/>
            <w:vMerge w:val="restart"/>
          </w:tcPr>
          <w:p>
            <w:pPr>
              <w:jc w:val="center"/>
              <w:spacing w:after="0" w:line="100" w:lineRule="exact"/>
              <w:rPr>
                <w:sz w:val="20"/>
                <w:szCs w:val="20"/>
                <w:color w:val="auto"/>
              </w:rPr>
            </w:pPr>
            <w:r>
              <w:rPr>
                <w:rFonts w:ascii="Times New Roman" w:cs="Times New Roman" w:eastAsia="Times New Roman" w:hAnsi="Times New Roman"/>
                <w:sz w:val="11"/>
                <w:szCs w:val="11"/>
                <w:b w:val="1"/>
                <w:bCs w:val="1"/>
                <w:color w:val="231F20"/>
              </w:rPr>
              <w:t>Accumulated</w:t>
            </w:r>
          </w:p>
        </w:tc>
        <w:tc>
          <w:tcPr>
            <w:tcW w:w="80" w:type="dxa"/>
            <w:vAlign w:val="bottom"/>
          </w:tcPr>
          <w:p>
            <w:pPr>
              <w:spacing w:after="0"/>
              <w:rPr>
                <w:sz w:val="4"/>
                <w:szCs w:val="4"/>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231F20"/>
                <w:w w:val="99"/>
              </w:rPr>
              <w:t>Date</w:t>
            </w:r>
          </w:p>
        </w:tc>
        <w:tc>
          <w:tcPr>
            <w:tcW w:w="80" w:type="dxa"/>
            <w:vAlign w:val="bottom"/>
          </w:tcPr>
          <w:p>
            <w:pPr>
              <w:spacing w:after="0"/>
              <w:rPr>
                <w:sz w:val="4"/>
                <w:szCs w:val="4"/>
                <w:color w:val="auto"/>
              </w:rPr>
            </w:pPr>
          </w:p>
        </w:tc>
        <w:tc>
          <w:tcPr>
            <w:tcW w:w="860" w:type="dxa"/>
            <w:vAlign w:val="bottom"/>
          </w:tcPr>
          <w:p>
            <w:pPr>
              <w:spacing w:after="0"/>
              <w:rPr>
                <w:sz w:val="4"/>
                <w:szCs w:val="4"/>
                <w:color w:val="auto"/>
              </w:rPr>
            </w:pPr>
          </w:p>
        </w:tc>
        <w:tc>
          <w:tcPr>
            <w:tcW w:w="80" w:type="dxa"/>
            <w:vAlign w:val="bottom"/>
          </w:tcPr>
          <w:p>
            <w:pPr>
              <w:spacing w:after="0"/>
              <w:rPr>
                <w:sz w:val="4"/>
                <w:szCs w:val="4"/>
                <w:color w:val="auto"/>
              </w:rPr>
            </w:pPr>
          </w:p>
        </w:tc>
        <w:tc>
          <w:tcPr>
            <w:tcW w:w="920" w:type="dxa"/>
            <w:vAlign w:val="bottom"/>
            <w:vMerge w:val="restart"/>
          </w:tcPr>
          <w:p>
            <w:pPr>
              <w:jc w:val="center"/>
              <w:spacing w:after="0" w:line="100" w:lineRule="exact"/>
              <w:rPr>
                <w:sz w:val="20"/>
                <w:szCs w:val="20"/>
                <w:color w:val="auto"/>
              </w:rPr>
            </w:pPr>
            <w:r>
              <w:rPr>
                <w:rFonts w:ascii="Times New Roman" w:cs="Times New Roman" w:eastAsia="Times New Roman" w:hAnsi="Times New Roman"/>
                <w:sz w:val="11"/>
                <w:szCs w:val="11"/>
                <w:b w:val="1"/>
                <w:bCs w:val="1"/>
                <w:color w:val="231F20"/>
              </w:rPr>
              <w:t>in latest</w:t>
            </w:r>
          </w:p>
        </w:tc>
        <w:tc>
          <w:tcPr>
            <w:tcW w:w="0" w:type="dxa"/>
            <w:vAlign w:val="bottom"/>
          </w:tcPr>
          <w:p>
            <w:pPr>
              <w:spacing w:after="0"/>
              <w:rPr>
                <w:sz w:val="1"/>
                <w:szCs w:val="1"/>
                <w:color w:val="auto"/>
              </w:rPr>
            </w:pPr>
          </w:p>
        </w:tc>
      </w:tr>
      <w:tr>
        <w:trPr>
          <w:trHeight w:val="32"/>
        </w:trPr>
        <w:tc>
          <w:tcPr>
            <w:tcW w:w="244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90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3"/>
        </w:trPr>
        <w:tc>
          <w:tcPr>
            <w:tcW w:w="2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3"/>
                <w:szCs w:val="13"/>
                <w:b w:val="1"/>
                <w:bCs w:val="1"/>
                <w:color w:val="231F20"/>
              </w:rPr>
              <w:t>Building and</w:t>
            </w:r>
          </w:p>
        </w:tc>
        <w:tc>
          <w:tcPr>
            <w:tcW w:w="860" w:type="dxa"/>
            <w:vAlign w:val="bottom"/>
          </w:tcPr>
          <w:p>
            <w:pPr>
              <w:jc w:val="center"/>
              <w:spacing w:after="0" w:line="133" w:lineRule="exact"/>
              <w:rPr>
                <w:sz w:val="20"/>
                <w:szCs w:val="20"/>
                <w:color w:val="auto"/>
              </w:rPr>
            </w:pPr>
            <w:r>
              <w:rPr>
                <w:rFonts w:ascii="Times New Roman" w:cs="Times New Roman" w:eastAsia="Times New Roman" w:hAnsi="Times New Roman"/>
                <w:sz w:val="13"/>
                <w:szCs w:val="13"/>
                <w:b w:val="1"/>
                <w:bCs w:val="1"/>
                <w:color w:val="231F20"/>
              </w:rPr>
              <w:t>Subsequent</w:t>
            </w: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231F20"/>
              </w:rPr>
              <w:t>Building and</w:t>
            </w: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jc w:val="center"/>
              <w:spacing w:after="0" w:line="133" w:lineRule="exact"/>
              <w:rPr>
                <w:sz w:val="20"/>
                <w:szCs w:val="20"/>
                <w:color w:val="auto"/>
              </w:rPr>
            </w:pPr>
            <w:r>
              <w:rPr>
                <w:rFonts w:ascii="Times New Roman" w:cs="Times New Roman" w:eastAsia="Times New Roman" w:hAnsi="Times New Roman"/>
                <w:sz w:val="13"/>
                <w:szCs w:val="13"/>
                <w:b w:val="1"/>
                <w:bCs w:val="1"/>
                <w:color w:val="231F20"/>
              </w:rPr>
              <w:t>Depreciation</w:t>
            </w:r>
          </w:p>
        </w:tc>
        <w:tc>
          <w:tcPr>
            <w:tcW w:w="8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231F20"/>
                <w:w w:val="99"/>
              </w:rPr>
              <w:t>Date</w:t>
            </w:r>
          </w:p>
        </w:tc>
        <w:tc>
          <w:tcPr>
            <w:tcW w:w="80" w:type="dxa"/>
            <w:vAlign w:val="bottom"/>
          </w:tcPr>
          <w:p>
            <w:pPr>
              <w:spacing w:after="0"/>
              <w:rPr>
                <w:sz w:val="11"/>
                <w:szCs w:val="11"/>
                <w:color w:val="auto"/>
              </w:rPr>
            </w:pPr>
          </w:p>
        </w:tc>
        <w:tc>
          <w:tcPr>
            <w:tcW w:w="920" w:type="dxa"/>
            <w:vAlign w:val="bottom"/>
          </w:tcPr>
          <w:p>
            <w:pPr>
              <w:jc w:val="center"/>
              <w:spacing w:after="0" w:line="133" w:lineRule="exact"/>
              <w:rPr>
                <w:sz w:val="20"/>
                <w:szCs w:val="20"/>
                <w:color w:val="auto"/>
              </w:rPr>
            </w:pPr>
            <w:r>
              <w:rPr>
                <w:rFonts w:ascii="Times New Roman" w:cs="Times New Roman" w:eastAsia="Times New Roman" w:hAnsi="Times New Roman"/>
                <w:sz w:val="13"/>
                <w:szCs w:val="13"/>
                <w:b w:val="1"/>
                <w:bCs w:val="1"/>
                <w:color w:val="231F20"/>
              </w:rPr>
              <w:t>income</w:t>
            </w:r>
          </w:p>
        </w:tc>
        <w:tc>
          <w:tcPr>
            <w:tcW w:w="0" w:type="dxa"/>
            <w:vAlign w:val="bottom"/>
          </w:tcPr>
          <w:p>
            <w:pPr>
              <w:spacing w:after="0"/>
              <w:rPr>
                <w:sz w:val="1"/>
                <w:szCs w:val="1"/>
                <w:color w:val="auto"/>
              </w:rPr>
            </w:pPr>
          </w:p>
        </w:tc>
      </w:tr>
      <w:tr>
        <w:trPr>
          <w:trHeight w:val="133"/>
        </w:trPr>
        <w:tc>
          <w:tcPr>
            <w:tcW w:w="2440" w:type="dxa"/>
            <w:vAlign w:val="bottom"/>
            <w:vMerge w:val="restart"/>
          </w:tcPr>
          <w:p>
            <w:pPr>
              <w:ind w:left="60"/>
              <w:spacing w:after="0"/>
              <w:rPr>
                <w:sz w:val="20"/>
                <w:szCs w:val="20"/>
                <w:color w:val="auto"/>
              </w:rPr>
            </w:pPr>
            <w:r>
              <w:rPr>
                <w:rFonts w:ascii="Times New Roman" w:cs="Times New Roman" w:eastAsia="Times New Roman" w:hAnsi="Times New Roman"/>
                <w:sz w:val="13"/>
                <w:szCs w:val="13"/>
                <w:b w:val="1"/>
                <w:bCs w:val="1"/>
                <w:color w:val="231F20"/>
              </w:rPr>
              <w:t>Descriptions</w:t>
            </w:r>
          </w:p>
        </w:tc>
        <w:tc>
          <w:tcPr>
            <w:tcW w:w="80" w:type="dxa"/>
            <w:vAlign w:val="bottom"/>
          </w:tcPr>
          <w:p>
            <w:pPr>
              <w:spacing w:after="0"/>
              <w:rPr>
                <w:sz w:val="11"/>
                <w:szCs w:val="11"/>
                <w:color w:val="auto"/>
              </w:rPr>
            </w:pPr>
          </w:p>
        </w:tc>
        <w:tc>
          <w:tcPr>
            <w:tcW w:w="900" w:type="dxa"/>
            <w:vAlign w:val="bottom"/>
            <w:vMerge w:val="restart"/>
          </w:tcPr>
          <w:p>
            <w:pPr>
              <w:ind w:left="40"/>
              <w:spacing w:after="0"/>
              <w:rPr>
                <w:sz w:val="20"/>
                <w:szCs w:val="20"/>
                <w:color w:val="auto"/>
              </w:rPr>
            </w:pPr>
            <w:r>
              <w:rPr>
                <w:rFonts w:ascii="Times New Roman" w:cs="Times New Roman" w:eastAsia="Times New Roman" w:hAnsi="Times New Roman"/>
                <w:sz w:val="13"/>
                <w:szCs w:val="13"/>
                <w:b w:val="1"/>
                <w:bCs w:val="1"/>
                <w:color w:val="231F20"/>
              </w:rPr>
              <w:t>Encumbrance</w:t>
            </w:r>
          </w:p>
        </w:tc>
        <w:tc>
          <w:tcPr>
            <w:tcW w:w="80" w:type="dxa"/>
            <w:vAlign w:val="bottom"/>
          </w:tcPr>
          <w:p>
            <w:pPr>
              <w:spacing w:after="0"/>
              <w:rPr>
                <w:sz w:val="11"/>
                <w:szCs w:val="11"/>
                <w:color w:val="auto"/>
              </w:rPr>
            </w:pPr>
          </w:p>
        </w:tc>
        <w:tc>
          <w:tcPr>
            <w:tcW w:w="900" w:type="dxa"/>
            <w:vAlign w:val="bottom"/>
            <w:vMerge w:val="restart"/>
          </w:tcPr>
          <w:p>
            <w:pPr>
              <w:jc w:val="right"/>
              <w:ind w:right="211"/>
              <w:spacing w:after="0"/>
              <w:rPr>
                <w:sz w:val="20"/>
                <w:szCs w:val="20"/>
                <w:color w:val="auto"/>
              </w:rPr>
            </w:pPr>
            <w:r>
              <w:rPr>
                <w:rFonts w:ascii="Times New Roman" w:cs="Times New Roman" w:eastAsia="Times New Roman" w:hAnsi="Times New Roman"/>
                <w:sz w:val="13"/>
                <w:szCs w:val="13"/>
                <w:b w:val="1"/>
                <w:bCs w:val="1"/>
                <w:color w:val="231F20"/>
              </w:rPr>
              <w:t>Land</w:t>
            </w:r>
          </w:p>
        </w:tc>
        <w:tc>
          <w:tcPr>
            <w:tcW w:w="8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860" w:type="dxa"/>
            <w:vAlign w:val="bottom"/>
          </w:tcPr>
          <w:p>
            <w:pPr>
              <w:jc w:val="center"/>
              <w:spacing w:after="0" w:line="133" w:lineRule="exact"/>
              <w:rPr>
                <w:sz w:val="20"/>
                <w:szCs w:val="20"/>
                <w:color w:val="auto"/>
              </w:rPr>
            </w:pPr>
            <w:r>
              <w:rPr>
                <w:rFonts w:ascii="Times New Roman" w:cs="Times New Roman" w:eastAsia="Times New Roman" w:hAnsi="Times New Roman"/>
                <w:sz w:val="13"/>
                <w:szCs w:val="13"/>
                <w:b w:val="1"/>
                <w:bCs w:val="1"/>
                <w:color w:val="231F20"/>
                <w:w w:val="91"/>
              </w:rPr>
              <w:t>to</w:t>
            </w:r>
          </w:p>
        </w:tc>
        <w:tc>
          <w:tcPr>
            <w:tcW w:w="80" w:type="dxa"/>
            <w:vAlign w:val="bottom"/>
          </w:tcPr>
          <w:p>
            <w:pPr>
              <w:spacing w:after="0"/>
              <w:rPr>
                <w:sz w:val="11"/>
                <w:szCs w:val="11"/>
                <w:color w:val="auto"/>
              </w:rPr>
            </w:pPr>
          </w:p>
        </w:tc>
        <w:tc>
          <w:tcPr>
            <w:tcW w:w="860" w:type="dxa"/>
            <w:vAlign w:val="bottom"/>
            <w:vMerge w:val="restart"/>
          </w:tcPr>
          <w:p>
            <w:pPr>
              <w:jc w:val="right"/>
              <w:ind w:right="191"/>
              <w:spacing w:after="0"/>
              <w:rPr>
                <w:sz w:val="20"/>
                <w:szCs w:val="20"/>
                <w:color w:val="auto"/>
              </w:rPr>
            </w:pPr>
            <w:r>
              <w:rPr>
                <w:rFonts w:ascii="Times New Roman" w:cs="Times New Roman" w:eastAsia="Times New Roman" w:hAnsi="Times New Roman"/>
                <w:sz w:val="13"/>
                <w:szCs w:val="13"/>
                <w:b w:val="1"/>
                <w:bCs w:val="1"/>
                <w:color w:val="231F20"/>
              </w:rPr>
              <w:t>Land</w:t>
            </w:r>
          </w:p>
        </w:tc>
        <w:tc>
          <w:tcPr>
            <w:tcW w:w="8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gridSpan w:val="2"/>
            <w:vMerge w:val="restart"/>
          </w:tcPr>
          <w:p>
            <w:pPr>
              <w:ind w:left="300"/>
              <w:spacing w:after="0"/>
              <w:rPr>
                <w:sz w:val="20"/>
                <w:szCs w:val="20"/>
                <w:color w:val="auto"/>
              </w:rPr>
            </w:pPr>
            <w:r>
              <w:rPr>
                <w:rFonts w:ascii="Times New Roman" w:cs="Times New Roman" w:eastAsia="Times New Roman" w:hAnsi="Times New Roman"/>
                <w:sz w:val="13"/>
                <w:szCs w:val="13"/>
                <w:b w:val="1"/>
                <w:bCs w:val="1"/>
                <w:color w:val="231F20"/>
              </w:rPr>
              <w:t>Total</w:t>
            </w:r>
          </w:p>
        </w:tc>
        <w:tc>
          <w:tcPr>
            <w:tcW w:w="900" w:type="dxa"/>
            <w:vAlign w:val="bottom"/>
          </w:tcPr>
          <w:p>
            <w:pPr>
              <w:jc w:val="center"/>
              <w:spacing w:after="0" w:line="133" w:lineRule="exact"/>
              <w:rPr>
                <w:sz w:val="20"/>
                <w:szCs w:val="20"/>
                <w:color w:val="auto"/>
              </w:rPr>
            </w:pPr>
            <w:r>
              <w:rPr>
                <w:rFonts w:ascii="Times New Roman" w:cs="Times New Roman" w:eastAsia="Times New Roman" w:hAnsi="Times New Roman"/>
                <w:sz w:val="13"/>
                <w:szCs w:val="13"/>
                <w:b w:val="1"/>
                <w:bCs w:val="1"/>
                <w:color w:val="231F20"/>
              </w:rPr>
              <w:t>and</w:t>
            </w:r>
          </w:p>
        </w:tc>
        <w:tc>
          <w:tcPr>
            <w:tcW w:w="80" w:type="dxa"/>
            <w:vAlign w:val="bottom"/>
          </w:tcPr>
          <w:p>
            <w:pPr>
              <w:spacing w:after="0"/>
              <w:rPr>
                <w:sz w:val="11"/>
                <w:szCs w:val="11"/>
                <w:color w:val="auto"/>
              </w:rPr>
            </w:pPr>
          </w:p>
        </w:tc>
        <w:tc>
          <w:tcPr>
            <w:tcW w:w="860" w:type="dxa"/>
            <w:vAlign w:val="bottom"/>
          </w:tcPr>
          <w:p>
            <w:pPr>
              <w:jc w:val="center"/>
              <w:spacing w:after="0" w:line="133" w:lineRule="exact"/>
              <w:rPr>
                <w:sz w:val="20"/>
                <w:szCs w:val="20"/>
                <w:color w:val="auto"/>
              </w:rPr>
            </w:pPr>
            <w:r>
              <w:rPr>
                <w:rFonts w:ascii="Times New Roman" w:cs="Times New Roman" w:eastAsia="Times New Roman" w:hAnsi="Times New Roman"/>
                <w:sz w:val="13"/>
                <w:szCs w:val="13"/>
                <w:b w:val="1"/>
                <w:bCs w:val="1"/>
                <w:color w:val="231F20"/>
                <w:w w:val="91"/>
              </w:rPr>
              <w:t>of</w:t>
            </w:r>
          </w:p>
        </w:tc>
        <w:tc>
          <w:tcPr>
            <w:tcW w:w="8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jc w:val="center"/>
              <w:spacing w:after="0" w:line="133" w:lineRule="exact"/>
              <w:rPr>
                <w:sz w:val="20"/>
                <w:szCs w:val="20"/>
                <w:color w:val="auto"/>
              </w:rPr>
            </w:pPr>
            <w:r>
              <w:rPr>
                <w:rFonts w:ascii="Times New Roman" w:cs="Times New Roman" w:eastAsia="Times New Roman" w:hAnsi="Times New Roman"/>
                <w:sz w:val="13"/>
                <w:szCs w:val="13"/>
                <w:b w:val="1"/>
                <w:bCs w:val="1"/>
                <w:color w:val="231F20"/>
              </w:rPr>
              <w:t>statements is</w:t>
            </w:r>
          </w:p>
        </w:tc>
        <w:tc>
          <w:tcPr>
            <w:tcW w:w="0" w:type="dxa"/>
            <w:vAlign w:val="bottom"/>
          </w:tcPr>
          <w:p>
            <w:pPr>
              <w:spacing w:after="0"/>
              <w:rPr>
                <w:sz w:val="1"/>
                <w:szCs w:val="1"/>
                <w:color w:val="auto"/>
              </w:rPr>
            </w:pPr>
          </w:p>
        </w:tc>
      </w:tr>
      <w:tr>
        <w:trPr>
          <w:trHeight w:val="133"/>
        </w:trPr>
        <w:tc>
          <w:tcPr>
            <w:tcW w:w="24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2"/>
          </w:tcPr>
          <w:p>
            <w:pPr>
              <w:jc w:val="center"/>
              <w:ind w:right="40"/>
              <w:spacing w:after="0" w:line="133" w:lineRule="exact"/>
              <w:rPr>
                <w:sz w:val="20"/>
                <w:szCs w:val="20"/>
                <w:color w:val="auto"/>
              </w:rPr>
            </w:pPr>
            <w:r>
              <w:rPr>
                <w:rFonts w:ascii="Times New Roman" w:cs="Times New Roman" w:eastAsia="Times New Roman" w:hAnsi="Times New Roman"/>
                <w:sz w:val="13"/>
                <w:szCs w:val="13"/>
                <w:b w:val="1"/>
                <w:bCs w:val="1"/>
                <w:color w:val="231F20"/>
              </w:rPr>
              <w:t>Improvements</w:t>
            </w:r>
          </w:p>
        </w:tc>
        <w:tc>
          <w:tcPr>
            <w:tcW w:w="860" w:type="dxa"/>
            <w:vAlign w:val="bottom"/>
          </w:tcPr>
          <w:p>
            <w:pPr>
              <w:jc w:val="center"/>
              <w:spacing w:after="0" w:line="133" w:lineRule="exact"/>
              <w:rPr>
                <w:sz w:val="20"/>
                <w:szCs w:val="20"/>
                <w:color w:val="auto"/>
              </w:rPr>
            </w:pPr>
            <w:r>
              <w:rPr>
                <w:rFonts w:ascii="Times New Roman" w:cs="Times New Roman" w:eastAsia="Times New Roman" w:hAnsi="Times New Roman"/>
                <w:sz w:val="13"/>
                <w:szCs w:val="13"/>
                <w:b w:val="1"/>
                <w:bCs w:val="1"/>
                <w:color w:val="231F20"/>
              </w:rPr>
              <w:t>Acquisition</w:t>
            </w:r>
          </w:p>
        </w:tc>
        <w:tc>
          <w:tcPr>
            <w:tcW w:w="8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jc w:val="center"/>
              <w:spacing w:after="0" w:line="133" w:lineRule="exact"/>
              <w:rPr>
                <w:sz w:val="20"/>
                <w:szCs w:val="20"/>
                <w:color w:val="auto"/>
              </w:rPr>
            </w:pPr>
            <w:r>
              <w:rPr>
                <w:rFonts w:ascii="Times New Roman" w:cs="Times New Roman" w:eastAsia="Times New Roman" w:hAnsi="Times New Roman"/>
                <w:sz w:val="13"/>
                <w:szCs w:val="13"/>
                <w:b w:val="1"/>
                <w:bCs w:val="1"/>
                <w:color w:val="231F20"/>
              </w:rPr>
              <w:t>Improvements</w:t>
            </w:r>
          </w:p>
        </w:tc>
        <w:tc>
          <w:tcPr>
            <w:tcW w:w="6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900" w:type="dxa"/>
            <w:vAlign w:val="bottom"/>
          </w:tcPr>
          <w:p>
            <w:pPr>
              <w:jc w:val="center"/>
              <w:spacing w:after="0" w:line="133" w:lineRule="exact"/>
              <w:rPr>
                <w:sz w:val="20"/>
                <w:szCs w:val="20"/>
                <w:color w:val="auto"/>
              </w:rPr>
            </w:pPr>
            <w:r>
              <w:rPr>
                <w:rFonts w:ascii="Times New Roman" w:cs="Times New Roman" w:eastAsia="Times New Roman" w:hAnsi="Times New Roman"/>
                <w:sz w:val="13"/>
                <w:szCs w:val="13"/>
                <w:b w:val="1"/>
                <w:bCs w:val="1"/>
                <w:color w:val="231F20"/>
              </w:rPr>
              <w:t>Amortization</w:t>
            </w:r>
          </w:p>
        </w:tc>
        <w:tc>
          <w:tcPr>
            <w:tcW w:w="80" w:type="dxa"/>
            <w:vAlign w:val="bottom"/>
          </w:tcPr>
          <w:p>
            <w:pPr>
              <w:spacing w:after="0"/>
              <w:rPr>
                <w:sz w:val="11"/>
                <w:szCs w:val="11"/>
                <w:color w:val="auto"/>
              </w:rPr>
            </w:pPr>
          </w:p>
        </w:tc>
        <w:tc>
          <w:tcPr>
            <w:tcW w:w="860" w:type="dxa"/>
            <w:vAlign w:val="bottom"/>
          </w:tcPr>
          <w:p>
            <w:pPr>
              <w:jc w:val="center"/>
              <w:spacing w:after="0" w:line="133" w:lineRule="exact"/>
              <w:rPr>
                <w:sz w:val="20"/>
                <w:szCs w:val="20"/>
                <w:color w:val="auto"/>
              </w:rPr>
            </w:pPr>
            <w:r>
              <w:rPr>
                <w:rFonts w:ascii="Times New Roman" w:cs="Times New Roman" w:eastAsia="Times New Roman" w:hAnsi="Times New Roman"/>
                <w:sz w:val="13"/>
                <w:szCs w:val="13"/>
                <w:b w:val="1"/>
                <w:bCs w:val="1"/>
                <w:color w:val="231F20"/>
              </w:rPr>
              <w:t>Construction</w:t>
            </w:r>
          </w:p>
        </w:tc>
        <w:tc>
          <w:tcPr>
            <w:tcW w:w="80" w:type="dxa"/>
            <w:vAlign w:val="bottom"/>
          </w:tcPr>
          <w:p>
            <w:pPr>
              <w:spacing w:after="0"/>
              <w:rPr>
                <w:sz w:val="11"/>
                <w:szCs w:val="11"/>
                <w:color w:val="auto"/>
              </w:rPr>
            </w:pPr>
          </w:p>
        </w:tc>
        <w:tc>
          <w:tcPr>
            <w:tcW w:w="860" w:type="dxa"/>
            <w:vAlign w:val="bottom"/>
          </w:tcPr>
          <w:p>
            <w:pPr>
              <w:jc w:val="center"/>
              <w:spacing w:after="0" w:line="133" w:lineRule="exact"/>
              <w:rPr>
                <w:sz w:val="20"/>
                <w:szCs w:val="20"/>
                <w:color w:val="auto"/>
              </w:rPr>
            </w:pPr>
            <w:r>
              <w:rPr>
                <w:rFonts w:ascii="Times New Roman" w:cs="Times New Roman" w:eastAsia="Times New Roman" w:hAnsi="Times New Roman"/>
                <w:sz w:val="13"/>
                <w:szCs w:val="13"/>
                <w:b w:val="1"/>
                <w:bCs w:val="1"/>
                <w:color w:val="231F20"/>
              </w:rPr>
              <w:t>Acquired</w:t>
            </w:r>
          </w:p>
        </w:tc>
        <w:tc>
          <w:tcPr>
            <w:tcW w:w="80" w:type="dxa"/>
            <w:vAlign w:val="bottom"/>
          </w:tcPr>
          <w:p>
            <w:pPr>
              <w:spacing w:after="0"/>
              <w:rPr>
                <w:sz w:val="11"/>
                <w:szCs w:val="11"/>
                <w:color w:val="auto"/>
              </w:rPr>
            </w:pPr>
          </w:p>
        </w:tc>
        <w:tc>
          <w:tcPr>
            <w:tcW w:w="920" w:type="dxa"/>
            <w:vAlign w:val="bottom"/>
          </w:tcPr>
          <w:p>
            <w:pPr>
              <w:jc w:val="center"/>
              <w:spacing w:after="0" w:line="133" w:lineRule="exact"/>
              <w:rPr>
                <w:sz w:val="20"/>
                <w:szCs w:val="20"/>
                <w:color w:val="auto"/>
              </w:rPr>
            </w:pPr>
            <w:r>
              <w:rPr>
                <w:rFonts w:ascii="Times New Roman" w:cs="Times New Roman" w:eastAsia="Times New Roman" w:hAnsi="Times New Roman"/>
                <w:sz w:val="13"/>
                <w:szCs w:val="13"/>
                <w:b w:val="1"/>
                <w:bCs w:val="1"/>
                <w:color w:val="231F20"/>
              </w:rPr>
              <w:t>computed</w:t>
            </w:r>
          </w:p>
        </w:tc>
        <w:tc>
          <w:tcPr>
            <w:tcW w:w="0" w:type="dxa"/>
            <w:vAlign w:val="bottom"/>
          </w:tcPr>
          <w:p>
            <w:pPr>
              <w:spacing w:after="0"/>
              <w:rPr>
                <w:sz w:val="1"/>
                <w:szCs w:val="1"/>
                <w:color w:val="auto"/>
              </w:rPr>
            </w:pPr>
          </w:p>
        </w:tc>
      </w:tr>
      <w:tr>
        <w:trPr>
          <w:trHeight w:val="48"/>
        </w:trPr>
        <w:tc>
          <w:tcPr>
            <w:tcW w:w="2440" w:type="dxa"/>
            <w:vAlign w:val="bottom"/>
            <w:tcBorders>
              <w:bottom w:val="single" w:sz="8" w:color="231F20"/>
            </w:tcBorders>
          </w:tcPr>
          <w:p>
            <w:pPr>
              <w:spacing w:after="0"/>
              <w:rPr>
                <w:sz w:val="4"/>
                <w:szCs w:val="4"/>
                <w:color w:val="auto"/>
              </w:rPr>
            </w:pPr>
          </w:p>
        </w:tc>
        <w:tc>
          <w:tcPr>
            <w:tcW w:w="80" w:type="dxa"/>
            <w:vAlign w:val="bottom"/>
          </w:tcPr>
          <w:p>
            <w:pPr>
              <w:spacing w:after="0"/>
              <w:rPr>
                <w:sz w:val="4"/>
                <w:szCs w:val="4"/>
                <w:color w:val="auto"/>
              </w:rPr>
            </w:pPr>
          </w:p>
        </w:tc>
        <w:tc>
          <w:tcPr>
            <w:tcW w:w="900" w:type="dxa"/>
            <w:vAlign w:val="bottom"/>
            <w:tcBorders>
              <w:bottom w:val="single" w:sz="8" w:color="231F20"/>
            </w:tcBorders>
          </w:tcPr>
          <w:p>
            <w:pPr>
              <w:spacing w:after="0"/>
              <w:rPr>
                <w:sz w:val="4"/>
                <w:szCs w:val="4"/>
                <w:color w:val="auto"/>
              </w:rPr>
            </w:pPr>
          </w:p>
        </w:tc>
        <w:tc>
          <w:tcPr>
            <w:tcW w:w="80" w:type="dxa"/>
            <w:vAlign w:val="bottom"/>
          </w:tcPr>
          <w:p>
            <w:pPr>
              <w:spacing w:after="0"/>
              <w:rPr>
                <w:sz w:val="4"/>
                <w:szCs w:val="4"/>
                <w:color w:val="auto"/>
              </w:rPr>
            </w:pPr>
          </w:p>
        </w:tc>
        <w:tc>
          <w:tcPr>
            <w:tcW w:w="900" w:type="dxa"/>
            <w:vAlign w:val="bottom"/>
            <w:tcBorders>
              <w:bottom w:val="single" w:sz="8" w:color="231F20"/>
            </w:tcBorders>
          </w:tcPr>
          <w:p>
            <w:pPr>
              <w:spacing w:after="0"/>
              <w:rPr>
                <w:sz w:val="4"/>
                <w:szCs w:val="4"/>
                <w:color w:val="auto"/>
              </w:rPr>
            </w:pPr>
          </w:p>
        </w:tc>
        <w:tc>
          <w:tcPr>
            <w:tcW w:w="80" w:type="dxa"/>
            <w:vAlign w:val="bottom"/>
          </w:tcPr>
          <w:p>
            <w:pPr>
              <w:spacing w:after="0"/>
              <w:rPr>
                <w:sz w:val="4"/>
                <w:szCs w:val="4"/>
                <w:color w:val="auto"/>
              </w:rPr>
            </w:pPr>
          </w:p>
        </w:tc>
        <w:tc>
          <w:tcPr>
            <w:tcW w:w="940" w:type="dxa"/>
            <w:vAlign w:val="bottom"/>
            <w:tcBorders>
              <w:bottom w:val="single" w:sz="8" w:color="231F20"/>
            </w:tcBorders>
          </w:tcPr>
          <w:p>
            <w:pPr>
              <w:spacing w:after="0"/>
              <w:rPr>
                <w:sz w:val="4"/>
                <w:szCs w:val="4"/>
                <w:color w:val="auto"/>
              </w:rPr>
            </w:pPr>
          </w:p>
        </w:tc>
        <w:tc>
          <w:tcPr>
            <w:tcW w:w="80" w:type="dxa"/>
            <w:vAlign w:val="bottom"/>
          </w:tcPr>
          <w:p>
            <w:pPr>
              <w:spacing w:after="0"/>
              <w:rPr>
                <w:sz w:val="4"/>
                <w:szCs w:val="4"/>
                <w:color w:val="auto"/>
              </w:rPr>
            </w:pPr>
          </w:p>
        </w:tc>
        <w:tc>
          <w:tcPr>
            <w:tcW w:w="860" w:type="dxa"/>
            <w:vAlign w:val="bottom"/>
            <w:tcBorders>
              <w:bottom w:val="single" w:sz="8" w:color="231F20"/>
            </w:tcBorders>
          </w:tcPr>
          <w:p>
            <w:pPr>
              <w:spacing w:after="0"/>
              <w:rPr>
                <w:sz w:val="4"/>
                <w:szCs w:val="4"/>
                <w:color w:val="auto"/>
              </w:rPr>
            </w:pPr>
          </w:p>
        </w:tc>
        <w:tc>
          <w:tcPr>
            <w:tcW w:w="80" w:type="dxa"/>
            <w:vAlign w:val="bottom"/>
          </w:tcPr>
          <w:p>
            <w:pPr>
              <w:spacing w:after="0"/>
              <w:rPr>
                <w:sz w:val="4"/>
                <w:szCs w:val="4"/>
                <w:color w:val="auto"/>
              </w:rPr>
            </w:pPr>
          </w:p>
        </w:tc>
        <w:tc>
          <w:tcPr>
            <w:tcW w:w="860" w:type="dxa"/>
            <w:vAlign w:val="bottom"/>
            <w:tcBorders>
              <w:bottom w:val="single" w:sz="8" w:color="231F20"/>
            </w:tcBorders>
          </w:tcPr>
          <w:p>
            <w:pPr>
              <w:spacing w:after="0"/>
              <w:rPr>
                <w:sz w:val="4"/>
                <w:szCs w:val="4"/>
                <w:color w:val="auto"/>
              </w:rPr>
            </w:pPr>
          </w:p>
        </w:tc>
        <w:tc>
          <w:tcPr>
            <w:tcW w:w="80" w:type="dxa"/>
            <w:vAlign w:val="bottom"/>
          </w:tcPr>
          <w:p>
            <w:pPr>
              <w:spacing w:after="0"/>
              <w:rPr>
                <w:sz w:val="4"/>
                <w:szCs w:val="4"/>
                <w:color w:val="auto"/>
              </w:rPr>
            </w:pPr>
          </w:p>
        </w:tc>
        <w:tc>
          <w:tcPr>
            <w:tcW w:w="960" w:type="dxa"/>
            <w:vAlign w:val="bottom"/>
            <w:tcBorders>
              <w:bottom w:val="single" w:sz="8" w:color="231F20"/>
            </w:tcBorders>
          </w:tcPr>
          <w:p>
            <w:pPr>
              <w:spacing w:after="0"/>
              <w:rPr>
                <w:sz w:val="4"/>
                <w:szCs w:val="4"/>
                <w:color w:val="auto"/>
              </w:rPr>
            </w:pPr>
          </w:p>
        </w:tc>
        <w:tc>
          <w:tcPr>
            <w:tcW w:w="60" w:type="dxa"/>
            <w:vAlign w:val="bottom"/>
          </w:tcPr>
          <w:p>
            <w:pPr>
              <w:spacing w:after="0"/>
              <w:rPr>
                <w:sz w:val="4"/>
                <w:szCs w:val="4"/>
                <w:color w:val="auto"/>
              </w:rPr>
            </w:pPr>
          </w:p>
        </w:tc>
        <w:tc>
          <w:tcPr>
            <w:tcW w:w="880" w:type="dxa"/>
            <w:vAlign w:val="bottom"/>
            <w:tcBorders>
              <w:bottom w:val="single" w:sz="8" w:color="231F20"/>
            </w:tcBorders>
          </w:tcPr>
          <w:p>
            <w:pPr>
              <w:spacing w:after="0"/>
              <w:rPr>
                <w:sz w:val="4"/>
                <w:szCs w:val="4"/>
                <w:color w:val="auto"/>
              </w:rPr>
            </w:pPr>
          </w:p>
        </w:tc>
        <w:tc>
          <w:tcPr>
            <w:tcW w:w="60" w:type="dxa"/>
            <w:vAlign w:val="bottom"/>
          </w:tcPr>
          <w:p>
            <w:pPr>
              <w:spacing w:after="0"/>
              <w:rPr>
                <w:sz w:val="4"/>
                <w:szCs w:val="4"/>
                <w:color w:val="auto"/>
              </w:rPr>
            </w:pPr>
          </w:p>
        </w:tc>
        <w:tc>
          <w:tcPr>
            <w:tcW w:w="900" w:type="dxa"/>
            <w:vAlign w:val="bottom"/>
            <w:tcBorders>
              <w:bottom w:val="single" w:sz="8" w:color="231F20"/>
            </w:tcBorders>
          </w:tcPr>
          <w:p>
            <w:pPr>
              <w:spacing w:after="0"/>
              <w:rPr>
                <w:sz w:val="4"/>
                <w:szCs w:val="4"/>
                <w:color w:val="auto"/>
              </w:rPr>
            </w:pPr>
          </w:p>
        </w:tc>
        <w:tc>
          <w:tcPr>
            <w:tcW w:w="80" w:type="dxa"/>
            <w:vAlign w:val="bottom"/>
          </w:tcPr>
          <w:p>
            <w:pPr>
              <w:spacing w:after="0"/>
              <w:rPr>
                <w:sz w:val="4"/>
                <w:szCs w:val="4"/>
                <w:color w:val="auto"/>
              </w:rPr>
            </w:pPr>
          </w:p>
        </w:tc>
        <w:tc>
          <w:tcPr>
            <w:tcW w:w="860" w:type="dxa"/>
            <w:vAlign w:val="bottom"/>
            <w:tcBorders>
              <w:bottom w:val="single" w:sz="8" w:color="231F20"/>
            </w:tcBorders>
          </w:tcPr>
          <w:p>
            <w:pPr>
              <w:spacing w:after="0"/>
              <w:rPr>
                <w:sz w:val="4"/>
                <w:szCs w:val="4"/>
                <w:color w:val="auto"/>
              </w:rPr>
            </w:pPr>
          </w:p>
        </w:tc>
        <w:tc>
          <w:tcPr>
            <w:tcW w:w="80" w:type="dxa"/>
            <w:vAlign w:val="bottom"/>
            <w:vMerge w:val="restart"/>
          </w:tcPr>
          <w:p>
            <w:pPr>
              <w:spacing w:after="0"/>
              <w:rPr>
                <w:sz w:val="4"/>
                <w:szCs w:val="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231F20"/>
              </w:rPr>
              <w:t>12/30/11,</w:t>
            </w:r>
          </w:p>
        </w:tc>
        <w:tc>
          <w:tcPr>
            <w:tcW w:w="80" w:type="dxa"/>
            <w:vAlign w:val="bottom"/>
          </w:tcPr>
          <w:p>
            <w:pPr>
              <w:spacing w:after="0"/>
              <w:rPr>
                <w:sz w:val="4"/>
                <w:szCs w:val="4"/>
                <w:color w:val="auto"/>
              </w:rPr>
            </w:pPr>
          </w:p>
        </w:tc>
        <w:tc>
          <w:tcPr>
            <w:tcW w:w="920" w:type="dxa"/>
            <w:vAlign w:val="bottom"/>
            <w:tcBorders>
              <w:bottom w:val="single" w:sz="8" w:color="231F20"/>
            </w:tcBorders>
          </w:tcPr>
          <w:p>
            <w:pPr>
              <w:spacing w:after="0"/>
              <w:rPr>
                <w:sz w:val="4"/>
                <w:szCs w:val="4"/>
                <w:color w:val="auto"/>
              </w:rPr>
            </w:pPr>
          </w:p>
        </w:tc>
        <w:tc>
          <w:tcPr>
            <w:tcW w:w="0" w:type="dxa"/>
            <w:vAlign w:val="bottom"/>
          </w:tcPr>
          <w:p>
            <w:pPr>
              <w:spacing w:after="0"/>
              <w:rPr>
                <w:sz w:val="1"/>
                <w:szCs w:val="1"/>
                <w:color w:val="auto"/>
              </w:rPr>
            </w:pPr>
          </w:p>
        </w:tc>
      </w:tr>
      <w:tr>
        <w:trPr>
          <w:trHeight w:val="114"/>
        </w:trPr>
        <w:tc>
          <w:tcPr>
            <w:tcW w:w="244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2"/>
        </w:trPr>
        <w:tc>
          <w:tcPr>
            <w:tcW w:w="244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231F20"/>
              </w:rPr>
              <w:t>PLAZA EL SEGUNDO/THE POINT</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2006/2007/</w:t>
            </w:r>
          </w:p>
        </w:tc>
        <w:tc>
          <w:tcPr>
            <w:tcW w:w="940" w:type="dxa"/>
            <w:vAlign w:val="bottom"/>
            <w:gridSpan w:val="2"/>
          </w:tcPr>
          <w:p>
            <w:pPr>
              <w:jc w:val="right"/>
              <w:spacing w:after="0" w:line="152" w:lineRule="exact"/>
              <w:rPr>
                <w:sz w:val="20"/>
                <w:szCs w:val="20"/>
                <w:color w:val="auto"/>
              </w:rPr>
            </w:pPr>
            <w:r>
              <w:rPr>
                <w:rFonts w:ascii="Times New Roman" w:cs="Times New Roman" w:eastAsia="Times New Roman" w:hAnsi="Times New Roman"/>
                <w:sz w:val="15"/>
                <w:szCs w:val="15"/>
                <w:color w:val="231F20"/>
              </w:rPr>
              <w:t>6/14/13,</w:t>
            </w: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440" w:type="dxa"/>
            <w:vAlign w:val="bottom"/>
            <w:vMerge w:val="continue"/>
          </w:tcPr>
          <w:p>
            <w:pPr>
              <w:spacing w:after="0"/>
              <w:rPr>
                <w:sz w:val="13"/>
                <w:szCs w:val="13"/>
                <w:color w:val="auto"/>
              </w:rPr>
            </w:pP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124,891</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62,127</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153,556</w:t>
            </w:r>
          </w:p>
        </w:tc>
        <w:tc>
          <w:tcPr>
            <w:tcW w:w="8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231F20"/>
              </w:rPr>
              <w:t>95,586</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64,463</w:t>
            </w: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246,806</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311,269</w:t>
            </w:r>
          </w:p>
        </w:tc>
        <w:tc>
          <w:tcPr>
            <w:tcW w:w="6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231F20"/>
              </w:rPr>
              <w:t>100,720</w:t>
            </w:r>
          </w:p>
        </w:tc>
        <w:tc>
          <w:tcPr>
            <w:tcW w:w="940" w:type="dxa"/>
            <w:vAlign w:val="bottom"/>
            <w:gridSpan w:val="2"/>
            <w:vMerge w:val="continue"/>
          </w:tcPr>
          <w:p>
            <w:pPr>
              <w:spacing w:after="0"/>
              <w:rPr>
                <w:sz w:val="13"/>
                <w:szCs w:val="13"/>
                <w:color w:val="auto"/>
              </w:rPr>
            </w:pPr>
          </w:p>
        </w:tc>
        <w:tc>
          <w:tcPr>
            <w:tcW w:w="940" w:type="dxa"/>
            <w:vAlign w:val="bottom"/>
            <w:gridSpan w:val="2"/>
          </w:tcPr>
          <w:p>
            <w:pPr>
              <w:jc w:val="right"/>
              <w:spacing w:after="0" w:line="152" w:lineRule="exact"/>
              <w:rPr>
                <w:sz w:val="20"/>
                <w:szCs w:val="20"/>
                <w:color w:val="auto"/>
              </w:rPr>
            </w:pPr>
            <w:r>
              <w:rPr>
                <w:rFonts w:ascii="Times New Roman" w:cs="Times New Roman" w:eastAsia="Times New Roman" w:hAnsi="Times New Roman"/>
                <w:sz w:val="15"/>
                <w:szCs w:val="15"/>
                <w:color w:val="231F20"/>
              </w:rPr>
              <w:t>7/26/13, &amp;</w:t>
            </w:r>
          </w:p>
        </w:tc>
        <w:tc>
          <w:tcPr>
            <w:tcW w:w="10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5"/>
                <w:szCs w:val="15"/>
                <w:color w:val="231F20"/>
              </w:rPr>
              <w:t>(1)</w:t>
            </w:r>
          </w:p>
        </w:tc>
        <w:tc>
          <w:tcPr>
            <w:tcW w:w="0" w:type="dxa"/>
            <w:vAlign w:val="bottom"/>
          </w:tcPr>
          <w:p>
            <w:pPr>
              <w:spacing w:after="0"/>
              <w:rPr>
                <w:sz w:val="1"/>
                <w:szCs w:val="1"/>
                <w:color w:val="auto"/>
              </w:rPr>
            </w:pPr>
          </w:p>
        </w:tc>
      </w:tr>
      <w:tr>
        <w:trPr>
          <w:trHeight w:val="198"/>
        </w:trPr>
        <w:tc>
          <w:tcPr>
            <w:tcW w:w="2440" w:type="dxa"/>
            <w:vAlign w:val="bottom"/>
          </w:tcPr>
          <w:p>
            <w:pPr>
              <w:ind w:left="60"/>
              <w:spacing w:after="0"/>
              <w:rPr>
                <w:sz w:val="20"/>
                <w:szCs w:val="20"/>
                <w:color w:val="auto"/>
              </w:rPr>
            </w:pPr>
            <w:r>
              <w:rPr>
                <w:rFonts w:ascii="Times New Roman" w:cs="Times New Roman" w:eastAsia="Times New Roman" w:hAnsi="Times New Roman"/>
                <w:sz w:val="15"/>
                <w:szCs w:val="15"/>
                <w:color w:val="231F20"/>
              </w:rPr>
              <w:t>(California)</w:t>
            </w:r>
          </w:p>
        </w:tc>
        <w:tc>
          <w:tcPr>
            <w:tcW w:w="980" w:type="dxa"/>
            <w:vAlign w:val="bottom"/>
            <w:gridSpan w:val="2"/>
            <w:vMerge w:val="continue"/>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2016</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12/27/13</w:t>
            </w:r>
          </w:p>
        </w:tc>
        <w:tc>
          <w:tcPr>
            <w:tcW w:w="10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440" w:type="dxa"/>
            <w:vAlign w:val="bottom"/>
          </w:tcPr>
          <w:p>
            <w:pPr>
              <w:ind w:left="60"/>
              <w:spacing w:after="0"/>
              <w:rPr>
                <w:sz w:val="20"/>
                <w:szCs w:val="20"/>
                <w:color w:val="auto"/>
              </w:rPr>
            </w:pPr>
            <w:r>
              <w:rPr>
                <w:rFonts w:ascii="Times New Roman" w:cs="Times New Roman" w:eastAsia="Times New Roman" w:hAnsi="Times New Roman"/>
                <w:sz w:val="15"/>
                <w:szCs w:val="15"/>
                <w:color w:val="231F20"/>
              </w:rPr>
              <w:t>PROVIDENCE PLACE (formerly</w:t>
            </w: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8,694</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12,929</w:t>
            </w:r>
          </w:p>
        </w:tc>
        <w:tc>
          <w:tcPr>
            <w:tcW w:w="80" w:type="dxa"/>
            <w:vAlign w:val="bottom"/>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231F20"/>
              </w:rPr>
              <w:t>16,232</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8,695</w:t>
            </w: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29,160</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37,855</w:t>
            </w:r>
          </w:p>
        </w:tc>
        <w:tc>
          <w:tcPr>
            <w:tcW w:w="6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231F20"/>
              </w:rPr>
              <w:t>19,947</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1979</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2/5/1993</w:t>
            </w:r>
          </w:p>
        </w:tc>
        <w:tc>
          <w:tcPr>
            <w:tcW w:w="10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5"/>
                <w:szCs w:val="15"/>
                <w:color w:val="231F20"/>
              </w:rPr>
              <w:t>(1)</w:t>
            </w:r>
          </w:p>
        </w:tc>
        <w:tc>
          <w:tcPr>
            <w:tcW w:w="0" w:type="dxa"/>
            <w:vAlign w:val="bottom"/>
          </w:tcPr>
          <w:p>
            <w:pPr>
              <w:spacing w:after="0"/>
              <w:rPr>
                <w:sz w:val="1"/>
                <w:szCs w:val="1"/>
                <w:color w:val="auto"/>
              </w:rPr>
            </w:pPr>
          </w:p>
        </w:tc>
      </w:tr>
      <w:tr>
        <w:trPr>
          <w:trHeight w:val="198"/>
        </w:trPr>
        <w:tc>
          <w:tcPr>
            <w:tcW w:w="2440" w:type="dxa"/>
            <w:vAlign w:val="bottom"/>
          </w:tcPr>
          <w:p>
            <w:pPr>
              <w:ind w:left="60"/>
              <w:spacing w:after="0"/>
              <w:rPr>
                <w:sz w:val="20"/>
                <w:szCs w:val="20"/>
                <w:color w:val="auto"/>
              </w:rPr>
            </w:pPr>
            <w:r>
              <w:rPr>
                <w:rFonts w:ascii="Times New Roman" w:cs="Times New Roman" w:eastAsia="Times New Roman" w:hAnsi="Times New Roman"/>
                <w:sz w:val="15"/>
                <w:szCs w:val="15"/>
                <w:color w:val="231F20"/>
              </w:rPr>
              <w:t>Pan Am) (Virginia)</w:t>
            </w: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440" w:type="dxa"/>
            <w:vAlign w:val="bottom"/>
          </w:tcPr>
          <w:p>
            <w:pPr>
              <w:ind w:left="60"/>
              <w:spacing w:after="0"/>
              <w:rPr>
                <w:sz w:val="20"/>
                <w:szCs w:val="20"/>
                <w:color w:val="auto"/>
              </w:rPr>
            </w:pPr>
            <w:r>
              <w:rPr>
                <w:rFonts w:ascii="Times New Roman" w:cs="Times New Roman" w:eastAsia="Times New Roman" w:hAnsi="Times New Roman"/>
                <w:sz w:val="15"/>
                <w:szCs w:val="15"/>
                <w:color w:val="231F20"/>
              </w:rPr>
              <w:t>QUEEN ANNE PLAZA</w:t>
            </w: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3,319</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8,457</w:t>
            </w:r>
          </w:p>
        </w:tc>
        <w:tc>
          <w:tcPr>
            <w:tcW w:w="80" w:type="dxa"/>
            <w:vAlign w:val="bottom"/>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231F20"/>
              </w:rPr>
              <w:t>8,127</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3,319</w:t>
            </w: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16,584</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19,903</w:t>
            </w:r>
          </w:p>
        </w:tc>
        <w:tc>
          <w:tcPr>
            <w:tcW w:w="6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231F20"/>
              </w:rPr>
              <w:t>13,353</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1967</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12/23/1994</w:t>
            </w:r>
          </w:p>
        </w:tc>
        <w:tc>
          <w:tcPr>
            <w:tcW w:w="10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5"/>
                <w:szCs w:val="15"/>
                <w:color w:val="231F20"/>
              </w:rPr>
              <w:t>(1)</w:t>
            </w:r>
          </w:p>
        </w:tc>
        <w:tc>
          <w:tcPr>
            <w:tcW w:w="0" w:type="dxa"/>
            <w:vAlign w:val="bottom"/>
          </w:tcPr>
          <w:p>
            <w:pPr>
              <w:spacing w:after="0"/>
              <w:rPr>
                <w:sz w:val="1"/>
                <w:szCs w:val="1"/>
                <w:color w:val="auto"/>
              </w:rPr>
            </w:pPr>
          </w:p>
        </w:tc>
      </w:tr>
      <w:tr>
        <w:trPr>
          <w:trHeight w:val="198"/>
        </w:trPr>
        <w:tc>
          <w:tcPr>
            <w:tcW w:w="2440" w:type="dxa"/>
            <w:vAlign w:val="bottom"/>
          </w:tcPr>
          <w:p>
            <w:pPr>
              <w:ind w:left="60"/>
              <w:spacing w:after="0"/>
              <w:rPr>
                <w:sz w:val="20"/>
                <w:szCs w:val="20"/>
                <w:color w:val="auto"/>
              </w:rPr>
            </w:pPr>
            <w:r>
              <w:rPr>
                <w:rFonts w:ascii="Times New Roman" w:cs="Times New Roman" w:eastAsia="Times New Roman" w:hAnsi="Times New Roman"/>
                <w:sz w:val="15"/>
                <w:szCs w:val="15"/>
                <w:color w:val="231F20"/>
              </w:rPr>
              <w:t>(Massachusetts)</w:t>
            </w: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440" w:type="dxa"/>
            <w:vAlign w:val="bottom"/>
          </w:tcPr>
          <w:p>
            <w:pPr>
              <w:ind w:left="60"/>
              <w:spacing w:after="0"/>
              <w:rPr>
                <w:sz w:val="20"/>
                <w:szCs w:val="20"/>
                <w:color w:val="auto"/>
              </w:rPr>
            </w:pPr>
            <w:r>
              <w:rPr>
                <w:rFonts w:ascii="Times New Roman" w:cs="Times New Roman" w:eastAsia="Times New Roman" w:hAnsi="Times New Roman"/>
                <w:sz w:val="15"/>
                <w:szCs w:val="15"/>
                <w:color w:val="231F20"/>
              </w:rPr>
              <w:t>QUINCE ORCHARD (Maryland)</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3,197</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7,949</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30,656</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2,992</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38,810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41,802</w:t>
            </w:r>
          </w:p>
        </w:tc>
        <w:tc>
          <w:tcPr>
            <w:tcW w:w="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30,992</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1975</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4/22/1993</w:t>
            </w: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231F20"/>
              </w:rPr>
              <w:t>(1)</w:t>
            </w:r>
          </w:p>
        </w:tc>
        <w:tc>
          <w:tcPr>
            <w:tcW w:w="0" w:type="dxa"/>
            <w:vAlign w:val="bottom"/>
          </w:tcPr>
          <w:p>
            <w:pPr>
              <w:spacing w:after="0"/>
              <w:rPr>
                <w:sz w:val="1"/>
                <w:szCs w:val="1"/>
                <w:color w:val="auto"/>
              </w:rPr>
            </w:pPr>
          </w:p>
        </w:tc>
      </w:tr>
      <w:tr>
        <w:trPr>
          <w:trHeight w:val="242"/>
        </w:trPr>
        <w:tc>
          <w:tcPr>
            <w:tcW w:w="2440" w:type="dxa"/>
            <w:vAlign w:val="bottom"/>
          </w:tcPr>
          <w:p>
            <w:pPr>
              <w:ind w:left="60"/>
              <w:spacing w:after="0"/>
              <w:rPr>
                <w:sz w:val="20"/>
                <w:szCs w:val="20"/>
                <w:color w:val="auto"/>
              </w:rPr>
            </w:pPr>
            <w:r>
              <w:rPr>
                <w:rFonts w:ascii="Times New Roman" w:cs="Times New Roman" w:eastAsia="Times New Roman" w:hAnsi="Times New Roman"/>
                <w:sz w:val="15"/>
                <w:szCs w:val="15"/>
                <w:color w:val="231F20"/>
              </w:rPr>
              <w:t>RIVERPOINT CENTER (Illinois)</w:t>
            </w: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15,422</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104,572</w:t>
            </w:r>
          </w:p>
        </w:tc>
        <w:tc>
          <w:tcPr>
            <w:tcW w:w="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3,086</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15,422</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107,658</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123,080</w:t>
            </w:r>
          </w:p>
        </w:tc>
        <w:tc>
          <w:tcPr>
            <w:tcW w:w="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29,406</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1989, 2012</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3/31/2017</w:t>
            </w: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231F20"/>
              </w:rPr>
              <w:t>(1)</w:t>
            </w:r>
          </w:p>
        </w:tc>
        <w:tc>
          <w:tcPr>
            <w:tcW w:w="0" w:type="dxa"/>
            <w:vAlign w:val="bottom"/>
          </w:tcPr>
          <w:p>
            <w:pPr>
              <w:spacing w:after="0"/>
              <w:rPr>
                <w:sz w:val="1"/>
                <w:szCs w:val="1"/>
                <w:color w:val="auto"/>
              </w:rPr>
            </w:pPr>
          </w:p>
        </w:tc>
      </w:tr>
      <w:tr>
        <w:trPr>
          <w:trHeight w:val="198"/>
        </w:trPr>
        <w:tc>
          <w:tcPr>
            <w:tcW w:w="2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1958,</w:t>
            </w: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244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231F20"/>
              </w:rPr>
              <w:t>SAN ANTONIO CENTER</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40" w:type="dxa"/>
            <w:vAlign w:val="bottom"/>
            <w:gridSpan w:val="2"/>
          </w:tcPr>
          <w:p>
            <w:pPr>
              <w:jc w:val="right"/>
              <w:spacing w:after="0" w:line="152" w:lineRule="exact"/>
              <w:rPr>
                <w:sz w:val="20"/>
                <w:szCs w:val="20"/>
                <w:color w:val="auto"/>
              </w:rPr>
            </w:pPr>
            <w:r>
              <w:rPr>
                <w:rFonts w:ascii="Times New Roman" w:cs="Times New Roman" w:eastAsia="Times New Roman" w:hAnsi="Times New Roman"/>
                <w:sz w:val="15"/>
                <w:szCs w:val="15"/>
                <w:color w:val="231F20"/>
              </w:rPr>
              <w:t>1964-1965,</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1/9/2015,</w:t>
            </w: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4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26,400</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18,462</w:t>
            </w:r>
          </w:p>
        </w:tc>
        <w:tc>
          <w:tcPr>
            <w:tcW w:w="8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231F20"/>
              </w:rPr>
              <w:t>7,556</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26,400</w:t>
            </w: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26,018</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52,418</w:t>
            </w:r>
          </w:p>
        </w:tc>
        <w:tc>
          <w:tcPr>
            <w:tcW w:w="6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231F20"/>
              </w:rPr>
              <w:t>9,608</w:t>
            </w:r>
          </w:p>
        </w:tc>
        <w:tc>
          <w:tcPr>
            <w:tcW w:w="940" w:type="dxa"/>
            <w:vAlign w:val="bottom"/>
            <w:gridSpan w:val="2"/>
          </w:tcPr>
          <w:p>
            <w:pPr>
              <w:jc w:val="right"/>
              <w:spacing w:after="0" w:line="152" w:lineRule="exact"/>
              <w:rPr>
                <w:sz w:val="20"/>
                <w:szCs w:val="20"/>
                <w:color w:val="auto"/>
              </w:rPr>
            </w:pPr>
            <w:r>
              <w:rPr>
                <w:rFonts w:ascii="Times New Roman" w:cs="Times New Roman" w:eastAsia="Times New Roman" w:hAnsi="Times New Roman"/>
                <w:sz w:val="15"/>
                <w:szCs w:val="15"/>
                <w:color w:val="231F20"/>
              </w:rPr>
              <w:t>1974-1975,</w:t>
            </w:r>
          </w:p>
        </w:tc>
        <w:tc>
          <w:tcPr>
            <w:tcW w:w="940" w:type="dxa"/>
            <w:vAlign w:val="bottom"/>
            <w:gridSpan w:val="2"/>
            <w:vMerge w:val="continue"/>
          </w:tcPr>
          <w:p>
            <w:pPr>
              <w:spacing w:after="0"/>
              <w:rPr>
                <w:sz w:val="13"/>
                <w:szCs w:val="13"/>
                <w:color w:val="auto"/>
              </w:rPr>
            </w:pPr>
          </w:p>
        </w:tc>
        <w:tc>
          <w:tcPr>
            <w:tcW w:w="10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5"/>
                <w:szCs w:val="15"/>
                <w:color w:val="231F20"/>
              </w:rPr>
              <w:t>(1)</w:t>
            </w:r>
          </w:p>
        </w:tc>
        <w:tc>
          <w:tcPr>
            <w:tcW w:w="0" w:type="dxa"/>
            <w:vAlign w:val="bottom"/>
          </w:tcPr>
          <w:p>
            <w:pPr>
              <w:spacing w:after="0"/>
              <w:rPr>
                <w:sz w:val="1"/>
                <w:szCs w:val="1"/>
                <w:color w:val="auto"/>
              </w:rPr>
            </w:pPr>
          </w:p>
        </w:tc>
      </w:tr>
      <w:tr>
        <w:trPr>
          <w:trHeight w:val="198"/>
        </w:trPr>
        <w:tc>
          <w:tcPr>
            <w:tcW w:w="2440" w:type="dxa"/>
            <w:vAlign w:val="bottom"/>
          </w:tcPr>
          <w:p>
            <w:pPr>
              <w:ind w:left="60"/>
              <w:spacing w:after="0"/>
              <w:rPr>
                <w:sz w:val="20"/>
                <w:szCs w:val="20"/>
                <w:color w:val="auto"/>
              </w:rPr>
            </w:pPr>
            <w:r>
              <w:rPr>
                <w:rFonts w:ascii="Times New Roman" w:cs="Times New Roman" w:eastAsia="Times New Roman" w:hAnsi="Times New Roman"/>
                <w:sz w:val="15"/>
                <w:szCs w:val="15"/>
                <w:color w:val="231F20"/>
              </w:rPr>
              <w:t>(California)</w:t>
            </w: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1995-1997</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9/13/19</w:t>
            </w:r>
          </w:p>
        </w:tc>
        <w:tc>
          <w:tcPr>
            <w:tcW w:w="10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2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3/5/97,</w:t>
            </w: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1999-2006,</w:t>
            </w:r>
          </w:p>
        </w:tc>
        <w:tc>
          <w:tcPr>
            <w:tcW w:w="940" w:type="dxa"/>
            <w:vAlign w:val="bottom"/>
            <w:gridSpan w:val="2"/>
          </w:tcPr>
          <w:p>
            <w:pPr>
              <w:jc w:val="right"/>
              <w:spacing w:after="0" w:line="152" w:lineRule="exact"/>
              <w:rPr>
                <w:sz w:val="20"/>
                <w:szCs w:val="20"/>
                <w:color w:val="auto"/>
              </w:rPr>
            </w:pPr>
            <w:r>
              <w:rPr>
                <w:rFonts w:ascii="Times New Roman" w:cs="Times New Roman" w:eastAsia="Times New Roman" w:hAnsi="Times New Roman"/>
                <w:sz w:val="15"/>
                <w:szCs w:val="15"/>
                <w:color w:val="231F20"/>
              </w:rPr>
              <w:t>7/13/12,</w:t>
            </w: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940" w:type="dxa"/>
            <w:vAlign w:val="bottom"/>
            <w:gridSpan w:val="2"/>
          </w:tcPr>
          <w:p>
            <w:pPr>
              <w:jc w:val="right"/>
              <w:spacing w:after="0" w:line="152" w:lineRule="exact"/>
              <w:rPr>
                <w:sz w:val="20"/>
                <w:szCs w:val="20"/>
                <w:color w:val="auto"/>
              </w:rPr>
            </w:pPr>
            <w:r>
              <w:rPr>
                <w:rFonts w:ascii="Times New Roman" w:cs="Times New Roman" w:eastAsia="Times New Roman" w:hAnsi="Times New Roman"/>
                <w:sz w:val="15"/>
                <w:szCs w:val="15"/>
                <w:color w:val="231F20"/>
              </w:rPr>
              <w:t>9/6/12,</w:t>
            </w: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44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231F20"/>
              </w:rPr>
              <w:t>SANTANA ROW (California)</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65,930</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7,502</w:t>
            </w:r>
          </w:p>
        </w:tc>
        <w:tc>
          <w:tcPr>
            <w:tcW w:w="8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231F20"/>
              </w:rPr>
              <w:t>1,315,096</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56,840</w:t>
            </w: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1,331,688</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1,388,528</w:t>
            </w:r>
          </w:p>
        </w:tc>
        <w:tc>
          <w:tcPr>
            <w:tcW w:w="6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231F20"/>
              </w:rPr>
              <w:t>364,278</w:t>
            </w:r>
          </w:p>
        </w:tc>
        <w:tc>
          <w:tcPr>
            <w:tcW w:w="940" w:type="dxa"/>
            <w:vAlign w:val="bottom"/>
            <w:gridSpan w:val="2"/>
          </w:tcPr>
          <w:p>
            <w:pPr>
              <w:jc w:val="right"/>
              <w:spacing w:after="0" w:line="152" w:lineRule="exact"/>
              <w:rPr>
                <w:sz w:val="20"/>
                <w:szCs w:val="20"/>
                <w:color w:val="auto"/>
              </w:rPr>
            </w:pPr>
            <w:r>
              <w:rPr>
                <w:rFonts w:ascii="Times New Roman" w:cs="Times New Roman" w:eastAsia="Times New Roman" w:hAnsi="Times New Roman"/>
                <w:sz w:val="15"/>
                <w:szCs w:val="15"/>
                <w:color w:val="231F20"/>
              </w:rPr>
              <w:t>2009, 2014,</w:t>
            </w:r>
          </w:p>
        </w:tc>
        <w:tc>
          <w:tcPr>
            <w:tcW w:w="940" w:type="dxa"/>
            <w:vAlign w:val="bottom"/>
            <w:gridSpan w:val="2"/>
          </w:tcPr>
          <w:p>
            <w:pPr>
              <w:jc w:val="right"/>
              <w:spacing w:after="0" w:line="152" w:lineRule="exact"/>
              <w:rPr>
                <w:sz w:val="20"/>
                <w:szCs w:val="20"/>
                <w:color w:val="auto"/>
              </w:rPr>
            </w:pPr>
            <w:r>
              <w:rPr>
                <w:rFonts w:ascii="Times New Roman" w:cs="Times New Roman" w:eastAsia="Times New Roman" w:hAnsi="Times New Roman"/>
                <w:sz w:val="15"/>
                <w:szCs w:val="15"/>
                <w:color w:val="231F20"/>
              </w:rPr>
              <w:t>4/30/13 &amp;</w:t>
            </w:r>
          </w:p>
        </w:tc>
        <w:tc>
          <w:tcPr>
            <w:tcW w:w="10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5"/>
                <w:szCs w:val="15"/>
                <w:color w:val="231F20"/>
              </w:rPr>
              <w:t>(1)</w:t>
            </w:r>
          </w:p>
        </w:tc>
        <w:tc>
          <w:tcPr>
            <w:tcW w:w="0" w:type="dxa"/>
            <w:vAlign w:val="bottom"/>
          </w:tcPr>
          <w:p>
            <w:pPr>
              <w:spacing w:after="0"/>
              <w:rPr>
                <w:sz w:val="1"/>
                <w:szCs w:val="1"/>
                <w:color w:val="auto"/>
              </w:rPr>
            </w:pPr>
          </w:p>
        </w:tc>
      </w:tr>
      <w:tr>
        <w:trPr>
          <w:trHeight w:val="198"/>
        </w:trPr>
        <w:tc>
          <w:tcPr>
            <w:tcW w:w="24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2016-2025</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9/23/13</w:t>
            </w:r>
          </w:p>
        </w:tc>
        <w:tc>
          <w:tcPr>
            <w:tcW w:w="10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440" w:type="dxa"/>
            <w:vAlign w:val="bottom"/>
          </w:tcPr>
          <w:p>
            <w:pPr>
              <w:ind w:left="60"/>
              <w:spacing w:after="0"/>
              <w:rPr>
                <w:sz w:val="20"/>
                <w:szCs w:val="20"/>
                <w:color w:val="auto"/>
              </w:rPr>
            </w:pPr>
            <w:r>
              <w:rPr>
                <w:rFonts w:ascii="Times New Roman" w:cs="Times New Roman" w:eastAsia="Times New Roman" w:hAnsi="Times New Roman"/>
                <w:sz w:val="15"/>
                <w:szCs w:val="15"/>
                <w:color w:val="231F20"/>
              </w:rPr>
              <w:t>SHOPS AT PEMBROKE GARDENS</w:t>
            </w: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39,506</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141,356</w:t>
            </w:r>
          </w:p>
        </w:tc>
        <w:tc>
          <w:tcPr>
            <w:tcW w:w="80" w:type="dxa"/>
            <w:vAlign w:val="bottom"/>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231F20"/>
              </w:rPr>
              <w:t>9,884</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39,506</w:t>
            </w: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151,240</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190,746</w:t>
            </w:r>
          </w:p>
        </w:tc>
        <w:tc>
          <w:tcPr>
            <w:tcW w:w="6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231F20"/>
              </w:rPr>
              <w:t>18,812</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2007</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7/27/2022</w:t>
            </w:r>
          </w:p>
        </w:tc>
        <w:tc>
          <w:tcPr>
            <w:tcW w:w="10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5"/>
                <w:szCs w:val="15"/>
                <w:color w:val="231F20"/>
              </w:rPr>
              <w:t>(1)</w:t>
            </w:r>
          </w:p>
        </w:tc>
        <w:tc>
          <w:tcPr>
            <w:tcW w:w="0" w:type="dxa"/>
            <w:vAlign w:val="bottom"/>
          </w:tcPr>
          <w:p>
            <w:pPr>
              <w:spacing w:after="0"/>
              <w:rPr>
                <w:sz w:val="1"/>
                <w:szCs w:val="1"/>
                <w:color w:val="auto"/>
              </w:rPr>
            </w:pPr>
          </w:p>
        </w:tc>
      </w:tr>
      <w:tr>
        <w:trPr>
          <w:trHeight w:val="198"/>
        </w:trPr>
        <w:tc>
          <w:tcPr>
            <w:tcW w:w="2440" w:type="dxa"/>
            <w:vAlign w:val="bottom"/>
          </w:tcPr>
          <w:p>
            <w:pPr>
              <w:ind w:left="60"/>
              <w:spacing w:after="0"/>
              <w:rPr>
                <w:sz w:val="20"/>
                <w:szCs w:val="20"/>
                <w:color w:val="auto"/>
              </w:rPr>
            </w:pPr>
            <w:r>
              <w:rPr>
                <w:rFonts w:ascii="Times New Roman" w:cs="Times New Roman" w:eastAsia="Times New Roman" w:hAnsi="Times New Roman"/>
                <w:sz w:val="15"/>
                <w:szCs w:val="15"/>
                <w:color w:val="231F20"/>
              </w:rPr>
              <w:t>(Florida)</w:t>
            </w: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440" w:type="dxa"/>
            <w:vAlign w:val="bottom"/>
          </w:tcPr>
          <w:p>
            <w:pPr>
              <w:ind w:left="60"/>
              <w:spacing w:after="0"/>
              <w:rPr>
                <w:sz w:val="20"/>
                <w:szCs w:val="20"/>
                <w:color w:val="auto"/>
              </w:rPr>
            </w:pPr>
            <w:r>
              <w:rPr>
                <w:rFonts w:ascii="Times New Roman" w:cs="Times New Roman" w:eastAsia="Times New Roman" w:hAnsi="Times New Roman"/>
                <w:sz w:val="15"/>
                <w:szCs w:val="15"/>
                <w:color w:val="231F20"/>
              </w:rPr>
              <w:t>SYLMAR TOWNE CENTER</w:t>
            </w:r>
          </w:p>
        </w:tc>
        <w:tc>
          <w:tcPr>
            <w:tcW w:w="8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18,522</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24,637</w:t>
            </w:r>
          </w:p>
        </w:tc>
        <w:tc>
          <w:tcPr>
            <w:tcW w:w="80" w:type="dxa"/>
            <w:vAlign w:val="bottom"/>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231F20"/>
              </w:rPr>
              <w:t>5,827</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18,522</w:t>
            </w: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30,464</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48,986</w:t>
            </w:r>
          </w:p>
        </w:tc>
        <w:tc>
          <w:tcPr>
            <w:tcW w:w="6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231F20"/>
              </w:rPr>
              <w:t>7,371</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1973</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8/2/2017</w:t>
            </w:r>
          </w:p>
        </w:tc>
        <w:tc>
          <w:tcPr>
            <w:tcW w:w="10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5"/>
                <w:szCs w:val="15"/>
                <w:color w:val="231F20"/>
              </w:rPr>
              <w:t>(1)</w:t>
            </w:r>
          </w:p>
        </w:tc>
        <w:tc>
          <w:tcPr>
            <w:tcW w:w="0" w:type="dxa"/>
            <w:vAlign w:val="bottom"/>
          </w:tcPr>
          <w:p>
            <w:pPr>
              <w:spacing w:after="0"/>
              <w:rPr>
                <w:sz w:val="1"/>
                <w:szCs w:val="1"/>
                <w:color w:val="auto"/>
              </w:rPr>
            </w:pPr>
          </w:p>
        </w:tc>
      </w:tr>
      <w:tr>
        <w:trPr>
          <w:trHeight w:val="198"/>
        </w:trPr>
        <w:tc>
          <w:tcPr>
            <w:tcW w:w="2440" w:type="dxa"/>
            <w:vAlign w:val="bottom"/>
          </w:tcPr>
          <w:p>
            <w:pPr>
              <w:ind w:left="60"/>
              <w:spacing w:after="0"/>
              <w:rPr>
                <w:sz w:val="20"/>
                <w:szCs w:val="20"/>
                <w:color w:val="auto"/>
              </w:rPr>
            </w:pPr>
            <w:r>
              <w:rPr>
                <w:rFonts w:ascii="Times New Roman" w:cs="Times New Roman" w:eastAsia="Times New Roman" w:hAnsi="Times New Roman"/>
                <w:sz w:val="15"/>
                <w:szCs w:val="15"/>
                <w:color w:val="231F20"/>
              </w:rPr>
              <w:t>(California)</w:t>
            </w:r>
          </w:p>
        </w:tc>
        <w:tc>
          <w:tcPr>
            <w:tcW w:w="8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440" w:type="dxa"/>
            <w:vAlign w:val="bottom"/>
          </w:tcPr>
          <w:p>
            <w:pPr>
              <w:ind w:left="60"/>
              <w:spacing w:after="0"/>
              <w:rPr>
                <w:sz w:val="20"/>
                <w:szCs w:val="20"/>
                <w:color w:val="auto"/>
              </w:rPr>
            </w:pPr>
            <w:r>
              <w:rPr>
                <w:rFonts w:ascii="Times New Roman" w:cs="Times New Roman" w:eastAsia="Times New Roman" w:hAnsi="Times New Roman"/>
                <w:sz w:val="15"/>
                <w:szCs w:val="15"/>
                <w:color w:val="231F20"/>
              </w:rPr>
              <w:t>THE AVENUE AT WHITE MARSH</w:t>
            </w: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20,682</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72,432</w:t>
            </w:r>
          </w:p>
        </w:tc>
        <w:tc>
          <w:tcPr>
            <w:tcW w:w="80" w:type="dxa"/>
            <w:vAlign w:val="bottom"/>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231F20"/>
              </w:rPr>
              <w:t>45,091</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20,685</w:t>
            </w: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117,520</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138,205</w:t>
            </w:r>
          </w:p>
        </w:tc>
        <w:tc>
          <w:tcPr>
            <w:tcW w:w="6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231F20"/>
              </w:rPr>
              <w:t>63,192</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1997</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3/8/2007</w:t>
            </w:r>
          </w:p>
        </w:tc>
        <w:tc>
          <w:tcPr>
            <w:tcW w:w="10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5"/>
                <w:szCs w:val="15"/>
                <w:color w:val="231F20"/>
              </w:rPr>
              <w:t>(1)</w:t>
            </w:r>
          </w:p>
        </w:tc>
        <w:tc>
          <w:tcPr>
            <w:tcW w:w="0" w:type="dxa"/>
            <w:vAlign w:val="bottom"/>
          </w:tcPr>
          <w:p>
            <w:pPr>
              <w:spacing w:after="0"/>
              <w:rPr>
                <w:sz w:val="1"/>
                <w:szCs w:val="1"/>
                <w:color w:val="auto"/>
              </w:rPr>
            </w:pPr>
          </w:p>
        </w:tc>
      </w:tr>
      <w:tr>
        <w:trPr>
          <w:trHeight w:val="198"/>
        </w:trPr>
        <w:tc>
          <w:tcPr>
            <w:tcW w:w="2440" w:type="dxa"/>
            <w:vAlign w:val="bottom"/>
          </w:tcPr>
          <w:p>
            <w:pPr>
              <w:ind w:left="60"/>
              <w:spacing w:after="0"/>
              <w:rPr>
                <w:sz w:val="20"/>
                <w:szCs w:val="20"/>
                <w:color w:val="auto"/>
              </w:rPr>
            </w:pPr>
            <w:r>
              <w:rPr>
                <w:rFonts w:ascii="Times New Roman" w:cs="Times New Roman" w:eastAsia="Times New Roman" w:hAnsi="Times New Roman"/>
                <w:sz w:val="15"/>
                <w:szCs w:val="15"/>
                <w:color w:val="231F20"/>
              </w:rPr>
              <w:t>(Maryland)</w:t>
            </w: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440" w:type="dxa"/>
            <w:vAlign w:val="bottom"/>
          </w:tcPr>
          <w:p>
            <w:pPr>
              <w:ind w:left="60"/>
              <w:spacing w:after="0"/>
              <w:rPr>
                <w:sz w:val="20"/>
                <w:szCs w:val="20"/>
                <w:color w:val="auto"/>
              </w:rPr>
            </w:pPr>
            <w:r>
              <w:rPr>
                <w:rFonts w:ascii="Times New Roman" w:cs="Times New Roman" w:eastAsia="Times New Roman" w:hAnsi="Times New Roman"/>
                <w:sz w:val="15"/>
                <w:szCs w:val="15"/>
                <w:color w:val="231F20"/>
              </w:rPr>
              <w:t>THE GROVE AT SHREWSBURY</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43,461</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18,016</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103,115</w:t>
            </w:r>
          </w:p>
        </w:tc>
        <w:tc>
          <w:tcPr>
            <w:tcW w:w="80" w:type="dxa"/>
            <w:vAlign w:val="bottom"/>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231F20"/>
              </w:rPr>
              <w:t>17,490</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18,021</w:t>
            </w: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120,600</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138,621</w:t>
            </w:r>
          </w:p>
        </w:tc>
        <w:tc>
          <w:tcPr>
            <w:tcW w:w="6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231F20"/>
              </w:rPr>
              <w:t>43,997</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1988/1993/</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1/1/2014 &amp;</w:t>
            </w:r>
          </w:p>
        </w:tc>
        <w:tc>
          <w:tcPr>
            <w:tcW w:w="10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5"/>
                <w:szCs w:val="15"/>
                <w:color w:val="231F20"/>
              </w:rPr>
              <w:t>(1)</w:t>
            </w:r>
          </w:p>
        </w:tc>
        <w:tc>
          <w:tcPr>
            <w:tcW w:w="0" w:type="dxa"/>
            <w:vAlign w:val="bottom"/>
          </w:tcPr>
          <w:p>
            <w:pPr>
              <w:spacing w:after="0"/>
              <w:rPr>
                <w:sz w:val="1"/>
                <w:szCs w:val="1"/>
                <w:color w:val="auto"/>
              </w:rPr>
            </w:pPr>
          </w:p>
        </w:tc>
      </w:tr>
      <w:tr>
        <w:trPr>
          <w:trHeight w:val="198"/>
        </w:trPr>
        <w:tc>
          <w:tcPr>
            <w:tcW w:w="2440" w:type="dxa"/>
            <w:vAlign w:val="bottom"/>
          </w:tcPr>
          <w:p>
            <w:pPr>
              <w:ind w:left="60"/>
              <w:spacing w:after="0"/>
              <w:rPr>
                <w:sz w:val="20"/>
                <w:szCs w:val="20"/>
                <w:color w:val="auto"/>
              </w:rPr>
            </w:pPr>
            <w:r>
              <w:rPr>
                <w:rFonts w:ascii="Times New Roman" w:cs="Times New Roman" w:eastAsia="Times New Roman" w:hAnsi="Times New Roman"/>
                <w:sz w:val="15"/>
                <w:szCs w:val="15"/>
                <w:color w:val="231F20"/>
              </w:rPr>
              <w:t>(New Jersey)</w:t>
            </w:r>
          </w:p>
        </w:tc>
        <w:tc>
          <w:tcPr>
            <w:tcW w:w="980" w:type="dxa"/>
            <w:vAlign w:val="bottom"/>
            <w:gridSpan w:val="2"/>
            <w:vMerge w:val="continue"/>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2007</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10/6/14</w:t>
            </w:r>
          </w:p>
        </w:tc>
        <w:tc>
          <w:tcPr>
            <w:tcW w:w="10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440" w:type="dxa"/>
            <w:vAlign w:val="bottom"/>
          </w:tcPr>
          <w:p>
            <w:pPr>
              <w:ind w:left="60"/>
              <w:spacing w:after="0"/>
              <w:rPr>
                <w:sz w:val="20"/>
                <w:szCs w:val="20"/>
                <w:color w:val="auto"/>
              </w:rPr>
            </w:pPr>
            <w:r>
              <w:rPr>
                <w:rFonts w:ascii="Times New Roman" w:cs="Times New Roman" w:eastAsia="Times New Roman" w:hAnsi="Times New Roman"/>
                <w:sz w:val="15"/>
                <w:szCs w:val="15"/>
                <w:color w:val="231F20"/>
              </w:rPr>
              <w:t>THE SHOPPES AT NOTTINGHAM</w:t>
            </w: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4,441</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12,849</w:t>
            </w:r>
          </w:p>
        </w:tc>
        <w:tc>
          <w:tcPr>
            <w:tcW w:w="80" w:type="dxa"/>
            <w:vAlign w:val="bottom"/>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231F20"/>
              </w:rPr>
              <w:t>2,366</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4,441</w:t>
            </w: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15,215</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19,656</w:t>
            </w:r>
          </w:p>
        </w:tc>
        <w:tc>
          <w:tcPr>
            <w:tcW w:w="6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231F20"/>
              </w:rPr>
              <w:t>8,861</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2005 - 2006</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3/8/2007</w:t>
            </w:r>
          </w:p>
        </w:tc>
        <w:tc>
          <w:tcPr>
            <w:tcW w:w="10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5"/>
                <w:szCs w:val="15"/>
                <w:color w:val="231F20"/>
              </w:rPr>
              <w:t>(1)</w:t>
            </w:r>
          </w:p>
        </w:tc>
        <w:tc>
          <w:tcPr>
            <w:tcW w:w="0" w:type="dxa"/>
            <w:vAlign w:val="bottom"/>
          </w:tcPr>
          <w:p>
            <w:pPr>
              <w:spacing w:after="0"/>
              <w:rPr>
                <w:sz w:val="1"/>
                <w:szCs w:val="1"/>
                <w:color w:val="auto"/>
              </w:rPr>
            </w:pPr>
          </w:p>
        </w:tc>
      </w:tr>
      <w:tr>
        <w:trPr>
          <w:trHeight w:val="175"/>
        </w:trPr>
        <w:tc>
          <w:tcPr>
            <w:tcW w:w="2440" w:type="dxa"/>
            <w:vAlign w:val="bottom"/>
          </w:tcPr>
          <w:p>
            <w:pPr>
              <w:ind w:left="60"/>
              <w:spacing w:after="0"/>
              <w:rPr>
                <w:sz w:val="20"/>
                <w:szCs w:val="20"/>
                <w:color w:val="auto"/>
              </w:rPr>
            </w:pPr>
            <w:r>
              <w:rPr>
                <w:rFonts w:ascii="Times New Roman" w:cs="Times New Roman" w:eastAsia="Times New Roman" w:hAnsi="Times New Roman"/>
                <w:sz w:val="15"/>
                <w:szCs w:val="15"/>
                <w:color w:val="231F20"/>
              </w:rPr>
              <w:t>SQUARE (Maryland)</w:t>
            </w: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440" w:type="dxa"/>
            <w:vAlign w:val="bottom"/>
          </w:tcPr>
          <w:p>
            <w:pPr>
              <w:ind w:left="60"/>
              <w:spacing w:after="0"/>
              <w:rPr>
                <w:sz w:val="20"/>
                <w:szCs w:val="20"/>
                <w:color w:val="auto"/>
              </w:rPr>
            </w:pPr>
            <w:r>
              <w:rPr>
                <w:rFonts w:ascii="Times New Roman" w:cs="Times New Roman" w:eastAsia="Times New Roman" w:hAnsi="Times New Roman"/>
                <w:sz w:val="15"/>
                <w:szCs w:val="15"/>
                <w:color w:val="231F20"/>
              </w:rPr>
              <w:t>THE SHOPS AT HILTON</w:t>
            </w: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85,431</w:t>
            </w:r>
          </w:p>
        </w:tc>
        <w:tc>
          <w:tcPr>
            <w:tcW w:w="8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231F20"/>
              </w:rPr>
              <w:t>2,833</w:t>
            </w:r>
          </w:p>
        </w:tc>
        <w:tc>
          <w:tcPr>
            <w:tcW w:w="8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88,264</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88,264</w:t>
            </w:r>
          </w:p>
        </w:tc>
        <w:tc>
          <w:tcPr>
            <w:tcW w:w="6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231F20"/>
              </w:rPr>
              <w:t>12,205</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1982/1989</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6/14/21 &amp;</w:t>
            </w:r>
          </w:p>
        </w:tc>
        <w:tc>
          <w:tcPr>
            <w:tcW w:w="10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5"/>
                <w:szCs w:val="15"/>
                <w:color w:val="231F20"/>
              </w:rPr>
              <w:t>(1)</w:t>
            </w:r>
          </w:p>
        </w:tc>
        <w:tc>
          <w:tcPr>
            <w:tcW w:w="0" w:type="dxa"/>
            <w:vAlign w:val="bottom"/>
          </w:tcPr>
          <w:p>
            <w:pPr>
              <w:spacing w:after="0"/>
              <w:rPr>
                <w:sz w:val="1"/>
                <w:szCs w:val="1"/>
                <w:color w:val="auto"/>
              </w:rPr>
            </w:pPr>
          </w:p>
        </w:tc>
      </w:tr>
      <w:tr>
        <w:trPr>
          <w:trHeight w:val="175"/>
        </w:trPr>
        <w:tc>
          <w:tcPr>
            <w:tcW w:w="2440" w:type="dxa"/>
            <w:vAlign w:val="bottom"/>
          </w:tcPr>
          <w:p>
            <w:pPr>
              <w:ind w:left="60"/>
              <w:spacing w:after="0"/>
              <w:rPr>
                <w:sz w:val="20"/>
                <w:szCs w:val="20"/>
                <w:color w:val="auto"/>
              </w:rPr>
            </w:pPr>
            <w:r>
              <w:rPr>
                <w:rFonts w:ascii="Times New Roman" w:cs="Times New Roman" w:eastAsia="Times New Roman" w:hAnsi="Times New Roman"/>
                <w:sz w:val="15"/>
                <w:szCs w:val="15"/>
                <w:color w:val="231F20"/>
              </w:rPr>
              <w:t>VILLAGE (Arizona)</w:t>
            </w: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7/18/22</w:t>
            </w:r>
          </w:p>
        </w:tc>
        <w:tc>
          <w:tcPr>
            <w:tcW w:w="10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440" w:type="dxa"/>
            <w:vAlign w:val="bottom"/>
          </w:tcPr>
          <w:p>
            <w:pPr>
              <w:ind w:left="60"/>
              <w:spacing w:after="0"/>
              <w:rPr>
                <w:sz w:val="20"/>
                <w:szCs w:val="20"/>
                <w:color w:val="auto"/>
              </w:rPr>
            </w:pPr>
            <w:r>
              <w:rPr>
                <w:rFonts w:ascii="Times New Roman" w:cs="Times New Roman" w:eastAsia="Times New Roman" w:hAnsi="Times New Roman"/>
                <w:sz w:val="15"/>
                <w:szCs w:val="15"/>
                <w:color w:val="231F20"/>
              </w:rPr>
              <w:t>TOWER SHOPPING CENTER</w:t>
            </w: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7,170</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10,518</w:t>
            </w:r>
          </w:p>
        </w:tc>
        <w:tc>
          <w:tcPr>
            <w:tcW w:w="8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231F20"/>
              </w:rPr>
              <w:t>12,513</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7,292</w:t>
            </w: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22,909</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30,201</w:t>
            </w:r>
          </w:p>
        </w:tc>
        <w:tc>
          <w:tcPr>
            <w:tcW w:w="6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231F20"/>
              </w:rPr>
              <w:t>13,394</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1953-1960</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8/24/1998</w:t>
            </w:r>
          </w:p>
        </w:tc>
        <w:tc>
          <w:tcPr>
            <w:tcW w:w="10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5"/>
                <w:szCs w:val="15"/>
                <w:color w:val="231F20"/>
              </w:rPr>
              <w:t>(1)</w:t>
            </w:r>
          </w:p>
        </w:tc>
        <w:tc>
          <w:tcPr>
            <w:tcW w:w="0" w:type="dxa"/>
            <w:vAlign w:val="bottom"/>
          </w:tcPr>
          <w:p>
            <w:pPr>
              <w:spacing w:after="0"/>
              <w:rPr>
                <w:sz w:val="1"/>
                <w:szCs w:val="1"/>
                <w:color w:val="auto"/>
              </w:rPr>
            </w:pPr>
          </w:p>
        </w:tc>
      </w:tr>
      <w:tr>
        <w:trPr>
          <w:trHeight w:val="175"/>
        </w:trPr>
        <w:tc>
          <w:tcPr>
            <w:tcW w:w="2440" w:type="dxa"/>
            <w:vAlign w:val="bottom"/>
          </w:tcPr>
          <w:p>
            <w:pPr>
              <w:ind w:left="60"/>
              <w:spacing w:after="0"/>
              <w:rPr>
                <w:sz w:val="20"/>
                <w:szCs w:val="20"/>
                <w:color w:val="auto"/>
              </w:rPr>
            </w:pPr>
            <w:r>
              <w:rPr>
                <w:rFonts w:ascii="Times New Roman" w:cs="Times New Roman" w:eastAsia="Times New Roman" w:hAnsi="Times New Roman"/>
                <w:sz w:val="15"/>
                <w:szCs w:val="15"/>
                <w:color w:val="231F20"/>
              </w:rPr>
              <w:t>(Virginia)</w:t>
            </w: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44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231F20"/>
              </w:rPr>
              <w:t>TOWER SHOPS (Florida)</w:t>
            </w: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29,940</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43,390</w:t>
            </w:r>
          </w:p>
        </w:tc>
        <w:tc>
          <w:tcPr>
            <w:tcW w:w="8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231F20"/>
              </w:rPr>
              <w:t>33,048</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29,962</w:t>
            </w: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76,416</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106,378</w:t>
            </w:r>
          </w:p>
        </w:tc>
        <w:tc>
          <w:tcPr>
            <w:tcW w:w="6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231F20"/>
              </w:rPr>
              <w:t>35,535</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1989, 2017</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1/19/11 &amp;</w:t>
            </w:r>
          </w:p>
        </w:tc>
        <w:tc>
          <w:tcPr>
            <w:tcW w:w="10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5"/>
                <w:szCs w:val="15"/>
                <w:color w:val="231F20"/>
              </w:rPr>
              <w:t>(1)</w:t>
            </w:r>
          </w:p>
        </w:tc>
        <w:tc>
          <w:tcPr>
            <w:tcW w:w="0" w:type="dxa"/>
            <w:vAlign w:val="bottom"/>
          </w:tcPr>
          <w:p>
            <w:pPr>
              <w:spacing w:after="0"/>
              <w:rPr>
                <w:sz w:val="1"/>
                <w:szCs w:val="1"/>
                <w:color w:val="auto"/>
              </w:rPr>
            </w:pPr>
          </w:p>
        </w:tc>
      </w:tr>
      <w:tr>
        <w:trPr>
          <w:trHeight w:val="194"/>
        </w:trPr>
        <w:tc>
          <w:tcPr>
            <w:tcW w:w="24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6/13/14</w:t>
            </w:r>
          </w:p>
        </w:tc>
        <w:tc>
          <w:tcPr>
            <w:tcW w:w="10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44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231F20"/>
              </w:rPr>
              <w:t>TOWN CENTER CROSSING/</w:t>
            </w: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1995,</w:t>
            </w: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24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31,361</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232,083</w:t>
            </w:r>
          </w:p>
        </w:tc>
        <w:tc>
          <w:tcPr>
            <w:tcW w:w="8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231F20"/>
              </w:rPr>
              <w:t>1,440</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31,361</w:t>
            </w: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233,523</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264,884</w:t>
            </w:r>
          </w:p>
        </w:tc>
        <w:tc>
          <w:tcPr>
            <w:tcW w:w="6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231F20"/>
              </w:rPr>
              <w:t>4,545</w:t>
            </w:r>
          </w:p>
        </w:tc>
        <w:tc>
          <w:tcPr>
            <w:tcW w:w="940" w:type="dxa"/>
            <w:vAlign w:val="bottom"/>
            <w:gridSpan w:val="2"/>
          </w:tcPr>
          <w:p>
            <w:pPr>
              <w:jc w:val="right"/>
              <w:spacing w:after="0" w:line="152" w:lineRule="exact"/>
              <w:rPr>
                <w:sz w:val="20"/>
                <w:szCs w:val="20"/>
                <w:color w:val="auto"/>
              </w:rPr>
            </w:pPr>
            <w:r>
              <w:rPr>
                <w:rFonts w:ascii="Times New Roman" w:cs="Times New Roman" w:eastAsia="Times New Roman" w:hAnsi="Times New Roman"/>
                <w:sz w:val="15"/>
                <w:szCs w:val="15"/>
                <w:color w:val="231F20"/>
              </w:rPr>
              <w:t>2005-2008,</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7/1/2025</w:t>
            </w:r>
          </w:p>
        </w:tc>
        <w:tc>
          <w:tcPr>
            <w:tcW w:w="10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5"/>
                <w:szCs w:val="15"/>
                <w:color w:val="231F20"/>
              </w:rPr>
              <w:t>(1)</w:t>
            </w:r>
          </w:p>
        </w:tc>
        <w:tc>
          <w:tcPr>
            <w:tcW w:w="0" w:type="dxa"/>
            <w:vAlign w:val="bottom"/>
          </w:tcPr>
          <w:p>
            <w:pPr>
              <w:spacing w:after="0"/>
              <w:rPr>
                <w:sz w:val="1"/>
                <w:szCs w:val="1"/>
                <w:color w:val="auto"/>
              </w:rPr>
            </w:pPr>
          </w:p>
        </w:tc>
      </w:tr>
      <w:tr>
        <w:trPr>
          <w:trHeight w:val="198"/>
        </w:trPr>
        <w:tc>
          <w:tcPr>
            <w:tcW w:w="2440" w:type="dxa"/>
            <w:vAlign w:val="bottom"/>
          </w:tcPr>
          <w:p>
            <w:pPr>
              <w:ind w:left="60"/>
              <w:spacing w:after="0"/>
              <w:rPr>
                <w:sz w:val="20"/>
                <w:szCs w:val="20"/>
                <w:color w:val="auto"/>
              </w:rPr>
            </w:pPr>
            <w:r>
              <w:rPr>
                <w:rFonts w:ascii="Times New Roman" w:cs="Times New Roman" w:eastAsia="Times New Roman" w:hAnsi="Times New Roman"/>
                <w:sz w:val="15"/>
                <w:szCs w:val="15"/>
                <w:color w:val="231F20"/>
              </w:rPr>
              <w:t>TOWN CENTER PLAZA (Kansas)</w:t>
            </w: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2014, 2015</w:t>
            </w:r>
          </w:p>
        </w:tc>
        <w:tc>
          <w:tcPr>
            <w:tcW w:w="940" w:type="dxa"/>
            <w:vAlign w:val="bottom"/>
            <w:gridSpan w:val="2"/>
            <w:vMerge w:val="continue"/>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7149465</wp:posOffset>
            </wp:positionH>
            <wp:positionV relativeFrom="paragraph">
              <wp:posOffset>-4459605</wp:posOffset>
            </wp:positionV>
            <wp:extent cx="552450" cy="120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4">
                      <a:extLst>
                        <a:ext uri="{28A0092B-C50C-407E-A947-70E740481C1C}"/>
                      </a:extLst>
                    </a:blip>
                    <a:srcRect/>
                    <a:stretch>
                      <a:fillRect/>
                    </a:stretch>
                  </pic:blipFill>
                  <pic:spPr bwMode="auto">
                    <a:xfrm>
                      <a:off x="0" y="0"/>
                      <a:ext cx="552450" cy="12065"/>
                    </a:xfrm>
                    <a:prstGeom prst="rect">
                      <a:avLst/>
                    </a:prstGeom>
                    <a:noFill/>
                  </pic:spPr>
                </pic:pic>
              </a:graphicData>
            </a:graphic>
          </wp:anchor>
        </w:drawing>
      </w:r>
    </w:p>
    <w:p>
      <w:pPr>
        <w:sectPr>
          <w:pgSz w:w="15480" w:h="11880" w:orient="landscape"/>
          <w:cols w:equalWidth="0" w:num="1">
            <w:col w:w="13120"/>
          </w:cols>
          <w:pgMar w:left="1180" w:top="865" w:right="1180" w:bottom="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F-45</w:t>
      </w:r>
    </w:p>
    <w:p>
      <w:pPr>
        <w:sectPr>
          <w:pgSz w:w="15480" w:h="11880" w:orient="landscape"/>
          <w:cols w:equalWidth="0" w:num="1">
            <w:col w:w="13120"/>
          </w:cols>
          <w:pgMar w:left="1180" w:top="865" w:right="1180" w:bottom="0" w:gutter="0" w:footer="0" w:header="0"/>
          <w:type w:val="continuous"/>
        </w:sectPr>
      </w:pPr>
    </w:p>
    <w:bookmarkStart w:id="109" w:name="page110"/>
    <w:bookmarkEnd w:id="109"/>
    <w:p>
      <w:pPr>
        <w:jc w:val="center"/>
        <w:spacing w:after="0"/>
        <w:rPr>
          <w:sz w:val="20"/>
          <w:szCs w:val="20"/>
          <w:color w:val="auto"/>
        </w:rPr>
      </w:pPr>
      <w:r>
        <w:rPr>
          <w:rFonts w:ascii="Times New Roman" w:cs="Times New Roman" w:eastAsia="Times New Roman" w:hAnsi="Times New Roman"/>
          <w:sz w:val="19"/>
          <w:szCs w:val="19"/>
          <w:b w:val="1"/>
          <w:bCs w:val="1"/>
          <w:color w:val="231F20"/>
        </w:rPr>
        <w:t>FEDERAL REALTY INVESTMENT TRUST AND FEDERAL REALTY OP LP</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231F20"/>
        </w:rPr>
        <w:t>SCHEDULE III</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231F20"/>
        </w:rPr>
        <w:t>SUMMARY OF REAL ESTATE AND ACCUMULATED DEPRECIATION</w:t>
      </w:r>
    </w:p>
    <w:p>
      <w:pPr>
        <w:spacing w:after="0" w:line="1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9"/>
          <w:szCs w:val="19"/>
          <w:b w:val="1"/>
          <w:bCs w:val="1"/>
          <w:color w:val="231F20"/>
        </w:rPr>
        <w:t>DECEMBER 31, 2025</w:t>
      </w:r>
    </w:p>
    <w:p>
      <w:pPr>
        <w:spacing w:after="0" w:line="1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9"/>
          <w:szCs w:val="19"/>
          <w:b w:val="1"/>
          <w:bCs w:val="1"/>
          <w:color w:val="231F20"/>
        </w:rPr>
        <w:t>(Dollars in thousands)</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44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231F20"/>
              </w:rPr>
              <w:t>COLUMN A</w:t>
            </w:r>
          </w:p>
        </w:tc>
        <w:tc>
          <w:tcPr>
            <w:tcW w:w="80" w:type="dxa"/>
            <w:vAlign w:val="bottom"/>
          </w:tcPr>
          <w:p>
            <w:pPr>
              <w:spacing w:after="0"/>
              <w:rPr>
                <w:sz w:val="15"/>
                <w:szCs w:val="15"/>
                <w:color w:val="auto"/>
              </w:rPr>
            </w:pPr>
          </w:p>
        </w:tc>
        <w:tc>
          <w:tcPr>
            <w:tcW w:w="90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231F20"/>
              </w:rPr>
              <w:t>COLUMN B</w:t>
            </w:r>
          </w:p>
        </w:tc>
        <w:tc>
          <w:tcPr>
            <w:tcW w:w="80" w:type="dxa"/>
            <w:vAlign w:val="bottom"/>
          </w:tcPr>
          <w:p>
            <w:pPr>
              <w:spacing w:after="0"/>
              <w:rPr>
                <w:sz w:val="15"/>
                <w:szCs w:val="15"/>
                <w:color w:val="auto"/>
              </w:rPr>
            </w:pPr>
          </w:p>
        </w:tc>
        <w:tc>
          <w:tcPr>
            <w:tcW w:w="900" w:type="dxa"/>
            <w:vAlign w:val="bottom"/>
          </w:tcPr>
          <w:p>
            <w:pPr>
              <w:jc w:val="right"/>
              <w:ind w:right="49"/>
              <w:spacing w:after="0"/>
              <w:rPr>
                <w:sz w:val="20"/>
                <w:szCs w:val="20"/>
                <w:color w:val="auto"/>
              </w:rPr>
            </w:pPr>
            <w:r>
              <w:rPr>
                <w:rFonts w:ascii="Times New Roman" w:cs="Times New Roman" w:eastAsia="Times New Roman" w:hAnsi="Times New Roman"/>
                <w:sz w:val="13"/>
                <w:szCs w:val="13"/>
                <w:b w:val="1"/>
                <w:bCs w:val="1"/>
                <w:color w:val="231F20"/>
              </w:rPr>
              <w:t>COLUMN C</w:t>
            </w: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3"/>
                <w:szCs w:val="13"/>
                <w:b w:val="1"/>
                <w:bCs w:val="1"/>
                <w:color w:val="231F20"/>
              </w:rPr>
              <w:t>COLUMN D</w:t>
            </w:r>
          </w:p>
        </w:tc>
        <w:tc>
          <w:tcPr>
            <w:tcW w:w="80" w:type="dxa"/>
            <w:vAlign w:val="bottom"/>
          </w:tcPr>
          <w:p>
            <w:pPr>
              <w:spacing w:after="0"/>
              <w:rPr>
                <w:sz w:val="15"/>
                <w:szCs w:val="15"/>
                <w:color w:val="auto"/>
              </w:rPr>
            </w:pPr>
          </w:p>
        </w:tc>
        <w:tc>
          <w:tcPr>
            <w:tcW w:w="860" w:type="dxa"/>
            <w:vAlign w:val="bottom"/>
          </w:tcPr>
          <w:p>
            <w:pPr>
              <w:jc w:val="right"/>
              <w:ind w:right="9"/>
              <w:spacing w:after="0"/>
              <w:rPr>
                <w:sz w:val="20"/>
                <w:szCs w:val="20"/>
                <w:color w:val="auto"/>
              </w:rPr>
            </w:pPr>
            <w:r>
              <w:rPr>
                <w:rFonts w:ascii="Times New Roman" w:cs="Times New Roman" w:eastAsia="Times New Roman" w:hAnsi="Times New Roman"/>
                <w:sz w:val="13"/>
                <w:szCs w:val="13"/>
                <w:b w:val="1"/>
                <w:bCs w:val="1"/>
                <w:color w:val="231F20"/>
              </w:rPr>
              <w:t>COLUMN E</w:t>
            </w: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jc w:val="right"/>
              <w:ind w:right="47"/>
              <w:spacing w:after="0"/>
              <w:rPr>
                <w:sz w:val="20"/>
                <w:szCs w:val="20"/>
                <w:color w:val="auto"/>
              </w:rPr>
            </w:pPr>
            <w:r>
              <w:rPr>
                <w:rFonts w:ascii="Times New Roman" w:cs="Times New Roman" w:eastAsia="Times New Roman" w:hAnsi="Times New Roman"/>
                <w:sz w:val="13"/>
                <w:szCs w:val="13"/>
                <w:b w:val="1"/>
                <w:bCs w:val="1"/>
                <w:color w:val="231F20"/>
              </w:rPr>
              <w:t>COLUMN F</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231F20"/>
              </w:rPr>
              <w:t>COLUMN G</w:t>
            </w:r>
          </w:p>
        </w:tc>
        <w:tc>
          <w:tcPr>
            <w:tcW w:w="8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231F20"/>
              </w:rPr>
              <w:t>COLUMN H</w:t>
            </w:r>
          </w:p>
        </w:tc>
        <w:tc>
          <w:tcPr>
            <w:tcW w:w="8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231F20"/>
              </w:rPr>
              <w:t>COLUMN I</w:t>
            </w:r>
          </w:p>
        </w:tc>
        <w:tc>
          <w:tcPr>
            <w:tcW w:w="0" w:type="dxa"/>
            <w:vAlign w:val="bottom"/>
          </w:tcPr>
          <w:p>
            <w:pPr>
              <w:spacing w:after="0"/>
              <w:rPr>
                <w:sz w:val="1"/>
                <w:szCs w:val="1"/>
                <w:color w:val="auto"/>
              </w:rPr>
            </w:pPr>
          </w:p>
        </w:tc>
      </w:tr>
      <w:tr>
        <w:trPr>
          <w:trHeight w:val="32"/>
        </w:trPr>
        <w:tc>
          <w:tcPr>
            <w:tcW w:w="244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90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4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Borders>
              <w:bottom w:val="single" w:sz="8" w:color="231F20"/>
            </w:tcBorders>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98"/>
        </w:trPr>
        <w:tc>
          <w:tcPr>
            <w:tcW w:w="2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0" w:type="dxa"/>
            <w:vAlign w:val="bottom"/>
            <w:gridSpan w:val="4"/>
            <w:vMerge w:val="restart"/>
          </w:tcPr>
          <w:p>
            <w:pPr>
              <w:ind w:left="340"/>
              <w:spacing w:after="0"/>
              <w:rPr>
                <w:sz w:val="20"/>
                <w:szCs w:val="20"/>
                <w:color w:val="auto"/>
              </w:rPr>
            </w:pPr>
            <w:r>
              <w:rPr>
                <w:rFonts w:ascii="Times New Roman" w:cs="Times New Roman" w:eastAsia="Times New Roman" w:hAnsi="Times New Roman"/>
                <w:sz w:val="13"/>
                <w:szCs w:val="13"/>
                <w:b w:val="1"/>
                <w:bCs w:val="1"/>
                <w:color w:val="231F20"/>
              </w:rPr>
              <w:t>Initial cost to company</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231F20"/>
              </w:rPr>
              <w:t>Cost</w:t>
            </w:r>
          </w:p>
        </w:tc>
        <w:tc>
          <w:tcPr>
            <w:tcW w:w="80" w:type="dxa"/>
            <w:vAlign w:val="bottom"/>
          </w:tcPr>
          <w:p>
            <w:pPr>
              <w:spacing w:after="0"/>
              <w:rPr>
                <w:sz w:val="24"/>
                <w:szCs w:val="24"/>
                <w:color w:val="auto"/>
              </w:rPr>
            </w:pPr>
          </w:p>
        </w:tc>
        <w:tc>
          <w:tcPr>
            <w:tcW w:w="2900" w:type="dxa"/>
            <w:vAlign w:val="bottom"/>
            <w:gridSpan w:val="6"/>
          </w:tcPr>
          <w:p>
            <w:pPr>
              <w:jc w:val="center"/>
              <w:ind w:right="20"/>
              <w:spacing w:after="0"/>
              <w:rPr>
                <w:sz w:val="20"/>
                <w:szCs w:val="20"/>
                <w:color w:val="auto"/>
              </w:rPr>
            </w:pPr>
            <w:r>
              <w:rPr>
                <w:rFonts w:ascii="Times New Roman" w:cs="Times New Roman" w:eastAsia="Times New Roman" w:hAnsi="Times New Roman"/>
                <w:sz w:val="13"/>
                <w:szCs w:val="13"/>
                <w:b w:val="1"/>
                <w:bCs w:val="1"/>
                <w:color w:val="231F20"/>
              </w:rPr>
              <w:t>Gross amount at which carried at</w:t>
            </w: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231F20"/>
              </w:rPr>
              <w:t>Life on which</w:t>
            </w:r>
          </w:p>
        </w:tc>
        <w:tc>
          <w:tcPr>
            <w:tcW w:w="0" w:type="dxa"/>
            <w:vAlign w:val="bottom"/>
          </w:tcPr>
          <w:p>
            <w:pPr>
              <w:spacing w:after="0"/>
              <w:rPr>
                <w:sz w:val="1"/>
                <w:szCs w:val="1"/>
                <w:color w:val="auto"/>
              </w:rPr>
            </w:pPr>
          </w:p>
        </w:tc>
      </w:tr>
      <w:tr>
        <w:trPr>
          <w:trHeight w:val="133"/>
        </w:trPr>
        <w:tc>
          <w:tcPr>
            <w:tcW w:w="2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0" w:type="dxa"/>
            <w:vAlign w:val="bottom"/>
            <w:gridSpan w:val="4"/>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jc w:val="center"/>
              <w:spacing w:after="0" w:line="133" w:lineRule="exact"/>
              <w:rPr>
                <w:sz w:val="20"/>
                <w:szCs w:val="20"/>
                <w:color w:val="auto"/>
              </w:rPr>
            </w:pPr>
            <w:r>
              <w:rPr>
                <w:rFonts w:ascii="Times New Roman" w:cs="Times New Roman" w:eastAsia="Times New Roman" w:hAnsi="Times New Roman"/>
                <w:sz w:val="13"/>
                <w:szCs w:val="13"/>
                <w:b w:val="1"/>
                <w:bCs w:val="1"/>
                <w:color w:val="231F20"/>
              </w:rPr>
              <w:t>close of period</w:t>
            </w: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jc w:val="center"/>
              <w:spacing w:after="0" w:line="133" w:lineRule="exact"/>
              <w:rPr>
                <w:sz w:val="20"/>
                <w:szCs w:val="20"/>
                <w:color w:val="auto"/>
              </w:rPr>
            </w:pPr>
            <w:r>
              <w:rPr>
                <w:rFonts w:ascii="Times New Roman" w:cs="Times New Roman" w:eastAsia="Times New Roman" w:hAnsi="Times New Roman"/>
                <w:sz w:val="13"/>
                <w:szCs w:val="13"/>
                <w:b w:val="1"/>
                <w:bCs w:val="1"/>
                <w:color w:val="231F20"/>
              </w:rPr>
              <w:t>depreciation</w:t>
            </w:r>
          </w:p>
        </w:tc>
        <w:tc>
          <w:tcPr>
            <w:tcW w:w="0" w:type="dxa"/>
            <w:vAlign w:val="bottom"/>
          </w:tcPr>
          <w:p>
            <w:pPr>
              <w:spacing w:after="0"/>
              <w:rPr>
                <w:sz w:val="1"/>
                <w:szCs w:val="1"/>
                <w:color w:val="auto"/>
              </w:rPr>
            </w:pPr>
          </w:p>
        </w:tc>
      </w:tr>
      <w:tr>
        <w:trPr>
          <w:trHeight w:val="48"/>
        </w:trPr>
        <w:tc>
          <w:tcPr>
            <w:tcW w:w="2440" w:type="dxa"/>
            <w:vAlign w:val="bottom"/>
          </w:tcPr>
          <w:p>
            <w:pPr>
              <w:spacing w:after="0"/>
              <w:rPr>
                <w:sz w:val="4"/>
                <w:szCs w:val="4"/>
                <w:color w:val="auto"/>
              </w:rPr>
            </w:pPr>
          </w:p>
        </w:tc>
        <w:tc>
          <w:tcPr>
            <w:tcW w:w="8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 w:type="dxa"/>
            <w:vAlign w:val="bottom"/>
          </w:tcPr>
          <w:p>
            <w:pPr>
              <w:spacing w:after="0"/>
              <w:rPr>
                <w:sz w:val="4"/>
                <w:szCs w:val="4"/>
                <w:color w:val="auto"/>
              </w:rPr>
            </w:pPr>
          </w:p>
        </w:tc>
        <w:tc>
          <w:tcPr>
            <w:tcW w:w="900" w:type="dxa"/>
            <w:vAlign w:val="bottom"/>
            <w:tcBorders>
              <w:bottom w:val="single" w:sz="8" w:color="231F20"/>
            </w:tcBorders>
          </w:tcPr>
          <w:p>
            <w:pPr>
              <w:spacing w:after="0"/>
              <w:rPr>
                <w:sz w:val="4"/>
                <w:szCs w:val="4"/>
                <w:color w:val="auto"/>
              </w:rPr>
            </w:pPr>
          </w:p>
        </w:tc>
        <w:tc>
          <w:tcPr>
            <w:tcW w:w="80" w:type="dxa"/>
            <w:vAlign w:val="bottom"/>
            <w:tcBorders>
              <w:bottom w:val="single" w:sz="8" w:color="231F20"/>
            </w:tcBorders>
          </w:tcPr>
          <w:p>
            <w:pPr>
              <w:spacing w:after="0"/>
              <w:rPr>
                <w:sz w:val="4"/>
                <w:szCs w:val="4"/>
                <w:color w:val="auto"/>
              </w:rPr>
            </w:pPr>
          </w:p>
        </w:tc>
        <w:tc>
          <w:tcPr>
            <w:tcW w:w="940" w:type="dxa"/>
            <w:vAlign w:val="bottom"/>
            <w:tcBorders>
              <w:bottom w:val="single" w:sz="8" w:color="231F20"/>
            </w:tcBorders>
          </w:tcPr>
          <w:p>
            <w:pPr>
              <w:spacing w:after="0"/>
              <w:rPr>
                <w:sz w:val="4"/>
                <w:szCs w:val="4"/>
                <w:color w:val="auto"/>
              </w:rPr>
            </w:pPr>
          </w:p>
        </w:tc>
        <w:tc>
          <w:tcPr>
            <w:tcW w:w="80" w:type="dxa"/>
            <w:vAlign w:val="bottom"/>
          </w:tcPr>
          <w:p>
            <w:pPr>
              <w:spacing w:after="0"/>
              <w:rPr>
                <w:sz w:val="4"/>
                <w:szCs w:val="4"/>
                <w:color w:val="auto"/>
              </w:rPr>
            </w:pPr>
          </w:p>
        </w:tc>
        <w:tc>
          <w:tcPr>
            <w:tcW w:w="860" w:type="dxa"/>
            <w:vAlign w:val="bottom"/>
            <w:vMerge w:val="restart"/>
          </w:tcPr>
          <w:p>
            <w:pPr>
              <w:jc w:val="center"/>
              <w:spacing w:after="0" w:line="100" w:lineRule="exact"/>
              <w:rPr>
                <w:sz w:val="20"/>
                <w:szCs w:val="20"/>
                <w:color w:val="auto"/>
              </w:rPr>
            </w:pPr>
            <w:r>
              <w:rPr>
                <w:rFonts w:ascii="Times New Roman" w:cs="Times New Roman" w:eastAsia="Times New Roman" w:hAnsi="Times New Roman"/>
                <w:sz w:val="11"/>
                <w:szCs w:val="11"/>
                <w:b w:val="1"/>
                <w:bCs w:val="1"/>
                <w:color w:val="231F20"/>
              </w:rPr>
              <w:t>Capitalized</w:t>
            </w:r>
          </w:p>
        </w:tc>
        <w:tc>
          <w:tcPr>
            <w:tcW w:w="80" w:type="dxa"/>
            <w:vAlign w:val="bottom"/>
          </w:tcPr>
          <w:p>
            <w:pPr>
              <w:spacing w:after="0"/>
              <w:rPr>
                <w:sz w:val="4"/>
                <w:szCs w:val="4"/>
                <w:color w:val="auto"/>
              </w:rPr>
            </w:pPr>
          </w:p>
        </w:tc>
        <w:tc>
          <w:tcPr>
            <w:tcW w:w="860" w:type="dxa"/>
            <w:vAlign w:val="bottom"/>
            <w:tcBorders>
              <w:bottom w:val="single" w:sz="8" w:color="231F20"/>
            </w:tcBorders>
          </w:tcPr>
          <w:p>
            <w:pPr>
              <w:spacing w:after="0"/>
              <w:rPr>
                <w:sz w:val="4"/>
                <w:szCs w:val="4"/>
                <w:color w:val="auto"/>
              </w:rPr>
            </w:pPr>
          </w:p>
        </w:tc>
        <w:tc>
          <w:tcPr>
            <w:tcW w:w="80" w:type="dxa"/>
            <w:vAlign w:val="bottom"/>
            <w:tcBorders>
              <w:bottom w:val="single" w:sz="8" w:color="231F20"/>
            </w:tcBorders>
          </w:tcPr>
          <w:p>
            <w:pPr>
              <w:spacing w:after="0"/>
              <w:rPr>
                <w:sz w:val="4"/>
                <w:szCs w:val="4"/>
                <w:color w:val="auto"/>
              </w:rPr>
            </w:pPr>
          </w:p>
        </w:tc>
        <w:tc>
          <w:tcPr>
            <w:tcW w:w="960" w:type="dxa"/>
            <w:vAlign w:val="bottom"/>
            <w:tcBorders>
              <w:bottom w:val="single" w:sz="8" w:color="231F20"/>
            </w:tcBorders>
          </w:tcPr>
          <w:p>
            <w:pPr>
              <w:spacing w:after="0"/>
              <w:rPr>
                <w:sz w:val="4"/>
                <w:szCs w:val="4"/>
                <w:color w:val="auto"/>
              </w:rPr>
            </w:pPr>
          </w:p>
        </w:tc>
        <w:tc>
          <w:tcPr>
            <w:tcW w:w="60" w:type="dxa"/>
            <w:vAlign w:val="bottom"/>
            <w:tcBorders>
              <w:bottom w:val="single" w:sz="8" w:color="231F20"/>
            </w:tcBorders>
          </w:tcPr>
          <w:p>
            <w:pPr>
              <w:spacing w:after="0"/>
              <w:rPr>
                <w:sz w:val="4"/>
                <w:szCs w:val="4"/>
                <w:color w:val="auto"/>
              </w:rPr>
            </w:pPr>
          </w:p>
        </w:tc>
        <w:tc>
          <w:tcPr>
            <w:tcW w:w="880" w:type="dxa"/>
            <w:vAlign w:val="bottom"/>
            <w:tcBorders>
              <w:bottom w:val="single" w:sz="8" w:color="231F20"/>
            </w:tcBorders>
          </w:tcPr>
          <w:p>
            <w:pPr>
              <w:spacing w:after="0"/>
              <w:rPr>
                <w:sz w:val="4"/>
                <w:szCs w:val="4"/>
                <w:color w:val="auto"/>
              </w:rPr>
            </w:pPr>
          </w:p>
        </w:tc>
        <w:tc>
          <w:tcPr>
            <w:tcW w:w="60" w:type="dxa"/>
            <w:vAlign w:val="bottom"/>
          </w:tcPr>
          <w:p>
            <w:pPr>
              <w:spacing w:after="0"/>
              <w:rPr>
                <w:sz w:val="4"/>
                <w:szCs w:val="4"/>
                <w:color w:val="auto"/>
              </w:rPr>
            </w:pPr>
          </w:p>
        </w:tc>
        <w:tc>
          <w:tcPr>
            <w:tcW w:w="900" w:type="dxa"/>
            <w:vAlign w:val="bottom"/>
            <w:vMerge w:val="restart"/>
          </w:tcPr>
          <w:p>
            <w:pPr>
              <w:jc w:val="center"/>
              <w:spacing w:after="0" w:line="100" w:lineRule="exact"/>
              <w:rPr>
                <w:sz w:val="20"/>
                <w:szCs w:val="20"/>
                <w:color w:val="auto"/>
              </w:rPr>
            </w:pPr>
            <w:r>
              <w:rPr>
                <w:rFonts w:ascii="Times New Roman" w:cs="Times New Roman" w:eastAsia="Times New Roman" w:hAnsi="Times New Roman"/>
                <w:sz w:val="11"/>
                <w:szCs w:val="11"/>
                <w:b w:val="1"/>
                <w:bCs w:val="1"/>
                <w:color w:val="231F20"/>
              </w:rPr>
              <w:t>Accumulated</w:t>
            </w: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231F20"/>
                <w:w w:val="99"/>
              </w:rPr>
              <w:t>Date</w:t>
            </w:r>
          </w:p>
        </w:tc>
        <w:tc>
          <w:tcPr>
            <w:tcW w:w="80" w:type="dxa"/>
            <w:vAlign w:val="bottom"/>
          </w:tcPr>
          <w:p>
            <w:pPr>
              <w:spacing w:after="0"/>
              <w:rPr>
                <w:sz w:val="4"/>
                <w:szCs w:val="4"/>
                <w:color w:val="auto"/>
              </w:rPr>
            </w:pPr>
          </w:p>
        </w:tc>
        <w:tc>
          <w:tcPr>
            <w:tcW w:w="860" w:type="dxa"/>
            <w:vAlign w:val="bottom"/>
          </w:tcPr>
          <w:p>
            <w:pPr>
              <w:spacing w:after="0"/>
              <w:rPr>
                <w:sz w:val="4"/>
                <w:szCs w:val="4"/>
                <w:color w:val="auto"/>
              </w:rPr>
            </w:pPr>
          </w:p>
        </w:tc>
        <w:tc>
          <w:tcPr>
            <w:tcW w:w="80" w:type="dxa"/>
            <w:vAlign w:val="bottom"/>
          </w:tcPr>
          <w:p>
            <w:pPr>
              <w:spacing w:after="0"/>
              <w:rPr>
                <w:sz w:val="4"/>
                <w:szCs w:val="4"/>
                <w:color w:val="auto"/>
              </w:rPr>
            </w:pPr>
          </w:p>
        </w:tc>
        <w:tc>
          <w:tcPr>
            <w:tcW w:w="920" w:type="dxa"/>
            <w:vAlign w:val="bottom"/>
            <w:vMerge w:val="restart"/>
          </w:tcPr>
          <w:p>
            <w:pPr>
              <w:jc w:val="center"/>
              <w:spacing w:after="0" w:line="100" w:lineRule="exact"/>
              <w:rPr>
                <w:sz w:val="20"/>
                <w:szCs w:val="20"/>
                <w:color w:val="auto"/>
              </w:rPr>
            </w:pPr>
            <w:r>
              <w:rPr>
                <w:rFonts w:ascii="Times New Roman" w:cs="Times New Roman" w:eastAsia="Times New Roman" w:hAnsi="Times New Roman"/>
                <w:sz w:val="11"/>
                <w:szCs w:val="11"/>
                <w:b w:val="1"/>
                <w:bCs w:val="1"/>
                <w:color w:val="231F20"/>
              </w:rPr>
              <w:t>in latest</w:t>
            </w:r>
          </w:p>
        </w:tc>
        <w:tc>
          <w:tcPr>
            <w:tcW w:w="0" w:type="dxa"/>
            <w:vAlign w:val="bottom"/>
          </w:tcPr>
          <w:p>
            <w:pPr>
              <w:spacing w:after="0"/>
              <w:rPr>
                <w:sz w:val="1"/>
                <w:szCs w:val="1"/>
                <w:color w:val="auto"/>
              </w:rPr>
            </w:pPr>
          </w:p>
        </w:tc>
      </w:tr>
      <w:tr>
        <w:trPr>
          <w:trHeight w:val="32"/>
        </w:trPr>
        <w:tc>
          <w:tcPr>
            <w:tcW w:w="244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90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4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3"/>
        </w:trPr>
        <w:tc>
          <w:tcPr>
            <w:tcW w:w="2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3"/>
                <w:szCs w:val="13"/>
                <w:b w:val="1"/>
                <w:bCs w:val="1"/>
                <w:color w:val="231F20"/>
              </w:rPr>
              <w:t>Building and</w:t>
            </w:r>
          </w:p>
        </w:tc>
        <w:tc>
          <w:tcPr>
            <w:tcW w:w="860" w:type="dxa"/>
            <w:vAlign w:val="bottom"/>
          </w:tcPr>
          <w:p>
            <w:pPr>
              <w:jc w:val="center"/>
              <w:spacing w:after="0" w:line="133" w:lineRule="exact"/>
              <w:rPr>
                <w:sz w:val="20"/>
                <w:szCs w:val="20"/>
                <w:color w:val="auto"/>
              </w:rPr>
            </w:pPr>
            <w:r>
              <w:rPr>
                <w:rFonts w:ascii="Times New Roman" w:cs="Times New Roman" w:eastAsia="Times New Roman" w:hAnsi="Times New Roman"/>
                <w:sz w:val="13"/>
                <w:szCs w:val="13"/>
                <w:b w:val="1"/>
                <w:bCs w:val="1"/>
                <w:color w:val="231F20"/>
              </w:rPr>
              <w:t>Subsequent</w:t>
            </w: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231F20"/>
              </w:rPr>
              <w:t>Building and</w:t>
            </w: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jc w:val="center"/>
              <w:spacing w:after="0" w:line="133" w:lineRule="exact"/>
              <w:rPr>
                <w:sz w:val="20"/>
                <w:szCs w:val="20"/>
                <w:color w:val="auto"/>
              </w:rPr>
            </w:pPr>
            <w:r>
              <w:rPr>
                <w:rFonts w:ascii="Times New Roman" w:cs="Times New Roman" w:eastAsia="Times New Roman" w:hAnsi="Times New Roman"/>
                <w:sz w:val="13"/>
                <w:szCs w:val="13"/>
                <w:b w:val="1"/>
                <w:bCs w:val="1"/>
                <w:color w:val="231F20"/>
              </w:rPr>
              <w:t>Depreciation</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231F20"/>
                <w:w w:val="99"/>
              </w:rPr>
              <w:t>Date</w:t>
            </w:r>
          </w:p>
        </w:tc>
        <w:tc>
          <w:tcPr>
            <w:tcW w:w="80" w:type="dxa"/>
            <w:vAlign w:val="bottom"/>
          </w:tcPr>
          <w:p>
            <w:pPr>
              <w:spacing w:after="0"/>
              <w:rPr>
                <w:sz w:val="11"/>
                <w:szCs w:val="11"/>
                <w:color w:val="auto"/>
              </w:rPr>
            </w:pPr>
          </w:p>
        </w:tc>
        <w:tc>
          <w:tcPr>
            <w:tcW w:w="920" w:type="dxa"/>
            <w:vAlign w:val="bottom"/>
          </w:tcPr>
          <w:p>
            <w:pPr>
              <w:jc w:val="center"/>
              <w:spacing w:after="0" w:line="133" w:lineRule="exact"/>
              <w:rPr>
                <w:sz w:val="20"/>
                <w:szCs w:val="20"/>
                <w:color w:val="auto"/>
              </w:rPr>
            </w:pPr>
            <w:r>
              <w:rPr>
                <w:rFonts w:ascii="Times New Roman" w:cs="Times New Roman" w:eastAsia="Times New Roman" w:hAnsi="Times New Roman"/>
                <w:sz w:val="13"/>
                <w:szCs w:val="13"/>
                <w:b w:val="1"/>
                <w:bCs w:val="1"/>
                <w:color w:val="231F20"/>
              </w:rPr>
              <w:t>income</w:t>
            </w:r>
          </w:p>
        </w:tc>
        <w:tc>
          <w:tcPr>
            <w:tcW w:w="0" w:type="dxa"/>
            <w:vAlign w:val="bottom"/>
          </w:tcPr>
          <w:p>
            <w:pPr>
              <w:spacing w:after="0"/>
              <w:rPr>
                <w:sz w:val="1"/>
                <w:szCs w:val="1"/>
                <w:color w:val="auto"/>
              </w:rPr>
            </w:pPr>
          </w:p>
        </w:tc>
      </w:tr>
      <w:tr>
        <w:trPr>
          <w:trHeight w:val="133"/>
        </w:trPr>
        <w:tc>
          <w:tcPr>
            <w:tcW w:w="2440" w:type="dxa"/>
            <w:vAlign w:val="bottom"/>
            <w:vMerge w:val="restart"/>
          </w:tcPr>
          <w:p>
            <w:pPr>
              <w:ind w:left="60"/>
              <w:spacing w:after="0"/>
              <w:rPr>
                <w:sz w:val="20"/>
                <w:szCs w:val="20"/>
                <w:color w:val="auto"/>
              </w:rPr>
            </w:pPr>
            <w:r>
              <w:rPr>
                <w:rFonts w:ascii="Times New Roman" w:cs="Times New Roman" w:eastAsia="Times New Roman" w:hAnsi="Times New Roman"/>
                <w:sz w:val="13"/>
                <w:szCs w:val="13"/>
                <w:b w:val="1"/>
                <w:bCs w:val="1"/>
                <w:color w:val="231F20"/>
              </w:rPr>
              <w:t>Descriptions</w:t>
            </w:r>
          </w:p>
        </w:tc>
        <w:tc>
          <w:tcPr>
            <w:tcW w:w="80" w:type="dxa"/>
            <w:vAlign w:val="bottom"/>
          </w:tcPr>
          <w:p>
            <w:pPr>
              <w:spacing w:after="0"/>
              <w:rPr>
                <w:sz w:val="11"/>
                <w:szCs w:val="11"/>
                <w:color w:val="auto"/>
              </w:rPr>
            </w:pPr>
          </w:p>
        </w:tc>
        <w:tc>
          <w:tcPr>
            <w:tcW w:w="900" w:type="dxa"/>
            <w:vAlign w:val="bottom"/>
            <w:vMerge w:val="restart"/>
          </w:tcPr>
          <w:p>
            <w:pPr>
              <w:ind w:left="40"/>
              <w:spacing w:after="0"/>
              <w:rPr>
                <w:sz w:val="20"/>
                <w:szCs w:val="20"/>
                <w:color w:val="auto"/>
              </w:rPr>
            </w:pPr>
            <w:r>
              <w:rPr>
                <w:rFonts w:ascii="Times New Roman" w:cs="Times New Roman" w:eastAsia="Times New Roman" w:hAnsi="Times New Roman"/>
                <w:sz w:val="13"/>
                <w:szCs w:val="13"/>
                <w:b w:val="1"/>
                <w:bCs w:val="1"/>
                <w:color w:val="231F20"/>
              </w:rPr>
              <w:t>Encumbrance</w:t>
            </w:r>
          </w:p>
        </w:tc>
        <w:tc>
          <w:tcPr>
            <w:tcW w:w="80" w:type="dxa"/>
            <w:vAlign w:val="bottom"/>
          </w:tcPr>
          <w:p>
            <w:pPr>
              <w:spacing w:after="0"/>
              <w:rPr>
                <w:sz w:val="11"/>
                <w:szCs w:val="11"/>
                <w:color w:val="auto"/>
              </w:rPr>
            </w:pPr>
          </w:p>
        </w:tc>
        <w:tc>
          <w:tcPr>
            <w:tcW w:w="900" w:type="dxa"/>
            <w:vAlign w:val="bottom"/>
            <w:vMerge w:val="restart"/>
          </w:tcPr>
          <w:p>
            <w:pPr>
              <w:jc w:val="right"/>
              <w:ind w:right="209"/>
              <w:spacing w:after="0"/>
              <w:rPr>
                <w:sz w:val="20"/>
                <w:szCs w:val="20"/>
                <w:color w:val="auto"/>
              </w:rPr>
            </w:pPr>
            <w:r>
              <w:rPr>
                <w:rFonts w:ascii="Times New Roman" w:cs="Times New Roman" w:eastAsia="Times New Roman" w:hAnsi="Times New Roman"/>
                <w:sz w:val="13"/>
                <w:szCs w:val="13"/>
                <w:b w:val="1"/>
                <w:bCs w:val="1"/>
                <w:color w:val="231F20"/>
              </w:rPr>
              <w:t>Land</w:t>
            </w:r>
          </w:p>
        </w:tc>
        <w:tc>
          <w:tcPr>
            <w:tcW w:w="8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860" w:type="dxa"/>
            <w:vAlign w:val="bottom"/>
          </w:tcPr>
          <w:p>
            <w:pPr>
              <w:jc w:val="center"/>
              <w:spacing w:after="0" w:line="133" w:lineRule="exact"/>
              <w:rPr>
                <w:sz w:val="20"/>
                <w:szCs w:val="20"/>
                <w:color w:val="auto"/>
              </w:rPr>
            </w:pPr>
            <w:r>
              <w:rPr>
                <w:rFonts w:ascii="Times New Roman" w:cs="Times New Roman" w:eastAsia="Times New Roman" w:hAnsi="Times New Roman"/>
                <w:sz w:val="13"/>
                <w:szCs w:val="13"/>
                <w:b w:val="1"/>
                <w:bCs w:val="1"/>
                <w:color w:val="231F20"/>
                <w:w w:val="91"/>
              </w:rPr>
              <w:t>to</w:t>
            </w:r>
          </w:p>
        </w:tc>
        <w:tc>
          <w:tcPr>
            <w:tcW w:w="80" w:type="dxa"/>
            <w:vAlign w:val="bottom"/>
          </w:tcPr>
          <w:p>
            <w:pPr>
              <w:spacing w:after="0"/>
              <w:rPr>
                <w:sz w:val="11"/>
                <w:szCs w:val="11"/>
                <w:color w:val="auto"/>
              </w:rPr>
            </w:pPr>
          </w:p>
        </w:tc>
        <w:tc>
          <w:tcPr>
            <w:tcW w:w="860" w:type="dxa"/>
            <w:vAlign w:val="bottom"/>
            <w:vMerge w:val="restart"/>
          </w:tcPr>
          <w:p>
            <w:pPr>
              <w:jc w:val="right"/>
              <w:ind w:right="189"/>
              <w:spacing w:after="0"/>
              <w:rPr>
                <w:sz w:val="20"/>
                <w:szCs w:val="20"/>
                <w:color w:val="auto"/>
              </w:rPr>
            </w:pPr>
            <w:r>
              <w:rPr>
                <w:rFonts w:ascii="Times New Roman" w:cs="Times New Roman" w:eastAsia="Times New Roman" w:hAnsi="Times New Roman"/>
                <w:sz w:val="13"/>
                <w:szCs w:val="13"/>
                <w:b w:val="1"/>
                <w:bCs w:val="1"/>
                <w:color w:val="231F20"/>
              </w:rPr>
              <w:t>Land</w:t>
            </w:r>
          </w:p>
        </w:tc>
        <w:tc>
          <w:tcPr>
            <w:tcW w:w="8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gridSpan w:val="2"/>
            <w:vMerge w:val="restart"/>
          </w:tcPr>
          <w:p>
            <w:pPr>
              <w:ind w:left="300"/>
              <w:spacing w:after="0"/>
              <w:rPr>
                <w:sz w:val="20"/>
                <w:szCs w:val="20"/>
                <w:color w:val="auto"/>
              </w:rPr>
            </w:pPr>
            <w:r>
              <w:rPr>
                <w:rFonts w:ascii="Times New Roman" w:cs="Times New Roman" w:eastAsia="Times New Roman" w:hAnsi="Times New Roman"/>
                <w:sz w:val="13"/>
                <w:szCs w:val="13"/>
                <w:b w:val="1"/>
                <w:bCs w:val="1"/>
                <w:color w:val="231F20"/>
              </w:rPr>
              <w:t>Total</w:t>
            </w:r>
          </w:p>
        </w:tc>
        <w:tc>
          <w:tcPr>
            <w:tcW w:w="900" w:type="dxa"/>
            <w:vAlign w:val="bottom"/>
          </w:tcPr>
          <w:p>
            <w:pPr>
              <w:jc w:val="center"/>
              <w:spacing w:after="0" w:line="133" w:lineRule="exact"/>
              <w:rPr>
                <w:sz w:val="20"/>
                <w:szCs w:val="20"/>
                <w:color w:val="auto"/>
              </w:rPr>
            </w:pPr>
            <w:r>
              <w:rPr>
                <w:rFonts w:ascii="Times New Roman" w:cs="Times New Roman" w:eastAsia="Times New Roman" w:hAnsi="Times New Roman"/>
                <w:sz w:val="13"/>
                <w:szCs w:val="13"/>
                <w:b w:val="1"/>
                <w:bCs w:val="1"/>
                <w:color w:val="231F20"/>
              </w:rPr>
              <w:t>and</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Pr>
          <w:p>
            <w:pPr>
              <w:jc w:val="center"/>
              <w:spacing w:after="0" w:line="133" w:lineRule="exact"/>
              <w:rPr>
                <w:sz w:val="20"/>
                <w:szCs w:val="20"/>
                <w:color w:val="auto"/>
              </w:rPr>
            </w:pPr>
            <w:r>
              <w:rPr>
                <w:rFonts w:ascii="Times New Roman" w:cs="Times New Roman" w:eastAsia="Times New Roman" w:hAnsi="Times New Roman"/>
                <w:sz w:val="13"/>
                <w:szCs w:val="13"/>
                <w:b w:val="1"/>
                <w:bCs w:val="1"/>
                <w:color w:val="231F20"/>
                <w:w w:val="91"/>
              </w:rPr>
              <w:t>of</w:t>
            </w:r>
          </w:p>
        </w:tc>
        <w:tc>
          <w:tcPr>
            <w:tcW w:w="8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jc w:val="center"/>
              <w:spacing w:after="0" w:line="133" w:lineRule="exact"/>
              <w:rPr>
                <w:sz w:val="20"/>
                <w:szCs w:val="20"/>
                <w:color w:val="auto"/>
              </w:rPr>
            </w:pPr>
            <w:r>
              <w:rPr>
                <w:rFonts w:ascii="Times New Roman" w:cs="Times New Roman" w:eastAsia="Times New Roman" w:hAnsi="Times New Roman"/>
                <w:sz w:val="13"/>
                <w:szCs w:val="13"/>
                <w:b w:val="1"/>
                <w:bCs w:val="1"/>
                <w:color w:val="231F20"/>
              </w:rPr>
              <w:t>statements is</w:t>
            </w:r>
          </w:p>
        </w:tc>
        <w:tc>
          <w:tcPr>
            <w:tcW w:w="0" w:type="dxa"/>
            <w:vAlign w:val="bottom"/>
          </w:tcPr>
          <w:p>
            <w:pPr>
              <w:spacing w:after="0"/>
              <w:rPr>
                <w:sz w:val="1"/>
                <w:szCs w:val="1"/>
                <w:color w:val="auto"/>
              </w:rPr>
            </w:pPr>
          </w:p>
        </w:tc>
      </w:tr>
      <w:tr>
        <w:trPr>
          <w:trHeight w:val="180"/>
        </w:trPr>
        <w:tc>
          <w:tcPr>
            <w:tcW w:w="24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b w:val="1"/>
                <w:bCs w:val="1"/>
                <w:color w:val="231F20"/>
              </w:rPr>
              <w:t>Improvements</w:t>
            </w: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231F20"/>
              </w:rPr>
              <w:t>Acquisition</w:t>
            </w:r>
          </w:p>
        </w:tc>
        <w:tc>
          <w:tcPr>
            <w:tcW w:w="8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231F20"/>
              </w:rPr>
              <w:t>Improvements</w:t>
            </w:r>
          </w:p>
        </w:tc>
        <w:tc>
          <w:tcPr>
            <w:tcW w:w="6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231F20"/>
              </w:rPr>
              <w:t>Amortization</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231F20"/>
              </w:rPr>
              <w:t>Construction</w:t>
            </w:r>
          </w:p>
        </w:tc>
        <w:tc>
          <w:tcPr>
            <w:tcW w:w="8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231F20"/>
              </w:rPr>
              <w:t>Acquired</w:t>
            </w:r>
          </w:p>
        </w:tc>
        <w:tc>
          <w:tcPr>
            <w:tcW w:w="8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231F20"/>
              </w:rPr>
              <w:t>computed</w:t>
            </w:r>
          </w:p>
        </w:tc>
        <w:tc>
          <w:tcPr>
            <w:tcW w:w="0" w:type="dxa"/>
            <w:vAlign w:val="bottom"/>
          </w:tcPr>
          <w:p>
            <w:pPr>
              <w:spacing w:after="0"/>
              <w:rPr>
                <w:sz w:val="1"/>
                <w:szCs w:val="1"/>
                <w:color w:val="auto"/>
              </w:rPr>
            </w:pPr>
          </w:p>
        </w:tc>
      </w:tr>
      <w:tr>
        <w:trPr>
          <w:trHeight w:val="198"/>
        </w:trPr>
        <w:tc>
          <w:tcPr>
            <w:tcW w:w="2440" w:type="dxa"/>
            <w:vAlign w:val="bottom"/>
            <w:tcBorders>
              <w:top w:val="single" w:sz="8" w:color="231F20"/>
            </w:tcBorders>
          </w:tcPr>
          <w:p>
            <w:pPr>
              <w:ind w:left="60"/>
              <w:spacing w:after="0"/>
              <w:rPr>
                <w:sz w:val="20"/>
                <w:szCs w:val="20"/>
                <w:color w:val="auto"/>
              </w:rPr>
            </w:pPr>
            <w:r>
              <w:rPr>
                <w:rFonts w:ascii="Times New Roman" w:cs="Times New Roman" w:eastAsia="Times New Roman" w:hAnsi="Times New Roman"/>
                <w:sz w:val="15"/>
                <w:szCs w:val="15"/>
                <w:color w:val="231F20"/>
              </w:rPr>
              <w:t>TROY HILLS (New Jersey)</w:t>
            </w:r>
          </w:p>
        </w:tc>
        <w:tc>
          <w:tcPr>
            <w:tcW w:w="80" w:type="dxa"/>
            <w:vAlign w:val="bottom"/>
          </w:tcPr>
          <w:p>
            <w:pPr>
              <w:spacing w:after="0"/>
              <w:rPr>
                <w:sz w:val="17"/>
                <w:szCs w:val="17"/>
                <w:color w:val="auto"/>
              </w:rPr>
            </w:pPr>
          </w:p>
        </w:tc>
        <w:tc>
          <w:tcPr>
            <w:tcW w:w="900" w:type="dxa"/>
            <w:vAlign w:val="bottom"/>
            <w:tcBorders>
              <w:top w:val="single" w:sz="8" w:color="231F20"/>
            </w:tcBorders>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15"/>
                <w:szCs w:val="15"/>
                <w:color w:val="231F20"/>
              </w:rPr>
              <w:t>3,126</w:t>
            </w:r>
          </w:p>
        </w:tc>
        <w:tc>
          <w:tcPr>
            <w:tcW w:w="80" w:type="dxa"/>
            <w:vAlign w:val="bottom"/>
          </w:tcPr>
          <w:p>
            <w:pPr>
              <w:spacing w:after="0"/>
              <w:rPr>
                <w:sz w:val="17"/>
                <w:szCs w:val="17"/>
                <w:color w:val="auto"/>
              </w:rPr>
            </w:pPr>
          </w:p>
        </w:tc>
        <w:tc>
          <w:tcPr>
            <w:tcW w:w="94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15"/>
                <w:szCs w:val="15"/>
                <w:color w:val="231F20"/>
              </w:rPr>
              <w:t>5,193</w:t>
            </w:r>
          </w:p>
        </w:tc>
        <w:tc>
          <w:tcPr>
            <w:tcW w:w="80" w:type="dxa"/>
            <w:vAlign w:val="bottom"/>
          </w:tcPr>
          <w:p>
            <w:pPr>
              <w:spacing w:after="0"/>
              <w:rPr>
                <w:sz w:val="17"/>
                <w:szCs w:val="17"/>
                <w:color w:val="auto"/>
              </w:rPr>
            </w:pPr>
          </w:p>
        </w:tc>
        <w:tc>
          <w:tcPr>
            <w:tcW w:w="86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15"/>
                <w:szCs w:val="15"/>
                <w:color w:val="231F20"/>
              </w:rPr>
              <w:t>29,144</w:t>
            </w:r>
          </w:p>
        </w:tc>
        <w:tc>
          <w:tcPr>
            <w:tcW w:w="80" w:type="dxa"/>
            <w:vAlign w:val="bottom"/>
          </w:tcPr>
          <w:p>
            <w:pPr>
              <w:spacing w:after="0"/>
              <w:rPr>
                <w:sz w:val="17"/>
                <w:szCs w:val="17"/>
                <w:color w:val="auto"/>
              </w:rPr>
            </w:pPr>
          </w:p>
        </w:tc>
        <w:tc>
          <w:tcPr>
            <w:tcW w:w="86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15"/>
                <w:szCs w:val="15"/>
                <w:color w:val="231F20"/>
              </w:rPr>
              <w:t>5,865</w:t>
            </w:r>
          </w:p>
        </w:tc>
        <w:tc>
          <w:tcPr>
            <w:tcW w:w="80" w:type="dxa"/>
            <w:vAlign w:val="bottom"/>
          </w:tcPr>
          <w:p>
            <w:pPr>
              <w:spacing w:after="0"/>
              <w:rPr>
                <w:sz w:val="17"/>
                <w:szCs w:val="17"/>
                <w:color w:val="auto"/>
              </w:rPr>
            </w:pPr>
          </w:p>
        </w:tc>
        <w:tc>
          <w:tcPr>
            <w:tcW w:w="96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15"/>
                <w:szCs w:val="15"/>
                <w:color w:val="231F20"/>
              </w:rPr>
              <w:t>31,598</w:t>
            </w:r>
          </w:p>
        </w:tc>
        <w:tc>
          <w:tcPr>
            <w:tcW w:w="60" w:type="dxa"/>
            <w:vAlign w:val="bottom"/>
          </w:tcPr>
          <w:p>
            <w:pPr>
              <w:spacing w:after="0"/>
              <w:rPr>
                <w:sz w:val="17"/>
                <w:szCs w:val="17"/>
                <w:color w:val="auto"/>
              </w:rPr>
            </w:pPr>
          </w:p>
        </w:tc>
        <w:tc>
          <w:tcPr>
            <w:tcW w:w="88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15"/>
                <w:szCs w:val="15"/>
                <w:color w:val="231F20"/>
              </w:rPr>
              <w:t>37,463</w:t>
            </w:r>
          </w:p>
        </w:tc>
        <w:tc>
          <w:tcPr>
            <w:tcW w:w="60" w:type="dxa"/>
            <w:vAlign w:val="bottom"/>
          </w:tcPr>
          <w:p>
            <w:pPr>
              <w:spacing w:after="0"/>
              <w:rPr>
                <w:sz w:val="17"/>
                <w:szCs w:val="17"/>
                <w:color w:val="auto"/>
              </w:rPr>
            </w:pPr>
          </w:p>
        </w:tc>
        <w:tc>
          <w:tcPr>
            <w:tcW w:w="90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15"/>
                <w:szCs w:val="15"/>
                <w:color w:val="231F20"/>
              </w:rPr>
              <w:t>22,720</w:t>
            </w:r>
          </w:p>
        </w:tc>
        <w:tc>
          <w:tcPr>
            <w:tcW w:w="100" w:type="dxa"/>
            <w:vAlign w:val="bottom"/>
            <w:gridSpan w:val="2"/>
          </w:tcPr>
          <w:p>
            <w:pPr>
              <w:spacing w:after="0"/>
              <w:rPr>
                <w:sz w:val="17"/>
                <w:szCs w:val="17"/>
                <w:color w:val="auto"/>
              </w:rPr>
            </w:pPr>
          </w:p>
        </w:tc>
        <w:tc>
          <w:tcPr>
            <w:tcW w:w="84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15"/>
                <w:szCs w:val="15"/>
                <w:color w:val="231F20"/>
              </w:rPr>
              <w:t>1966</w:t>
            </w:r>
          </w:p>
        </w:tc>
        <w:tc>
          <w:tcPr>
            <w:tcW w:w="80" w:type="dxa"/>
            <w:vAlign w:val="bottom"/>
          </w:tcPr>
          <w:p>
            <w:pPr>
              <w:spacing w:after="0"/>
              <w:rPr>
                <w:sz w:val="17"/>
                <w:szCs w:val="17"/>
                <w:color w:val="auto"/>
              </w:rPr>
            </w:pPr>
          </w:p>
        </w:tc>
        <w:tc>
          <w:tcPr>
            <w:tcW w:w="86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15"/>
                <w:szCs w:val="15"/>
                <w:color w:val="231F20"/>
              </w:rPr>
              <w:t>7/23/1980</w:t>
            </w:r>
          </w:p>
        </w:tc>
        <w:tc>
          <w:tcPr>
            <w:tcW w:w="80" w:type="dxa"/>
            <w:vAlign w:val="bottom"/>
          </w:tcPr>
          <w:p>
            <w:pPr>
              <w:spacing w:after="0"/>
              <w:rPr>
                <w:sz w:val="17"/>
                <w:szCs w:val="17"/>
                <w:color w:val="auto"/>
              </w:rPr>
            </w:pPr>
          </w:p>
        </w:tc>
        <w:tc>
          <w:tcPr>
            <w:tcW w:w="920" w:type="dxa"/>
            <w:vAlign w:val="bottom"/>
            <w:tcBorders>
              <w:top w:val="single" w:sz="8" w:color="231F20"/>
            </w:tcBorders>
          </w:tcPr>
          <w:p>
            <w:pPr>
              <w:jc w:val="center"/>
              <w:spacing w:after="0"/>
              <w:rPr>
                <w:sz w:val="20"/>
                <w:szCs w:val="20"/>
                <w:color w:val="auto"/>
              </w:rPr>
            </w:pPr>
            <w:r>
              <w:rPr>
                <w:rFonts w:ascii="Times New Roman" w:cs="Times New Roman" w:eastAsia="Times New Roman" w:hAnsi="Times New Roman"/>
                <w:sz w:val="15"/>
                <w:szCs w:val="15"/>
                <w:color w:val="231F20"/>
              </w:rPr>
              <w:t>(1)</w:t>
            </w:r>
          </w:p>
        </w:tc>
        <w:tc>
          <w:tcPr>
            <w:tcW w:w="0" w:type="dxa"/>
            <w:vAlign w:val="bottom"/>
          </w:tcPr>
          <w:p>
            <w:pPr>
              <w:spacing w:after="0"/>
              <w:rPr>
                <w:sz w:val="1"/>
                <w:szCs w:val="1"/>
                <w:color w:val="auto"/>
              </w:rPr>
            </w:pPr>
          </w:p>
        </w:tc>
      </w:tr>
      <w:tr>
        <w:trPr>
          <w:trHeight w:val="35"/>
        </w:trPr>
        <w:tc>
          <w:tcPr>
            <w:tcW w:w="244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231F20"/>
              </w:rPr>
              <w:t>TWINBROOKE CENTRE (Virginia)</w:t>
            </w:r>
          </w:p>
        </w:tc>
        <w:tc>
          <w:tcPr>
            <w:tcW w:w="80" w:type="dxa"/>
            <w:vAlign w:val="bottom"/>
          </w:tcPr>
          <w:p>
            <w:pPr>
              <w:spacing w:after="0"/>
              <w:rPr>
                <w:sz w:val="3"/>
                <w:szCs w:val="3"/>
                <w:color w:val="auto"/>
              </w:rPr>
            </w:pPr>
          </w:p>
        </w:tc>
        <w:tc>
          <w:tcPr>
            <w:tcW w:w="900" w:type="dxa"/>
            <w:vAlign w:val="bottom"/>
          </w:tcPr>
          <w:p>
            <w:pPr>
              <w:spacing w:after="0"/>
              <w:rPr>
                <w:sz w:val="3"/>
                <w:szCs w:val="3"/>
                <w:color w:val="auto"/>
              </w:rPr>
            </w:pP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16,484</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18,898</w:t>
            </w:r>
          </w:p>
        </w:tc>
        <w:tc>
          <w:tcPr>
            <w:tcW w:w="80" w:type="dxa"/>
            <w:vAlign w:val="bottom"/>
          </w:tcPr>
          <w:p>
            <w:pPr>
              <w:spacing w:after="0"/>
              <w:rPr>
                <w:sz w:val="3"/>
                <w:szCs w:val="3"/>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231F20"/>
              </w:rPr>
              <w:t>8,369</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16,484</w:t>
            </w: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27,267</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43,751</w:t>
            </w:r>
          </w:p>
        </w:tc>
        <w:tc>
          <w:tcPr>
            <w:tcW w:w="60" w:type="dxa"/>
            <w:vAlign w:val="bottom"/>
          </w:tcPr>
          <w:p>
            <w:pPr>
              <w:spacing w:after="0"/>
              <w:rPr>
                <w:sz w:val="3"/>
                <w:szCs w:val="3"/>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231F20"/>
              </w:rPr>
              <w:t>3,336</w:t>
            </w:r>
          </w:p>
        </w:tc>
        <w:tc>
          <w:tcPr>
            <w:tcW w:w="100" w:type="dxa"/>
            <w:vAlign w:val="bottom"/>
            <w:gridSpan w:val="2"/>
          </w:tcPr>
          <w:p>
            <w:pPr>
              <w:spacing w:after="0"/>
              <w:rPr>
                <w:sz w:val="3"/>
                <w:szCs w:val="3"/>
                <w:color w:val="auto"/>
              </w:rPr>
            </w:pPr>
          </w:p>
        </w:tc>
        <w:tc>
          <w:tcPr>
            <w:tcW w:w="840" w:type="dxa"/>
            <w:vAlign w:val="bottom"/>
          </w:tcPr>
          <w:p>
            <w:pPr>
              <w:spacing w:after="0"/>
              <w:rPr>
                <w:sz w:val="3"/>
                <w:szCs w:val="3"/>
                <w:color w:val="auto"/>
              </w:rPr>
            </w:pP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9/2/2021</w:t>
            </w:r>
          </w:p>
        </w:tc>
        <w:tc>
          <w:tcPr>
            <w:tcW w:w="10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5"/>
                <w:szCs w:val="15"/>
                <w:color w:val="231F20"/>
              </w:rPr>
              <w:t>(1)</w:t>
            </w:r>
          </w:p>
        </w:tc>
        <w:tc>
          <w:tcPr>
            <w:tcW w:w="0" w:type="dxa"/>
            <w:vAlign w:val="bottom"/>
          </w:tcPr>
          <w:p>
            <w:pPr>
              <w:spacing w:after="0" w:line="20" w:lineRule="exact"/>
              <w:rPr>
                <w:sz w:val="1"/>
                <w:szCs w:val="1"/>
                <w:color w:val="auto"/>
              </w:rPr>
            </w:pPr>
          </w:p>
        </w:tc>
      </w:tr>
      <w:tr>
        <w:trPr>
          <w:trHeight w:val="379"/>
        </w:trPr>
        <w:tc>
          <w:tcPr>
            <w:tcW w:w="24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80" w:type="dxa"/>
            <w:vAlign w:val="bottom"/>
            <w:gridSpan w:val="2"/>
            <w:vMerge w:val="continue"/>
          </w:tcPr>
          <w:p>
            <w:pPr>
              <w:spacing w:after="0"/>
              <w:rPr>
                <w:sz w:val="24"/>
                <w:szCs w:val="24"/>
                <w:color w:val="auto"/>
              </w:rPr>
            </w:pPr>
          </w:p>
        </w:tc>
        <w:tc>
          <w:tcPr>
            <w:tcW w:w="102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vMerge w:val="continue"/>
          </w:tcPr>
          <w:p>
            <w:pPr>
              <w:spacing w:after="0"/>
              <w:rPr>
                <w:sz w:val="24"/>
                <w:szCs w:val="24"/>
                <w:color w:val="auto"/>
              </w:rPr>
            </w:pPr>
          </w:p>
        </w:tc>
        <w:tc>
          <w:tcPr>
            <w:tcW w:w="940" w:type="dxa"/>
            <w:vAlign w:val="bottom"/>
            <w:gridSpan w:val="2"/>
            <w:vMerge w:val="continue"/>
          </w:tcPr>
          <w:p>
            <w:pPr>
              <w:spacing w:after="0"/>
              <w:rPr>
                <w:sz w:val="24"/>
                <w:szCs w:val="24"/>
                <w:color w:val="auto"/>
              </w:rPr>
            </w:pPr>
          </w:p>
        </w:tc>
        <w:tc>
          <w:tcPr>
            <w:tcW w:w="1040" w:type="dxa"/>
            <w:vAlign w:val="bottom"/>
            <w:gridSpan w:val="2"/>
            <w:vMerge w:val="continue"/>
          </w:tcPr>
          <w:p>
            <w:pPr>
              <w:spacing w:after="0"/>
              <w:rPr>
                <w:sz w:val="24"/>
                <w:szCs w:val="24"/>
                <w:color w:val="auto"/>
              </w:rPr>
            </w:pPr>
          </w:p>
        </w:tc>
        <w:tc>
          <w:tcPr>
            <w:tcW w:w="940" w:type="dxa"/>
            <w:vAlign w:val="bottom"/>
            <w:gridSpan w:val="2"/>
            <w:vMerge w:val="continue"/>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vMerge w:val="continue"/>
          </w:tcPr>
          <w:p>
            <w:pPr>
              <w:spacing w:after="0"/>
              <w:rPr>
                <w:sz w:val="24"/>
                <w:szCs w:val="24"/>
                <w:color w:val="auto"/>
              </w:rPr>
            </w:pPr>
          </w:p>
        </w:tc>
        <w:tc>
          <w:tcPr>
            <w:tcW w:w="80" w:type="dxa"/>
            <w:vAlign w:val="bottom"/>
            <w:tcBorders>
              <w:bottom w:val="single" w:sz="8" w:color="EBECEC"/>
            </w:tcBorders>
            <w:shd w:val="clear" w:color="auto" w:fill="EBECEC"/>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1977</w:t>
            </w:r>
          </w:p>
        </w:tc>
        <w:tc>
          <w:tcPr>
            <w:tcW w:w="940" w:type="dxa"/>
            <w:vAlign w:val="bottom"/>
            <w:gridSpan w:val="2"/>
            <w:vMerge w:val="continue"/>
          </w:tcPr>
          <w:p>
            <w:pPr>
              <w:spacing w:after="0"/>
              <w:rPr>
                <w:sz w:val="24"/>
                <w:szCs w:val="24"/>
                <w:color w:val="auto"/>
              </w:rPr>
            </w:pPr>
          </w:p>
        </w:tc>
        <w:tc>
          <w:tcPr>
            <w:tcW w:w="100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440" w:type="dxa"/>
            <w:vAlign w:val="bottom"/>
          </w:tcPr>
          <w:p>
            <w:pPr>
              <w:ind w:left="60"/>
              <w:spacing w:after="0"/>
              <w:rPr>
                <w:sz w:val="20"/>
                <w:szCs w:val="20"/>
                <w:color w:val="auto"/>
              </w:rPr>
            </w:pPr>
            <w:r>
              <w:rPr>
                <w:rFonts w:ascii="Times New Roman" w:cs="Times New Roman" w:eastAsia="Times New Roman" w:hAnsi="Times New Roman"/>
                <w:sz w:val="15"/>
                <w:szCs w:val="15"/>
                <w:color w:val="231F20"/>
              </w:rPr>
              <w:t>TYSON'S STATION (Virginia)</w:t>
            </w: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388</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453</w:t>
            </w: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5,977</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493</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6,325</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6,818</w:t>
            </w:r>
          </w:p>
        </w:tc>
        <w:tc>
          <w:tcPr>
            <w:tcW w:w="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4,579</w:t>
            </w:r>
          </w:p>
        </w:tc>
        <w:tc>
          <w:tcPr>
            <w:tcW w:w="8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1954</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1/17/1978</w:t>
            </w: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231F20"/>
              </w:rPr>
              <w:t>(1)</w:t>
            </w:r>
          </w:p>
        </w:tc>
        <w:tc>
          <w:tcPr>
            <w:tcW w:w="0" w:type="dxa"/>
            <w:vAlign w:val="bottom"/>
          </w:tcPr>
          <w:p>
            <w:pPr>
              <w:spacing w:after="0"/>
              <w:rPr>
                <w:sz w:val="1"/>
                <w:szCs w:val="1"/>
                <w:color w:val="auto"/>
              </w:rPr>
            </w:pPr>
          </w:p>
        </w:tc>
      </w:tr>
      <w:tr>
        <w:trPr>
          <w:trHeight w:val="231"/>
        </w:trPr>
        <w:tc>
          <w:tcPr>
            <w:tcW w:w="2440" w:type="dxa"/>
            <w:vAlign w:val="bottom"/>
          </w:tcPr>
          <w:p>
            <w:pPr>
              <w:ind w:left="60"/>
              <w:spacing w:after="0"/>
              <w:rPr>
                <w:sz w:val="20"/>
                <w:szCs w:val="20"/>
                <w:color w:val="auto"/>
              </w:rPr>
            </w:pPr>
            <w:r>
              <w:rPr>
                <w:rFonts w:ascii="Times New Roman" w:cs="Times New Roman" w:eastAsia="Times New Roman" w:hAnsi="Times New Roman"/>
                <w:sz w:val="15"/>
                <w:szCs w:val="15"/>
                <w:color w:val="231F20"/>
              </w:rPr>
              <w:t>VILLAGE AT SHIRLINGTON</w:t>
            </w: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9,761</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14,808</w:t>
            </w:r>
          </w:p>
        </w:tc>
        <w:tc>
          <w:tcPr>
            <w:tcW w:w="80" w:type="dxa"/>
            <w:vAlign w:val="bottom"/>
          </w:tcPr>
          <w:p>
            <w:pPr>
              <w:spacing w:after="0"/>
              <w:rPr>
                <w:sz w:val="20"/>
                <w:szCs w:val="20"/>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231F20"/>
              </w:rPr>
              <w:t>53,893</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6,323</w:t>
            </w: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72,139</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78,462</w:t>
            </w:r>
          </w:p>
        </w:tc>
        <w:tc>
          <w:tcPr>
            <w:tcW w:w="60" w:type="dxa"/>
            <w:vAlign w:val="bottom"/>
          </w:tcPr>
          <w:p>
            <w:pPr>
              <w:spacing w:after="0"/>
              <w:rPr>
                <w:sz w:val="20"/>
                <w:szCs w:val="20"/>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231F20"/>
              </w:rPr>
              <w:t>43,234</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231F20"/>
              </w:rPr>
              <w:t>1940,</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12/21/1995</w:t>
            </w:r>
          </w:p>
        </w:tc>
        <w:tc>
          <w:tcPr>
            <w:tcW w:w="10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5"/>
                <w:szCs w:val="15"/>
                <w:color w:val="231F20"/>
              </w:rPr>
              <w:t>(1)</w:t>
            </w:r>
          </w:p>
        </w:tc>
        <w:tc>
          <w:tcPr>
            <w:tcW w:w="0" w:type="dxa"/>
            <w:vAlign w:val="bottom"/>
          </w:tcPr>
          <w:p>
            <w:pPr>
              <w:spacing w:after="0"/>
              <w:rPr>
                <w:sz w:val="1"/>
                <w:szCs w:val="1"/>
                <w:color w:val="auto"/>
              </w:rPr>
            </w:pPr>
          </w:p>
        </w:tc>
      </w:tr>
      <w:tr>
        <w:trPr>
          <w:trHeight w:val="198"/>
        </w:trPr>
        <w:tc>
          <w:tcPr>
            <w:tcW w:w="2440" w:type="dxa"/>
            <w:vAlign w:val="bottom"/>
          </w:tcPr>
          <w:p>
            <w:pPr>
              <w:ind w:left="60"/>
              <w:spacing w:after="0"/>
              <w:rPr>
                <w:sz w:val="20"/>
                <w:szCs w:val="20"/>
                <w:color w:val="auto"/>
              </w:rPr>
            </w:pPr>
            <w:r>
              <w:rPr>
                <w:rFonts w:ascii="Times New Roman" w:cs="Times New Roman" w:eastAsia="Times New Roman" w:hAnsi="Times New Roman"/>
                <w:sz w:val="15"/>
                <w:szCs w:val="15"/>
                <w:color w:val="231F20"/>
              </w:rPr>
              <w:t>(Virginia)</w:t>
            </w: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231F20"/>
              </w:rPr>
              <w:t>2006-2009</w:t>
            </w:r>
          </w:p>
        </w:tc>
        <w:tc>
          <w:tcPr>
            <w:tcW w:w="940" w:type="dxa"/>
            <w:vAlign w:val="bottom"/>
            <w:gridSpan w:val="2"/>
            <w:vMerge w:val="continue"/>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440" w:type="dxa"/>
            <w:vAlign w:val="bottom"/>
          </w:tcPr>
          <w:p>
            <w:pPr>
              <w:ind w:left="60"/>
              <w:spacing w:after="0"/>
              <w:rPr>
                <w:sz w:val="20"/>
                <w:szCs w:val="20"/>
                <w:color w:val="auto"/>
              </w:rPr>
            </w:pPr>
            <w:r>
              <w:rPr>
                <w:rFonts w:ascii="Times New Roman" w:cs="Times New Roman" w:eastAsia="Times New Roman" w:hAnsi="Times New Roman"/>
                <w:sz w:val="15"/>
                <w:szCs w:val="15"/>
                <w:color w:val="231F20"/>
              </w:rPr>
              <w:t>VILLAGE POINTE (Nebraska)</w:t>
            </w: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23,250</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121,993</w:t>
            </w: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3</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23,250</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121,996</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145,246</w:t>
            </w:r>
          </w:p>
        </w:tc>
        <w:tc>
          <w:tcPr>
            <w:tcW w:w="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472</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231F20"/>
              </w:rPr>
              <w:t>2004</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11/24/2025</w:t>
            </w: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231F20"/>
              </w:rPr>
              <w:t>(1)</w:t>
            </w:r>
          </w:p>
        </w:tc>
        <w:tc>
          <w:tcPr>
            <w:tcW w:w="0" w:type="dxa"/>
            <w:vAlign w:val="bottom"/>
          </w:tcPr>
          <w:p>
            <w:pPr>
              <w:spacing w:after="0"/>
              <w:rPr>
                <w:sz w:val="1"/>
                <w:szCs w:val="1"/>
                <w:color w:val="auto"/>
              </w:rPr>
            </w:pPr>
          </w:p>
        </w:tc>
      </w:tr>
      <w:tr>
        <w:trPr>
          <w:trHeight w:val="193"/>
        </w:trPr>
        <w:tc>
          <w:tcPr>
            <w:tcW w:w="2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231F20"/>
              </w:rPr>
              <w:t>1999,</w:t>
            </w: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44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231F20"/>
              </w:rPr>
              <w:t>VIRGINIA GATEWAY (Virginia)</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93,767</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114,609</w:t>
            </w:r>
          </w:p>
        </w:tc>
        <w:tc>
          <w:tcPr>
            <w:tcW w:w="8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231F20"/>
              </w:rPr>
              <w:t>2,609</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93,767</w:t>
            </w: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117,218</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210,985</w:t>
            </w:r>
          </w:p>
        </w:tc>
        <w:tc>
          <w:tcPr>
            <w:tcW w:w="6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231F20"/>
              </w:rPr>
              <w:t>7,475</w:t>
            </w:r>
          </w:p>
        </w:tc>
        <w:tc>
          <w:tcPr>
            <w:tcW w:w="940" w:type="dxa"/>
            <w:vAlign w:val="bottom"/>
            <w:gridSpan w:val="3"/>
          </w:tcPr>
          <w:p>
            <w:pPr>
              <w:jc w:val="right"/>
              <w:spacing w:after="0" w:line="152" w:lineRule="exact"/>
              <w:rPr>
                <w:sz w:val="20"/>
                <w:szCs w:val="20"/>
                <w:color w:val="auto"/>
              </w:rPr>
            </w:pPr>
            <w:r>
              <w:rPr>
                <w:rFonts w:ascii="Times New Roman" w:cs="Times New Roman" w:eastAsia="Times New Roman" w:hAnsi="Times New Roman"/>
                <w:sz w:val="15"/>
                <w:szCs w:val="15"/>
                <w:color w:val="231F20"/>
              </w:rPr>
              <w:t>2006-2008,</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5/31/2024</w:t>
            </w:r>
          </w:p>
        </w:tc>
        <w:tc>
          <w:tcPr>
            <w:tcW w:w="10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5"/>
                <w:szCs w:val="15"/>
                <w:color w:val="231F20"/>
              </w:rPr>
              <w:t>(1)</w:t>
            </w:r>
          </w:p>
        </w:tc>
        <w:tc>
          <w:tcPr>
            <w:tcW w:w="0" w:type="dxa"/>
            <w:vAlign w:val="bottom"/>
          </w:tcPr>
          <w:p>
            <w:pPr>
              <w:spacing w:after="0"/>
              <w:rPr>
                <w:sz w:val="1"/>
                <w:szCs w:val="1"/>
                <w:color w:val="auto"/>
              </w:rPr>
            </w:pPr>
          </w:p>
        </w:tc>
      </w:tr>
      <w:tr>
        <w:trPr>
          <w:trHeight w:val="198"/>
        </w:trPr>
        <w:tc>
          <w:tcPr>
            <w:tcW w:w="24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231F20"/>
              </w:rPr>
              <w:t>2013-2016</w:t>
            </w:r>
          </w:p>
        </w:tc>
        <w:tc>
          <w:tcPr>
            <w:tcW w:w="940" w:type="dxa"/>
            <w:vAlign w:val="bottom"/>
            <w:gridSpan w:val="2"/>
            <w:vMerge w:val="continue"/>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440" w:type="dxa"/>
            <w:vAlign w:val="bottom"/>
          </w:tcPr>
          <w:p>
            <w:pPr>
              <w:ind w:left="60"/>
              <w:spacing w:after="0"/>
              <w:rPr>
                <w:sz w:val="20"/>
                <w:szCs w:val="20"/>
                <w:color w:val="auto"/>
              </w:rPr>
            </w:pPr>
            <w:r>
              <w:rPr>
                <w:rFonts w:ascii="Times New Roman" w:cs="Times New Roman" w:eastAsia="Times New Roman" w:hAnsi="Times New Roman"/>
                <w:sz w:val="15"/>
                <w:szCs w:val="15"/>
                <w:color w:val="231F20"/>
              </w:rPr>
              <w:t>WESTGATE CENTER (California)</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6,319</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107,284</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50,830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6,319</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158,114</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164,433</w:t>
            </w:r>
          </w:p>
        </w:tc>
        <w:tc>
          <w:tcPr>
            <w:tcW w:w="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92,926</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231F20"/>
              </w:rPr>
              <w:t>1960-1966</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3/31/2004</w:t>
            </w: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231F20"/>
              </w:rPr>
              <w:t>(1)</w:t>
            </w:r>
          </w:p>
        </w:tc>
        <w:tc>
          <w:tcPr>
            <w:tcW w:w="0" w:type="dxa"/>
            <w:vAlign w:val="bottom"/>
          </w:tcPr>
          <w:p>
            <w:pPr>
              <w:spacing w:after="0"/>
              <w:rPr>
                <w:sz w:val="1"/>
                <w:szCs w:val="1"/>
                <w:color w:val="auto"/>
              </w:rPr>
            </w:pPr>
          </w:p>
        </w:tc>
      </w:tr>
      <w:tr>
        <w:trPr>
          <w:trHeight w:val="217"/>
        </w:trPr>
        <w:tc>
          <w:tcPr>
            <w:tcW w:w="2440" w:type="dxa"/>
            <w:vAlign w:val="bottom"/>
          </w:tcPr>
          <w:p>
            <w:pPr>
              <w:ind w:left="60"/>
              <w:spacing w:after="0"/>
              <w:rPr>
                <w:sz w:val="20"/>
                <w:szCs w:val="20"/>
                <w:color w:val="auto"/>
              </w:rPr>
            </w:pPr>
            <w:r>
              <w:rPr>
                <w:rFonts w:ascii="Times New Roman" w:cs="Times New Roman" w:eastAsia="Times New Roman" w:hAnsi="Times New Roman"/>
                <w:sz w:val="15"/>
                <w:szCs w:val="15"/>
                <w:color w:val="231F20"/>
              </w:rPr>
              <w:t>WESTPOST (Virginia)</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2,955</w:t>
            </w:r>
          </w:p>
        </w:tc>
        <w:tc>
          <w:tcPr>
            <w:tcW w:w="8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231F20"/>
              </w:rPr>
              <w:t>117,907</w:t>
            </w:r>
          </w:p>
        </w:tc>
        <w:tc>
          <w:tcPr>
            <w:tcW w:w="8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120,862</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120,862</w:t>
            </w:r>
          </w:p>
        </w:tc>
        <w:tc>
          <w:tcPr>
            <w:tcW w:w="60" w:type="dxa"/>
            <w:vAlign w:val="bottom"/>
          </w:tcPr>
          <w:p>
            <w:pPr>
              <w:spacing w:after="0"/>
              <w:rPr>
                <w:sz w:val="18"/>
                <w:szCs w:val="18"/>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231F20"/>
              </w:rPr>
              <w:t>72,502</w:t>
            </w:r>
          </w:p>
        </w:tc>
        <w:tc>
          <w:tcPr>
            <w:tcW w:w="9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5"/>
                <w:szCs w:val="15"/>
                <w:color w:val="231F20"/>
              </w:rPr>
              <w:t>1999 - 2002</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1998 &amp;</w:t>
            </w:r>
          </w:p>
        </w:tc>
        <w:tc>
          <w:tcPr>
            <w:tcW w:w="10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5"/>
                <w:szCs w:val="15"/>
                <w:color w:val="231F20"/>
              </w:rPr>
              <w:t>(1)</w:t>
            </w:r>
          </w:p>
        </w:tc>
        <w:tc>
          <w:tcPr>
            <w:tcW w:w="0" w:type="dxa"/>
            <w:vAlign w:val="bottom"/>
          </w:tcPr>
          <w:p>
            <w:pPr>
              <w:spacing w:after="0"/>
              <w:rPr>
                <w:sz w:val="1"/>
                <w:szCs w:val="1"/>
                <w:color w:val="auto"/>
              </w:rPr>
            </w:pPr>
          </w:p>
        </w:tc>
      </w:tr>
      <w:tr>
        <w:trPr>
          <w:trHeight w:val="198"/>
        </w:trPr>
        <w:tc>
          <w:tcPr>
            <w:tcW w:w="2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940" w:type="dxa"/>
            <w:vAlign w:val="bottom"/>
            <w:gridSpan w:val="3"/>
            <w:vMerge w:val="continue"/>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11/22/10</w:t>
            </w:r>
          </w:p>
        </w:tc>
        <w:tc>
          <w:tcPr>
            <w:tcW w:w="10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440" w:type="dxa"/>
            <w:vAlign w:val="bottom"/>
          </w:tcPr>
          <w:p>
            <w:pPr>
              <w:ind w:left="60"/>
              <w:spacing w:after="0"/>
              <w:rPr>
                <w:sz w:val="20"/>
                <w:szCs w:val="20"/>
                <w:color w:val="auto"/>
              </w:rPr>
            </w:pPr>
            <w:r>
              <w:rPr>
                <w:rFonts w:ascii="Times New Roman" w:cs="Times New Roman" w:eastAsia="Times New Roman" w:hAnsi="Times New Roman"/>
                <w:sz w:val="15"/>
                <w:szCs w:val="15"/>
                <w:color w:val="231F20"/>
              </w:rPr>
              <w:t>WHITE MARSH PLAZA (Maryland)</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3,478</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21,413</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2,294</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3,514</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23,671</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27,185</w:t>
            </w:r>
          </w:p>
        </w:tc>
        <w:tc>
          <w:tcPr>
            <w:tcW w:w="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14,075</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231F20"/>
              </w:rPr>
              <w:t>1987</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3/8/2007</w:t>
            </w: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231F20"/>
              </w:rPr>
              <w:t>(1)</w:t>
            </w:r>
          </w:p>
        </w:tc>
        <w:tc>
          <w:tcPr>
            <w:tcW w:w="0" w:type="dxa"/>
            <w:vAlign w:val="bottom"/>
          </w:tcPr>
          <w:p>
            <w:pPr>
              <w:spacing w:after="0"/>
              <w:rPr>
                <w:sz w:val="1"/>
                <w:szCs w:val="1"/>
                <w:color w:val="auto"/>
              </w:rPr>
            </w:pPr>
          </w:p>
        </w:tc>
      </w:tr>
      <w:tr>
        <w:trPr>
          <w:trHeight w:val="231"/>
        </w:trPr>
        <w:tc>
          <w:tcPr>
            <w:tcW w:w="2440" w:type="dxa"/>
            <w:vAlign w:val="bottom"/>
          </w:tcPr>
          <w:p>
            <w:pPr>
              <w:ind w:left="60"/>
              <w:spacing w:after="0"/>
              <w:rPr>
                <w:sz w:val="20"/>
                <w:szCs w:val="20"/>
                <w:color w:val="auto"/>
              </w:rPr>
            </w:pPr>
            <w:r>
              <w:rPr>
                <w:rFonts w:ascii="Times New Roman" w:cs="Times New Roman" w:eastAsia="Times New Roman" w:hAnsi="Times New Roman"/>
                <w:sz w:val="15"/>
                <w:szCs w:val="15"/>
                <w:color w:val="231F20"/>
              </w:rPr>
              <w:t>WHITE MARSH OTHER</w:t>
            </w: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23,703</w:t>
            </w:r>
          </w:p>
        </w:tc>
        <w:tc>
          <w:tcPr>
            <w:tcW w:w="80" w:type="dxa"/>
            <w:vAlign w:val="bottom"/>
          </w:tcPr>
          <w:p>
            <w:pPr>
              <w:spacing w:after="0"/>
              <w:rPr>
                <w:sz w:val="20"/>
                <w:szCs w:val="20"/>
                <w:color w:val="auto"/>
              </w:rPr>
            </w:pPr>
          </w:p>
        </w:tc>
        <w:tc>
          <w:tcPr>
            <w:tcW w:w="10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5"/>
                <w:szCs w:val="15"/>
                <w:color w:val="231F20"/>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231F20"/>
              </w:rPr>
              <w:t>125</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23,703</w:t>
            </w: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125</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23,828</w:t>
            </w:r>
          </w:p>
        </w:tc>
        <w:tc>
          <w:tcPr>
            <w:tcW w:w="60" w:type="dxa"/>
            <w:vAlign w:val="bottom"/>
          </w:tcPr>
          <w:p>
            <w:pPr>
              <w:spacing w:after="0"/>
              <w:rPr>
                <w:sz w:val="20"/>
                <w:szCs w:val="20"/>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231F20"/>
              </w:rPr>
              <w:t>59</w:t>
            </w:r>
          </w:p>
        </w:tc>
        <w:tc>
          <w:tcPr>
            <w:tcW w:w="9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5"/>
                <w:szCs w:val="15"/>
                <w:color w:val="231F20"/>
              </w:rPr>
              <w:t>1985</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231F20"/>
              </w:rPr>
              <w:t>3/8/2007</w:t>
            </w:r>
          </w:p>
        </w:tc>
        <w:tc>
          <w:tcPr>
            <w:tcW w:w="10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5"/>
                <w:szCs w:val="15"/>
                <w:color w:val="231F20"/>
              </w:rPr>
              <w:t>(1)</w:t>
            </w:r>
          </w:p>
        </w:tc>
        <w:tc>
          <w:tcPr>
            <w:tcW w:w="0" w:type="dxa"/>
            <w:vAlign w:val="bottom"/>
          </w:tcPr>
          <w:p>
            <w:pPr>
              <w:spacing w:after="0"/>
              <w:rPr>
                <w:sz w:val="1"/>
                <w:szCs w:val="1"/>
                <w:color w:val="auto"/>
              </w:rPr>
            </w:pPr>
          </w:p>
        </w:tc>
      </w:tr>
      <w:tr>
        <w:trPr>
          <w:trHeight w:val="198"/>
        </w:trPr>
        <w:tc>
          <w:tcPr>
            <w:tcW w:w="2440" w:type="dxa"/>
            <w:vAlign w:val="bottom"/>
          </w:tcPr>
          <w:p>
            <w:pPr>
              <w:ind w:left="60"/>
              <w:spacing w:after="0"/>
              <w:rPr>
                <w:sz w:val="20"/>
                <w:szCs w:val="20"/>
                <w:color w:val="auto"/>
              </w:rPr>
            </w:pPr>
            <w:r>
              <w:rPr>
                <w:rFonts w:ascii="Times New Roman" w:cs="Times New Roman" w:eastAsia="Times New Roman" w:hAnsi="Times New Roman"/>
                <w:sz w:val="15"/>
                <w:szCs w:val="15"/>
                <w:color w:val="231F20"/>
              </w:rPr>
              <w:t>(Maryland)</w:t>
            </w: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940" w:type="dxa"/>
            <w:vAlign w:val="bottom"/>
            <w:gridSpan w:val="3"/>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440" w:type="dxa"/>
            <w:vAlign w:val="bottom"/>
          </w:tcPr>
          <w:p>
            <w:pPr>
              <w:ind w:left="60"/>
              <w:spacing w:after="0"/>
              <w:rPr>
                <w:sz w:val="20"/>
                <w:szCs w:val="20"/>
                <w:color w:val="auto"/>
              </w:rPr>
            </w:pPr>
            <w:r>
              <w:rPr>
                <w:rFonts w:ascii="Times New Roman" w:cs="Times New Roman" w:eastAsia="Times New Roman" w:hAnsi="Times New Roman"/>
                <w:sz w:val="15"/>
                <w:szCs w:val="15"/>
                <w:color w:val="231F20"/>
              </w:rPr>
              <w:t>WILDWOOD (Maryland)</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9,111</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1,061</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18,221</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9,111</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19,282</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28,393</w:t>
            </w:r>
          </w:p>
        </w:tc>
        <w:tc>
          <w:tcPr>
            <w:tcW w:w="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12,440</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231F20"/>
              </w:rPr>
              <w:t>1958</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5/5/1969</w:t>
            </w: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231F20"/>
              </w:rPr>
              <w:t>(1)</w:t>
            </w:r>
          </w:p>
        </w:tc>
        <w:tc>
          <w:tcPr>
            <w:tcW w:w="0" w:type="dxa"/>
            <w:vAlign w:val="bottom"/>
          </w:tcPr>
          <w:p>
            <w:pPr>
              <w:spacing w:after="0"/>
              <w:rPr>
                <w:sz w:val="1"/>
                <w:szCs w:val="1"/>
                <w:color w:val="auto"/>
              </w:rPr>
            </w:pPr>
          </w:p>
        </w:tc>
      </w:tr>
      <w:tr>
        <w:trPr>
          <w:trHeight w:val="242"/>
        </w:trPr>
        <w:tc>
          <w:tcPr>
            <w:tcW w:w="2440" w:type="dxa"/>
            <w:vAlign w:val="bottom"/>
          </w:tcPr>
          <w:p>
            <w:pPr>
              <w:ind w:left="60"/>
              <w:spacing w:after="0"/>
              <w:rPr>
                <w:sz w:val="20"/>
                <w:szCs w:val="20"/>
                <w:color w:val="auto"/>
              </w:rPr>
            </w:pPr>
            <w:r>
              <w:rPr>
                <w:rFonts w:ascii="Times New Roman" w:cs="Times New Roman" w:eastAsia="Times New Roman" w:hAnsi="Times New Roman"/>
                <w:sz w:val="15"/>
                <w:szCs w:val="15"/>
                <w:color w:val="231F20"/>
              </w:rPr>
              <w:t>WILLOW GROVE (Pennsylvania)</w:t>
            </w: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1,499</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6,643</w:t>
            </w:r>
          </w:p>
        </w:tc>
        <w:tc>
          <w:tcPr>
            <w:tcW w:w="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46,993</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1,499</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53,636</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55,135</w:t>
            </w:r>
          </w:p>
        </w:tc>
        <w:tc>
          <w:tcPr>
            <w:tcW w:w="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25,550</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231F20"/>
              </w:rPr>
              <w:t>1953</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11/20/1984</w:t>
            </w: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231F20"/>
              </w:rPr>
              <w:t>(1)</w:t>
            </w:r>
          </w:p>
        </w:tc>
        <w:tc>
          <w:tcPr>
            <w:tcW w:w="0" w:type="dxa"/>
            <w:vAlign w:val="bottom"/>
          </w:tcPr>
          <w:p>
            <w:pPr>
              <w:spacing w:after="0"/>
              <w:rPr>
                <w:sz w:val="1"/>
                <w:szCs w:val="1"/>
                <w:color w:val="auto"/>
              </w:rPr>
            </w:pPr>
          </w:p>
        </w:tc>
      </w:tr>
      <w:tr>
        <w:trPr>
          <w:trHeight w:val="242"/>
        </w:trPr>
        <w:tc>
          <w:tcPr>
            <w:tcW w:w="2440" w:type="dxa"/>
            <w:vAlign w:val="bottom"/>
          </w:tcPr>
          <w:p>
            <w:pPr>
              <w:ind w:left="60"/>
              <w:spacing w:after="0"/>
              <w:rPr>
                <w:sz w:val="20"/>
                <w:szCs w:val="20"/>
                <w:color w:val="auto"/>
              </w:rPr>
            </w:pPr>
            <w:r>
              <w:rPr>
                <w:rFonts w:ascii="Times New Roman" w:cs="Times New Roman" w:eastAsia="Times New Roman" w:hAnsi="Times New Roman"/>
                <w:sz w:val="15"/>
                <w:szCs w:val="15"/>
                <w:color w:val="231F20"/>
              </w:rPr>
              <w:t>WILLOW LAWN (Virginia)</w:t>
            </w: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3,192</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7,723</w:t>
            </w:r>
          </w:p>
        </w:tc>
        <w:tc>
          <w:tcPr>
            <w:tcW w:w="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98,231</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8,211</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100,935</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109,146</w:t>
            </w:r>
          </w:p>
        </w:tc>
        <w:tc>
          <w:tcPr>
            <w:tcW w:w="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76,657</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231F20"/>
              </w:rPr>
              <w:t>1957</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12/5/1983</w:t>
            </w: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231F20"/>
              </w:rPr>
              <w:t>(1)</w:t>
            </w:r>
          </w:p>
        </w:tc>
        <w:tc>
          <w:tcPr>
            <w:tcW w:w="0" w:type="dxa"/>
            <w:vAlign w:val="bottom"/>
          </w:tcPr>
          <w:p>
            <w:pPr>
              <w:spacing w:after="0"/>
              <w:rPr>
                <w:sz w:val="1"/>
                <w:szCs w:val="1"/>
                <w:color w:val="auto"/>
              </w:rPr>
            </w:pPr>
          </w:p>
        </w:tc>
      </w:tr>
      <w:tr>
        <w:trPr>
          <w:trHeight w:val="242"/>
        </w:trPr>
        <w:tc>
          <w:tcPr>
            <w:tcW w:w="2440" w:type="dxa"/>
            <w:vAlign w:val="bottom"/>
          </w:tcPr>
          <w:p>
            <w:pPr>
              <w:ind w:left="60"/>
              <w:spacing w:after="0"/>
              <w:rPr>
                <w:sz w:val="20"/>
                <w:szCs w:val="20"/>
                <w:color w:val="auto"/>
              </w:rPr>
            </w:pPr>
            <w:r>
              <w:rPr>
                <w:rFonts w:ascii="Times New Roman" w:cs="Times New Roman" w:eastAsia="Times New Roman" w:hAnsi="Times New Roman"/>
                <w:sz w:val="15"/>
                <w:szCs w:val="15"/>
                <w:color w:val="231F20"/>
              </w:rPr>
              <w:t>WYNNEWOOD (Pennsylvania)</w:t>
            </w: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8,055</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13,759</w:t>
            </w:r>
          </w:p>
        </w:tc>
        <w:tc>
          <w:tcPr>
            <w:tcW w:w="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26,589</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8,055</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40,348</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48,403</w:t>
            </w:r>
          </w:p>
        </w:tc>
        <w:tc>
          <w:tcPr>
            <w:tcW w:w="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30,130</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231F20"/>
              </w:rPr>
              <w:t>1948</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10/29/1996</w:t>
            </w: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231F20"/>
              </w:rPr>
              <w:t>(1)</w:t>
            </w:r>
          </w:p>
        </w:tc>
        <w:tc>
          <w:tcPr>
            <w:tcW w:w="0" w:type="dxa"/>
            <w:vAlign w:val="bottom"/>
          </w:tcPr>
          <w:p>
            <w:pPr>
              <w:spacing w:after="0"/>
              <w:rPr>
                <w:sz w:val="1"/>
                <w:szCs w:val="1"/>
                <w:color w:val="auto"/>
              </w:rPr>
            </w:pPr>
          </w:p>
        </w:tc>
      </w:tr>
      <w:tr>
        <w:trPr>
          <w:trHeight w:val="36"/>
        </w:trPr>
        <w:tc>
          <w:tcPr>
            <w:tcW w:w="244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231F20"/>
              </w:rPr>
              <w:t>TOTALS</w:t>
            </w:r>
          </w:p>
        </w:tc>
        <w:tc>
          <w:tcPr>
            <w:tcW w:w="980" w:type="dxa"/>
            <w:vAlign w:val="bottom"/>
            <w:gridSpan w:val="2"/>
          </w:tcPr>
          <w:p>
            <w:pPr>
              <w:spacing w:after="0"/>
              <w:rPr>
                <w:sz w:val="3"/>
                <w:szCs w:val="3"/>
                <w:color w:val="auto"/>
              </w:rPr>
            </w:pPr>
          </w:p>
        </w:tc>
        <w:tc>
          <w:tcPr>
            <w:tcW w:w="980" w:type="dxa"/>
            <w:vAlign w:val="bottom"/>
            <w:gridSpan w:val="2"/>
          </w:tcPr>
          <w:p>
            <w:pPr>
              <w:spacing w:after="0"/>
              <w:rPr>
                <w:sz w:val="3"/>
                <w:szCs w:val="3"/>
                <w:color w:val="auto"/>
              </w:rPr>
            </w:pPr>
          </w:p>
        </w:tc>
        <w:tc>
          <w:tcPr>
            <w:tcW w:w="102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860" w:type="dxa"/>
            <w:vAlign w:val="bottom"/>
          </w:tcPr>
          <w:p>
            <w:pPr>
              <w:spacing w:after="0"/>
              <w:rPr>
                <w:sz w:val="3"/>
                <w:szCs w:val="3"/>
                <w:color w:val="auto"/>
              </w:rPr>
            </w:pPr>
          </w:p>
        </w:tc>
        <w:tc>
          <w:tcPr>
            <w:tcW w:w="940" w:type="dxa"/>
            <w:vAlign w:val="bottom"/>
            <w:gridSpan w:val="2"/>
          </w:tcPr>
          <w:p>
            <w:pPr>
              <w:spacing w:after="0"/>
              <w:rPr>
                <w:sz w:val="3"/>
                <w:szCs w:val="3"/>
                <w:color w:val="auto"/>
              </w:rPr>
            </w:pPr>
          </w:p>
        </w:tc>
        <w:tc>
          <w:tcPr>
            <w:tcW w:w="1040" w:type="dxa"/>
            <w:vAlign w:val="bottom"/>
            <w:gridSpan w:val="2"/>
          </w:tcPr>
          <w:p>
            <w:pPr>
              <w:spacing w:after="0"/>
              <w:rPr>
                <w:sz w:val="3"/>
                <w:szCs w:val="3"/>
                <w:color w:val="auto"/>
              </w:rPr>
            </w:pPr>
          </w:p>
        </w:tc>
        <w:tc>
          <w:tcPr>
            <w:tcW w:w="94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24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Borders>
              <w:top w:val="single" w:sz="8" w:color="231F20"/>
              <w:bottom w:val="single" w:sz="8" w:color="231F20"/>
            </w:tcBorders>
          </w:tcPr>
          <w:p>
            <w:pPr>
              <w:ind w:left="40"/>
              <w:spacing w:after="0"/>
              <w:rPr>
                <w:sz w:val="20"/>
                <w:szCs w:val="20"/>
                <w:color w:val="auto"/>
              </w:rPr>
            </w:pPr>
            <w:r>
              <w:rPr>
                <w:rFonts w:ascii="Times New Roman" w:cs="Times New Roman" w:eastAsia="Times New Roman" w:hAnsi="Times New Roman"/>
                <w:sz w:val="15"/>
                <w:szCs w:val="15"/>
                <w:color w:val="231F20"/>
              </w:rPr>
              <w:t>$   521,759</w:t>
            </w:r>
          </w:p>
        </w:tc>
        <w:tc>
          <w:tcPr>
            <w:tcW w:w="80" w:type="dxa"/>
            <w:vAlign w:val="bottom"/>
          </w:tcPr>
          <w:p>
            <w:pPr>
              <w:spacing w:after="0"/>
              <w:rPr>
                <w:sz w:val="17"/>
                <w:szCs w:val="17"/>
                <w:color w:val="auto"/>
              </w:rPr>
            </w:pPr>
          </w:p>
        </w:tc>
        <w:tc>
          <w:tcPr>
            <w:tcW w:w="90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15"/>
                <w:szCs w:val="15"/>
                <w:color w:val="231F20"/>
              </w:rPr>
              <w:t>$ 1,932,134</w:t>
            </w:r>
          </w:p>
        </w:tc>
        <w:tc>
          <w:tcPr>
            <w:tcW w:w="80" w:type="dxa"/>
            <w:vAlign w:val="bottom"/>
          </w:tcPr>
          <w:p>
            <w:pPr>
              <w:spacing w:after="0"/>
              <w:rPr>
                <w:sz w:val="17"/>
                <w:szCs w:val="17"/>
                <w:color w:val="auto"/>
              </w:rPr>
            </w:pPr>
          </w:p>
        </w:tc>
        <w:tc>
          <w:tcPr>
            <w:tcW w:w="94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15"/>
                <w:szCs w:val="15"/>
                <w:color w:val="231F20"/>
              </w:rPr>
              <w:t>$  3,851,563</w:t>
            </w:r>
          </w:p>
        </w:tc>
        <w:tc>
          <w:tcPr>
            <w:tcW w:w="80" w:type="dxa"/>
            <w:vAlign w:val="bottom"/>
          </w:tcPr>
          <w:p>
            <w:pPr>
              <w:spacing w:after="0"/>
              <w:rPr>
                <w:sz w:val="17"/>
                <w:szCs w:val="17"/>
                <w:color w:val="auto"/>
              </w:rPr>
            </w:pPr>
          </w:p>
        </w:tc>
        <w:tc>
          <w:tcPr>
            <w:tcW w:w="86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15"/>
                <w:szCs w:val="15"/>
                <w:color w:val="231F20"/>
              </w:rPr>
              <w:t>$ 5,856,205</w:t>
            </w:r>
          </w:p>
        </w:tc>
        <w:tc>
          <w:tcPr>
            <w:tcW w:w="80" w:type="dxa"/>
            <w:vAlign w:val="bottom"/>
          </w:tcPr>
          <w:p>
            <w:pPr>
              <w:spacing w:after="0"/>
              <w:rPr>
                <w:sz w:val="17"/>
                <w:szCs w:val="17"/>
                <w:color w:val="auto"/>
              </w:rPr>
            </w:pPr>
          </w:p>
        </w:tc>
        <w:tc>
          <w:tcPr>
            <w:tcW w:w="86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15"/>
                <w:szCs w:val="15"/>
                <w:color w:val="231F20"/>
              </w:rPr>
              <w:t>$ 1,922,252</w:t>
            </w:r>
          </w:p>
        </w:tc>
        <w:tc>
          <w:tcPr>
            <w:tcW w:w="80" w:type="dxa"/>
            <w:vAlign w:val="bottom"/>
          </w:tcPr>
          <w:p>
            <w:pPr>
              <w:spacing w:after="0"/>
              <w:rPr>
                <w:sz w:val="17"/>
                <w:szCs w:val="17"/>
                <w:color w:val="auto"/>
              </w:rPr>
            </w:pPr>
          </w:p>
        </w:tc>
        <w:tc>
          <w:tcPr>
            <w:tcW w:w="96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15"/>
                <w:szCs w:val="15"/>
                <w:color w:val="231F20"/>
              </w:rPr>
              <w:t>$  9,717,650</w:t>
            </w:r>
          </w:p>
        </w:tc>
        <w:tc>
          <w:tcPr>
            <w:tcW w:w="60" w:type="dxa"/>
            <w:vAlign w:val="bottom"/>
          </w:tcPr>
          <w:p>
            <w:pPr>
              <w:spacing w:after="0"/>
              <w:rPr>
                <w:sz w:val="17"/>
                <w:szCs w:val="17"/>
                <w:color w:val="auto"/>
              </w:rPr>
            </w:pPr>
          </w:p>
        </w:tc>
        <w:tc>
          <w:tcPr>
            <w:tcW w:w="88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15"/>
                <w:szCs w:val="15"/>
                <w:color w:val="231F20"/>
              </w:rPr>
              <w:t>$11,639,902</w:t>
            </w:r>
          </w:p>
        </w:tc>
        <w:tc>
          <w:tcPr>
            <w:tcW w:w="60" w:type="dxa"/>
            <w:vAlign w:val="bottom"/>
          </w:tcPr>
          <w:p>
            <w:pPr>
              <w:spacing w:after="0"/>
              <w:rPr>
                <w:sz w:val="17"/>
                <w:szCs w:val="17"/>
                <w:color w:val="auto"/>
              </w:rPr>
            </w:pPr>
          </w:p>
        </w:tc>
        <w:tc>
          <w:tcPr>
            <w:tcW w:w="90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15"/>
                <w:szCs w:val="15"/>
                <w:color w:val="231F20"/>
              </w:rPr>
              <w:t>$ 3,351,881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9"/>
          <w:szCs w:val="19"/>
          <w:color w:val="231F20"/>
        </w:rPr>
        <w:t>(1) Depreciation of building and improvements is calculated based on useful lives ranging from the life of the lease to 50 years.</w:t>
      </w:r>
    </w:p>
    <w:p>
      <w:pPr>
        <w:sectPr>
          <w:pgSz w:w="15480" w:h="11880" w:orient="landscape"/>
          <w:cols w:equalWidth="0" w:num="1">
            <w:col w:w="13120"/>
          </w:cols>
          <w:pgMar w:left="1180" w:top="865"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F-46</w:t>
      </w:r>
    </w:p>
    <w:p>
      <w:pPr>
        <w:sectPr>
          <w:pgSz w:w="15480" w:h="11880" w:orient="landscape"/>
          <w:cols w:equalWidth="0" w:num="1">
            <w:col w:w="13120"/>
          </w:cols>
          <w:pgMar w:left="1180" w:top="865" w:right="1180" w:bottom="0" w:gutter="0" w:footer="0" w:header="0"/>
          <w:type w:val="continuous"/>
        </w:sectPr>
      </w:pPr>
    </w:p>
    <w:bookmarkStart w:id="110" w:name="page111"/>
    <w:bookmarkEnd w:id="110"/>
    <w:p>
      <w:pPr>
        <w:jc w:val="center"/>
        <w:ind w:right="-19"/>
        <w:spacing w:after="0"/>
        <w:rPr>
          <w:sz w:val="20"/>
          <w:szCs w:val="20"/>
          <w:color w:val="auto"/>
        </w:rPr>
      </w:pPr>
      <w:r>
        <w:rPr>
          <w:rFonts w:ascii="Times New Roman" w:cs="Times New Roman" w:eastAsia="Times New Roman" w:hAnsi="Times New Roman"/>
          <w:sz w:val="19"/>
          <w:szCs w:val="19"/>
          <w:b w:val="1"/>
          <w:bCs w:val="1"/>
          <w:color w:val="231F20"/>
        </w:rPr>
        <w:t>FEDERAL REALTY INVESTMENT TRUST AND FEDERAL REALTY OP LP</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231F20"/>
        </w:rPr>
        <w:t>SCHEDULE III</w:t>
      </w:r>
    </w:p>
    <w:p>
      <w:pPr>
        <w:spacing w:after="0" w:line="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231F20"/>
        </w:rPr>
        <w:t>SUMMARY OF REAL ESTATE AND ACCUMULATED DEPRECIATION - CONTINUED</w:t>
      </w:r>
    </w:p>
    <w:p>
      <w:pPr>
        <w:spacing w:after="0" w:line="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231F20"/>
        </w:rPr>
        <w:t>Three Years Ended December 31, 2025</w:t>
      </w:r>
    </w:p>
    <w:p>
      <w:pPr>
        <w:spacing w:after="0" w:line="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231F20"/>
        </w:rPr>
        <w:t>Reconciliation of Total Cost</w:t>
      </w:r>
    </w:p>
    <w:p>
      <w:pPr>
        <w:spacing w:after="0" w:line="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231F20"/>
        </w:rPr>
        <w:t>(in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86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 xml:space="preserve">Balance, December 31, 2022 </w:t>
            </w:r>
            <w:r>
              <w:rPr>
                <w:rFonts w:ascii="Times New Roman" w:cs="Times New Roman" w:eastAsia="Times New Roman" w:hAnsi="Times New Roman"/>
                <w:sz w:val="19"/>
                <w:szCs w:val="19"/>
                <w:color w:val="C3C5C7"/>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$ 10,104,499</w:t>
            </w:r>
          </w:p>
        </w:tc>
        <w:tc>
          <w:tcPr>
            <w:tcW w:w="0" w:type="dxa"/>
            <w:vAlign w:val="bottom"/>
          </w:tcPr>
          <w:p>
            <w:pPr>
              <w:spacing w:after="0"/>
              <w:rPr>
                <w:sz w:val="1"/>
                <w:szCs w:val="1"/>
                <w:color w:val="auto"/>
              </w:rPr>
            </w:pPr>
          </w:p>
        </w:tc>
      </w:tr>
      <w:tr>
        <w:trPr>
          <w:trHeight w:val="271"/>
        </w:trPr>
        <w:tc>
          <w:tcPr>
            <w:tcW w:w="8600" w:type="dxa"/>
            <w:vAlign w:val="bottom"/>
          </w:tcPr>
          <w:p>
            <w:pPr>
              <w:jc w:val="right"/>
              <w:ind w:right="6405"/>
              <w:spacing w:after="0"/>
              <w:rPr>
                <w:sz w:val="20"/>
                <w:szCs w:val="20"/>
                <w:color w:val="auto"/>
              </w:rPr>
            </w:pPr>
            <w:r>
              <w:rPr>
                <w:rFonts w:ascii="Times New Roman" w:cs="Times New Roman" w:eastAsia="Times New Roman" w:hAnsi="Times New Roman"/>
                <w:sz w:val="19"/>
                <w:szCs w:val="19"/>
                <w:color w:val="231F20"/>
              </w:rPr>
              <w:t>Additions during period</w:t>
            </w: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86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 xml:space="preserve">Improvements </w:t>
            </w:r>
            <w:r>
              <w:rPr>
                <w:rFonts w:ascii="Times New Roman" w:cs="Times New Roman" w:eastAsia="Times New Roman" w:hAnsi="Times New Roman"/>
                <w:sz w:val="19"/>
                <w:szCs w:val="19"/>
                <w:color w:val="C3C5C7"/>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287,286</w:t>
            </w:r>
          </w:p>
        </w:tc>
        <w:tc>
          <w:tcPr>
            <w:tcW w:w="0" w:type="dxa"/>
            <w:vAlign w:val="bottom"/>
          </w:tcPr>
          <w:p>
            <w:pPr>
              <w:spacing w:after="0"/>
              <w:rPr>
                <w:sz w:val="1"/>
                <w:szCs w:val="1"/>
                <w:color w:val="auto"/>
              </w:rPr>
            </w:pPr>
          </w:p>
        </w:tc>
      </w:tr>
      <w:tr>
        <w:trPr>
          <w:trHeight w:val="271"/>
        </w:trPr>
        <w:tc>
          <w:tcPr>
            <w:tcW w:w="86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Reconsolidation of VIE</w:t>
            </w:r>
            <w:r>
              <w:rPr>
                <w:rFonts w:ascii="Times New Roman" w:cs="Times New Roman" w:eastAsia="Times New Roman" w:hAnsi="Times New Roman"/>
                <w:sz w:val="19"/>
                <w:szCs w:val="19"/>
                <w:color w:val="C3C5C7"/>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135,017</w:t>
            </w:r>
          </w:p>
        </w:tc>
        <w:tc>
          <w:tcPr>
            <w:tcW w:w="0" w:type="dxa"/>
            <w:vAlign w:val="bottom"/>
          </w:tcPr>
          <w:p>
            <w:pPr>
              <w:spacing w:after="0"/>
              <w:rPr>
                <w:sz w:val="1"/>
                <w:szCs w:val="1"/>
                <w:color w:val="auto"/>
              </w:rPr>
            </w:pPr>
          </w:p>
        </w:tc>
      </w:tr>
      <w:tr>
        <w:trPr>
          <w:trHeight w:val="271"/>
        </w:trPr>
        <w:tc>
          <w:tcPr>
            <w:tcW w:w="8600" w:type="dxa"/>
            <w:vAlign w:val="bottom"/>
          </w:tcPr>
          <w:p>
            <w:pPr>
              <w:jc w:val="right"/>
              <w:ind w:right="6965"/>
              <w:spacing w:after="0"/>
              <w:rPr>
                <w:sz w:val="20"/>
                <w:szCs w:val="20"/>
                <w:color w:val="auto"/>
              </w:rPr>
            </w:pPr>
            <w:r>
              <w:rPr>
                <w:rFonts w:ascii="Times New Roman" w:cs="Times New Roman" w:eastAsia="Times New Roman" w:hAnsi="Times New Roman"/>
                <w:sz w:val="19"/>
                <w:szCs w:val="19"/>
                <w:color w:val="231F20"/>
              </w:rPr>
              <w:t>Acquisitions</w:t>
            </w:r>
          </w:p>
        </w:tc>
        <w:tc>
          <w:tcPr>
            <w:tcW w:w="11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74,723</w:t>
            </w:r>
          </w:p>
        </w:tc>
        <w:tc>
          <w:tcPr>
            <w:tcW w:w="0" w:type="dxa"/>
            <w:vAlign w:val="bottom"/>
          </w:tcPr>
          <w:p>
            <w:pPr>
              <w:spacing w:after="0"/>
              <w:rPr>
                <w:sz w:val="1"/>
                <w:szCs w:val="1"/>
                <w:color w:val="auto"/>
              </w:rPr>
            </w:pPr>
          </w:p>
        </w:tc>
      </w:tr>
      <w:tr>
        <w:trPr>
          <w:trHeight w:val="272"/>
        </w:trPr>
        <w:tc>
          <w:tcPr>
            <w:tcW w:w="86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Deduction during period—dispositions and retirements of property</w:t>
            </w:r>
            <w:r>
              <w:rPr>
                <w:rFonts w:ascii="Times New Roman" w:cs="Times New Roman" w:eastAsia="Times New Roman" w:hAnsi="Times New Roman"/>
                <w:sz w:val="19"/>
                <w:szCs w:val="19"/>
                <w:color w:val="C3C5C7"/>
              </w:rPr>
              <w:t>....................................................................</w:t>
            </w:r>
          </w:p>
        </w:tc>
        <w:tc>
          <w:tcPr>
            <w:tcW w:w="11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(55,338)</w:t>
            </w:r>
          </w:p>
        </w:tc>
        <w:tc>
          <w:tcPr>
            <w:tcW w:w="0" w:type="dxa"/>
            <w:vAlign w:val="bottom"/>
          </w:tcPr>
          <w:p>
            <w:pPr>
              <w:spacing w:after="0"/>
              <w:rPr>
                <w:sz w:val="1"/>
                <w:szCs w:val="1"/>
                <w:color w:val="auto"/>
              </w:rPr>
            </w:pPr>
          </w:p>
        </w:tc>
      </w:tr>
      <w:tr>
        <w:trPr>
          <w:trHeight w:val="250"/>
        </w:trPr>
        <w:tc>
          <w:tcPr>
            <w:tcW w:w="86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 xml:space="preserve">Balance, December 31, 2023 </w:t>
            </w:r>
            <w:r>
              <w:rPr>
                <w:rFonts w:ascii="Times New Roman" w:cs="Times New Roman" w:eastAsia="Times New Roman" w:hAnsi="Times New Roman"/>
                <w:sz w:val="19"/>
                <w:szCs w:val="19"/>
                <w:color w:val="C3C5C7"/>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10,546,187</w:t>
            </w:r>
          </w:p>
        </w:tc>
        <w:tc>
          <w:tcPr>
            <w:tcW w:w="0" w:type="dxa"/>
            <w:vAlign w:val="bottom"/>
          </w:tcPr>
          <w:p>
            <w:pPr>
              <w:spacing w:after="0"/>
              <w:rPr>
                <w:sz w:val="1"/>
                <w:szCs w:val="1"/>
                <w:color w:val="auto"/>
              </w:rPr>
            </w:pPr>
          </w:p>
        </w:tc>
      </w:tr>
      <w:tr>
        <w:trPr>
          <w:trHeight w:val="271"/>
        </w:trPr>
        <w:tc>
          <w:tcPr>
            <w:tcW w:w="8600" w:type="dxa"/>
            <w:vAlign w:val="bottom"/>
          </w:tcPr>
          <w:p>
            <w:pPr>
              <w:jc w:val="right"/>
              <w:ind w:right="6405"/>
              <w:spacing w:after="0"/>
              <w:rPr>
                <w:sz w:val="20"/>
                <w:szCs w:val="20"/>
                <w:color w:val="auto"/>
              </w:rPr>
            </w:pPr>
            <w:r>
              <w:rPr>
                <w:rFonts w:ascii="Times New Roman" w:cs="Times New Roman" w:eastAsia="Times New Roman" w:hAnsi="Times New Roman"/>
                <w:sz w:val="19"/>
                <w:szCs w:val="19"/>
                <w:color w:val="231F20"/>
              </w:rPr>
              <w:t>Additions during period</w:t>
            </w: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86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 xml:space="preserve">Acquisitions </w:t>
            </w:r>
            <w:r>
              <w:rPr>
                <w:rFonts w:ascii="Times New Roman" w:cs="Times New Roman" w:eastAsia="Times New Roman" w:hAnsi="Times New Roman"/>
                <w:sz w:val="19"/>
                <w:szCs w:val="19"/>
                <w:color w:val="C3C5C7"/>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266,877</w:t>
            </w:r>
          </w:p>
        </w:tc>
        <w:tc>
          <w:tcPr>
            <w:tcW w:w="0" w:type="dxa"/>
            <w:vAlign w:val="bottom"/>
          </w:tcPr>
          <w:p>
            <w:pPr>
              <w:spacing w:after="0"/>
              <w:rPr>
                <w:sz w:val="1"/>
                <w:szCs w:val="1"/>
                <w:color w:val="auto"/>
              </w:rPr>
            </w:pPr>
          </w:p>
        </w:tc>
      </w:tr>
      <w:tr>
        <w:trPr>
          <w:trHeight w:val="271"/>
        </w:trPr>
        <w:tc>
          <w:tcPr>
            <w:tcW w:w="86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 xml:space="preserve">Improvements </w:t>
            </w:r>
            <w:r>
              <w:rPr>
                <w:rFonts w:ascii="Times New Roman" w:cs="Times New Roman" w:eastAsia="Times New Roman" w:hAnsi="Times New Roman"/>
                <w:sz w:val="19"/>
                <w:szCs w:val="19"/>
                <w:color w:val="C3C5C7"/>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249,043</w:t>
            </w:r>
          </w:p>
        </w:tc>
        <w:tc>
          <w:tcPr>
            <w:tcW w:w="0" w:type="dxa"/>
            <w:vAlign w:val="bottom"/>
          </w:tcPr>
          <w:p>
            <w:pPr>
              <w:spacing w:after="0"/>
              <w:rPr>
                <w:sz w:val="1"/>
                <w:szCs w:val="1"/>
                <w:color w:val="auto"/>
              </w:rPr>
            </w:pPr>
          </w:p>
        </w:tc>
      </w:tr>
      <w:tr>
        <w:trPr>
          <w:trHeight w:val="272"/>
        </w:trPr>
        <w:tc>
          <w:tcPr>
            <w:tcW w:w="86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Deduction during period—dispositions and retirements of property</w:t>
            </w:r>
            <w:r>
              <w:rPr>
                <w:rFonts w:ascii="Times New Roman" w:cs="Times New Roman" w:eastAsia="Times New Roman" w:hAnsi="Times New Roman"/>
                <w:sz w:val="19"/>
                <w:szCs w:val="19"/>
                <w:color w:val="C3C5C7"/>
              </w:rPr>
              <w:t>....................................................................</w:t>
            </w:r>
          </w:p>
        </w:tc>
        <w:tc>
          <w:tcPr>
            <w:tcW w:w="11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(158,394)</w:t>
            </w:r>
          </w:p>
        </w:tc>
        <w:tc>
          <w:tcPr>
            <w:tcW w:w="0" w:type="dxa"/>
            <w:vAlign w:val="bottom"/>
          </w:tcPr>
          <w:p>
            <w:pPr>
              <w:spacing w:after="0"/>
              <w:rPr>
                <w:sz w:val="1"/>
                <w:szCs w:val="1"/>
                <w:color w:val="auto"/>
              </w:rPr>
            </w:pPr>
          </w:p>
        </w:tc>
      </w:tr>
      <w:tr>
        <w:trPr>
          <w:trHeight w:val="250"/>
        </w:trPr>
        <w:tc>
          <w:tcPr>
            <w:tcW w:w="86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 xml:space="preserve">Balance, December 31, 2024 </w:t>
            </w:r>
            <w:r>
              <w:rPr>
                <w:rFonts w:ascii="Times New Roman" w:cs="Times New Roman" w:eastAsia="Times New Roman" w:hAnsi="Times New Roman"/>
                <w:sz w:val="19"/>
                <w:szCs w:val="19"/>
                <w:color w:val="C3C5C7"/>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10,903,713</w:t>
            </w:r>
          </w:p>
        </w:tc>
        <w:tc>
          <w:tcPr>
            <w:tcW w:w="0" w:type="dxa"/>
            <w:vAlign w:val="bottom"/>
          </w:tcPr>
          <w:p>
            <w:pPr>
              <w:spacing w:after="0"/>
              <w:rPr>
                <w:sz w:val="1"/>
                <w:szCs w:val="1"/>
                <w:color w:val="auto"/>
              </w:rPr>
            </w:pPr>
          </w:p>
        </w:tc>
      </w:tr>
      <w:tr>
        <w:trPr>
          <w:trHeight w:val="271"/>
        </w:trPr>
        <w:tc>
          <w:tcPr>
            <w:tcW w:w="8600" w:type="dxa"/>
            <w:vAlign w:val="bottom"/>
          </w:tcPr>
          <w:p>
            <w:pPr>
              <w:jc w:val="right"/>
              <w:ind w:right="6405"/>
              <w:spacing w:after="0"/>
              <w:rPr>
                <w:sz w:val="20"/>
                <w:szCs w:val="20"/>
                <w:color w:val="auto"/>
              </w:rPr>
            </w:pPr>
            <w:r>
              <w:rPr>
                <w:rFonts w:ascii="Times New Roman" w:cs="Times New Roman" w:eastAsia="Times New Roman" w:hAnsi="Times New Roman"/>
                <w:sz w:val="19"/>
                <w:szCs w:val="19"/>
                <w:color w:val="231F20"/>
              </w:rPr>
              <w:t>Additions during period</w:t>
            </w: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86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 xml:space="preserve">Acquisitions </w:t>
            </w:r>
            <w:r>
              <w:rPr>
                <w:rFonts w:ascii="Times New Roman" w:cs="Times New Roman" w:eastAsia="Times New Roman" w:hAnsi="Times New Roman"/>
                <w:sz w:val="19"/>
                <w:szCs w:val="19"/>
                <w:color w:val="C3C5C7"/>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715,549</w:t>
            </w:r>
          </w:p>
        </w:tc>
        <w:tc>
          <w:tcPr>
            <w:tcW w:w="0" w:type="dxa"/>
            <w:vAlign w:val="bottom"/>
          </w:tcPr>
          <w:p>
            <w:pPr>
              <w:spacing w:after="0"/>
              <w:rPr>
                <w:sz w:val="1"/>
                <w:szCs w:val="1"/>
                <w:color w:val="auto"/>
              </w:rPr>
            </w:pPr>
          </w:p>
        </w:tc>
      </w:tr>
      <w:tr>
        <w:trPr>
          <w:trHeight w:val="271"/>
        </w:trPr>
        <w:tc>
          <w:tcPr>
            <w:tcW w:w="86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 xml:space="preserve">Improvements </w:t>
            </w:r>
            <w:r>
              <w:rPr>
                <w:rFonts w:ascii="Times New Roman" w:cs="Times New Roman" w:eastAsia="Times New Roman" w:hAnsi="Times New Roman"/>
                <w:sz w:val="19"/>
                <w:szCs w:val="19"/>
                <w:color w:val="C3C5C7"/>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300,724</w:t>
            </w:r>
          </w:p>
        </w:tc>
        <w:tc>
          <w:tcPr>
            <w:tcW w:w="0" w:type="dxa"/>
            <w:vAlign w:val="bottom"/>
          </w:tcPr>
          <w:p>
            <w:pPr>
              <w:spacing w:after="0"/>
              <w:rPr>
                <w:sz w:val="1"/>
                <w:szCs w:val="1"/>
                <w:color w:val="auto"/>
              </w:rPr>
            </w:pPr>
          </w:p>
        </w:tc>
      </w:tr>
      <w:tr>
        <w:trPr>
          <w:trHeight w:val="271"/>
        </w:trPr>
        <w:tc>
          <w:tcPr>
            <w:tcW w:w="86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 xml:space="preserve">Deduction during period </w:t>
            </w:r>
            <w:r>
              <w:rPr>
                <w:rFonts w:ascii="Times New Roman" w:cs="Times New Roman" w:eastAsia="Times New Roman" w:hAnsi="Times New Roman"/>
                <w:sz w:val="19"/>
                <w:szCs w:val="19"/>
                <w:color w:val="C3C5C7"/>
              </w:rPr>
              <w:t>......................................................................................................................................</w:t>
            </w: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8600" w:type="dxa"/>
            <w:vAlign w:val="bottom"/>
          </w:tcPr>
          <w:p>
            <w:pPr>
              <w:jc w:val="right"/>
              <w:ind w:right="4905"/>
              <w:spacing w:after="0"/>
              <w:rPr>
                <w:sz w:val="20"/>
                <w:szCs w:val="20"/>
                <w:color w:val="auto"/>
              </w:rPr>
            </w:pPr>
            <w:r>
              <w:rPr>
                <w:rFonts w:ascii="Times New Roman" w:cs="Times New Roman" w:eastAsia="Times New Roman" w:hAnsi="Times New Roman"/>
                <w:sz w:val="19"/>
                <w:szCs w:val="19"/>
                <w:color w:val="231F20"/>
              </w:rPr>
              <w:t>Dispositions and retirements of property</w:t>
            </w:r>
          </w:p>
        </w:tc>
        <w:tc>
          <w:tcPr>
            <w:tcW w:w="11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(272,659)</w:t>
            </w:r>
          </w:p>
        </w:tc>
        <w:tc>
          <w:tcPr>
            <w:tcW w:w="0" w:type="dxa"/>
            <w:vAlign w:val="bottom"/>
          </w:tcPr>
          <w:p>
            <w:pPr>
              <w:spacing w:after="0"/>
              <w:rPr>
                <w:sz w:val="1"/>
                <w:szCs w:val="1"/>
                <w:color w:val="auto"/>
              </w:rPr>
            </w:pPr>
          </w:p>
        </w:tc>
      </w:tr>
      <w:tr>
        <w:trPr>
          <w:trHeight w:val="272"/>
        </w:trPr>
        <w:tc>
          <w:tcPr>
            <w:tcW w:w="86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Impairment of property</w:t>
            </w:r>
            <w:r>
              <w:rPr>
                <w:rFonts w:ascii="Times New Roman" w:cs="Times New Roman" w:eastAsia="Times New Roman" w:hAnsi="Times New Roman"/>
                <w:sz w:val="19"/>
                <w:szCs w:val="19"/>
                <w:color w:val="C3C5C7"/>
              </w:rPr>
              <w:t>...................................................................................................................................</w:t>
            </w:r>
          </w:p>
        </w:tc>
        <w:tc>
          <w:tcPr>
            <w:tcW w:w="11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(7,425)</w:t>
            </w:r>
          </w:p>
        </w:tc>
        <w:tc>
          <w:tcPr>
            <w:tcW w:w="0" w:type="dxa"/>
            <w:vAlign w:val="bottom"/>
          </w:tcPr>
          <w:p>
            <w:pPr>
              <w:spacing w:after="0"/>
              <w:rPr>
                <w:sz w:val="1"/>
                <w:szCs w:val="1"/>
                <w:color w:val="auto"/>
              </w:rPr>
            </w:pPr>
          </w:p>
        </w:tc>
      </w:tr>
      <w:tr>
        <w:trPr>
          <w:trHeight w:val="233"/>
        </w:trPr>
        <w:tc>
          <w:tcPr>
            <w:tcW w:w="86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 xml:space="preserve">Balance, December 31, 2025 (1) </w:t>
            </w:r>
            <w:r>
              <w:rPr>
                <w:rFonts w:ascii="Times New Roman" w:cs="Times New Roman" w:eastAsia="Times New Roman" w:hAnsi="Times New Roman"/>
                <w:sz w:val="19"/>
                <w:szCs w:val="19"/>
                <w:color w:val="C3C5C7"/>
              </w:rPr>
              <w:t>..............................................................................................................................</w:t>
            </w:r>
          </w:p>
        </w:tc>
        <w:tc>
          <w:tcPr>
            <w:tcW w:w="11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$ 11,639,902</w:t>
            </w:r>
          </w:p>
        </w:tc>
        <w:tc>
          <w:tcPr>
            <w:tcW w:w="0" w:type="dxa"/>
            <w:vAlign w:val="bottom"/>
          </w:tcPr>
          <w:p>
            <w:pPr>
              <w:spacing w:after="0"/>
              <w:rPr>
                <w:sz w:val="1"/>
                <w:szCs w:val="1"/>
                <w:color w:val="auto"/>
              </w:rPr>
            </w:pPr>
          </w:p>
        </w:tc>
      </w:tr>
      <w:tr>
        <w:trPr>
          <w:trHeight w:val="20"/>
        </w:trPr>
        <w:tc>
          <w:tcPr>
            <w:tcW w:w="8600" w:type="dxa"/>
            <w:vAlign w:val="bottom"/>
            <w:vMerge w:val="restart"/>
          </w:tcPr>
          <w:p>
            <w:pPr>
              <w:spacing w:after="0"/>
              <w:rPr>
                <w:sz w:val="20"/>
                <w:szCs w:val="20"/>
                <w:color w:val="auto"/>
              </w:rPr>
            </w:pPr>
            <w:r>
              <w:rPr>
                <w:rFonts w:ascii="Times New Roman" w:cs="Times New Roman" w:eastAsia="Times New Roman" w:hAnsi="Times New Roman"/>
                <w:sz w:val="19"/>
                <w:szCs w:val="19"/>
                <w:color w:val="231F20"/>
              </w:rPr>
              <w:t>_____________________</w:t>
            </w:r>
          </w:p>
        </w:tc>
        <w:tc>
          <w:tcPr>
            <w:tcW w:w="114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8600" w:type="dxa"/>
            <w:vAlign w:val="bottom"/>
            <w:vMerge w:val="continue"/>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23"/>
        </w:trPr>
        <w:tc>
          <w:tcPr>
            <w:tcW w:w="8600" w:type="dxa"/>
            <w:vAlign w:val="bottom"/>
          </w:tcPr>
          <w:p>
            <w:pPr>
              <w:spacing w:after="0"/>
              <w:rPr>
                <w:sz w:val="20"/>
                <w:szCs w:val="20"/>
                <w:color w:val="auto"/>
              </w:rPr>
            </w:pPr>
            <w:r>
              <w:rPr>
                <w:rFonts w:ascii="Times New Roman" w:cs="Times New Roman" w:eastAsia="Times New Roman" w:hAnsi="Times New Roman"/>
                <w:sz w:val="19"/>
                <w:szCs w:val="19"/>
                <w:color w:val="231F20"/>
              </w:rPr>
              <w:t>(1) For Federal tax purposes, the aggregate cost basis is approximately $10.2 billion as of December 31, 2025.</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9740"/>
          </w:cols>
          <w:pgMar w:left="1060" w:top="958"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231F20"/>
        </w:rPr>
        <w:t>F-47</w:t>
      </w:r>
    </w:p>
    <w:p>
      <w:pPr>
        <w:sectPr>
          <w:pgSz w:w="11880" w:h="15480" w:orient="portrait"/>
          <w:cols w:equalWidth="0" w:num="1">
            <w:col w:w="9740"/>
          </w:cols>
          <w:pgMar w:left="1060" w:top="958" w:right="1080" w:bottom="0" w:gutter="0" w:footer="0" w:header="0"/>
          <w:type w:val="continuous"/>
        </w:sectPr>
      </w:pPr>
    </w:p>
    <w:bookmarkStart w:id="111" w:name="page112"/>
    <w:bookmarkEnd w:id="111"/>
    <w:p>
      <w:pPr>
        <w:jc w:val="center"/>
        <w:ind w:right="40"/>
        <w:spacing w:after="0"/>
        <w:rPr>
          <w:sz w:val="20"/>
          <w:szCs w:val="20"/>
          <w:color w:val="auto"/>
        </w:rPr>
      </w:pPr>
      <w:r>
        <w:rPr>
          <w:rFonts w:ascii="Times New Roman" w:cs="Times New Roman" w:eastAsia="Times New Roman" w:hAnsi="Times New Roman"/>
          <w:sz w:val="19"/>
          <w:szCs w:val="19"/>
          <w:b w:val="1"/>
          <w:bCs w:val="1"/>
          <w:color w:val="231F20"/>
        </w:rPr>
        <w:t>FEDERAL REALTY INVESTMENT TRUST AND FEDERAL REALTY OP LP</w:t>
      </w:r>
    </w:p>
    <w:p>
      <w:pPr>
        <w:spacing w:after="0" w:line="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b w:val="1"/>
          <w:bCs w:val="1"/>
          <w:color w:val="231F20"/>
        </w:rPr>
        <w:t>SCHEDULE III</w:t>
      </w:r>
    </w:p>
    <w:p>
      <w:pPr>
        <w:spacing w:after="0" w:line="1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b w:val="1"/>
          <w:bCs w:val="1"/>
          <w:color w:val="231F20"/>
        </w:rPr>
        <w:t>SUMMARY OF REAL ESTATE AND ACCUMULATED DEPRECIATION - CONTINUED</w:t>
      </w:r>
    </w:p>
    <w:p>
      <w:pPr>
        <w:spacing w:after="0" w:line="1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b w:val="1"/>
          <w:bCs w:val="1"/>
          <w:color w:val="231F20"/>
        </w:rPr>
        <w:t>Three Years Ended December 31, 2025</w:t>
      </w:r>
    </w:p>
    <w:p>
      <w:pPr>
        <w:spacing w:after="0" w:line="1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b w:val="1"/>
          <w:bCs w:val="1"/>
          <w:color w:val="231F20"/>
        </w:rPr>
        <w:t>Reconciliation of Accumulated Depreciation and Amortization</w:t>
      </w:r>
    </w:p>
    <w:p>
      <w:pPr>
        <w:spacing w:after="0" w:line="1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b w:val="1"/>
          <w:bCs w:val="1"/>
          <w:color w:val="231F20"/>
        </w:rPr>
        <w:t>(In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8540" w:type="dxa"/>
            <w:vAlign w:val="bottom"/>
          </w:tcPr>
          <w:p>
            <w:pPr>
              <w:jc w:val="right"/>
              <w:spacing w:after="0"/>
              <w:rPr>
                <w:sz w:val="20"/>
                <w:szCs w:val="20"/>
                <w:color w:val="auto"/>
              </w:rPr>
            </w:pPr>
            <w:r>
              <w:rPr>
                <w:rFonts w:ascii="Times New Roman" w:cs="Times New Roman" w:eastAsia="Times New Roman" w:hAnsi="Times New Roman"/>
                <w:sz w:val="19"/>
                <w:szCs w:val="19"/>
                <w:color w:val="231F20"/>
                <w:w w:val="99"/>
              </w:rPr>
              <w:t xml:space="preserve">Balance, December 31, 2022 </w:t>
            </w:r>
            <w:r>
              <w:rPr>
                <w:rFonts w:ascii="Times New Roman" w:cs="Times New Roman" w:eastAsia="Times New Roman" w:hAnsi="Times New Roman"/>
                <w:sz w:val="19"/>
                <w:szCs w:val="19"/>
                <w:color w:val="C3C5C7"/>
                <w:w w:val="99"/>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2,715,817</w:t>
            </w:r>
          </w:p>
        </w:tc>
      </w:tr>
      <w:tr>
        <w:trPr>
          <w:trHeight w:val="271"/>
        </w:trPr>
        <w:tc>
          <w:tcPr>
            <w:tcW w:w="8540" w:type="dxa"/>
            <w:vAlign w:val="bottom"/>
          </w:tcPr>
          <w:p>
            <w:pPr>
              <w:ind w:left="260"/>
              <w:spacing w:after="0"/>
              <w:rPr>
                <w:sz w:val="20"/>
                <w:szCs w:val="20"/>
                <w:color w:val="auto"/>
              </w:rPr>
            </w:pPr>
            <w:r>
              <w:rPr>
                <w:rFonts w:ascii="Times New Roman" w:cs="Times New Roman" w:eastAsia="Times New Roman" w:hAnsi="Times New Roman"/>
                <w:sz w:val="19"/>
                <w:szCs w:val="19"/>
                <w:color w:val="231F20"/>
              </w:rPr>
              <w:t>Additions during period</w:t>
            </w: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71"/>
        </w:trPr>
        <w:tc>
          <w:tcPr>
            <w:tcW w:w="85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 xml:space="preserve">Depreciation and amortization expense </w:t>
            </w:r>
            <w:r>
              <w:rPr>
                <w:rFonts w:ascii="Times New Roman" w:cs="Times New Roman" w:eastAsia="Times New Roman" w:hAnsi="Times New Roman"/>
                <w:sz w:val="19"/>
                <w:szCs w:val="19"/>
                <w:color w:val="C3C5C7"/>
              </w:rPr>
              <w:t>.........................................................................................................</w:t>
            </w:r>
          </w:p>
        </w:tc>
        <w:tc>
          <w:tcPr>
            <w:tcW w:w="2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282,896</w:t>
            </w:r>
          </w:p>
        </w:tc>
      </w:tr>
      <w:tr>
        <w:trPr>
          <w:trHeight w:val="271"/>
        </w:trPr>
        <w:tc>
          <w:tcPr>
            <w:tcW w:w="8540" w:type="dxa"/>
            <w:vAlign w:val="bottom"/>
          </w:tcPr>
          <w:p>
            <w:pPr>
              <w:jc w:val="right"/>
              <w:ind w:right="6125"/>
              <w:spacing w:after="0"/>
              <w:rPr>
                <w:sz w:val="20"/>
                <w:szCs w:val="20"/>
                <w:color w:val="auto"/>
              </w:rPr>
            </w:pPr>
            <w:r>
              <w:rPr>
                <w:rFonts w:ascii="Times New Roman" w:cs="Times New Roman" w:eastAsia="Times New Roman" w:hAnsi="Times New Roman"/>
                <w:sz w:val="19"/>
                <w:szCs w:val="19"/>
                <w:color w:val="231F20"/>
              </w:rPr>
              <w:t>Reconsolidation of VIE</w:t>
            </w:r>
          </w:p>
        </w:tc>
        <w:tc>
          <w:tcPr>
            <w:tcW w:w="2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2,869</w:t>
            </w:r>
          </w:p>
        </w:tc>
      </w:tr>
      <w:tr>
        <w:trPr>
          <w:trHeight w:val="272"/>
        </w:trPr>
        <w:tc>
          <w:tcPr>
            <w:tcW w:w="8540" w:type="dxa"/>
            <w:vAlign w:val="bottom"/>
          </w:tcPr>
          <w:p>
            <w:pPr>
              <w:ind w:left="260"/>
              <w:spacing w:after="0"/>
              <w:rPr>
                <w:sz w:val="20"/>
                <w:szCs w:val="20"/>
                <w:color w:val="auto"/>
              </w:rPr>
            </w:pPr>
            <w:r>
              <w:rPr>
                <w:rFonts w:ascii="Times New Roman" w:cs="Times New Roman" w:eastAsia="Times New Roman" w:hAnsi="Times New Roman"/>
                <w:sz w:val="19"/>
                <w:szCs w:val="19"/>
                <w:color w:val="231F20"/>
              </w:rPr>
              <w:t>Deductions during period -dispositions and retirements of property</w:t>
            </w:r>
          </w:p>
        </w:tc>
        <w:tc>
          <w:tcPr>
            <w:tcW w:w="240" w:type="dxa"/>
            <w:vAlign w:val="bottom"/>
            <w:tcBorders>
              <w:bottom w:val="single" w:sz="8" w:color="231F20"/>
            </w:tcBorders>
          </w:tcPr>
          <w:p>
            <w:pPr>
              <w:spacing w:after="0"/>
              <w:rPr>
                <w:sz w:val="23"/>
                <w:szCs w:val="23"/>
                <w:color w:val="auto"/>
              </w:rPr>
            </w:pPr>
          </w:p>
        </w:tc>
        <w:tc>
          <w:tcPr>
            <w:tcW w:w="9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(38,063)</w:t>
            </w:r>
          </w:p>
        </w:tc>
      </w:tr>
      <w:tr>
        <w:trPr>
          <w:trHeight w:val="250"/>
        </w:trPr>
        <w:tc>
          <w:tcPr>
            <w:tcW w:w="8540" w:type="dxa"/>
            <w:vAlign w:val="bottom"/>
          </w:tcPr>
          <w:p>
            <w:pPr>
              <w:jc w:val="right"/>
              <w:spacing w:after="0"/>
              <w:rPr>
                <w:sz w:val="20"/>
                <w:szCs w:val="20"/>
                <w:color w:val="auto"/>
              </w:rPr>
            </w:pPr>
            <w:r>
              <w:rPr>
                <w:rFonts w:ascii="Times New Roman" w:cs="Times New Roman" w:eastAsia="Times New Roman" w:hAnsi="Times New Roman"/>
                <w:sz w:val="19"/>
                <w:szCs w:val="19"/>
                <w:color w:val="231F20"/>
                <w:w w:val="99"/>
              </w:rPr>
              <w:t xml:space="preserve">Balance, December 31, 2023 </w:t>
            </w:r>
            <w:r>
              <w:rPr>
                <w:rFonts w:ascii="Times New Roman" w:cs="Times New Roman" w:eastAsia="Times New Roman" w:hAnsi="Times New Roman"/>
                <w:sz w:val="19"/>
                <w:szCs w:val="19"/>
                <w:color w:val="C3C5C7"/>
                <w:w w:val="99"/>
              </w:rPr>
              <w:t>....................................................................................................................................</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2,963,519</w:t>
            </w:r>
          </w:p>
        </w:tc>
      </w:tr>
      <w:tr>
        <w:trPr>
          <w:trHeight w:val="271"/>
        </w:trPr>
        <w:tc>
          <w:tcPr>
            <w:tcW w:w="85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Additions during period-depreciation and amortization expense</w:t>
            </w:r>
            <w:r>
              <w:rPr>
                <w:rFonts w:ascii="Times New Roman" w:cs="Times New Roman" w:eastAsia="Times New Roman" w:hAnsi="Times New Roman"/>
                <w:sz w:val="19"/>
                <w:szCs w:val="19"/>
                <w:color w:val="C3C5C7"/>
              </w:rPr>
              <w:t>........................................................................</w:t>
            </w:r>
          </w:p>
        </w:tc>
        <w:tc>
          <w:tcPr>
            <w:tcW w:w="2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302,635</w:t>
            </w:r>
          </w:p>
        </w:tc>
      </w:tr>
      <w:tr>
        <w:trPr>
          <w:trHeight w:val="272"/>
        </w:trPr>
        <w:tc>
          <w:tcPr>
            <w:tcW w:w="8540" w:type="dxa"/>
            <w:vAlign w:val="bottom"/>
          </w:tcPr>
          <w:p>
            <w:pPr>
              <w:ind w:left="260"/>
              <w:spacing w:after="0"/>
              <w:rPr>
                <w:sz w:val="20"/>
                <w:szCs w:val="20"/>
                <w:color w:val="auto"/>
              </w:rPr>
            </w:pPr>
            <w:r>
              <w:rPr>
                <w:rFonts w:ascii="Times New Roman" w:cs="Times New Roman" w:eastAsia="Times New Roman" w:hAnsi="Times New Roman"/>
                <w:sz w:val="19"/>
                <w:szCs w:val="19"/>
                <w:color w:val="231F20"/>
              </w:rPr>
              <w:t>Deductions during period -dispositions and retirements of property</w:t>
            </w:r>
          </w:p>
        </w:tc>
        <w:tc>
          <w:tcPr>
            <w:tcW w:w="240" w:type="dxa"/>
            <w:vAlign w:val="bottom"/>
            <w:tcBorders>
              <w:bottom w:val="single" w:sz="8" w:color="231F20"/>
            </w:tcBorders>
          </w:tcPr>
          <w:p>
            <w:pPr>
              <w:spacing w:after="0"/>
              <w:rPr>
                <w:sz w:val="23"/>
                <w:szCs w:val="23"/>
                <w:color w:val="auto"/>
              </w:rPr>
            </w:pPr>
          </w:p>
        </w:tc>
        <w:tc>
          <w:tcPr>
            <w:tcW w:w="9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(113,355)</w:t>
            </w:r>
          </w:p>
        </w:tc>
      </w:tr>
      <w:tr>
        <w:trPr>
          <w:trHeight w:val="250"/>
        </w:trPr>
        <w:tc>
          <w:tcPr>
            <w:tcW w:w="8540" w:type="dxa"/>
            <w:vAlign w:val="bottom"/>
          </w:tcPr>
          <w:p>
            <w:pPr>
              <w:jc w:val="right"/>
              <w:ind w:right="6245"/>
              <w:spacing w:after="0"/>
              <w:rPr>
                <w:sz w:val="20"/>
                <w:szCs w:val="20"/>
                <w:color w:val="auto"/>
              </w:rPr>
            </w:pPr>
            <w:r>
              <w:rPr>
                <w:rFonts w:ascii="Times New Roman" w:cs="Times New Roman" w:eastAsia="Times New Roman" w:hAnsi="Times New Roman"/>
                <w:sz w:val="19"/>
                <w:szCs w:val="19"/>
                <w:color w:val="231F20"/>
                <w:w w:val="99"/>
              </w:rPr>
              <w:t>Balance, December 31, 2024</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3,152,799</w:t>
            </w:r>
          </w:p>
        </w:tc>
      </w:tr>
      <w:tr>
        <w:trPr>
          <w:trHeight w:val="271"/>
        </w:trPr>
        <w:tc>
          <w:tcPr>
            <w:tcW w:w="85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 xml:space="preserve">Depreciation and amortization expense </w:t>
            </w:r>
            <w:r>
              <w:rPr>
                <w:rFonts w:ascii="Times New Roman" w:cs="Times New Roman" w:eastAsia="Times New Roman" w:hAnsi="Times New Roman"/>
                <w:sz w:val="19"/>
                <w:szCs w:val="19"/>
                <w:color w:val="C3C5C7"/>
              </w:rPr>
              <w:t>..............................................................................................................</w:t>
            </w:r>
          </w:p>
        </w:tc>
        <w:tc>
          <w:tcPr>
            <w:tcW w:w="2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319,819</w:t>
            </w:r>
          </w:p>
        </w:tc>
      </w:tr>
      <w:tr>
        <w:trPr>
          <w:trHeight w:val="272"/>
        </w:trPr>
        <w:tc>
          <w:tcPr>
            <w:tcW w:w="8540" w:type="dxa"/>
            <w:vAlign w:val="bottom"/>
          </w:tcPr>
          <w:p>
            <w:pPr>
              <w:ind w:left="260"/>
              <w:spacing w:after="0"/>
              <w:rPr>
                <w:sz w:val="20"/>
                <w:szCs w:val="20"/>
                <w:color w:val="auto"/>
              </w:rPr>
            </w:pPr>
            <w:r>
              <w:rPr>
                <w:rFonts w:ascii="Times New Roman" w:cs="Times New Roman" w:eastAsia="Times New Roman" w:hAnsi="Times New Roman"/>
                <w:sz w:val="19"/>
                <w:szCs w:val="19"/>
                <w:color w:val="231F20"/>
              </w:rPr>
              <w:t>Deductions during period -dispositions and retirements of property</w:t>
            </w:r>
          </w:p>
        </w:tc>
        <w:tc>
          <w:tcPr>
            <w:tcW w:w="240" w:type="dxa"/>
            <w:vAlign w:val="bottom"/>
            <w:tcBorders>
              <w:bottom w:val="single" w:sz="8" w:color="231F20"/>
            </w:tcBorders>
          </w:tcPr>
          <w:p>
            <w:pPr>
              <w:spacing w:after="0"/>
              <w:rPr>
                <w:sz w:val="23"/>
                <w:szCs w:val="23"/>
                <w:color w:val="auto"/>
              </w:rPr>
            </w:pPr>
          </w:p>
        </w:tc>
        <w:tc>
          <w:tcPr>
            <w:tcW w:w="9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(120,737)</w:t>
            </w:r>
          </w:p>
        </w:tc>
      </w:tr>
      <w:tr>
        <w:trPr>
          <w:trHeight w:val="233"/>
        </w:trPr>
        <w:tc>
          <w:tcPr>
            <w:tcW w:w="8540" w:type="dxa"/>
            <w:vAlign w:val="bottom"/>
          </w:tcPr>
          <w:p>
            <w:pPr>
              <w:jc w:val="right"/>
              <w:spacing w:after="0"/>
              <w:rPr>
                <w:sz w:val="20"/>
                <w:szCs w:val="20"/>
                <w:color w:val="auto"/>
              </w:rPr>
            </w:pPr>
            <w:r>
              <w:rPr>
                <w:rFonts w:ascii="Times New Roman" w:cs="Times New Roman" w:eastAsia="Times New Roman" w:hAnsi="Times New Roman"/>
                <w:sz w:val="19"/>
                <w:szCs w:val="19"/>
                <w:color w:val="231F20"/>
                <w:w w:val="99"/>
              </w:rPr>
              <w:t xml:space="preserve">Balance, December 31, 2025 </w:t>
            </w:r>
            <w:r>
              <w:rPr>
                <w:rFonts w:ascii="Times New Roman" w:cs="Times New Roman" w:eastAsia="Times New Roman" w:hAnsi="Times New Roman"/>
                <w:sz w:val="19"/>
                <w:szCs w:val="19"/>
                <w:color w:val="C3C5C7"/>
                <w:w w:val="99"/>
              </w:rPr>
              <w:t>....................................................................................................................................</w:t>
            </w:r>
          </w:p>
        </w:tc>
        <w:tc>
          <w:tcPr>
            <w:tcW w:w="2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9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3,351,881</w:t>
            </w:r>
          </w:p>
        </w:tc>
      </w:tr>
      <w:tr>
        <w:trPr>
          <w:trHeight w:val="20"/>
        </w:trPr>
        <w:tc>
          <w:tcPr>
            <w:tcW w:w="8540" w:type="dxa"/>
            <w:vAlign w:val="bottom"/>
          </w:tcPr>
          <w:p>
            <w:pPr>
              <w:spacing w:after="0" w:line="20" w:lineRule="exact"/>
              <w:rPr>
                <w:sz w:val="1"/>
                <w:szCs w:val="1"/>
                <w:color w:val="auto"/>
              </w:rPr>
            </w:pPr>
          </w:p>
        </w:tc>
        <w:tc>
          <w:tcPr>
            <w:tcW w:w="240" w:type="dxa"/>
            <w:vAlign w:val="bottom"/>
            <w:tcBorders>
              <w:bottom w:val="single" w:sz="8" w:color="231F20"/>
            </w:tcBorders>
          </w:tcPr>
          <w:p>
            <w:pPr>
              <w:spacing w:after="0" w:line="20" w:lineRule="exact"/>
              <w:rPr>
                <w:sz w:val="1"/>
                <w:szCs w:val="1"/>
                <w:color w:val="auto"/>
              </w:rPr>
            </w:pPr>
          </w:p>
        </w:tc>
        <w:tc>
          <w:tcPr>
            <w:tcW w:w="900" w:type="dxa"/>
            <w:vAlign w:val="bottom"/>
            <w:tcBorders>
              <w:bottom w:val="single" w:sz="8" w:color="231F20"/>
            </w:tcBorders>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9680"/>
          </w:cols>
          <w:pgMar w:left="1120" w:top="1186"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231F20"/>
        </w:rPr>
        <w:t>F-48</w:t>
      </w:r>
    </w:p>
    <w:p>
      <w:pPr>
        <w:sectPr>
          <w:pgSz w:w="11880" w:h="15480" w:orient="portrait"/>
          <w:cols w:equalWidth="0" w:num="1">
            <w:col w:w="9680"/>
          </w:cols>
          <w:pgMar w:left="1120" w:top="1186" w:right="1080" w:bottom="0" w:gutter="0" w:footer="0" w:header="0"/>
          <w:type w:val="continuous"/>
        </w:sectPr>
      </w:pPr>
    </w:p>
    <w:bookmarkStart w:id="112" w:name="page113"/>
    <w:bookmarkEnd w:id="112"/>
    <w:p>
      <w:pPr>
        <w:jc w:val="center"/>
        <w:ind w:right="-39"/>
        <w:spacing w:after="0"/>
        <w:rPr>
          <w:sz w:val="20"/>
          <w:szCs w:val="20"/>
          <w:color w:val="auto"/>
        </w:rPr>
      </w:pPr>
      <w:r>
        <w:rPr>
          <w:rFonts w:ascii="Times New Roman" w:cs="Times New Roman" w:eastAsia="Times New Roman" w:hAnsi="Times New Roman"/>
          <w:sz w:val="19"/>
          <w:szCs w:val="19"/>
          <w:b w:val="1"/>
          <w:bCs w:val="1"/>
          <w:color w:val="231F20"/>
        </w:rPr>
        <w:t>FEDERAL REALTY INVESTMENT TRUST AND FEDERAL REALTY OP LP</w:t>
      </w:r>
    </w:p>
    <w:p>
      <w:pPr>
        <w:spacing w:after="0" w:line="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b w:val="1"/>
          <w:bCs w:val="1"/>
          <w:color w:val="231F20"/>
        </w:rPr>
        <w:t>SCHEDULE IV</w:t>
      </w:r>
    </w:p>
    <w:p>
      <w:pPr>
        <w:spacing w:after="0" w:line="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b w:val="1"/>
          <w:bCs w:val="1"/>
          <w:color w:val="231F20"/>
        </w:rPr>
        <w:t>MORTGAGE LOANS ON REAL ESTATE</w:t>
      </w:r>
    </w:p>
    <w:p>
      <w:pPr>
        <w:spacing w:after="0" w:line="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b w:val="1"/>
          <w:bCs w:val="1"/>
          <w:color w:val="231F20"/>
        </w:rPr>
        <w:t>Year Ended December 31, 2025</w:t>
      </w: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b w:val="1"/>
          <w:bCs w:val="1"/>
          <w:color w:val="231F20"/>
        </w:rPr>
        <w:t>(Dollars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380" w:type="dxa"/>
            <w:vAlign w:val="bottom"/>
            <w:tcBorders>
              <w:bottom w:val="single" w:sz="8" w:color="231F20"/>
            </w:tcBorders>
          </w:tcPr>
          <w:p>
            <w:pPr>
              <w:ind w:left="360"/>
              <w:spacing w:after="0"/>
              <w:rPr>
                <w:sz w:val="20"/>
                <w:szCs w:val="20"/>
                <w:color w:val="auto"/>
              </w:rPr>
            </w:pPr>
            <w:r>
              <w:rPr>
                <w:rFonts w:ascii="Times New Roman" w:cs="Times New Roman" w:eastAsia="Times New Roman" w:hAnsi="Times New Roman"/>
                <w:sz w:val="15"/>
                <w:szCs w:val="15"/>
                <w:b w:val="1"/>
                <w:bCs w:val="1"/>
                <w:color w:val="231F20"/>
              </w:rPr>
              <w:t>Column A</w:t>
            </w:r>
          </w:p>
        </w:tc>
        <w:tc>
          <w:tcPr>
            <w:tcW w:w="80" w:type="dxa"/>
            <w:vAlign w:val="bottom"/>
          </w:tcPr>
          <w:p>
            <w:pPr>
              <w:spacing w:after="0"/>
              <w:rPr>
                <w:sz w:val="17"/>
                <w:szCs w:val="17"/>
                <w:color w:val="auto"/>
              </w:rPr>
            </w:pPr>
          </w:p>
        </w:tc>
        <w:tc>
          <w:tcPr>
            <w:tcW w:w="1020" w:type="dxa"/>
            <w:vAlign w:val="bottom"/>
            <w:tcBorders>
              <w:bottom w:val="single" w:sz="8" w:color="231F20"/>
            </w:tcBorders>
          </w:tcPr>
          <w:p>
            <w:pPr>
              <w:ind w:left="180"/>
              <w:spacing w:after="0"/>
              <w:rPr>
                <w:sz w:val="20"/>
                <w:szCs w:val="20"/>
                <w:color w:val="auto"/>
              </w:rPr>
            </w:pPr>
            <w:r>
              <w:rPr>
                <w:rFonts w:ascii="Times New Roman" w:cs="Times New Roman" w:eastAsia="Times New Roman" w:hAnsi="Times New Roman"/>
                <w:sz w:val="15"/>
                <w:szCs w:val="15"/>
                <w:b w:val="1"/>
                <w:bCs w:val="1"/>
                <w:color w:val="231F20"/>
              </w:rPr>
              <w:t>Column B</w:t>
            </w:r>
          </w:p>
        </w:tc>
        <w:tc>
          <w:tcPr>
            <w:tcW w:w="60" w:type="dxa"/>
            <w:vAlign w:val="bottom"/>
          </w:tcPr>
          <w:p>
            <w:pPr>
              <w:spacing w:after="0"/>
              <w:rPr>
                <w:sz w:val="17"/>
                <w:szCs w:val="17"/>
                <w:color w:val="auto"/>
              </w:rPr>
            </w:pPr>
          </w:p>
        </w:tc>
        <w:tc>
          <w:tcPr>
            <w:tcW w:w="1080" w:type="dxa"/>
            <w:vAlign w:val="bottom"/>
            <w:tcBorders>
              <w:bottom w:val="single" w:sz="8" w:color="231F20"/>
            </w:tcBorders>
          </w:tcPr>
          <w:p>
            <w:pPr>
              <w:ind w:left="200"/>
              <w:spacing w:after="0"/>
              <w:rPr>
                <w:sz w:val="20"/>
                <w:szCs w:val="20"/>
                <w:color w:val="auto"/>
              </w:rPr>
            </w:pPr>
            <w:r>
              <w:rPr>
                <w:rFonts w:ascii="Times New Roman" w:cs="Times New Roman" w:eastAsia="Times New Roman" w:hAnsi="Times New Roman"/>
                <w:sz w:val="15"/>
                <w:szCs w:val="15"/>
                <w:b w:val="1"/>
                <w:bCs w:val="1"/>
                <w:color w:val="231F20"/>
              </w:rPr>
              <w:t>Column C</w:t>
            </w:r>
          </w:p>
        </w:tc>
        <w:tc>
          <w:tcPr>
            <w:tcW w:w="60" w:type="dxa"/>
            <w:vAlign w:val="bottom"/>
          </w:tcPr>
          <w:p>
            <w:pPr>
              <w:spacing w:after="0"/>
              <w:rPr>
                <w:sz w:val="17"/>
                <w:szCs w:val="17"/>
                <w:color w:val="auto"/>
              </w:rPr>
            </w:pPr>
          </w:p>
        </w:tc>
        <w:tc>
          <w:tcPr>
            <w:tcW w:w="130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5"/>
                <w:szCs w:val="15"/>
                <w:b w:val="1"/>
                <w:bCs w:val="1"/>
                <w:color w:val="231F20"/>
                <w:w w:val="99"/>
              </w:rPr>
              <w:t>Column D</w:t>
            </w:r>
          </w:p>
        </w:tc>
        <w:tc>
          <w:tcPr>
            <w:tcW w:w="100" w:type="dxa"/>
            <w:vAlign w:val="bottom"/>
          </w:tcPr>
          <w:p>
            <w:pPr>
              <w:spacing w:after="0"/>
              <w:rPr>
                <w:sz w:val="17"/>
                <w:szCs w:val="17"/>
                <w:color w:val="auto"/>
              </w:rPr>
            </w:pPr>
          </w:p>
        </w:tc>
        <w:tc>
          <w:tcPr>
            <w:tcW w:w="1020" w:type="dxa"/>
            <w:vAlign w:val="bottom"/>
            <w:tcBorders>
              <w:bottom w:val="single" w:sz="8" w:color="231F20"/>
            </w:tcBorders>
            <w:gridSpan w:val="3"/>
          </w:tcPr>
          <w:p>
            <w:pPr>
              <w:jc w:val="center"/>
              <w:spacing w:after="0"/>
              <w:rPr>
                <w:sz w:val="20"/>
                <w:szCs w:val="20"/>
                <w:color w:val="auto"/>
              </w:rPr>
            </w:pPr>
            <w:r>
              <w:rPr>
                <w:rFonts w:ascii="Times New Roman" w:cs="Times New Roman" w:eastAsia="Times New Roman" w:hAnsi="Times New Roman"/>
                <w:sz w:val="15"/>
                <w:szCs w:val="15"/>
                <w:b w:val="1"/>
                <w:bCs w:val="1"/>
                <w:color w:val="231F20"/>
              </w:rPr>
              <w:t>Column E</w:t>
            </w:r>
          </w:p>
        </w:tc>
        <w:tc>
          <w:tcPr>
            <w:tcW w:w="80" w:type="dxa"/>
            <w:vAlign w:val="bottom"/>
          </w:tcPr>
          <w:p>
            <w:pPr>
              <w:spacing w:after="0"/>
              <w:rPr>
                <w:sz w:val="17"/>
                <w:szCs w:val="17"/>
                <w:color w:val="auto"/>
              </w:rPr>
            </w:pPr>
          </w:p>
        </w:tc>
        <w:tc>
          <w:tcPr>
            <w:tcW w:w="160" w:type="dxa"/>
            <w:vAlign w:val="bottom"/>
            <w:tcBorders>
              <w:bottom w:val="single" w:sz="8" w:color="231F20"/>
            </w:tcBorders>
          </w:tcPr>
          <w:p>
            <w:pPr>
              <w:spacing w:after="0"/>
              <w:rPr>
                <w:sz w:val="17"/>
                <w:szCs w:val="17"/>
                <w:color w:val="auto"/>
              </w:rPr>
            </w:pPr>
          </w:p>
        </w:tc>
        <w:tc>
          <w:tcPr>
            <w:tcW w:w="880" w:type="dxa"/>
            <w:vAlign w:val="bottom"/>
            <w:tcBorders>
              <w:bottom w:val="single" w:sz="8" w:color="231F20"/>
            </w:tcBorders>
            <w:gridSpan w:val="2"/>
          </w:tcPr>
          <w:p>
            <w:pPr>
              <w:jc w:val="center"/>
              <w:ind w:right="160"/>
              <w:spacing w:after="0"/>
              <w:rPr>
                <w:sz w:val="20"/>
                <w:szCs w:val="20"/>
                <w:color w:val="auto"/>
              </w:rPr>
            </w:pPr>
            <w:r>
              <w:rPr>
                <w:rFonts w:ascii="Times New Roman" w:cs="Times New Roman" w:eastAsia="Times New Roman" w:hAnsi="Times New Roman"/>
                <w:sz w:val="15"/>
                <w:szCs w:val="15"/>
                <w:b w:val="1"/>
                <w:bCs w:val="1"/>
                <w:color w:val="231F20"/>
                <w:w w:val="99"/>
              </w:rPr>
              <w:t>Column F</w:t>
            </w:r>
          </w:p>
        </w:tc>
        <w:tc>
          <w:tcPr>
            <w:tcW w:w="80" w:type="dxa"/>
            <w:vAlign w:val="bottom"/>
          </w:tcPr>
          <w:p>
            <w:pPr>
              <w:spacing w:after="0"/>
              <w:rPr>
                <w:sz w:val="17"/>
                <w:szCs w:val="17"/>
                <w:color w:val="auto"/>
              </w:rPr>
            </w:pPr>
          </w:p>
        </w:tc>
        <w:tc>
          <w:tcPr>
            <w:tcW w:w="180" w:type="dxa"/>
            <w:vAlign w:val="bottom"/>
            <w:tcBorders>
              <w:bottom w:val="single" w:sz="8" w:color="231F20"/>
            </w:tcBorders>
          </w:tcPr>
          <w:p>
            <w:pPr>
              <w:spacing w:after="0"/>
              <w:rPr>
                <w:sz w:val="17"/>
                <w:szCs w:val="17"/>
                <w:color w:val="auto"/>
              </w:rPr>
            </w:pPr>
          </w:p>
        </w:tc>
        <w:tc>
          <w:tcPr>
            <w:tcW w:w="960" w:type="dxa"/>
            <w:vAlign w:val="bottom"/>
            <w:tcBorders>
              <w:bottom w:val="single" w:sz="8" w:color="231F20"/>
            </w:tcBorders>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231F20"/>
              </w:rPr>
              <w:t>Column G</w:t>
            </w:r>
          </w:p>
        </w:tc>
        <w:tc>
          <w:tcPr>
            <w:tcW w:w="80" w:type="dxa"/>
            <w:vAlign w:val="bottom"/>
          </w:tcPr>
          <w:p>
            <w:pPr>
              <w:spacing w:after="0"/>
              <w:rPr>
                <w:sz w:val="17"/>
                <w:szCs w:val="17"/>
                <w:color w:val="auto"/>
              </w:rPr>
            </w:pPr>
          </w:p>
        </w:tc>
        <w:tc>
          <w:tcPr>
            <w:tcW w:w="1200" w:type="dxa"/>
            <w:vAlign w:val="bottom"/>
            <w:tcBorders>
              <w:bottom w:val="single" w:sz="8" w:color="231F20"/>
            </w:tcBorders>
            <w:gridSpan w:val="3"/>
          </w:tcPr>
          <w:p>
            <w:pPr>
              <w:jc w:val="center"/>
              <w:ind w:right="320"/>
              <w:spacing w:after="0"/>
              <w:rPr>
                <w:sz w:val="20"/>
                <w:szCs w:val="20"/>
                <w:color w:val="auto"/>
              </w:rPr>
            </w:pPr>
            <w:r>
              <w:rPr>
                <w:rFonts w:ascii="Times New Roman" w:cs="Times New Roman" w:eastAsia="Times New Roman" w:hAnsi="Times New Roman"/>
                <w:sz w:val="15"/>
                <w:szCs w:val="15"/>
                <w:b w:val="1"/>
                <w:bCs w:val="1"/>
                <w:color w:val="231F20"/>
              </w:rPr>
              <w:t>Column H</w:t>
            </w:r>
          </w:p>
        </w:tc>
        <w:tc>
          <w:tcPr>
            <w:tcW w:w="0" w:type="dxa"/>
            <w:vAlign w:val="bottom"/>
          </w:tcPr>
          <w:p>
            <w:pPr>
              <w:spacing w:after="0"/>
              <w:rPr>
                <w:sz w:val="1"/>
                <w:szCs w:val="1"/>
                <w:color w:val="auto"/>
              </w:rPr>
            </w:pPr>
          </w:p>
        </w:tc>
      </w:tr>
      <w:tr>
        <w:trPr>
          <w:trHeight w:val="172"/>
        </w:trPr>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3"/>
          </w:tcPr>
          <w:p>
            <w:pPr>
              <w:jc w:val="center"/>
              <w:ind w:right="320"/>
              <w:spacing w:after="0"/>
              <w:rPr>
                <w:sz w:val="20"/>
                <w:szCs w:val="20"/>
                <w:color w:val="auto"/>
              </w:rPr>
            </w:pPr>
            <w:r>
              <w:rPr>
                <w:rFonts w:ascii="Times New Roman" w:cs="Times New Roman" w:eastAsia="Times New Roman" w:hAnsi="Times New Roman"/>
                <w:sz w:val="15"/>
                <w:szCs w:val="15"/>
                <w:b w:val="1"/>
                <w:bCs w:val="1"/>
                <w:color w:val="231F20"/>
              </w:rPr>
              <w:t>Principal</w:t>
            </w:r>
          </w:p>
        </w:tc>
        <w:tc>
          <w:tcPr>
            <w:tcW w:w="0" w:type="dxa"/>
            <w:vAlign w:val="bottom"/>
          </w:tcPr>
          <w:p>
            <w:pPr>
              <w:spacing w:after="0"/>
              <w:rPr>
                <w:sz w:val="1"/>
                <w:szCs w:val="1"/>
                <w:color w:val="auto"/>
              </w:rPr>
            </w:pPr>
          </w:p>
        </w:tc>
      </w:tr>
      <w:tr>
        <w:trPr>
          <w:trHeight w:val="152"/>
        </w:trPr>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2"/>
          </w:tcPr>
          <w:p>
            <w:pPr>
              <w:jc w:val="center"/>
              <w:ind w:right="480"/>
              <w:spacing w:after="0" w:line="152" w:lineRule="exact"/>
              <w:rPr>
                <w:sz w:val="20"/>
                <w:szCs w:val="20"/>
                <w:color w:val="auto"/>
              </w:rPr>
            </w:pPr>
            <w:r>
              <w:rPr>
                <w:rFonts w:ascii="Times New Roman" w:cs="Times New Roman" w:eastAsia="Times New Roman" w:hAnsi="Times New Roman"/>
                <w:sz w:val="15"/>
                <w:szCs w:val="15"/>
                <w:b w:val="1"/>
                <w:bCs w:val="1"/>
                <w:color w:val="231F20"/>
              </w:rPr>
              <w:t>Amount</w:t>
            </w:r>
          </w:p>
        </w:tc>
        <w:tc>
          <w:tcPr>
            <w:tcW w:w="0" w:type="dxa"/>
            <w:vAlign w:val="bottom"/>
          </w:tcPr>
          <w:p>
            <w:pPr>
              <w:spacing w:after="0"/>
              <w:rPr>
                <w:sz w:val="1"/>
                <w:szCs w:val="1"/>
                <w:color w:val="auto"/>
              </w:rPr>
            </w:pPr>
          </w:p>
        </w:tc>
      </w:tr>
      <w:tr>
        <w:trPr>
          <w:trHeight w:val="152"/>
        </w:trPr>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2"/>
          </w:tcPr>
          <w:p>
            <w:pPr>
              <w:jc w:val="center"/>
              <w:ind w:right="460"/>
              <w:spacing w:after="0" w:line="152" w:lineRule="exact"/>
              <w:rPr>
                <w:sz w:val="20"/>
                <w:szCs w:val="20"/>
                <w:color w:val="auto"/>
              </w:rPr>
            </w:pPr>
            <w:r>
              <w:rPr>
                <w:rFonts w:ascii="Times New Roman" w:cs="Times New Roman" w:eastAsia="Times New Roman" w:hAnsi="Times New Roman"/>
                <w:sz w:val="15"/>
                <w:szCs w:val="15"/>
                <w:b w:val="1"/>
                <w:bCs w:val="1"/>
                <w:color w:val="231F20"/>
              </w:rPr>
              <w:t>of Loans</w:t>
            </w:r>
          </w:p>
        </w:tc>
        <w:tc>
          <w:tcPr>
            <w:tcW w:w="0" w:type="dxa"/>
            <w:vAlign w:val="bottom"/>
          </w:tcPr>
          <w:p>
            <w:pPr>
              <w:spacing w:after="0"/>
              <w:rPr>
                <w:sz w:val="1"/>
                <w:szCs w:val="1"/>
                <w:color w:val="auto"/>
              </w:rPr>
            </w:pPr>
          </w:p>
        </w:tc>
      </w:tr>
      <w:tr>
        <w:trPr>
          <w:trHeight w:val="152"/>
        </w:trPr>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5"/>
                <w:szCs w:val="15"/>
                <w:b w:val="1"/>
                <w:bCs w:val="1"/>
                <w:color w:val="231F20"/>
              </w:rPr>
              <w:t>Carrying</w:t>
            </w:r>
          </w:p>
        </w:tc>
        <w:tc>
          <w:tcPr>
            <w:tcW w:w="80" w:type="dxa"/>
            <w:vAlign w:val="bottom"/>
          </w:tcPr>
          <w:p>
            <w:pPr>
              <w:spacing w:after="0"/>
              <w:rPr>
                <w:sz w:val="13"/>
                <w:szCs w:val="13"/>
                <w:color w:val="auto"/>
              </w:rPr>
            </w:pPr>
          </w:p>
        </w:tc>
        <w:tc>
          <w:tcPr>
            <w:tcW w:w="1200" w:type="dxa"/>
            <w:vAlign w:val="bottom"/>
            <w:gridSpan w:val="3"/>
          </w:tcPr>
          <w:p>
            <w:pPr>
              <w:jc w:val="center"/>
              <w:ind w:right="340"/>
              <w:spacing w:after="0" w:line="152" w:lineRule="exact"/>
              <w:rPr>
                <w:sz w:val="20"/>
                <w:szCs w:val="20"/>
                <w:color w:val="auto"/>
              </w:rPr>
            </w:pPr>
            <w:r>
              <w:rPr>
                <w:rFonts w:ascii="Times New Roman" w:cs="Times New Roman" w:eastAsia="Times New Roman" w:hAnsi="Times New Roman"/>
                <w:sz w:val="15"/>
                <w:szCs w:val="15"/>
                <w:b w:val="1"/>
                <w:bCs w:val="1"/>
                <w:color w:val="231F20"/>
              </w:rPr>
              <w:t>Subject to</w:t>
            </w:r>
          </w:p>
        </w:tc>
        <w:tc>
          <w:tcPr>
            <w:tcW w:w="0" w:type="dxa"/>
            <w:vAlign w:val="bottom"/>
          </w:tcPr>
          <w:p>
            <w:pPr>
              <w:spacing w:after="0"/>
              <w:rPr>
                <w:sz w:val="1"/>
                <w:szCs w:val="1"/>
                <w:color w:val="auto"/>
              </w:rPr>
            </w:pPr>
          </w:p>
        </w:tc>
      </w:tr>
      <w:tr>
        <w:trPr>
          <w:trHeight w:val="152"/>
        </w:trPr>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231F20"/>
              </w:rPr>
              <w:t>Periodic Payment</w:t>
            </w:r>
          </w:p>
        </w:tc>
        <w:tc>
          <w:tcPr>
            <w:tcW w:w="100" w:type="dxa"/>
            <w:vAlign w:val="bottom"/>
          </w:tcPr>
          <w:p>
            <w:pPr>
              <w:spacing w:after="0"/>
              <w:rPr>
                <w:sz w:val="13"/>
                <w:szCs w:val="13"/>
                <w:color w:val="auto"/>
              </w:rPr>
            </w:pPr>
          </w:p>
        </w:tc>
        <w:tc>
          <w:tcPr>
            <w:tcW w:w="740" w:type="dxa"/>
            <w:vAlign w:val="bottom"/>
            <w:gridSpan w:val="2"/>
            <w:vMerge w:val="restart"/>
          </w:tcPr>
          <w:p>
            <w:pPr>
              <w:jc w:val="center"/>
              <w:ind w:left="200"/>
              <w:spacing w:after="0"/>
              <w:rPr>
                <w:sz w:val="20"/>
                <w:szCs w:val="20"/>
                <w:color w:val="auto"/>
              </w:rPr>
            </w:pPr>
            <w:r>
              <w:rPr>
                <w:rFonts w:ascii="Times New Roman" w:cs="Times New Roman" w:eastAsia="Times New Roman" w:hAnsi="Times New Roman"/>
                <w:sz w:val="15"/>
                <w:szCs w:val="15"/>
                <w:b w:val="1"/>
                <w:bCs w:val="1"/>
                <w:color w:val="231F20"/>
                <w:w w:val="99"/>
              </w:rPr>
              <w:t>Prior</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231F20"/>
              </w:rPr>
              <w:t>Face Amount</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gridSpan w:val="3"/>
          </w:tcPr>
          <w:p>
            <w:pPr>
              <w:jc w:val="center"/>
              <w:ind w:right="340"/>
              <w:spacing w:after="0" w:line="152" w:lineRule="exact"/>
              <w:rPr>
                <w:sz w:val="20"/>
                <w:szCs w:val="20"/>
                <w:color w:val="auto"/>
              </w:rPr>
            </w:pPr>
            <w:r>
              <w:rPr>
                <w:rFonts w:ascii="Times New Roman" w:cs="Times New Roman" w:eastAsia="Times New Roman" w:hAnsi="Times New Roman"/>
                <w:sz w:val="15"/>
                <w:szCs w:val="15"/>
                <w:b w:val="1"/>
                <w:bCs w:val="1"/>
                <w:color w:val="231F20"/>
              </w:rPr>
              <w:t>delinquent</w:t>
            </w:r>
          </w:p>
        </w:tc>
        <w:tc>
          <w:tcPr>
            <w:tcW w:w="0" w:type="dxa"/>
            <w:vAlign w:val="bottom"/>
          </w:tcPr>
          <w:p>
            <w:pPr>
              <w:spacing w:after="0"/>
              <w:rPr>
                <w:sz w:val="1"/>
                <w:szCs w:val="1"/>
                <w:color w:val="auto"/>
              </w:rPr>
            </w:pPr>
          </w:p>
        </w:tc>
      </w:tr>
      <w:tr>
        <w:trPr>
          <w:trHeight w:val="152"/>
        </w:trPr>
        <w:tc>
          <w:tcPr>
            <w:tcW w:w="1380" w:type="dxa"/>
            <w:vAlign w:val="bottom"/>
            <w:vMerge w:val="restart"/>
          </w:tcPr>
          <w:p>
            <w:pPr>
              <w:ind w:left="60"/>
              <w:spacing w:after="0"/>
              <w:rPr>
                <w:sz w:val="20"/>
                <w:szCs w:val="20"/>
                <w:color w:val="auto"/>
              </w:rPr>
            </w:pPr>
            <w:r>
              <w:rPr>
                <w:rFonts w:ascii="Times New Roman" w:cs="Times New Roman" w:eastAsia="Times New Roman" w:hAnsi="Times New Roman"/>
                <w:sz w:val="15"/>
                <w:szCs w:val="15"/>
                <w:b w:val="1"/>
                <w:bCs w:val="1"/>
                <w:color w:val="231F20"/>
              </w:rPr>
              <w:t>Description of Lien</w:t>
            </w:r>
          </w:p>
        </w:tc>
        <w:tc>
          <w:tcPr>
            <w:tcW w:w="80" w:type="dxa"/>
            <w:vAlign w:val="bottom"/>
          </w:tcPr>
          <w:p>
            <w:pPr>
              <w:spacing w:after="0"/>
              <w:rPr>
                <w:sz w:val="13"/>
                <w:szCs w:val="13"/>
                <w:color w:val="auto"/>
              </w:rPr>
            </w:pPr>
          </w:p>
        </w:tc>
        <w:tc>
          <w:tcPr>
            <w:tcW w:w="1020" w:type="dxa"/>
            <w:vAlign w:val="bottom"/>
            <w:vMerge w:val="restart"/>
          </w:tcPr>
          <w:p>
            <w:pPr>
              <w:ind w:left="40"/>
              <w:spacing w:after="0"/>
              <w:rPr>
                <w:sz w:val="20"/>
                <w:szCs w:val="20"/>
                <w:color w:val="auto"/>
              </w:rPr>
            </w:pPr>
            <w:r>
              <w:rPr>
                <w:rFonts w:ascii="Times New Roman" w:cs="Times New Roman" w:eastAsia="Times New Roman" w:hAnsi="Times New Roman"/>
                <w:sz w:val="15"/>
                <w:szCs w:val="15"/>
                <w:b w:val="1"/>
                <w:bCs w:val="1"/>
                <w:color w:val="231F20"/>
              </w:rPr>
              <w:t>Interest Rate</w:t>
            </w:r>
          </w:p>
        </w:tc>
        <w:tc>
          <w:tcPr>
            <w:tcW w:w="60" w:type="dxa"/>
            <w:vAlign w:val="bottom"/>
          </w:tcPr>
          <w:p>
            <w:pPr>
              <w:spacing w:after="0"/>
              <w:rPr>
                <w:sz w:val="13"/>
                <w:szCs w:val="13"/>
                <w:color w:val="auto"/>
              </w:rPr>
            </w:pPr>
          </w:p>
        </w:tc>
        <w:tc>
          <w:tcPr>
            <w:tcW w:w="1080" w:type="dxa"/>
            <w:vAlign w:val="bottom"/>
            <w:vMerge w:val="restart"/>
          </w:tcPr>
          <w:p>
            <w:pPr>
              <w:ind w:left="60"/>
              <w:spacing w:after="0"/>
              <w:rPr>
                <w:sz w:val="20"/>
                <w:szCs w:val="20"/>
                <w:color w:val="auto"/>
              </w:rPr>
            </w:pPr>
            <w:r>
              <w:rPr>
                <w:rFonts w:ascii="Times New Roman" w:cs="Times New Roman" w:eastAsia="Times New Roman" w:hAnsi="Times New Roman"/>
                <w:sz w:val="15"/>
                <w:szCs w:val="15"/>
                <w:b w:val="1"/>
                <w:bCs w:val="1"/>
                <w:color w:val="231F20"/>
              </w:rPr>
              <w:t>Maturity Date</w:t>
            </w:r>
          </w:p>
        </w:tc>
        <w:tc>
          <w:tcPr>
            <w:tcW w:w="60" w:type="dxa"/>
            <w:vAlign w:val="bottom"/>
          </w:tcPr>
          <w:p>
            <w:pPr>
              <w:spacing w:after="0"/>
              <w:rPr>
                <w:sz w:val="13"/>
                <w:szCs w:val="13"/>
                <w:color w:val="auto"/>
              </w:rPr>
            </w:pPr>
          </w:p>
        </w:tc>
        <w:tc>
          <w:tcPr>
            <w:tcW w:w="13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tcPr>
          <w:p>
            <w:pPr>
              <w:jc w:val="center"/>
              <w:ind w:right="180"/>
              <w:spacing w:after="0" w:line="152" w:lineRule="exact"/>
              <w:rPr>
                <w:sz w:val="20"/>
                <w:szCs w:val="20"/>
                <w:color w:val="auto"/>
              </w:rPr>
            </w:pPr>
            <w:r>
              <w:rPr>
                <w:rFonts w:ascii="Times New Roman" w:cs="Times New Roman" w:eastAsia="Times New Roman" w:hAnsi="Times New Roman"/>
                <w:sz w:val="15"/>
                <w:szCs w:val="15"/>
                <w:b w:val="1"/>
                <w:bCs w:val="1"/>
                <w:color w:val="231F20"/>
              </w:rPr>
              <w:t>Amount</w:t>
            </w:r>
          </w:p>
        </w:tc>
        <w:tc>
          <w:tcPr>
            <w:tcW w:w="80" w:type="dxa"/>
            <w:vAlign w:val="bottom"/>
          </w:tcPr>
          <w:p>
            <w:pPr>
              <w:spacing w:after="0"/>
              <w:rPr>
                <w:sz w:val="13"/>
                <w:szCs w:val="13"/>
                <w:color w:val="auto"/>
              </w:rPr>
            </w:pPr>
          </w:p>
        </w:tc>
        <w:tc>
          <w:tcPr>
            <w:tcW w:w="1200" w:type="dxa"/>
            <w:vAlign w:val="bottom"/>
            <w:gridSpan w:val="3"/>
          </w:tcPr>
          <w:p>
            <w:pPr>
              <w:jc w:val="center"/>
              <w:ind w:right="320"/>
              <w:spacing w:after="0" w:line="152" w:lineRule="exact"/>
              <w:rPr>
                <w:sz w:val="20"/>
                <w:szCs w:val="20"/>
                <w:color w:val="auto"/>
              </w:rPr>
            </w:pPr>
            <w:r>
              <w:rPr>
                <w:rFonts w:ascii="Times New Roman" w:cs="Times New Roman" w:eastAsia="Times New Roman" w:hAnsi="Times New Roman"/>
                <w:sz w:val="15"/>
                <w:szCs w:val="15"/>
                <w:b w:val="1"/>
                <w:bCs w:val="1"/>
                <w:color w:val="231F20"/>
              </w:rPr>
              <w:t>Principal</w:t>
            </w:r>
          </w:p>
        </w:tc>
        <w:tc>
          <w:tcPr>
            <w:tcW w:w="0" w:type="dxa"/>
            <w:vAlign w:val="bottom"/>
          </w:tcPr>
          <w:p>
            <w:pPr>
              <w:spacing w:after="0"/>
              <w:rPr>
                <w:sz w:val="1"/>
                <w:szCs w:val="1"/>
                <w:color w:val="auto"/>
              </w:rPr>
            </w:pPr>
          </w:p>
        </w:tc>
      </w:tr>
      <w:tr>
        <w:trPr>
          <w:trHeight w:val="203"/>
        </w:trPr>
        <w:tc>
          <w:tcPr>
            <w:tcW w:w="13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231F20"/>
              </w:rPr>
              <w:t>Terms</w:t>
            </w:r>
          </w:p>
        </w:tc>
        <w:tc>
          <w:tcPr>
            <w:tcW w:w="100" w:type="dxa"/>
            <w:vAlign w:val="bottom"/>
          </w:tcPr>
          <w:p>
            <w:pPr>
              <w:spacing w:after="0"/>
              <w:rPr>
                <w:sz w:val="17"/>
                <w:szCs w:val="17"/>
                <w:color w:val="auto"/>
              </w:rPr>
            </w:pPr>
          </w:p>
        </w:tc>
        <w:tc>
          <w:tcPr>
            <w:tcW w:w="740" w:type="dxa"/>
            <w:vAlign w:val="bottom"/>
            <w:gridSpan w:val="2"/>
          </w:tcPr>
          <w:p>
            <w:pPr>
              <w:jc w:val="center"/>
              <w:ind w:left="220"/>
              <w:spacing w:after="0"/>
              <w:rPr>
                <w:sz w:val="20"/>
                <w:szCs w:val="20"/>
                <w:color w:val="auto"/>
              </w:rPr>
            </w:pPr>
            <w:r>
              <w:rPr>
                <w:rFonts w:ascii="Times New Roman" w:cs="Times New Roman" w:eastAsia="Times New Roman" w:hAnsi="Times New Roman"/>
                <w:sz w:val="15"/>
                <w:szCs w:val="15"/>
                <w:b w:val="1"/>
                <w:bCs w:val="1"/>
                <w:color w:val="231F20"/>
              </w:rPr>
              <w:t>Liens</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3"/>
          </w:tcPr>
          <w:p>
            <w:pPr>
              <w:jc w:val="center"/>
              <w:ind w:right="20"/>
              <w:spacing w:after="0"/>
              <w:rPr>
                <w:sz w:val="20"/>
                <w:szCs w:val="20"/>
                <w:color w:val="auto"/>
              </w:rPr>
            </w:pPr>
            <w:r>
              <w:rPr>
                <w:rFonts w:ascii="Times New Roman" w:cs="Times New Roman" w:eastAsia="Times New Roman" w:hAnsi="Times New Roman"/>
                <w:sz w:val="15"/>
                <w:szCs w:val="15"/>
                <w:b w:val="1"/>
                <w:bCs w:val="1"/>
                <w:color w:val="231F20"/>
              </w:rPr>
              <w:t>of Mortgages</w:t>
            </w:r>
          </w:p>
        </w:tc>
        <w:tc>
          <w:tcPr>
            <w:tcW w:w="80" w:type="dxa"/>
            <w:vAlign w:val="bottom"/>
          </w:tcPr>
          <w:p>
            <w:pPr>
              <w:spacing w:after="0"/>
              <w:rPr>
                <w:sz w:val="17"/>
                <w:szCs w:val="17"/>
                <w:color w:val="auto"/>
              </w:rPr>
            </w:pPr>
          </w:p>
        </w:tc>
        <w:tc>
          <w:tcPr>
            <w:tcW w:w="1140" w:type="dxa"/>
            <w:vAlign w:val="bottom"/>
            <w:gridSpan w:val="3"/>
          </w:tcPr>
          <w:p>
            <w:pPr>
              <w:jc w:val="center"/>
              <w:spacing w:after="0"/>
              <w:rPr>
                <w:sz w:val="20"/>
                <w:szCs w:val="20"/>
                <w:color w:val="auto"/>
              </w:rPr>
            </w:pPr>
            <w:r>
              <w:rPr>
                <w:rFonts w:ascii="Times New Roman" w:cs="Times New Roman" w:eastAsia="Times New Roman" w:hAnsi="Times New Roman"/>
                <w:sz w:val="15"/>
                <w:szCs w:val="15"/>
                <w:b w:val="1"/>
                <w:bCs w:val="1"/>
                <w:color w:val="231F20"/>
                <w:w w:val="99"/>
              </w:rPr>
              <w:t>of Mortgages(1)</w:t>
            </w:r>
          </w:p>
        </w:tc>
        <w:tc>
          <w:tcPr>
            <w:tcW w:w="80" w:type="dxa"/>
            <w:vAlign w:val="bottom"/>
          </w:tcPr>
          <w:p>
            <w:pPr>
              <w:spacing w:after="0"/>
              <w:rPr>
                <w:sz w:val="17"/>
                <w:szCs w:val="17"/>
                <w:color w:val="auto"/>
              </w:rPr>
            </w:pPr>
          </w:p>
        </w:tc>
        <w:tc>
          <w:tcPr>
            <w:tcW w:w="1200" w:type="dxa"/>
            <w:vAlign w:val="bottom"/>
            <w:gridSpan w:val="3"/>
          </w:tcPr>
          <w:p>
            <w:pPr>
              <w:jc w:val="center"/>
              <w:ind w:right="340"/>
              <w:spacing w:after="0"/>
              <w:rPr>
                <w:sz w:val="20"/>
                <w:szCs w:val="20"/>
                <w:color w:val="auto"/>
              </w:rPr>
            </w:pPr>
            <w:r>
              <w:rPr>
                <w:rFonts w:ascii="Times New Roman" w:cs="Times New Roman" w:eastAsia="Times New Roman" w:hAnsi="Times New Roman"/>
                <w:sz w:val="15"/>
                <w:szCs w:val="15"/>
                <w:b w:val="1"/>
                <w:bCs w:val="1"/>
                <w:color w:val="231F20"/>
              </w:rPr>
              <w:t>or Interest</w:t>
            </w:r>
          </w:p>
        </w:tc>
        <w:tc>
          <w:tcPr>
            <w:tcW w:w="0" w:type="dxa"/>
            <w:vAlign w:val="bottom"/>
          </w:tcPr>
          <w:p>
            <w:pPr>
              <w:spacing w:after="0"/>
              <w:rPr>
                <w:sz w:val="1"/>
                <w:szCs w:val="1"/>
                <w:color w:val="auto"/>
              </w:rPr>
            </w:pPr>
          </w:p>
        </w:tc>
      </w:tr>
      <w:tr>
        <w:trPr>
          <w:trHeight w:val="172"/>
        </w:trPr>
        <w:tc>
          <w:tcPr>
            <w:tcW w:w="1380" w:type="dxa"/>
            <w:vAlign w:val="bottom"/>
            <w:tcBorders>
              <w:top w:val="single" w:sz="8" w:color="231F20"/>
            </w:tcBorders>
          </w:tcPr>
          <w:p>
            <w:pPr>
              <w:ind w:left="60"/>
              <w:spacing w:after="0" w:line="172" w:lineRule="exact"/>
              <w:rPr>
                <w:sz w:val="20"/>
                <w:szCs w:val="20"/>
                <w:color w:val="auto"/>
              </w:rPr>
            </w:pPr>
            <w:r>
              <w:rPr>
                <w:rFonts w:ascii="Times New Roman" w:cs="Times New Roman" w:eastAsia="Times New Roman" w:hAnsi="Times New Roman"/>
                <w:sz w:val="17"/>
                <w:szCs w:val="17"/>
                <w:color w:val="231F20"/>
              </w:rPr>
              <w:t>Second mortgage</w:t>
            </w:r>
          </w:p>
        </w:tc>
        <w:tc>
          <w:tcPr>
            <w:tcW w:w="80" w:type="dxa"/>
            <w:vAlign w:val="bottom"/>
          </w:tcPr>
          <w:p>
            <w:pPr>
              <w:spacing w:after="0"/>
              <w:rPr>
                <w:sz w:val="14"/>
                <w:szCs w:val="14"/>
                <w:color w:val="auto"/>
              </w:rPr>
            </w:pPr>
          </w:p>
        </w:tc>
        <w:tc>
          <w:tcPr>
            <w:tcW w:w="1020" w:type="dxa"/>
            <w:vAlign w:val="bottom"/>
            <w:tcBorders>
              <w:top w:val="single" w:sz="8" w:color="231F20"/>
            </w:tcBorders>
          </w:tcPr>
          <w:p>
            <w:pPr>
              <w:ind w:left="40"/>
              <w:spacing w:after="0" w:line="172" w:lineRule="exact"/>
              <w:rPr>
                <w:sz w:val="20"/>
                <w:szCs w:val="20"/>
                <w:color w:val="auto"/>
              </w:rPr>
            </w:pPr>
            <w:r>
              <w:rPr>
                <w:rFonts w:ascii="Times New Roman" w:cs="Times New Roman" w:eastAsia="Times New Roman" w:hAnsi="Times New Roman"/>
                <w:sz w:val="17"/>
                <w:szCs w:val="17"/>
                <w:color w:val="231F20"/>
              </w:rPr>
              <w:t>11.5%</w:t>
            </w:r>
          </w:p>
        </w:tc>
        <w:tc>
          <w:tcPr>
            <w:tcW w:w="60" w:type="dxa"/>
            <w:vAlign w:val="bottom"/>
          </w:tcPr>
          <w:p>
            <w:pPr>
              <w:spacing w:after="0"/>
              <w:rPr>
                <w:sz w:val="14"/>
                <w:szCs w:val="14"/>
                <w:color w:val="auto"/>
              </w:rPr>
            </w:pPr>
          </w:p>
        </w:tc>
        <w:tc>
          <w:tcPr>
            <w:tcW w:w="1080" w:type="dxa"/>
            <w:vAlign w:val="bottom"/>
            <w:tcBorders>
              <w:top w:val="single" w:sz="8" w:color="231F20"/>
            </w:tcBorders>
          </w:tcPr>
          <w:p>
            <w:pPr>
              <w:ind w:left="60"/>
              <w:spacing w:after="0" w:line="172" w:lineRule="exact"/>
              <w:rPr>
                <w:sz w:val="20"/>
                <w:szCs w:val="20"/>
                <w:color w:val="auto"/>
              </w:rPr>
            </w:pPr>
            <w:r>
              <w:rPr>
                <w:rFonts w:ascii="Times New Roman" w:cs="Times New Roman" w:eastAsia="Times New Roman" w:hAnsi="Times New Roman"/>
                <w:sz w:val="17"/>
                <w:szCs w:val="17"/>
                <w:color w:val="231F20"/>
              </w:rPr>
              <w:t>February</w:t>
            </w:r>
          </w:p>
        </w:tc>
        <w:tc>
          <w:tcPr>
            <w:tcW w:w="60" w:type="dxa"/>
            <w:vAlign w:val="bottom"/>
          </w:tcPr>
          <w:p>
            <w:pPr>
              <w:spacing w:after="0"/>
              <w:rPr>
                <w:sz w:val="14"/>
                <w:szCs w:val="14"/>
                <w:color w:val="auto"/>
              </w:rPr>
            </w:pPr>
          </w:p>
        </w:tc>
        <w:tc>
          <w:tcPr>
            <w:tcW w:w="1300" w:type="dxa"/>
            <w:vAlign w:val="bottom"/>
            <w:tcBorders>
              <w:top w:val="single" w:sz="8" w:color="231F20"/>
            </w:tcBorders>
          </w:tcPr>
          <w:p>
            <w:pPr>
              <w:ind w:left="60"/>
              <w:spacing w:after="0" w:line="172" w:lineRule="exact"/>
              <w:rPr>
                <w:sz w:val="20"/>
                <w:szCs w:val="20"/>
                <w:color w:val="auto"/>
              </w:rPr>
            </w:pPr>
            <w:r>
              <w:rPr>
                <w:rFonts w:ascii="Times New Roman" w:cs="Times New Roman" w:eastAsia="Times New Roman" w:hAnsi="Times New Roman"/>
                <w:sz w:val="17"/>
                <w:szCs w:val="17"/>
                <w:color w:val="231F20"/>
              </w:rPr>
              <w:t>Interest only</w:t>
            </w:r>
          </w:p>
        </w:tc>
        <w:tc>
          <w:tcPr>
            <w:tcW w:w="100" w:type="dxa"/>
            <w:vAlign w:val="bottom"/>
          </w:tcPr>
          <w:p>
            <w:pPr>
              <w:spacing w:after="0"/>
              <w:rPr>
                <w:sz w:val="14"/>
                <w:szCs w:val="14"/>
                <w:color w:val="auto"/>
              </w:rPr>
            </w:pPr>
          </w:p>
        </w:tc>
        <w:tc>
          <w:tcPr>
            <w:tcW w:w="680" w:type="dxa"/>
            <w:vAlign w:val="bottom"/>
            <w:tcBorders>
              <w:top w:val="single" w:sz="8" w:color="231F20"/>
            </w:tcBorders>
          </w:tcPr>
          <w:p>
            <w:pPr>
              <w:jc w:val="right"/>
              <w:spacing w:after="0" w:line="172" w:lineRule="exact"/>
              <w:rPr>
                <w:sz w:val="20"/>
                <w:szCs w:val="20"/>
                <w:color w:val="auto"/>
              </w:rPr>
            </w:pPr>
            <w:r>
              <w:rPr>
                <w:rFonts w:ascii="Times New Roman" w:cs="Times New Roman" w:eastAsia="Times New Roman" w:hAnsi="Times New Roman"/>
                <w:sz w:val="17"/>
                <w:szCs w:val="17"/>
                <w:color w:val="231F20"/>
              </w:rPr>
              <w:t>$58,750</w:t>
            </w:r>
          </w:p>
        </w:tc>
        <w:tc>
          <w:tcPr>
            <w:tcW w:w="60" w:type="dxa"/>
            <w:vAlign w:val="bottom"/>
            <w:tcBorders>
              <w:top w:val="single" w:sz="8" w:color="231F20"/>
            </w:tcBorders>
          </w:tcPr>
          <w:p>
            <w:pPr>
              <w:spacing w:after="0"/>
              <w:rPr>
                <w:sz w:val="14"/>
                <w:szCs w:val="14"/>
                <w:color w:val="auto"/>
              </w:rPr>
            </w:pPr>
          </w:p>
        </w:tc>
        <w:tc>
          <w:tcPr>
            <w:tcW w:w="280" w:type="dxa"/>
            <w:vAlign w:val="bottom"/>
            <w:tcBorders>
              <w:top w:val="single" w:sz="8" w:color="231F20"/>
            </w:tcBorders>
          </w:tcPr>
          <w:p>
            <w:pPr>
              <w:jc w:val="right"/>
              <w:spacing w:after="0" w:line="172" w:lineRule="exact"/>
              <w:rPr>
                <w:sz w:val="20"/>
                <w:szCs w:val="20"/>
                <w:color w:val="auto"/>
              </w:rPr>
            </w:pPr>
            <w:r>
              <w:rPr>
                <w:rFonts w:ascii="Times New Roman" w:cs="Times New Roman" w:eastAsia="Times New Roman" w:hAnsi="Times New Roman"/>
                <w:sz w:val="17"/>
                <w:szCs w:val="17"/>
                <w:color w:val="231F20"/>
              </w:rPr>
              <w:t>(3)</w:t>
            </w:r>
          </w:p>
        </w:tc>
        <w:tc>
          <w:tcPr>
            <w:tcW w:w="80" w:type="dxa"/>
            <w:vAlign w:val="bottom"/>
          </w:tcPr>
          <w:p>
            <w:pPr>
              <w:spacing w:after="0"/>
              <w:rPr>
                <w:sz w:val="14"/>
                <w:szCs w:val="14"/>
                <w:color w:val="auto"/>
              </w:rPr>
            </w:pPr>
          </w:p>
        </w:tc>
        <w:tc>
          <w:tcPr>
            <w:tcW w:w="160" w:type="dxa"/>
            <w:vAlign w:val="bottom"/>
            <w:tcBorders>
              <w:top w:val="single" w:sz="8" w:color="231F20"/>
            </w:tcBorders>
          </w:tcPr>
          <w:p>
            <w:pPr>
              <w:jc w:val="right"/>
              <w:spacing w:after="0" w:line="172" w:lineRule="exact"/>
              <w:rPr>
                <w:sz w:val="20"/>
                <w:szCs w:val="20"/>
                <w:color w:val="auto"/>
              </w:rPr>
            </w:pPr>
            <w:r>
              <w:rPr>
                <w:rFonts w:ascii="Times New Roman" w:cs="Times New Roman" w:eastAsia="Times New Roman" w:hAnsi="Times New Roman"/>
                <w:sz w:val="17"/>
                <w:szCs w:val="17"/>
                <w:color w:val="231F20"/>
              </w:rPr>
              <w:t>$</w:t>
            </w:r>
          </w:p>
        </w:tc>
        <w:tc>
          <w:tcPr>
            <w:tcW w:w="540" w:type="dxa"/>
            <w:vAlign w:val="bottom"/>
            <w:tcBorders>
              <w:top w:val="single" w:sz="8" w:color="231F20"/>
            </w:tcBorders>
          </w:tcPr>
          <w:p>
            <w:pPr>
              <w:jc w:val="right"/>
              <w:spacing w:after="0" w:line="172" w:lineRule="exact"/>
              <w:rPr>
                <w:sz w:val="20"/>
                <w:szCs w:val="20"/>
                <w:color w:val="auto"/>
              </w:rPr>
            </w:pPr>
            <w:r>
              <w:rPr>
                <w:rFonts w:ascii="Times New Roman" w:cs="Times New Roman" w:eastAsia="Times New Roman" w:hAnsi="Times New Roman"/>
                <w:sz w:val="17"/>
                <w:szCs w:val="17"/>
                <w:color w:val="231F20"/>
              </w:rPr>
              <w:t>5,075</w:t>
            </w:r>
          </w:p>
        </w:tc>
        <w:tc>
          <w:tcPr>
            <w:tcW w:w="340" w:type="dxa"/>
            <w:vAlign w:val="bottom"/>
            <w:tcBorders>
              <w:top w:val="single" w:sz="8" w:color="231F20"/>
            </w:tcBorders>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top w:val="single" w:sz="8" w:color="231F20"/>
            </w:tcBorders>
          </w:tcPr>
          <w:p>
            <w:pPr>
              <w:jc w:val="right"/>
              <w:spacing w:after="0" w:line="172" w:lineRule="exact"/>
              <w:rPr>
                <w:sz w:val="20"/>
                <w:szCs w:val="20"/>
                <w:color w:val="auto"/>
              </w:rPr>
            </w:pPr>
            <w:r>
              <w:rPr>
                <w:rFonts w:ascii="Times New Roman" w:cs="Times New Roman" w:eastAsia="Times New Roman" w:hAnsi="Times New Roman"/>
                <w:sz w:val="17"/>
                <w:szCs w:val="17"/>
                <w:color w:val="231F20"/>
              </w:rPr>
              <w:t>$</w:t>
            </w:r>
          </w:p>
        </w:tc>
        <w:tc>
          <w:tcPr>
            <w:tcW w:w="540" w:type="dxa"/>
            <w:vAlign w:val="bottom"/>
            <w:tcBorders>
              <w:top w:val="single" w:sz="8" w:color="231F20"/>
            </w:tcBorders>
          </w:tcPr>
          <w:p>
            <w:pPr>
              <w:jc w:val="right"/>
              <w:spacing w:after="0" w:line="172" w:lineRule="exact"/>
              <w:rPr>
                <w:sz w:val="20"/>
                <w:szCs w:val="20"/>
                <w:color w:val="auto"/>
              </w:rPr>
            </w:pPr>
            <w:r>
              <w:rPr>
                <w:rFonts w:ascii="Times New Roman" w:cs="Times New Roman" w:eastAsia="Times New Roman" w:hAnsi="Times New Roman"/>
                <w:sz w:val="17"/>
                <w:szCs w:val="17"/>
                <w:color w:val="231F20"/>
              </w:rPr>
              <w:t>4,591</w:t>
            </w:r>
          </w:p>
        </w:tc>
        <w:tc>
          <w:tcPr>
            <w:tcW w:w="420" w:type="dxa"/>
            <w:vAlign w:val="bottom"/>
            <w:tcBorders>
              <w:top w:val="single" w:sz="8" w:color="231F20"/>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top w:val="single" w:sz="8" w:color="231F20"/>
            </w:tcBorders>
          </w:tcPr>
          <w:p>
            <w:pPr>
              <w:ind w:left="40"/>
              <w:spacing w:after="0" w:line="173" w:lineRule="exact"/>
              <w:rPr>
                <w:sz w:val="20"/>
                <w:szCs w:val="20"/>
                <w:color w:val="auto"/>
              </w:rPr>
            </w:pPr>
            <w:r>
              <w:rPr>
                <w:rFonts w:ascii="Times New Roman" w:cs="Times New Roman" w:eastAsia="Times New Roman" w:hAnsi="Times New Roman"/>
                <w:sz w:val="19"/>
                <w:szCs w:val="19"/>
                <w:color w:val="231F20"/>
                <w:w w:val="83"/>
              </w:rPr>
              <w:t>$</w:t>
            </w:r>
          </w:p>
        </w:tc>
        <w:tc>
          <w:tcPr>
            <w:tcW w:w="720" w:type="dxa"/>
            <w:vAlign w:val="bottom"/>
            <w:tcBorders>
              <w:top w:val="single" w:sz="8" w:color="231F20"/>
            </w:tcBorders>
          </w:tcPr>
          <w:p>
            <w:pPr>
              <w:jc w:val="right"/>
              <w:spacing w:after="0" w:line="173" w:lineRule="exact"/>
              <w:rPr>
                <w:sz w:val="20"/>
                <w:szCs w:val="20"/>
                <w:color w:val="auto"/>
              </w:rPr>
            </w:pPr>
            <w:r>
              <w:rPr>
                <w:rFonts w:ascii="Times New Roman" w:cs="Times New Roman" w:eastAsia="Times New Roman" w:hAnsi="Times New Roman"/>
                <w:sz w:val="19"/>
                <w:szCs w:val="19"/>
                <w:color w:val="231F20"/>
              </w:rPr>
              <w:t>—</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1380" w:type="dxa"/>
            <w:vAlign w:val="bottom"/>
          </w:tcPr>
          <w:p>
            <w:pPr>
              <w:ind w:left="60"/>
              <w:spacing w:after="0" w:line="159" w:lineRule="exact"/>
              <w:rPr>
                <w:sz w:val="20"/>
                <w:szCs w:val="20"/>
                <w:color w:val="auto"/>
              </w:rPr>
            </w:pPr>
            <w:r>
              <w:rPr>
                <w:rFonts w:ascii="Times New Roman" w:cs="Times New Roman" w:eastAsia="Times New Roman" w:hAnsi="Times New Roman"/>
                <w:sz w:val="17"/>
                <w:szCs w:val="17"/>
                <w:color w:val="231F20"/>
              </w:rPr>
              <w:t>on a retail</w:t>
            </w: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40" w:type="dxa"/>
            <w:vAlign w:val="bottom"/>
            <w:gridSpan w:val="2"/>
          </w:tcPr>
          <w:p>
            <w:pPr>
              <w:ind w:left="120"/>
              <w:spacing w:after="0" w:line="159" w:lineRule="exact"/>
              <w:rPr>
                <w:sz w:val="20"/>
                <w:szCs w:val="20"/>
                <w:color w:val="auto"/>
              </w:rPr>
            </w:pPr>
            <w:r>
              <w:rPr>
                <w:rFonts w:ascii="Times New Roman" w:cs="Times New Roman" w:eastAsia="Times New Roman" w:hAnsi="Times New Roman"/>
                <w:sz w:val="17"/>
                <w:szCs w:val="17"/>
                <w:color w:val="231F20"/>
              </w:rPr>
              <w:t>2026</w:t>
            </w:r>
          </w:p>
        </w:tc>
        <w:tc>
          <w:tcPr>
            <w:tcW w:w="60" w:type="dxa"/>
            <w:vAlign w:val="bottom"/>
          </w:tcPr>
          <w:p>
            <w:pPr>
              <w:spacing w:after="0"/>
              <w:rPr>
                <w:sz w:val="13"/>
                <w:szCs w:val="13"/>
                <w:color w:val="auto"/>
              </w:rPr>
            </w:pPr>
          </w:p>
        </w:tc>
        <w:tc>
          <w:tcPr>
            <w:tcW w:w="1300" w:type="dxa"/>
            <w:vAlign w:val="bottom"/>
          </w:tcPr>
          <w:p>
            <w:pPr>
              <w:ind w:left="60"/>
              <w:spacing w:after="0" w:line="159" w:lineRule="exact"/>
              <w:rPr>
                <w:sz w:val="20"/>
                <w:szCs w:val="20"/>
                <w:color w:val="auto"/>
              </w:rPr>
            </w:pPr>
            <w:r>
              <w:rPr>
                <w:rFonts w:ascii="Times New Roman" w:cs="Times New Roman" w:eastAsia="Times New Roman" w:hAnsi="Times New Roman"/>
                <w:sz w:val="17"/>
                <w:szCs w:val="17"/>
                <w:color w:val="231F20"/>
              </w:rPr>
              <w:t>monthly;</w:t>
            </w: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1380" w:type="dxa"/>
            <w:vAlign w:val="bottom"/>
          </w:tcPr>
          <w:p>
            <w:pPr>
              <w:ind w:left="60"/>
              <w:spacing w:after="0" w:line="172" w:lineRule="exact"/>
              <w:rPr>
                <w:sz w:val="20"/>
                <w:szCs w:val="20"/>
                <w:color w:val="auto"/>
              </w:rPr>
            </w:pPr>
            <w:r>
              <w:rPr>
                <w:rFonts w:ascii="Times New Roman" w:cs="Times New Roman" w:eastAsia="Times New Roman" w:hAnsi="Times New Roman"/>
                <w:sz w:val="17"/>
                <w:szCs w:val="17"/>
                <w:color w:val="231F20"/>
              </w:rPr>
              <w:t>shopping center in</w:t>
            </w: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tcPr>
          <w:p>
            <w:pPr>
              <w:ind w:left="60"/>
              <w:spacing w:after="0" w:line="172" w:lineRule="exact"/>
              <w:rPr>
                <w:sz w:val="20"/>
                <w:szCs w:val="20"/>
                <w:color w:val="auto"/>
              </w:rPr>
            </w:pPr>
            <w:r>
              <w:rPr>
                <w:rFonts w:ascii="Times New Roman" w:cs="Times New Roman" w:eastAsia="Times New Roman" w:hAnsi="Times New Roman"/>
                <w:sz w:val="17"/>
                <w:szCs w:val="17"/>
                <w:color w:val="231F20"/>
              </w:rPr>
              <w:t>balloon</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380" w:type="dxa"/>
            <w:vAlign w:val="bottom"/>
          </w:tcPr>
          <w:p>
            <w:pPr>
              <w:ind w:left="60"/>
              <w:spacing w:after="0" w:line="172" w:lineRule="exact"/>
              <w:rPr>
                <w:sz w:val="20"/>
                <w:szCs w:val="20"/>
                <w:color w:val="auto"/>
              </w:rPr>
            </w:pPr>
            <w:r>
              <w:rPr>
                <w:rFonts w:ascii="Times New Roman" w:cs="Times New Roman" w:eastAsia="Times New Roman" w:hAnsi="Times New Roman"/>
                <w:sz w:val="17"/>
                <w:szCs w:val="17"/>
                <w:color w:val="231F20"/>
              </w:rPr>
              <w:t>Rockville, MD (2)</w:t>
            </w: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tcPr>
          <w:p>
            <w:pPr>
              <w:ind w:left="60"/>
              <w:spacing w:after="0" w:line="172" w:lineRule="exact"/>
              <w:rPr>
                <w:sz w:val="20"/>
                <w:szCs w:val="20"/>
                <w:color w:val="auto"/>
              </w:rPr>
            </w:pPr>
            <w:r>
              <w:rPr>
                <w:rFonts w:ascii="Times New Roman" w:cs="Times New Roman" w:eastAsia="Times New Roman" w:hAnsi="Times New Roman"/>
                <w:sz w:val="17"/>
                <w:szCs w:val="17"/>
                <w:color w:val="231F20"/>
              </w:rPr>
              <w:t>payment due</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Pr>
          <w:p>
            <w:pPr>
              <w:ind w:left="60"/>
              <w:spacing w:after="0"/>
              <w:rPr>
                <w:sz w:val="20"/>
                <w:szCs w:val="20"/>
                <w:color w:val="auto"/>
              </w:rPr>
            </w:pPr>
            <w:r>
              <w:rPr>
                <w:rFonts w:ascii="Times New Roman" w:cs="Times New Roman" w:eastAsia="Times New Roman" w:hAnsi="Times New Roman"/>
                <w:sz w:val="17"/>
                <w:szCs w:val="17"/>
                <w:color w:val="231F20"/>
              </w:rPr>
              <w:t>at maturity</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1380" w:type="dxa"/>
            <w:vAlign w:val="bottom"/>
          </w:tcPr>
          <w:p>
            <w:pPr>
              <w:ind w:left="60"/>
              <w:spacing w:after="0"/>
              <w:rPr>
                <w:sz w:val="20"/>
                <w:szCs w:val="20"/>
                <w:color w:val="auto"/>
              </w:rPr>
            </w:pPr>
            <w:r>
              <w:rPr>
                <w:rFonts w:ascii="Times New Roman" w:cs="Times New Roman" w:eastAsia="Times New Roman" w:hAnsi="Times New Roman"/>
                <w:sz w:val="17"/>
                <w:szCs w:val="17"/>
                <w:color w:val="231F20"/>
              </w:rPr>
              <w:t>Second mortgage</w:t>
            </w: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231F20"/>
              </w:rPr>
              <w:t>10.75%</w:t>
            </w:r>
          </w:p>
        </w:tc>
        <w:tc>
          <w:tcPr>
            <w:tcW w:w="60" w:type="dxa"/>
            <w:vAlign w:val="bottom"/>
          </w:tcPr>
          <w:p>
            <w:pPr>
              <w:spacing w:after="0"/>
              <w:rPr>
                <w:sz w:val="20"/>
                <w:szCs w:val="20"/>
                <w:color w:val="auto"/>
              </w:rPr>
            </w:pPr>
          </w:p>
        </w:tc>
        <w:tc>
          <w:tcPr>
            <w:tcW w:w="1080" w:type="dxa"/>
            <w:vAlign w:val="bottom"/>
          </w:tcPr>
          <w:p>
            <w:pPr>
              <w:ind w:left="60"/>
              <w:spacing w:after="0"/>
              <w:rPr>
                <w:sz w:val="20"/>
                <w:szCs w:val="20"/>
                <w:color w:val="auto"/>
              </w:rPr>
            </w:pPr>
            <w:r>
              <w:rPr>
                <w:rFonts w:ascii="Times New Roman" w:cs="Times New Roman" w:eastAsia="Times New Roman" w:hAnsi="Times New Roman"/>
                <w:sz w:val="17"/>
                <w:szCs w:val="17"/>
                <w:color w:val="231F20"/>
              </w:rPr>
              <w:t>February</w:t>
            </w:r>
          </w:p>
        </w:tc>
        <w:tc>
          <w:tcPr>
            <w:tcW w:w="60" w:type="dxa"/>
            <w:vAlign w:val="bottom"/>
          </w:tcPr>
          <w:p>
            <w:pPr>
              <w:spacing w:after="0"/>
              <w:rPr>
                <w:sz w:val="20"/>
                <w:szCs w:val="20"/>
                <w:color w:val="auto"/>
              </w:rPr>
            </w:pPr>
          </w:p>
        </w:tc>
        <w:tc>
          <w:tcPr>
            <w:tcW w:w="1300" w:type="dxa"/>
            <w:vAlign w:val="bottom"/>
          </w:tcPr>
          <w:p>
            <w:pPr>
              <w:ind w:left="60"/>
              <w:spacing w:after="0"/>
              <w:rPr>
                <w:sz w:val="20"/>
                <w:szCs w:val="20"/>
                <w:color w:val="auto"/>
              </w:rPr>
            </w:pPr>
            <w:r>
              <w:rPr>
                <w:rFonts w:ascii="Times New Roman" w:cs="Times New Roman" w:eastAsia="Times New Roman" w:hAnsi="Times New Roman"/>
                <w:sz w:val="17"/>
                <w:szCs w:val="17"/>
                <w:color w:val="231F20"/>
              </w:rPr>
              <w:t>Interest only</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231F20"/>
              </w:rPr>
              <w:t>58,750</w:t>
            </w:r>
          </w:p>
        </w:tc>
        <w:tc>
          <w:tcPr>
            <w:tcW w:w="6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4,500</w:t>
            </w: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4,500</w:t>
            </w: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jc w:val="right"/>
              <w:ind w:right="420"/>
              <w:spacing w:after="0"/>
              <w:rPr>
                <w:sz w:val="20"/>
                <w:szCs w:val="20"/>
                <w:color w:val="auto"/>
              </w:rPr>
            </w:pPr>
            <w:r>
              <w:rPr>
                <w:rFonts w:ascii="Times New Roman" w:cs="Times New Roman" w:eastAsia="Times New Roman" w:hAnsi="Times New Roman"/>
                <w:sz w:val="19"/>
                <w:szCs w:val="19"/>
                <w:color w:val="231F20"/>
              </w:rPr>
              <w:t>—</w:t>
            </w:r>
          </w:p>
        </w:tc>
        <w:tc>
          <w:tcPr>
            <w:tcW w:w="0" w:type="dxa"/>
            <w:vAlign w:val="bottom"/>
          </w:tcPr>
          <w:p>
            <w:pPr>
              <w:spacing w:after="0"/>
              <w:rPr>
                <w:sz w:val="1"/>
                <w:szCs w:val="1"/>
                <w:color w:val="auto"/>
              </w:rPr>
            </w:pPr>
          </w:p>
        </w:tc>
      </w:tr>
      <w:tr>
        <w:trPr>
          <w:trHeight w:val="159"/>
        </w:trPr>
        <w:tc>
          <w:tcPr>
            <w:tcW w:w="1380" w:type="dxa"/>
            <w:vAlign w:val="bottom"/>
          </w:tcPr>
          <w:p>
            <w:pPr>
              <w:ind w:left="60"/>
              <w:spacing w:after="0" w:line="159" w:lineRule="exact"/>
              <w:rPr>
                <w:sz w:val="20"/>
                <w:szCs w:val="20"/>
                <w:color w:val="auto"/>
              </w:rPr>
            </w:pPr>
            <w:r>
              <w:rPr>
                <w:rFonts w:ascii="Times New Roman" w:cs="Times New Roman" w:eastAsia="Times New Roman" w:hAnsi="Times New Roman"/>
                <w:sz w:val="17"/>
                <w:szCs w:val="17"/>
                <w:color w:val="231F20"/>
              </w:rPr>
              <w:t>on a retail</w:t>
            </w: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40" w:type="dxa"/>
            <w:vAlign w:val="bottom"/>
            <w:gridSpan w:val="2"/>
          </w:tcPr>
          <w:p>
            <w:pPr>
              <w:ind w:left="120"/>
              <w:spacing w:after="0" w:line="159" w:lineRule="exact"/>
              <w:rPr>
                <w:sz w:val="20"/>
                <w:szCs w:val="20"/>
                <w:color w:val="auto"/>
              </w:rPr>
            </w:pPr>
            <w:r>
              <w:rPr>
                <w:rFonts w:ascii="Times New Roman" w:cs="Times New Roman" w:eastAsia="Times New Roman" w:hAnsi="Times New Roman"/>
                <w:sz w:val="17"/>
                <w:szCs w:val="17"/>
                <w:color w:val="231F20"/>
              </w:rPr>
              <w:t>2026</w:t>
            </w:r>
          </w:p>
        </w:tc>
        <w:tc>
          <w:tcPr>
            <w:tcW w:w="60" w:type="dxa"/>
            <w:vAlign w:val="bottom"/>
          </w:tcPr>
          <w:p>
            <w:pPr>
              <w:spacing w:after="0"/>
              <w:rPr>
                <w:sz w:val="13"/>
                <w:szCs w:val="13"/>
                <w:color w:val="auto"/>
              </w:rPr>
            </w:pPr>
          </w:p>
        </w:tc>
        <w:tc>
          <w:tcPr>
            <w:tcW w:w="1300" w:type="dxa"/>
            <w:vAlign w:val="bottom"/>
          </w:tcPr>
          <w:p>
            <w:pPr>
              <w:ind w:left="60"/>
              <w:spacing w:after="0" w:line="159" w:lineRule="exact"/>
              <w:rPr>
                <w:sz w:val="20"/>
                <w:szCs w:val="20"/>
                <w:color w:val="auto"/>
              </w:rPr>
            </w:pPr>
            <w:r>
              <w:rPr>
                <w:rFonts w:ascii="Times New Roman" w:cs="Times New Roman" w:eastAsia="Times New Roman" w:hAnsi="Times New Roman"/>
                <w:sz w:val="17"/>
                <w:szCs w:val="17"/>
                <w:color w:val="231F20"/>
              </w:rPr>
              <w:t>monthly;</w:t>
            </w: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1380" w:type="dxa"/>
            <w:vAlign w:val="bottom"/>
          </w:tcPr>
          <w:p>
            <w:pPr>
              <w:ind w:left="60"/>
              <w:spacing w:after="0" w:line="172" w:lineRule="exact"/>
              <w:rPr>
                <w:sz w:val="20"/>
                <w:szCs w:val="20"/>
                <w:color w:val="auto"/>
              </w:rPr>
            </w:pPr>
            <w:r>
              <w:rPr>
                <w:rFonts w:ascii="Times New Roman" w:cs="Times New Roman" w:eastAsia="Times New Roman" w:hAnsi="Times New Roman"/>
                <w:sz w:val="17"/>
                <w:szCs w:val="17"/>
                <w:color w:val="231F20"/>
              </w:rPr>
              <w:t>shopping center in</w:t>
            </w: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tcPr>
          <w:p>
            <w:pPr>
              <w:ind w:left="60"/>
              <w:spacing w:after="0" w:line="172" w:lineRule="exact"/>
              <w:rPr>
                <w:sz w:val="20"/>
                <w:szCs w:val="20"/>
                <w:color w:val="auto"/>
              </w:rPr>
            </w:pPr>
            <w:r>
              <w:rPr>
                <w:rFonts w:ascii="Times New Roman" w:cs="Times New Roman" w:eastAsia="Times New Roman" w:hAnsi="Times New Roman"/>
                <w:sz w:val="17"/>
                <w:szCs w:val="17"/>
                <w:color w:val="231F20"/>
              </w:rPr>
              <w:t>balloon</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380" w:type="dxa"/>
            <w:vAlign w:val="bottom"/>
          </w:tcPr>
          <w:p>
            <w:pPr>
              <w:ind w:left="60"/>
              <w:spacing w:after="0" w:line="172" w:lineRule="exact"/>
              <w:rPr>
                <w:sz w:val="20"/>
                <w:szCs w:val="20"/>
                <w:color w:val="auto"/>
              </w:rPr>
            </w:pPr>
            <w:r>
              <w:rPr>
                <w:rFonts w:ascii="Times New Roman" w:cs="Times New Roman" w:eastAsia="Times New Roman" w:hAnsi="Times New Roman"/>
                <w:sz w:val="17"/>
                <w:szCs w:val="17"/>
                <w:color w:val="231F20"/>
              </w:rPr>
              <w:t>Rockville, MD (2)</w:t>
            </w: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tcPr>
          <w:p>
            <w:pPr>
              <w:ind w:left="60"/>
              <w:spacing w:after="0" w:line="172" w:lineRule="exact"/>
              <w:rPr>
                <w:sz w:val="20"/>
                <w:szCs w:val="20"/>
                <w:color w:val="auto"/>
              </w:rPr>
            </w:pPr>
            <w:r>
              <w:rPr>
                <w:rFonts w:ascii="Times New Roman" w:cs="Times New Roman" w:eastAsia="Times New Roman" w:hAnsi="Times New Roman"/>
                <w:sz w:val="17"/>
                <w:szCs w:val="17"/>
                <w:color w:val="231F20"/>
              </w:rPr>
              <w:t>payment due</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Pr>
          <w:p>
            <w:pPr>
              <w:ind w:left="60"/>
              <w:spacing w:after="0"/>
              <w:rPr>
                <w:sz w:val="20"/>
                <w:szCs w:val="20"/>
                <w:color w:val="auto"/>
              </w:rPr>
            </w:pPr>
            <w:r>
              <w:rPr>
                <w:rFonts w:ascii="Times New Roman" w:cs="Times New Roman" w:eastAsia="Times New Roman" w:hAnsi="Times New Roman"/>
                <w:sz w:val="17"/>
                <w:szCs w:val="17"/>
                <w:color w:val="231F20"/>
              </w:rPr>
              <w:t>at maturity</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380" w:type="dxa"/>
            <w:vAlign w:val="bottom"/>
          </w:tcPr>
          <w:p>
            <w:pPr>
              <w:ind w:left="60"/>
              <w:spacing w:after="0"/>
              <w:rPr>
                <w:sz w:val="20"/>
                <w:szCs w:val="20"/>
                <w:color w:val="auto"/>
              </w:rPr>
            </w:pPr>
            <w:r>
              <w:rPr>
                <w:rFonts w:ascii="Times New Roman" w:cs="Times New Roman" w:eastAsia="Times New Roman" w:hAnsi="Times New Roman"/>
                <w:sz w:val="17"/>
                <w:szCs w:val="17"/>
                <w:color w:val="231F20"/>
              </w:rPr>
              <w:t>Second mortgage</w:t>
            </w: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231F20"/>
              </w:rPr>
              <w:t>7.0%</w:t>
            </w:r>
          </w:p>
        </w:tc>
        <w:tc>
          <w:tcPr>
            <w:tcW w:w="60" w:type="dxa"/>
            <w:vAlign w:val="bottom"/>
          </w:tcPr>
          <w:p>
            <w:pPr>
              <w:spacing w:after="0"/>
              <w:rPr>
                <w:sz w:val="19"/>
                <w:szCs w:val="19"/>
                <w:color w:val="auto"/>
              </w:rPr>
            </w:pPr>
          </w:p>
        </w:tc>
        <w:tc>
          <w:tcPr>
            <w:tcW w:w="1080" w:type="dxa"/>
            <w:vAlign w:val="bottom"/>
          </w:tcPr>
          <w:p>
            <w:pPr>
              <w:ind w:left="60"/>
              <w:spacing w:after="0"/>
              <w:rPr>
                <w:sz w:val="20"/>
                <w:szCs w:val="20"/>
                <w:color w:val="auto"/>
              </w:rPr>
            </w:pPr>
            <w:r>
              <w:rPr>
                <w:rFonts w:ascii="Times New Roman" w:cs="Times New Roman" w:eastAsia="Times New Roman" w:hAnsi="Times New Roman"/>
                <w:sz w:val="17"/>
                <w:szCs w:val="17"/>
                <w:color w:val="231F20"/>
              </w:rPr>
              <w:t>October 2031</w:t>
            </w:r>
          </w:p>
        </w:tc>
        <w:tc>
          <w:tcPr>
            <w:tcW w:w="60" w:type="dxa"/>
            <w:vAlign w:val="bottom"/>
          </w:tcPr>
          <w:p>
            <w:pPr>
              <w:spacing w:after="0"/>
              <w:rPr>
                <w:sz w:val="19"/>
                <w:szCs w:val="19"/>
                <w:color w:val="auto"/>
              </w:rPr>
            </w:pPr>
          </w:p>
        </w:tc>
        <w:tc>
          <w:tcPr>
            <w:tcW w:w="1300" w:type="dxa"/>
            <w:vAlign w:val="bottom"/>
          </w:tcPr>
          <w:p>
            <w:pPr>
              <w:ind w:left="60"/>
              <w:spacing w:after="0"/>
              <w:rPr>
                <w:sz w:val="20"/>
                <w:szCs w:val="20"/>
                <w:color w:val="auto"/>
              </w:rPr>
            </w:pPr>
            <w:r>
              <w:rPr>
                <w:rFonts w:ascii="Times New Roman" w:cs="Times New Roman" w:eastAsia="Times New Roman" w:hAnsi="Times New Roman"/>
                <w:sz w:val="17"/>
                <w:szCs w:val="17"/>
                <w:color w:val="231F20"/>
              </w:rPr>
              <w:t>Principal and</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231F20"/>
              </w:rPr>
              <w:t>4,990</w:t>
            </w:r>
          </w:p>
        </w:tc>
        <w:tc>
          <w:tcPr>
            <w:tcW w:w="6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231F20"/>
              </w:rPr>
              <w:t>399</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500"/>
              <w:spacing w:after="0"/>
              <w:rPr>
                <w:sz w:val="20"/>
                <w:szCs w:val="20"/>
                <w:color w:val="auto"/>
              </w:rPr>
            </w:pPr>
            <w:r>
              <w:rPr>
                <w:rFonts w:ascii="Times New Roman" w:cs="Times New Roman" w:eastAsia="Times New Roman" w:hAnsi="Times New Roman"/>
                <w:sz w:val="17"/>
                <w:szCs w:val="17"/>
                <w:color w:val="231F20"/>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color w:val="231F20"/>
              </w:rPr>
              <w:t>—</w:t>
            </w:r>
          </w:p>
        </w:tc>
        <w:tc>
          <w:tcPr>
            <w:tcW w:w="0" w:type="dxa"/>
            <w:vAlign w:val="bottom"/>
          </w:tcPr>
          <w:p>
            <w:pPr>
              <w:spacing w:after="0"/>
              <w:rPr>
                <w:sz w:val="1"/>
                <w:szCs w:val="1"/>
                <w:color w:val="auto"/>
              </w:rPr>
            </w:pPr>
          </w:p>
        </w:tc>
      </w:tr>
      <w:tr>
        <w:trPr>
          <w:trHeight w:val="171"/>
        </w:trPr>
        <w:tc>
          <w:tcPr>
            <w:tcW w:w="1380" w:type="dxa"/>
            <w:vAlign w:val="bottom"/>
          </w:tcPr>
          <w:p>
            <w:pPr>
              <w:ind w:left="60"/>
              <w:spacing w:after="0" w:line="172" w:lineRule="exact"/>
              <w:rPr>
                <w:sz w:val="20"/>
                <w:szCs w:val="20"/>
                <w:color w:val="auto"/>
              </w:rPr>
            </w:pPr>
            <w:r>
              <w:rPr>
                <w:rFonts w:ascii="Times New Roman" w:cs="Times New Roman" w:eastAsia="Times New Roman" w:hAnsi="Times New Roman"/>
                <w:sz w:val="17"/>
                <w:szCs w:val="17"/>
                <w:color w:val="231F20"/>
              </w:rPr>
              <w:t>on a retail</w:t>
            </w: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tcPr>
          <w:p>
            <w:pPr>
              <w:ind w:left="60"/>
              <w:spacing w:after="0" w:line="172" w:lineRule="exact"/>
              <w:rPr>
                <w:sz w:val="20"/>
                <w:szCs w:val="20"/>
                <w:color w:val="auto"/>
              </w:rPr>
            </w:pPr>
            <w:r>
              <w:rPr>
                <w:rFonts w:ascii="Times New Roman" w:cs="Times New Roman" w:eastAsia="Times New Roman" w:hAnsi="Times New Roman"/>
                <w:sz w:val="17"/>
                <w:szCs w:val="17"/>
                <w:color w:val="231F20"/>
              </w:rPr>
              <w:t>interest monthly;</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380" w:type="dxa"/>
            <w:vAlign w:val="bottom"/>
          </w:tcPr>
          <w:p>
            <w:pPr>
              <w:ind w:left="60"/>
              <w:spacing w:after="0" w:line="172" w:lineRule="exact"/>
              <w:rPr>
                <w:sz w:val="20"/>
                <w:szCs w:val="20"/>
                <w:color w:val="auto"/>
              </w:rPr>
            </w:pPr>
            <w:r>
              <w:rPr>
                <w:rFonts w:ascii="Times New Roman" w:cs="Times New Roman" w:eastAsia="Times New Roman" w:hAnsi="Times New Roman"/>
                <w:sz w:val="17"/>
                <w:szCs w:val="17"/>
                <w:color w:val="231F20"/>
              </w:rPr>
              <w:t>shopping center in</w:t>
            </w: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tcPr>
          <w:p>
            <w:pPr>
              <w:ind w:left="60"/>
              <w:spacing w:after="0" w:line="172" w:lineRule="exact"/>
              <w:rPr>
                <w:sz w:val="20"/>
                <w:szCs w:val="20"/>
                <w:color w:val="auto"/>
              </w:rPr>
            </w:pPr>
            <w:r>
              <w:rPr>
                <w:rFonts w:ascii="Times New Roman" w:cs="Times New Roman" w:eastAsia="Times New Roman" w:hAnsi="Times New Roman"/>
                <w:sz w:val="17"/>
                <w:szCs w:val="17"/>
                <w:color w:val="231F20"/>
              </w:rPr>
              <w:t>balloon payment</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1380" w:type="dxa"/>
            <w:vAlign w:val="bottom"/>
          </w:tcPr>
          <w:p>
            <w:pPr>
              <w:ind w:left="60"/>
              <w:spacing w:after="0"/>
              <w:rPr>
                <w:sz w:val="20"/>
                <w:szCs w:val="20"/>
                <w:color w:val="auto"/>
              </w:rPr>
            </w:pPr>
            <w:r>
              <w:rPr>
                <w:rFonts w:ascii="Times New Roman" w:cs="Times New Roman" w:eastAsia="Times New Roman" w:hAnsi="Times New Roman"/>
                <w:sz w:val="17"/>
                <w:szCs w:val="17"/>
                <w:color w:val="231F20"/>
              </w:rPr>
              <w:t>Baltimore, MD</w:t>
            </w: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Pr>
          <w:p>
            <w:pPr>
              <w:ind w:left="60"/>
              <w:spacing w:after="0"/>
              <w:rPr>
                <w:sz w:val="20"/>
                <w:szCs w:val="20"/>
                <w:color w:val="auto"/>
              </w:rPr>
            </w:pPr>
            <w:r>
              <w:rPr>
                <w:rFonts w:ascii="Times New Roman" w:cs="Times New Roman" w:eastAsia="Times New Roman" w:hAnsi="Times New Roman"/>
                <w:sz w:val="17"/>
                <w:szCs w:val="17"/>
                <w:color w:val="231F20"/>
              </w:rPr>
              <w:t>due at maturity</w:t>
            </w:r>
          </w:p>
        </w:tc>
        <w:tc>
          <w:tcPr>
            <w:tcW w:w="100" w:type="dxa"/>
            <w:vAlign w:val="bottom"/>
          </w:tcPr>
          <w:p>
            <w:pPr>
              <w:spacing w:after="0"/>
              <w:rPr>
                <w:sz w:val="19"/>
                <w:szCs w:val="19"/>
                <w:color w:val="auto"/>
              </w:rPr>
            </w:pPr>
          </w:p>
        </w:tc>
        <w:tc>
          <w:tcPr>
            <w:tcW w:w="680" w:type="dxa"/>
            <w:vAlign w:val="bottom"/>
            <w:tcBorders>
              <w:bottom w:val="single" w:sz="8" w:color="231F20"/>
            </w:tcBorders>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231F20"/>
            </w:tcBorders>
          </w:tcPr>
          <w:p>
            <w:pPr>
              <w:spacing w:after="0"/>
              <w:rPr>
                <w:sz w:val="19"/>
                <w:szCs w:val="19"/>
                <w:color w:val="auto"/>
              </w:rPr>
            </w:pPr>
          </w:p>
        </w:tc>
        <w:tc>
          <w:tcPr>
            <w:tcW w:w="540" w:type="dxa"/>
            <w:vAlign w:val="bottom"/>
            <w:tcBorders>
              <w:bottom w:val="single" w:sz="8" w:color="231F20"/>
            </w:tcBorders>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231F20"/>
            </w:tcBorders>
          </w:tcPr>
          <w:p>
            <w:pPr>
              <w:spacing w:after="0"/>
              <w:rPr>
                <w:sz w:val="19"/>
                <w:szCs w:val="19"/>
                <w:color w:val="auto"/>
              </w:rPr>
            </w:pPr>
          </w:p>
        </w:tc>
        <w:tc>
          <w:tcPr>
            <w:tcW w:w="540" w:type="dxa"/>
            <w:vAlign w:val="bottom"/>
            <w:tcBorders>
              <w:bottom w:val="single" w:sz="8" w:color="231F20"/>
            </w:tcBorders>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231F20"/>
            </w:tcBorders>
          </w:tcPr>
          <w:p>
            <w:pPr>
              <w:spacing w:after="0"/>
              <w:rPr>
                <w:sz w:val="19"/>
                <w:szCs w:val="19"/>
                <w:color w:val="auto"/>
              </w:rPr>
            </w:pPr>
          </w:p>
        </w:tc>
        <w:tc>
          <w:tcPr>
            <w:tcW w:w="720" w:type="dxa"/>
            <w:vAlign w:val="bottom"/>
            <w:tcBorders>
              <w:bottom w:val="single" w:sz="8" w:color="231F20"/>
            </w:tcBorders>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231F20"/>
              </w:rPr>
              <w:t>$63,740</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231F20"/>
              </w:rPr>
              <w:t>$</w:t>
            </w:r>
          </w:p>
        </w:tc>
        <w:tc>
          <w:tcPr>
            <w:tcW w:w="5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231F20"/>
              </w:rPr>
              <w:t>9,974</w:t>
            </w: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231F20"/>
              </w:rPr>
              <w:t>$</w:t>
            </w:r>
          </w:p>
        </w:tc>
        <w:tc>
          <w:tcPr>
            <w:tcW w:w="5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231F20"/>
              </w:rPr>
              <w:t>9,091</w:t>
            </w: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231F20"/>
            </w:tcBorders>
          </w:tcPr>
          <w:p>
            <w:pPr>
              <w:ind w:left="40"/>
              <w:spacing w:after="0"/>
              <w:rPr>
                <w:sz w:val="20"/>
                <w:szCs w:val="20"/>
                <w:color w:val="auto"/>
              </w:rPr>
            </w:pPr>
            <w:r>
              <w:rPr>
                <w:rFonts w:ascii="Times New Roman" w:cs="Times New Roman" w:eastAsia="Times New Roman" w:hAnsi="Times New Roman"/>
                <w:sz w:val="17"/>
                <w:szCs w:val="17"/>
                <w:color w:val="231F20"/>
                <w:w w:val="93"/>
              </w:rPr>
              <w:t>$</w:t>
            </w:r>
          </w:p>
        </w:tc>
        <w:tc>
          <w:tcPr>
            <w:tcW w:w="7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231F20"/>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231F20"/>
            </w:tcBorders>
          </w:tcPr>
          <w:p>
            <w:pPr>
              <w:spacing w:after="0" w:line="20" w:lineRule="exact"/>
              <w:rPr>
                <w:sz w:val="1"/>
                <w:szCs w:val="1"/>
                <w:color w:val="auto"/>
              </w:rPr>
            </w:pPr>
          </w:p>
        </w:tc>
        <w:tc>
          <w:tcPr>
            <w:tcW w:w="540" w:type="dxa"/>
            <w:vAlign w:val="bottom"/>
            <w:tcBorders>
              <w:bottom w:val="single" w:sz="8" w:color="231F20"/>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231F20"/>
            </w:tcBorders>
          </w:tcPr>
          <w:p>
            <w:pPr>
              <w:spacing w:after="0" w:line="20" w:lineRule="exact"/>
              <w:rPr>
                <w:sz w:val="1"/>
                <w:szCs w:val="1"/>
                <w:color w:val="auto"/>
              </w:rPr>
            </w:pPr>
          </w:p>
        </w:tc>
        <w:tc>
          <w:tcPr>
            <w:tcW w:w="540" w:type="dxa"/>
            <w:vAlign w:val="bottom"/>
            <w:tcBorders>
              <w:bottom w:val="single" w:sz="8" w:color="231F20"/>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231F20"/>
            </w:tcBorders>
          </w:tcPr>
          <w:p>
            <w:pPr>
              <w:spacing w:after="0" w:line="20" w:lineRule="exact"/>
              <w:rPr>
                <w:sz w:val="1"/>
                <w:szCs w:val="1"/>
                <w:color w:val="auto"/>
              </w:rPr>
            </w:pPr>
          </w:p>
        </w:tc>
        <w:tc>
          <w:tcPr>
            <w:tcW w:w="720" w:type="dxa"/>
            <w:vAlign w:val="bottom"/>
            <w:tcBorders>
              <w:bottom w:val="single" w:sz="8" w:color="231F20"/>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_____________________</w:t>
      </w:r>
    </w:p>
    <w:p>
      <w:pPr>
        <w:spacing w:after="0" w:line="31" w:lineRule="exact"/>
        <w:rPr>
          <w:sz w:val="20"/>
          <w:szCs w:val="20"/>
          <w:color w:val="auto"/>
        </w:rPr>
      </w:pPr>
    </w:p>
    <w:p>
      <w:pPr>
        <w:ind w:left="340" w:right="200" w:hanging="337"/>
        <w:spacing w:after="0" w:line="254" w:lineRule="auto"/>
        <w:tabs>
          <w:tab w:leader="none" w:pos="340" w:val="left"/>
        </w:tabs>
        <w:numPr>
          <w:ilvl w:val="0"/>
          <w:numId w:val="74"/>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amounts are net of any expected losses in accordance with ASU 2016-13. See note 2 to the consolidated financial statements. For Federal tax purposes, the aggregate tax basis is approximately $10.0 million as of December 31, 2025.</w:t>
      </w:r>
    </w:p>
    <w:p>
      <w:pPr>
        <w:ind w:left="340" w:right="100" w:hanging="337"/>
        <w:spacing w:after="0" w:line="252" w:lineRule="auto"/>
        <w:tabs>
          <w:tab w:leader="none" w:pos="340" w:val="left"/>
        </w:tabs>
        <w:numPr>
          <w:ilvl w:val="0"/>
          <w:numId w:val="74"/>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borrower on the noted mortgage notes receivable is in default. However, we believe the fair value of the property supports the $9.1 million carrying value of our notes.</w:t>
      </w:r>
    </w:p>
    <w:p>
      <w:pPr>
        <w:ind w:left="340" w:right="540" w:hanging="337"/>
        <w:spacing w:after="0" w:line="252" w:lineRule="auto"/>
        <w:tabs>
          <w:tab w:leader="none" w:pos="340" w:val="left"/>
        </w:tabs>
        <w:numPr>
          <w:ilvl w:val="0"/>
          <w:numId w:val="74"/>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These mortgages are both subordinate to a first mortgage of $58.8 million in total. We do not hold the first mortgage loan on this property. Accordingly, the amount of the prior lien at December 31, 2025 is estimated.</w:t>
      </w:r>
    </w:p>
    <w:p>
      <w:pPr>
        <w:ind w:left="340" w:right="160" w:hanging="337"/>
        <w:spacing w:after="0" w:line="264" w:lineRule="auto"/>
        <w:tabs>
          <w:tab w:leader="none" w:pos="340" w:val="left"/>
        </w:tabs>
        <w:numPr>
          <w:ilvl w:val="0"/>
          <w:numId w:val="74"/>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This mortgage is subordinate to a first mortgage of $5.0 million. We do not hold the first mortgage loan on this property. Accordingly, the amount of the prior lien at December 31, 2025 is estimated.</w:t>
      </w:r>
    </w:p>
    <w:p>
      <w:pPr>
        <w:sectPr>
          <w:pgSz w:w="11880" w:h="15480" w:orient="portrait"/>
          <w:cols w:equalWidth="0" w:num="1">
            <w:col w:w="9720"/>
          </w:cols>
          <w:pgMar w:left="1060" w:top="1186" w:right="11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231F20"/>
        </w:rPr>
        <w:t>F-49</w:t>
      </w:r>
    </w:p>
    <w:p>
      <w:pPr>
        <w:sectPr>
          <w:pgSz w:w="11880" w:h="15480" w:orient="portrait"/>
          <w:cols w:equalWidth="0" w:num="1">
            <w:col w:w="9720"/>
          </w:cols>
          <w:pgMar w:left="1060" w:top="1186" w:right="1100" w:bottom="0" w:gutter="0" w:footer="0" w:header="0"/>
          <w:type w:val="continuous"/>
        </w:sectPr>
      </w:pPr>
    </w:p>
    <w:bookmarkStart w:id="113" w:name="page114"/>
    <w:bookmarkEnd w:id="113"/>
    <w:p>
      <w:pPr>
        <w:jc w:val="center"/>
        <w:ind w:right="40"/>
        <w:spacing w:after="0"/>
        <w:rPr>
          <w:sz w:val="20"/>
          <w:szCs w:val="20"/>
          <w:color w:val="auto"/>
        </w:rPr>
      </w:pPr>
      <w:r>
        <w:rPr>
          <w:rFonts w:ascii="Times New Roman" w:cs="Times New Roman" w:eastAsia="Times New Roman" w:hAnsi="Times New Roman"/>
          <w:sz w:val="19"/>
          <w:szCs w:val="19"/>
          <w:b w:val="1"/>
          <w:bCs w:val="1"/>
          <w:color w:val="231F20"/>
        </w:rPr>
        <w:t>FEDERAL REALTY INVESTMENT TRUST AND FEDERAL REALTY OP LP</w:t>
      </w:r>
    </w:p>
    <w:p>
      <w:pPr>
        <w:spacing w:after="0" w:line="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b w:val="1"/>
          <w:bCs w:val="1"/>
          <w:color w:val="231F20"/>
        </w:rPr>
        <w:t>SCHEDULE IV</w:t>
      </w:r>
    </w:p>
    <w:p>
      <w:pPr>
        <w:spacing w:after="0" w:line="1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b w:val="1"/>
          <w:bCs w:val="1"/>
          <w:color w:val="231F20"/>
        </w:rPr>
        <w:t>MORTGAGE LOANS ON REAL ESTATE - CONTINUED</w:t>
      </w:r>
    </w:p>
    <w:p>
      <w:pPr>
        <w:spacing w:after="0" w:line="1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b w:val="1"/>
          <w:bCs w:val="1"/>
          <w:color w:val="231F20"/>
        </w:rPr>
        <w:t>Three Years Ended December 31, 2025</w:t>
      </w:r>
    </w:p>
    <w:p>
      <w:pPr>
        <w:spacing w:after="0" w:line="1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b w:val="1"/>
          <w:bCs w:val="1"/>
          <w:color w:val="231F20"/>
        </w:rPr>
        <w:t>Reconciliation of Carrying Amount</w:t>
      </w:r>
    </w:p>
    <w:p>
      <w:pPr>
        <w:spacing w:after="0" w:line="1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b w:val="1"/>
          <w:bCs w:val="1"/>
          <w:color w:val="231F20"/>
        </w:rPr>
        <w:t>(In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8540" w:type="dxa"/>
            <w:vAlign w:val="bottom"/>
          </w:tcPr>
          <w:p>
            <w:pPr>
              <w:jc w:val="right"/>
              <w:spacing w:after="0"/>
              <w:rPr>
                <w:sz w:val="20"/>
                <w:szCs w:val="20"/>
                <w:color w:val="auto"/>
              </w:rPr>
            </w:pPr>
            <w:r>
              <w:rPr>
                <w:rFonts w:ascii="Times New Roman" w:cs="Times New Roman" w:eastAsia="Times New Roman" w:hAnsi="Times New Roman"/>
                <w:sz w:val="19"/>
                <w:szCs w:val="19"/>
                <w:color w:val="231F20"/>
                <w:w w:val="99"/>
              </w:rPr>
              <w:t xml:space="preserve">Balance, December 31, 2022 </w:t>
            </w:r>
            <w:r>
              <w:rPr>
                <w:rFonts w:ascii="Times New Roman" w:cs="Times New Roman" w:eastAsia="Times New Roman" w:hAnsi="Times New Roman"/>
                <w:sz w:val="19"/>
                <w:szCs w:val="19"/>
                <w:color w:val="C3C5C7"/>
                <w:w w:val="99"/>
              </w:rPr>
              <w:t>....................................................................................................................................</w:t>
            </w:r>
          </w:p>
        </w:tc>
        <w:tc>
          <w:tcPr>
            <w:tcW w:w="400" w:type="dxa"/>
            <w:vAlign w:val="bottom"/>
          </w:tcPr>
          <w:p>
            <w:pPr>
              <w:jc w:val="right"/>
              <w:ind w:right="145"/>
              <w:spacing w:after="0"/>
              <w:rPr>
                <w:sz w:val="20"/>
                <w:szCs w:val="20"/>
                <w:color w:val="auto"/>
              </w:rPr>
            </w:pPr>
            <w:r>
              <w:rPr>
                <w:rFonts w:ascii="Times New Roman" w:cs="Times New Roman" w:eastAsia="Times New Roman" w:hAnsi="Times New Roman"/>
                <w:sz w:val="19"/>
                <w:szCs w:val="19"/>
                <w:color w:val="231F2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9,456</w:t>
            </w:r>
          </w:p>
        </w:tc>
      </w:tr>
      <w:tr>
        <w:trPr>
          <w:trHeight w:val="271"/>
        </w:trPr>
        <w:tc>
          <w:tcPr>
            <w:tcW w:w="8540" w:type="dxa"/>
            <w:vAlign w:val="bottom"/>
          </w:tcPr>
          <w:p>
            <w:pPr>
              <w:jc w:val="right"/>
              <w:ind w:right="6245"/>
              <w:spacing w:after="0"/>
              <w:rPr>
                <w:sz w:val="20"/>
                <w:szCs w:val="20"/>
                <w:color w:val="auto"/>
              </w:rPr>
            </w:pPr>
            <w:r>
              <w:rPr>
                <w:rFonts w:ascii="Times New Roman" w:cs="Times New Roman" w:eastAsia="Times New Roman" w:hAnsi="Times New Roman"/>
                <w:sz w:val="19"/>
                <w:szCs w:val="19"/>
                <w:color w:val="231F20"/>
              </w:rPr>
              <w:t>Deductions during period:</w:t>
            </w:r>
          </w:p>
        </w:tc>
        <w:tc>
          <w:tcPr>
            <w:tcW w:w="40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271"/>
        </w:trPr>
        <w:tc>
          <w:tcPr>
            <w:tcW w:w="85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Valuation adjustments</w:t>
            </w:r>
            <w:r>
              <w:rPr>
                <w:rFonts w:ascii="Times New Roman" w:cs="Times New Roman" w:eastAsia="Times New Roman" w:hAnsi="Times New Roman"/>
                <w:sz w:val="19"/>
                <w:szCs w:val="19"/>
                <w:color w:val="C3C5C7"/>
              </w:rPr>
              <w:t>.....................................................................................................................................</w:t>
            </w:r>
          </w:p>
        </w:tc>
        <w:tc>
          <w:tcPr>
            <w:tcW w:w="4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(213)</w:t>
            </w:r>
          </w:p>
        </w:tc>
      </w:tr>
      <w:tr>
        <w:trPr>
          <w:trHeight w:val="272"/>
        </w:trPr>
        <w:tc>
          <w:tcPr>
            <w:tcW w:w="85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 xml:space="preserve">Collection and satisfaction of loans </w:t>
            </w:r>
            <w:r>
              <w:rPr>
                <w:rFonts w:ascii="Times New Roman" w:cs="Times New Roman" w:eastAsia="Times New Roman" w:hAnsi="Times New Roman"/>
                <w:sz w:val="19"/>
                <w:szCs w:val="19"/>
                <w:color w:val="C3C5C7"/>
              </w:rPr>
              <w:t>................................................................................................................</w:t>
            </w:r>
          </w:p>
        </w:tc>
        <w:tc>
          <w:tcPr>
            <w:tcW w:w="400" w:type="dxa"/>
            <w:vAlign w:val="bottom"/>
            <w:tcBorders>
              <w:bottom w:val="single" w:sz="8" w:color="231F20"/>
            </w:tcBorders>
          </w:tcPr>
          <w:p>
            <w:pPr>
              <w:spacing w:after="0"/>
              <w:rPr>
                <w:sz w:val="23"/>
                <w:szCs w:val="23"/>
                <w:color w:val="auto"/>
              </w:rPr>
            </w:pPr>
          </w:p>
        </w:tc>
        <w:tc>
          <w:tcPr>
            <w:tcW w:w="7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(47)</w:t>
            </w:r>
          </w:p>
        </w:tc>
      </w:tr>
      <w:tr>
        <w:trPr>
          <w:trHeight w:val="250"/>
        </w:trPr>
        <w:tc>
          <w:tcPr>
            <w:tcW w:w="8540" w:type="dxa"/>
            <w:vAlign w:val="bottom"/>
          </w:tcPr>
          <w:p>
            <w:pPr>
              <w:jc w:val="right"/>
              <w:spacing w:after="0"/>
              <w:rPr>
                <w:sz w:val="20"/>
                <w:szCs w:val="20"/>
                <w:color w:val="auto"/>
              </w:rPr>
            </w:pPr>
            <w:r>
              <w:rPr>
                <w:rFonts w:ascii="Times New Roman" w:cs="Times New Roman" w:eastAsia="Times New Roman" w:hAnsi="Times New Roman"/>
                <w:sz w:val="19"/>
                <w:szCs w:val="19"/>
                <w:color w:val="231F20"/>
                <w:w w:val="99"/>
              </w:rPr>
              <w:t xml:space="preserve">Balance, December 31, 2023 </w:t>
            </w:r>
            <w:r>
              <w:rPr>
                <w:rFonts w:ascii="Times New Roman" w:cs="Times New Roman" w:eastAsia="Times New Roman" w:hAnsi="Times New Roman"/>
                <w:sz w:val="19"/>
                <w:szCs w:val="19"/>
                <w:color w:val="C3C5C7"/>
                <w:w w:val="99"/>
              </w:rPr>
              <w:t>....................................................................................................................................</w:t>
            </w: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9,196</w:t>
            </w:r>
          </w:p>
        </w:tc>
      </w:tr>
      <w:tr>
        <w:trPr>
          <w:trHeight w:val="271"/>
        </w:trPr>
        <w:tc>
          <w:tcPr>
            <w:tcW w:w="8540" w:type="dxa"/>
            <w:vAlign w:val="bottom"/>
          </w:tcPr>
          <w:p>
            <w:pPr>
              <w:jc w:val="right"/>
              <w:ind w:right="6245"/>
              <w:spacing w:after="0"/>
              <w:rPr>
                <w:sz w:val="20"/>
                <w:szCs w:val="20"/>
                <w:color w:val="auto"/>
              </w:rPr>
            </w:pPr>
            <w:r>
              <w:rPr>
                <w:rFonts w:ascii="Times New Roman" w:cs="Times New Roman" w:eastAsia="Times New Roman" w:hAnsi="Times New Roman"/>
                <w:sz w:val="19"/>
                <w:szCs w:val="19"/>
                <w:color w:val="231F20"/>
              </w:rPr>
              <w:t>Deductions during period:</w:t>
            </w:r>
          </w:p>
        </w:tc>
        <w:tc>
          <w:tcPr>
            <w:tcW w:w="40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271"/>
        </w:trPr>
        <w:tc>
          <w:tcPr>
            <w:tcW w:w="85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 xml:space="preserve">Collection and satisfaction of loans </w:t>
            </w:r>
            <w:r>
              <w:rPr>
                <w:rFonts w:ascii="Times New Roman" w:cs="Times New Roman" w:eastAsia="Times New Roman" w:hAnsi="Times New Roman"/>
                <w:sz w:val="19"/>
                <w:szCs w:val="19"/>
                <w:color w:val="C3C5C7"/>
              </w:rPr>
              <w:t>................................................................................................................</w:t>
            </w:r>
          </w:p>
        </w:tc>
        <w:tc>
          <w:tcPr>
            <w:tcW w:w="4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(50)</w:t>
            </w:r>
          </w:p>
        </w:tc>
      </w:tr>
      <w:tr>
        <w:trPr>
          <w:trHeight w:val="272"/>
        </w:trPr>
        <w:tc>
          <w:tcPr>
            <w:tcW w:w="85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Valuation adjustments</w:t>
            </w:r>
            <w:r>
              <w:rPr>
                <w:rFonts w:ascii="Times New Roman" w:cs="Times New Roman" w:eastAsia="Times New Roman" w:hAnsi="Times New Roman"/>
                <w:sz w:val="19"/>
                <w:szCs w:val="19"/>
                <w:color w:val="C3C5C7"/>
              </w:rPr>
              <w:t>.....................................................................................................................................</w:t>
            </w:r>
          </w:p>
        </w:tc>
        <w:tc>
          <w:tcPr>
            <w:tcW w:w="400" w:type="dxa"/>
            <w:vAlign w:val="bottom"/>
            <w:tcBorders>
              <w:bottom w:val="single" w:sz="8" w:color="231F20"/>
            </w:tcBorders>
          </w:tcPr>
          <w:p>
            <w:pPr>
              <w:spacing w:after="0"/>
              <w:rPr>
                <w:sz w:val="23"/>
                <w:szCs w:val="23"/>
                <w:color w:val="auto"/>
              </w:rPr>
            </w:pPr>
          </w:p>
        </w:tc>
        <w:tc>
          <w:tcPr>
            <w:tcW w:w="7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(2)</w:t>
            </w:r>
          </w:p>
        </w:tc>
      </w:tr>
      <w:tr>
        <w:trPr>
          <w:trHeight w:val="250"/>
        </w:trPr>
        <w:tc>
          <w:tcPr>
            <w:tcW w:w="8540" w:type="dxa"/>
            <w:vAlign w:val="bottom"/>
          </w:tcPr>
          <w:p>
            <w:pPr>
              <w:jc w:val="right"/>
              <w:ind w:right="6245"/>
              <w:spacing w:after="0"/>
              <w:rPr>
                <w:sz w:val="20"/>
                <w:szCs w:val="20"/>
                <w:color w:val="auto"/>
              </w:rPr>
            </w:pPr>
            <w:r>
              <w:rPr>
                <w:rFonts w:ascii="Times New Roman" w:cs="Times New Roman" w:eastAsia="Times New Roman" w:hAnsi="Times New Roman"/>
                <w:sz w:val="19"/>
                <w:szCs w:val="19"/>
                <w:color w:val="231F20"/>
                <w:w w:val="99"/>
              </w:rPr>
              <w:t>Balance, December 31, 2024</w:t>
            </w: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9,144</w:t>
            </w:r>
          </w:p>
        </w:tc>
      </w:tr>
      <w:tr>
        <w:trPr>
          <w:trHeight w:val="271"/>
        </w:trPr>
        <w:tc>
          <w:tcPr>
            <w:tcW w:w="8540" w:type="dxa"/>
            <w:vAlign w:val="bottom"/>
          </w:tcPr>
          <w:p>
            <w:pPr>
              <w:jc w:val="right"/>
              <w:ind w:right="6245"/>
              <w:spacing w:after="0"/>
              <w:rPr>
                <w:sz w:val="20"/>
                <w:szCs w:val="20"/>
                <w:color w:val="auto"/>
              </w:rPr>
            </w:pPr>
            <w:r>
              <w:rPr>
                <w:rFonts w:ascii="Times New Roman" w:cs="Times New Roman" w:eastAsia="Times New Roman" w:hAnsi="Times New Roman"/>
                <w:sz w:val="19"/>
                <w:szCs w:val="19"/>
                <w:color w:val="231F20"/>
              </w:rPr>
              <w:t>Deductions during period:</w:t>
            </w:r>
          </w:p>
        </w:tc>
        <w:tc>
          <w:tcPr>
            <w:tcW w:w="40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271"/>
        </w:trPr>
        <w:tc>
          <w:tcPr>
            <w:tcW w:w="85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 xml:space="preserve">Collection and satisfaction of loans </w:t>
            </w:r>
            <w:r>
              <w:rPr>
                <w:rFonts w:ascii="Times New Roman" w:cs="Times New Roman" w:eastAsia="Times New Roman" w:hAnsi="Times New Roman"/>
                <w:sz w:val="19"/>
                <w:szCs w:val="19"/>
                <w:color w:val="C3C5C7"/>
              </w:rPr>
              <w:t>................................................................................................................</w:t>
            </w:r>
          </w:p>
        </w:tc>
        <w:tc>
          <w:tcPr>
            <w:tcW w:w="4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(54)</w:t>
            </w:r>
          </w:p>
        </w:tc>
      </w:tr>
      <w:tr>
        <w:trPr>
          <w:trHeight w:val="272"/>
        </w:trPr>
        <w:tc>
          <w:tcPr>
            <w:tcW w:w="8540" w:type="dxa"/>
            <w:vAlign w:val="bottom"/>
          </w:tcPr>
          <w:p>
            <w:pPr>
              <w:jc w:val="right"/>
              <w:spacing w:after="0"/>
              <w:rPr>
                <w:sz w:val="20"/>
                <w:szCs w:val="20"/>
                <w:color w:val="auto"/>
              </w:rPr>
            </w:pPr>
            <w:r>
              <w:rPr>
                <w:rFonts w:ascii="Times New Roman" w:cs="Times New Roman" w:eastAsia="Times New Roman" w:hAnsi="Times New Roman"/>
                <w:sz w:val="19"/>
                <w:szCs w:val="19"/>
                <w:color w:val="231F20"/>
              </w:rPr>
              <w:t>Valuation adjustments</w:t>
            </w:r>
            <w:r>
              <w:rPr>
                <w:rFonts w:ascii="Times New Roman" w:cs="Times New Roman" w:eastAsia="Times New Roman" w:hAnsi="Times New Roman"/>
                <w:sz w:val="19"/>
                <w:szCs w:val="19"/>
                <w:color w:val="C3C5C7"/>
              </w:rPr>
              <w:t>.....................................................................................................................................</w:t>
            </w:r>
          </w:p>
        </w:tc>
        <w:tc>
          <w:tcPr>
            <w:tcW w:w="400" w:type="dxa"/>
            <w:vAlign w:val="bottom"/>
            <w:tcBorders>
              <w:bottom w:val="single" w:sz="8" w:color="231F20"/>
            </w:tcBorders>
          </w:tcPr>
          <w:p>
            <w:pPr>
              <w:spacing w:after="0"/>
              <w:rPr>
                <w:sz w:val="23"/>
                <w:szCs w:val="23"/>
                <w:color w:val="auto"/>
              </w:rPr>
            </w:pPr>
          </w:p>
        </w:tc>
        <w:tc>
          <w:tcPr>
            <w:tcW w:w="7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1</w:t>
            </w:r>
          </w:p>
        </w:tc>
      </w:tr>
      <w:tr>
        <w:trPr>
          <w:trHeight w:val="233"/>
        </w:trPr>
        <w:tc>
          <w:tcPr>
            <w:tcW w:w="8540" w:type="dxa"/>
            <w:vAlign w:val="bottom"/>
          </w:tcPr>
          <w:p>
            <w:pPr>
              <w:jc w:val="right"/>
              <w:spacing w:after="0"/>
              <w:rPr>
                <w:sz w:val="20"/>
                <w:szCs w:val="20"/>
                <w:color w:val="auto"/>
              </w:rPr>
            </w:pPr>
            <w:r>
              <w:rPr>
                <w:rFonts w:ascii="Times New Roman" w:cs="Times New Roman" w:eastAsia="Times New Roman" w:hAnsi="Times New Roman"/>
                <w:sz w:val="19"/>
                <w:szCs w:val="19"/>
                <w:color w:val="231F20"/>
                <w:w w:val="99"/>
              </w:rPr>
              <w:t xml:space="preserve">Balance, December 31, 2025 </w:t>
            </w:r>
            <w:r>
              <w:rPr>
                <w:rFonts w:ascii="Times New Roman" w:cs="Times New Roman" w:eastAsia="Times New Roman" w:hAnsi="Times New Roman"/>
                <w:sz w:val="19"/>
                <w:szCs w:val="19"/>
                <w:color w:val="C3C5C7"/>
                <w:w w:val="99"/>
              </w:rPr>
              <w:t>....................................................................................................................................</w:t>
            </w:r>
          </w:p>
        </w:tc>
        <w:tc>
          <w:tcPr>
            <w:tcW w:w="400" w:type="dxa"/>
            <w:vAlign w:val="bottom"/>
            <w:tcBorders>
              <w:bottom w:val="single" w:sz="8" w:color="231F20"/>
            </w:tcBorders>
          </w:tcPr>
          <w:p>
            <w:pPr>
              <w:jc w:val="right"/>
              <w:ind w:right="145"/>
              <w:spacing w:after="0"/>
              <w:rPr>
                <w:sz w:val="20"/>
                <w:szCs w:val="20"/>
                <w:color w:val="auto"/>
              </w:rPr>
            </w:pPr>
            <w:r>
              <w:rPr>
                <w:rFonts w:ascii="Times New Roman" w:cs="Times New Roman" w:eastAsia="Times New Roman" w:hAnsi="Times New Roman"/>
                <w:sz w:val="19"/>
                <w:szCs w:val="19"/>
                <w:color w:val="231F20"/>
              </w:rPr>
              <w:t>$</w:t>
            </w:r>
          </w:p>
        </w:tc>
        <w:tc>
          <w:tcPr>
            <w:tcW w:w="7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9,091</w:t>
            </w:r>
          </w:p>
        </w:tc>
      </w:tr>
      <w:tr>
        <w:trPr>
          <w:trHeight w:val="20"/>
        </w:trPr>
        <w:tc>
          <w:tcPr>
            <w:tcW w:w="8540" w:type="dxa"/>
            <w:vAlign w:val="bottom"/>
          </w:tcPr>
          <w:p>
            <w:pPr>
              <w:spacing w:after="0" w:line="20" w:lineRule="exact"/>
              <w:rPr>
                <w:sz w:val="1"/>
                <w:szCs w:val="1"/>
                <w:color w:val="auto"/>
              </w:rPr>
            </w:pPr>
          </w:p>
        </w:tc>
        <w:tc>
          <w:tcPr>
            <w:tcW w:w="400" w:type="dxa"/>
            <w:vAlign w:val="bottom"/>
            <w:tcBorders>
              <w:bottom w:val="single" w:sz="8" w:color="231F20"/>
            </w:tcBorders>
          </w:tcPr>
          <w:p>
            <w:pPr>
              <w:spacing w:after="0" w:line="20" w:lineRule="exact"/>
              <w:rPr>
                <w:sz w:val="1"/>
                <w:szCs w:val="1"/>
                <w:color w:val="auto"/>
              </w:rPr>
            </w:pPr>
          </w:p>
        </w:tc>
        <w:tc>
          <w:tcPr>
            <w:tcW w:w="740" w:type="dxa"/>
            <w:vAlign w:val="bottom"/>
            <w:tcBorders>
              <w:bottom w:val="single" w:sz="8" w:color="231F20"/>
            </w:tcBorders>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9680"/>
          </w:cols>
          <w:pgMar w:left="1120" w:top="1186"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231F20"/>
        </w:rPr>
        <w:t>F-50</w:t>
      </w:r>
    </w:p>
    <w:p>
      <w:pPr>
        <w:sectPr>
          <w:pgSz w:w="11880" w:h="15480" w:orient="portrait"/>
          <w:cols w:equalWidth="0" w:num="1">
            <w:col w:w="9680"/>
          </w:cols>
          <w:pgMar w:left="1120" w:top="1186" w:right="1080" w:bottom="0" w:gutter="0" w:footer="0" w:header="0"/>
          <w:type w:val="continuous"/>
        </w:sectPr>
      </w:pPr>
    </w:p>
    <w:bookmarkStart w:id="114" w:name="page115"/>
    <w:bookmarkEnd w:id="1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372110</wp:posOffset>
            </wp:positionH>
            <wp:positionV relativeFrom="page">
              <wp:posOffset>254635</wp:posOffset>
            </wp:positionV>
            <wp:extent cx="2880360" cy="22028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5">
                      <a:extLst>
                        <a:ext uri="{28A0092B-C50C-407E-A947-70E740481C1C}"/>
                      </a:extLst>
                    </a:blip>
                    <a:srcRect/>
                    <a:stretch>
                      <a:fillRect/>
                    </a:stretch>
                  </pic:blipFill>
                  <pic:spPr bwMode="auto">
                    <a:xfrm>
                      <a:off x="0" y="0"/>
                      <a:ext cx="2880360" cy="2202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940"/>
        <w:spacing w:after="0"/>
        <w:rPr>
          <w:sz w:val="20"/>
          <w:szCs w:val="20"/>
          <w:color w:val="auto"/>
        </w:rPr>
      </w:pPr>
      <w:r>
        <w:rPr>
          <w:rFonts w:ascii="Arial" w:cs="Arial" w:eastAsia="Arial" w:hAnsi="Arial"/>
          <w:sz w:val="94"/>
          <w:szCs w:val="94"/>
          <w:b w:val="1"/>
          <w:bCs w:val="1"/>
          <w:color w:val="262626"/>
        </w:rPr>
        <w:t>Annual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-666115</wp:posOffset>
            </wp:positionV>
            <wp:extent cx="2750185" cy="19919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6">
                      <a:extLst>
                        <a:ext uri="{28A0092B-C50C-407E-A947-70E740481C1C}"/>
                      </a:extLst>
                    </a:blip>
                    <a:srcRect/>
                    <a:stretch>
                      <a:fillRect/>
                    </a:stretch>
                  </pic:blipFill>
                  <pic:spPr bwMode="auto">
                    <a:xfrm>
                      <a:off x="0" y="0"/>
                      <a:ext cx="2750185" cy="1991995"/>
                    </a:xfrm>
                    <a:prstGeom prst="rect">
                      <a:avLst/>
                    </a:prstGeom>
                    <a:noFill/>
                  </pic:spPr>
                </pic:pic>
              </a:graphicData>
            </a:graphic>
          </wp:anchor>
        </w:drawing>
      </w:r>
    </w:p>
    <w:p>
      <w:pPr>
        <w:spacing w:after="0" w:line="306" w:lineRule="exact"/>
        <w:rPr>
          <w:sz w:val="20"/>
          <w:szCs w:val="20"/>
          <w:color w:val="auto"/>
        </w:rPr>
      </w:pPr>
    </w:p>
    <w:p>
      <w:pPr>
        <w:ind w:left="4940"/>
        <w:spacing w:after="0"/>
        <w:rPr>
          <w:sz w:val="20"/>
          <w:szCs w:val="20"/>
          <w:color w:val="auto"/>
        </w:rPr>
      </w:pPr>
      <w:r>
        <w:rPr>
          <w:rFonts w:ascii="Arial" w:cs="Arial" w:eastAsia="Arial" w:hAnsi="Arial"/>
          <w:sz w:val="94"/>
          <w:szCs w:val="94"/>
          <w:b w:val="1"/>
          <w:bCs w:val="1"/>
          <w:color w:val="262626"/>
        </w:rPr>
        <w:t>Meeting</w:t>
      </w:r>
    </w:p>
    <w:p>
      <w:pPr>
        <w:spacing w:after="0" w:line="51" w:lineRule="exact"/>
        <w:rPr>
          <w:sz w:val="20"/>
          <w:szCs w:val="20"/>
          <w:color w:val="auto"/>
        </w:rPr>
      </w:pPr>
    </w:p>
    <w:p>
      <w:pPr>
        <w:ind w:left="4940"/>
        <w:spacing w:after="0"/>
        <w:rPr>
          <w:sz w:val="20"/>
          <w:szCs w:val="20"/>
          <w:color w:val="auto"/>
        </w:rPr>
      </w:pPr>
      <w:r>
        <w:rPr>
          <w:rFonts w:ascii="Arial" w:cs="Arial" w:eastAsia="Arial" w:hAnsi="Arial"/>
          <w:sz w:val="94"/>
          <w:szCs w:val="94"/>
          <w:b w:val="1"/>
          <w:bCs w:val="1"/>
          <w:color w:val="262626"/>
        </w:rPr>
        <w:t>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-447040</wp:posOffset>
            </wp:positionH>
            <wp:positionV relativeFrom="paragraph">
              <wp:posOffset>-163195</wp:posOffset>
            </wp:positionV>
            <wp:extent cx="2789555" cy="23780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7">
                      <a:extLst>
                        <a:ext uri="{28A0092B-C50C-407E-A947-70E740481C1C}"/>
                      </a:extLst>
                    </a:blip>
                    <a:srcRect/>
                    <a:stretch>
                      <a:fillRect/>
                    </a:stretch>
                  </pic:blipFill>
                  <pic:spPr bwMode="auto">
                    <a:xfrm>
                      <a:off x="0" y="0"/>
                      <a:ext cx="2789555" cy="2378075"/>
                    </a:xfrm>
                    <a:prstGeom prst="rect">
                      <a:avLst/>
                    </a:prstGeom>
                    <a:noFill/>
                  </pic:spPr>
                </pic:pic>
              </a:graphicData>
            </a:graphic>
          </wp:anchor>
        </w:drawing>
      </w:r>
    </w:p>
    <w:p>
      <w:pPr>
        <w:spacing w:after="0" w:line="102" w:lineRule="exact"/>
        <w:rPr>
          <w:sz w:val="20"/>
          <w:szCs w:val="20"/>
          <w:color w:val="auto"/>
        </w:rPr>
      </w:pPr>
    </w:p>
    <w:p>
      <w:pPr>
        <w:ind w:left="4940"/>
        <w:spacing w:after="0"/>
        <w:rPr>
          <w:sz w:val="20"/>
          <w:szCs w:val="20"/>
          <w:color w:val="auto"/>
        </w:rPr>
      </w:pPr>
      <w:r>
        <w:rPr>
          <w:rFonts w:ascii="Arial" w:cs="Arial" w:eastAsia="Arial" w:hAnsi="Arial"/>
          <w:sz w:val="38"/>
          <w:szCs w:val="38"/>
          <w:b w:val="1"/>
          <w:bCs w:val="1"/>
          <w:color w:val="EF4336"/>
        </w:rPr>
        <w:t>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-447040</wp:posOffset>
            </wp:positionH>
            <wp:positionV relativeFrom="paragraph">
              <wp:posOffset>2064385</wp:posOffset>
            </wp:positionV>
            <wp:extent cx="5249545" cy="19919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38">
                      <a:extLst>
                        <a:ext uri="{28A0092B-C50C-407E-A947-70E740481C1C}"/>
                      </a:extLst>
                    </a:blip>
                    <a:srcRect/>
                    <a:stretch>
                      <a:fillRect/>
                    </a:stretch>
                  </pic:blipFill>
                  <pic:spPr bwMode="auto">
                    <a:xfrm>
                      <a:off x="0" y="0"/>
                      <a:ext cx="5249545" cy="199199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3265170</wp:posOffset>
                </wp:positionH>
                <wp:positionV relativeFrom="paragraph">
                  <wp:posOffset>684530</wp:posOffset>
                </wp:positionV>
                <wp:extent cx="3249930" cy="0"/>
                <wp:wrapNone/>
                <wp:docPr id="37" name="Shape 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249930" cy="4763"/>
                        </a:xfrm>
                        <a:prstGeom prst="line">
                          <a:avLst/>
                        </a:prstGeom>
                        <a:solidFill>
                          <a:srgbClr val="FFFFFF"/>
                        </a:solidFill>
                        <a:ln w="12687">
                          <a:solidFill>
                            <a:srgbClr val="8E8A8A"/>
                          </a:solidFill>
                          <a:miter lim="800000"/>
                          <a:headEnd/>
                          <a:tailEnd/>
                        </a:ln>
                      </wps:spPr>
                      <wps:bodyPr/>
                    </wps:wsp>
                  </a:graphicData>
                </a:graphic>
              </wp:anchor>
            </w:drawing>
          </mc:Choice>
          <mc:Fallback>
            <w:pict>
              <v:line id="Shape 37" o:spid="_x0000_s10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7.1pt,53.9pt" to="513pt,53.9pt" o:allowincell="f" strokecolor="#8E8A8A" strokeweight="0.999pt"/>
            </w:pict>
          </mc:Fallback>
        </mc:AlternateContent>
        <mc:AlternateContent>
          <mc:Choice Requires="wps">
            <w:drawing>
              <wp:anchor simplePos="0" relativeHeight="251657728" behindDoc="1" locked="0" layoutInCell="0" allowOverlap="1">
                <wp:simplePos x="0" y="0"/>
                <wp:positionH relativeFrom="column">
                  <wp:posOffset>3089910</wp:posOffset>
                </wp:positionH>
                <wp:positionV relativeFrom="paragraph">
                  <wp:posOffset>597535</wp:posOffset>
                </wp:positionV>
                <wp:extent cx="175260" cy="175260"/>
                <wp:wrapNone/>
                <wp:docPr id="38" name="Shape 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5260" cy="175260"/>
                        </a:xfrm>
                        <a:prstGeom prst="rect">
                          <a:avLst/>
                        </a:prstGeom>
                        <a:solidFill>
                          <a:srgbClr val="EF4336"/>
                        </a:solidFill>
                      </wps:spPr>
                      <wps:bodyPr/>
                    </wps:wsp>
                  </a:graphicData>
                </a:graphic>
              </wp:anchor>
            </w:drawing>
          </mc:Choice>
          <mc:Fallback>
            <w:pict>
              <v:rect id="Shape 38" o:spid="_x0000_s1063" style="position:absolute;margin-left:243.3pt;margin-top:47.05pt;width:13.8pt;height:13.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F4336" stroked="f"/>
            </w:pict>
          </mc:Fallback>
        </mc:AlternateContent>
      </w:r>
    </w:p>
    <w:p>
      <w:pPr>
        <w:sectPr>
          <w:pgSz w:w="11880" w:h="15480" w:orient="portrait"/>
          <w:cols w:equalWidth="0" w:num="1">
            <w:col w:w="9000"/>
          </w:cols>
          <w:pgMar w:left="1440" w:top="1440" w:right="1440" w:bottom="1440" w:gutter="0" w:footer="0" w:header="0"/>
        </w:sectPr>
      </w:pPr>
    </w:p>
    <w:bookmarkStart w:id="115" w:name="page116"/>
    <w:bookmarkEnd w:id="115"/>
    <w:p>
      <w:pPr>
        <w:spacing w:after="0" w:line="20" w:lineRule="exact"/>
        <w:rPr>
          <w:sz w:val="20"/>
          <w:szCs w:val="20"/>
          <w:color w:val="auto"/>
        </w:rPr>
      </w:pPr>
    </w:p>
    <w:p>
      <w:pPr>
        <w:sectPr>
          <w:pgSz w:w="11880" w:h="15480" w:orient="portrait"/>
          <w:cols w:equalWidth="1" w:num="1" w:space="0"/>
          <w:pgMar w:left="1440" w:top="1440" w:right="1440" w:bottom="875" w:gutter="0" w:footer="0" w:header="0"/>
        </w:sectPr>
      </w:pPr>
    </w:p>
    <w:bookmarkStart w:id="116" w:name="page117"/>
    <w:bookmarkEnd w:id="116"/>
    <w:p>
      <w:pPr>
        <w:spacing w:after="0" w:line="20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page">
                  <wp:posOffset>571500</wp:posOffset>
                </wp:positionH>
                <wp:positionV relativeFrom="page">
                  <wp:posOffset>2393950</wp:posOffset>
                </wp:positionV>
                <wp:extent cx="6400800" cy="0"/>
                <wp:wrapNone/>
                <wp:docPr id="39" name="Shape 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38100">
                          <a:solidFill>
                            <a:srgbClr val="EF3E2A"/>
                          </a:solidFill>
                          <a:miter lim="800000"/>
                          <a:headEnd/>
                          <a:tailEnd/>
                        </a:ln>
                      </wps:spPr>
                      <wps:bodyPr/>
                    </wps:wsp>
                  </a:graphicData>
                </a:graphic>
              </wp:anchor>
            </w:drawing>
          </mc:Choice>
          <mc:Fallback>
            <w:pict>
              <v:line id="Shape 39" o:spid="_x0000_s106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5pt,188.5pt" to="549pt,188.5pt" o:allowincell="f" strokecolor="#EF3E2A" strokeweight="3pt">
                <w10:wrap anchorx="page" anchory="page"/>
              </v:line>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140"/>
        <w:spacing w:after="0"/>
        <w:rPr>
          <w:sz w:val="20"/>
          <w:szCs w:val="20"/>
          <w:color w:val="auto"/>
        </w:rPr>
      </w:pPr>
      <w:r>
        <w:rPr>
          <w:rFonts w:ascii="Arial" w:cs="Arial" w:eastAsia="Arial" w:hAnsi="Arial"/>
          <w:sz w:val="36"/>
          <w:szCs w:val="36"/>
          <w:b w:val="1"/>
          <w:bCs w:val="1"/>
          <w:color w:val="231F20"/>
        </w:rPr>
        <w:t>Letter to Our Shareholders</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color w:val="231F20"/>
        </w:rPr>
        <w:t>March 27, 2026</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color w:val="231F20"/>
        </w:rPr>
        <w:t>To our Shareholders:</w:t>
      </w:r>
    </w:p>
    <w:p>
      <w:pPr>
        <w:spacing w:after="0" w:line="255"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231F20"/>
        </w:rPr>
        <w:t>On behalf of the Board of Trustees and the entire Federal team, we invite you to join us for the 2026 Annual Meeting of Shareholders to be held virtually beginning at 9:00 a.m. eastern time on May 6, 2026. This proxy statement includes important information about how you can join and ask questions at the meeting and about the matters that will be voted on at the meeting.</w:t>
      </w:r>
    </w:p>
    <w:p>
      <w:pPr>
        <w:spacing w:after="0" w:line="249"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231F20"/>
        </w:rPr>
        <w:t>Federal’s performance in 2025 was marked by a near record level of leasing activity demonstrating continued demand for our retail space and by a record level of new property acquisitions in existing markets as well as new markets that share the same key market characteristics. The strength of these activities combined with the ability to sell assets and realize the significant value that had been created over time allowed us to deliver record levels of revenue, net income and funds from operations for common shareholders in 2025. All parts of our business are working together to position us to be able to deliver strong results for years to come.</w:t>
      </w:r>
    </w:p>
    <w:p>
      <w:pPr>
        <w:spacing w:after="0" w:line="248"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231F20"/>
        </w:rPr>
        <w:t>Our strong performance would not have been possible without the extraordinary efforts of our Board and each and every one of our employees. We are extremely proud of the work this team has accomplished.</w:t>
      </w:r>
    </w:p>
    <w:p>
      <w:pPr>
        <w:spacing w:after="0" w:line="250"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231F20"/>
        </w:rPr>
        <w:t>Thank you for your continued support of Federal and we look forward to your participation in this year’s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232410</wp:posOffset>
            </wp:positionV>
            <wp:extent cx="751205" cy="5137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39">
                      <a:extLst>
                        <a:ext uri="{28A0092B-C50C-407E-A947-70E740481C1C}"/>
                      </a:extLst>
                    </a:blip>
                    <a:srcRect/>
                    <a:stretch>
                      <a:fillRect/>
                    </a:stretch>
                  </pic:blipFill>
                  <pic:spPr bwMode="auto">
                    <a:xfrm>
                      <a:off x="0" y="0"/>
                      <a:ext cx="751205" cy="513715"/>
                    </a:xfrm>
                    <a:prstGeom prst="rect">
                      <a:avLst/>
                    </a:prstGeom>
                    <a:noFill/>
                  </pic:spPr>
                </pic:pic>
              </a:graphicData>
            </a:graphic>
          </wp:anchor>
        </w:drawing>
        <w:drawing>
          <wp:anchor simplePos="0" relativeHeight="251657728" behindDoc="1" locked="0" layoutInCell="0" allowOverlap="1">
            <wp:simplePos x="0" y="0"/>
            <wp:positionH relativeFrom="column">
              <wp:posOffset>3352165</wp:posOffset>
            </wp:positionH>
            <wp:positionV relativeFrom="paragraph">
              <wp:posOffset>121920</wp:posOffset>
            </wp:positionV>
            <wp:extent cx="1172210" cy="6242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0">
                      <a:extLst>
                        <a:ext uri="{28A0092B-C50C-407E-A947-70E740481C1C}"/>
                      </a:extLst>
                    </a:blip>
                    <a:srcRect/>
                    <a:stretch>
                      <a:fillRect/>
                    </a:stretch>
                  </pic:blipFill>
                  <pic:spPr bwMode="auto">
                    <a:xfrm>
                      <a:off x="0" y="0"/>
                      <a:ext cx="1172210" cy="624205"/>
                    </a:xfrm>
                    <a:prstGeom prst="rect">
                      <a:avLst/>
                    </a:prstGeom>
                    <a:noFill/>
                  </pic:spPr>
                </pic:pic>
              </a:graphicData>
            </a:graphic>
          </wp:anchor>
        </w:drawing>
      </w:r>
    </w:p>
    <w:p>
      <w:pPr>
        <w:sectPr>
          <w:pgSz w:w="11880" w:h="15480" w:orient="portrait"/>
          <w:cols w:equalWidth="0" w:num="1">
            <w:col w:w="10080"/>
          </w:cols>
          <w:pgMar w:left="900" w:top="1440" w:right="90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color w:val="231F20"/>
        </w:rPr>
        <w:t>David W. Faeder</w:t>
      </w:r>
    </w:p>
    <w:p>
      <w:pPr>
        <w:spacing w:after="0" w:line="13" w:lineRule="exact"/>
        <w:rPr>
          <w:sz w:val="20"/>
          <w:szCs w:val="20"/>
          <w:color w:val="auto"/>
        </w:rPr>
      </w:pPr>
    </w:p>
    <w:p>
      <w:pPr>
        <w:spacing w:after="0"/>
        <w:rPr>
          <w:sz w:val="20"/>
          <w:szCs w:val="20"/>
          <w:color w:val="auto"/>
        </w:rPr>
      </w:pPr>
      <w:r>
        <w:rPr>
          <w:rFonts w:ascii="Arial" w:cs="Arial" w:eastAsia="Arial" w:hAnsi="Arial"/>
          <w:sz w:val="19"/>
          <w:szCs w:val="19"/>
          <w:i w:val="1"/>
          <w:iCs w:val="1"/>
          <w:color w:val="231F20"/>
        </w:rPr>
        <w:t>Non-Executive Chairman of the Board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color w:val="231F20"/>
        </w:rPr>
        <w:t>Donald C. Wood</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i w:val="1"/>
          <w:iCs w:val="1"/>
          <w:color w:val="231F20"/>
        </w:rPr>
        <w:t>Chief Executive Officer</w:t>
      </w:r>
    </w:p>
    <w:p>
      <w:pPr>
        <w:sectPr>
          <w:pgSz w:w="11880" w:h="15480" w:orient="portrait"/>
          <w:cols w:equalWidth="0" w:num="2">
            <w:col w:w="4560" w:space="720"/>
            <w:col w:w="4800"/>
          </w:cols>
          <w:pgMar w:left="900" w:top="1440" w:right="900" w:bottom="1440" w:gutter="0" w:footer="0" w:header="0"/>
          <w:type w:val="continuous"/>
        </w:sectPr>
      </w:pPr>
    </w:p>
    <w:bookmarkStart w:id="117" w:name="page118"/>
    <w:bookmarkEnd w:id="117"/>
    <w:p>
      <w:pPr>
        <w:spacing w:after="0"/>
        <w:rPr>
          <w:sz w:val="20"/>
          <w:szCs w:val="20"/>
          <w:color w:val="auto"/>
        </w:rPr>
      </w:pPr>
    </w:p>
    <w:p>
      <w:pPr>
        <w:sectPr>
          <w:pgSz w:w="11880" w:h="15480" w:orient="portrait"/>
          <w:cols w:equalWidth="1" w:num="1" w:space="0"/>
          <w:pgMar w:left="1440" w:top="1440" w:right="1440" w:bottom="875" w:gutter="0" w:footer="0" w:header="0"/>
        </w:sectPr>
      </w:pPr>
    </w:p>
    <w:bookmarkStart w:id="118" w:name="page119"/>
    <w:bookmarkEnd w:id="118"/>
    <w:p>
      <w:pPr>
        <w:ind w:left="140"/>
        <w:spacing w:after="0"/>
        <w:rPr>
          <w:sz w:val="20"/>
          <w:szCs w:val="20"/>
          <w:color w:val="auto"/>
        </w:rPr>
      </w:pPr>
      <w:r>
        <w:rPr>
          <w:rFonts w:ascii="Arial" w:cs="Arial" w:eastAsia="Arial" w:hAnsi="Arial"/>
          <w:sz w:val="35"/>
          <w:szCs w:val="35"/>
          <w:b w:val="1"/>
          <w:bCs w:val="1"/>
          <w:color w:val="231F20"/>
        </w:rPr>
        <mc:AlternateContent>
          <mc:Choice Requires="wps">
            <w:drawing>
              <wp:anchor simplePos="0" relativeHeight="251657728" behindDoc="1" locked="0" layoutInCell="0" allowOverlap="1">
                <wp:simplePos x="0" y="0"/>
                <wp:positionH relativeFrom="page">
                  <wp:posOffset>571500</wp:posOffset>
                </wp:positionH>
                <wp:positionV relativeFrom="page">
                  <wp:posOffset>819150</wp:posOffset>
                </wp:positionV>
                <wp:extent cx="6400800" cy="0"/>
                <wp:wrapNone/>
                <wp:docPr id="42" name="Shape 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38100">
                          <a:solidFill>
                            <a:srgbClr val="EF3E2A"/>
                          </a:solidFill>
                          <a:miter lim="800000"/>
                          <a:headEnd/>
                          <a:tailEnd/>
                        </a:ln>
                      </wps:spPr>
                      <wps:bodyPr/>
                    </wps:wsp>
                  </a:graphicData>
                </a:graphic>
              </wp:anchor>
            </w:drawing>
          </mc:Choice>
          <mc:Fallback>
            <w:pict>
              <v:line id="Shape 42" o:spid="_x0000_s106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5pt,64.5pt" to="549pt,64.5pt" o:allowincell="f" strokecolor="#EF3E2A" strokeweight="3pt">
                <w10:wrap anchorx="page" anchory="page"/>
              </v:line>
            </w:pict>
          </mc:Fallback>
        </mc:AlternateContent>
        <w:t>Notice of Annual Meeting of Shareholders</w:t>
      </w:r>
    </w:p>
    <w:p>
      <w:pPr>
        <w:spacing w:after="0" w:line="200" w:lineRule="exact"/>
        <w:rPr>
          <w:sz w:val="20"/>
          <w:szCs w:val="20"/>
          <w:color w:val="auto"/>
        </w:rPr>
      </w:pPr>
    </w:p>
    <w:p>
      <w:pPr>
        <w:spacing w:after="0" w:line="226" w:lineRule="exact"/>
        <w:rPr>
          <w:sz w:val="20"/>
          <w:szCs w:val="20"/>
          <w:color w:val="auto"/>
        </w:rPr>
      </w:pPr>
    </w:p>
    <w:p>
      <w:pPr>
        <w:ind w:left="140"/>
        <w:spacing w:after="0"/>
        <w:rPr>
          <w:sz w:val="20"/>
          <w:szCs w:val="20"/>
          <w:color w:val="auto"/>
        </w:rPr>
      </w:pPr>
      <w:r>
        <w:rPr>
          <w:rFonts w:ascii="Arial" w:cs="Arial" w:eastAsia="Arial" w:hAnsi="Arial"/>
          <w:sz w:val="20"/>
          <w:szCs w:val="20"/>
          <w:b w:val="1"/>
          <w:bCs w:val="1"/>
          <w:color w:val="231F20"/>
        </w:rPr>
        <w:t>ANNUAL MEETING PROPOSALS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-635</wp:posOffset>
                </wp:positionV>
                <wp:extent cx="6400800" cy="304165"/>
                <wp:wrapNone/>
                <wp:docPr id="43" name="Shape 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304165"/>
                        </a:xfrm>
                        <a:prstGeom prst="rect">
                          <a:avLst/>
                        </a:prstGeom>
                        <a:solidFill>
                          <a:srgbClr val="EF3E2A"/>
                        </a:solidFill>
                      </wps:spPr>
                      <wps:bodyPr/>
                    </wps:wsp>
                  </a:graphicData>
                </a:graphic>
              </wp:anchor>
            </w:drawing>
          </mc:Choice>
          <mc:Fallback>
            <w:pict>
              <v:rect id="Shape 43" o:spid="_x0000_s1068" style="position:absolute;margin-left:0pt;margin-top:-0.0499pt;width:504pt;height:23.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F3E2A" stroked="f"/>
            </w:pict>
          </mc:Fallback>
        </mc:AlternateContent>
      </w:r>
    </w:p>
    <w:p>
      <w:pPr>
        <w:spacing w:after="0" w:line="200" w:lineRule="exact"/>
        <w:rPr>
          <w:sz w:val="20"/>
          <w:szCs w:val="20"/>
          <w:color w:val="auto"/>
        </w:rPr>
      </w:pPr>
    </w:p>
    <w:p>
      <w:pPr>
        <w:spacing w:after="0" w:line="308" w:lineRule="exact"/>
        <w:rPr>
          <w:sz w:val="20"/>
          <w:szCs w:val="20"/>
          <w:color w:val="auto"/>
        </w:rPr>
      </w:pPr>
    </w:p>
    <w:p>
      <w:pPr>
        <w:ind w:left="140"/>
        <w:spacing w:after="0"/>
        <w:tabs>
          <w:tab w:leader="none" w:pos="1420" w:val="left"/>
        </w:tabs>
        <w:rPr>
          <w:sz w:val="20"/>
          <w:szCs w:val="20"/>
          <w:color w:val="auto"/>
        </w:rPr>
      </w:pPr>
      <w:r>
        <w:rPr>
          <w:rFonts w:ascii="Arial" w:cs="Arial" w:eastAsia="Arial" w:hAnsi="Arial"/>
          <w:sz w:val="20"/>
          <w:szCs w:val="20"/>
          <w:color w:val="231F20"/>
        </w:rPr>
        <w:t>Proposal 1</w:t>
      </w:r>
      <w:r>
        <w:rPr>
          <w:sz w:val="20"/>
          <w:szCs w:val="20"/>
          <w:color w:val="auto"/>
        </w:rPr>
        <w:tab/>
      </w:r>
      <w:r>
        <w:rPr>
          <w:rFonts w:ascii="Arial" w:cs="Arial" w:eastAsia="Arial" w:hAnsi="Arial"/>
          <w:sz w:val="19"/>
          <w:szCs w:val="19"/>
          <w:color w:val="231F20"/>
        </w:rPr>
        <w:t>Election of 8 trustees for 1 year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4617085</wp:posOffset>
            </wp:positionH>
            <wp:positionV relativeFrom="paragraph">
              <wp:posOffset>-133350</wp:posOffset>
            </wp:positionV>
            <wp:extent cx="258445" cy="2514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41">
                      <a:extLst>
                        <a:ext uri="{28A0092B-C50C-407E-A947-70E740481C1C}"/>
                      </a:extLst>
                    </a:blip>
                    <a:srcRect/>
                    <a:stretch>
                      <a:fillRect/>
                    </a:stretch>
                  </pic:blipFill>
                  <pic:spPr bwMode="auto">
                    <a:xfrm>
                      <a:off x="0" y="0"/>
                      <a:ext cx="258445" cy="25146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140"/>
        <w:spacing w:after="0"/>
        <w:tabs>
          <w:tab w:leader="none" w:pos="1420" w:val="left"/>
        </w:tabs>
        <w:rPr>
          <w:sz w:val="20"/>
          <w:szCs w:val="20"/>
          <w:color w:val="auto"/>
        </w:rPr>
      </w:pPr>
      <w:r>
        <w:rPr>
          <w:rFonts w:ascii="Arial" w:cs="Arial" w:eastAsia="Arial" w:hAnsi="Arial"/>
          <w:sz w:val="20"/>
          <w:szCs w:val="20"/>
          <w:color w:val="231F20"/>
        </w:rPr>
        <w:t>Proposal 2</w:t>
      </w:r>
      <w:r>
        <w:rPr>
          <w:sz w:val="20"/>
          <w:szCs w:val="20"/>
          <w:color w:val="auto"/>
        </w:rPr>
        <w:tab/>
      </w:r>
      <w:r>
        <w:rPr>
          <w:rFonts w:ascii="Arial" w:cs="Arial" w:eastAsia="Arial" w:hAnsi="Arial"/>
          <w:sz w:val="19"/>
          <w:szCs w:val="19"/>
          <w:color w:val="231F20"/>
        </w:rPr>
        <w:t>Non-binding advisory vote on 2025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4617085</wp:posOffset>
            </wp:positionH>
            <wp:positionV relativeFrom="paragraph">
              <wp:posOffset>-133350</wp:posOffset>
            </wp:positionV>
            <wp:extent cx="258445" cy="2514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42">
                      <a:extLst>
                        <a:ext uri="{28A0092B-C50C-407E-A947-70E740481C1C}"/>
                      </a:extLst>
                    </a:blip>
                    <a:srcRect/>
                    <a:stretch>
                      <a:fillRect/>
                    </a:stretch>
                  </pic:blipFill>
                  <pic:spPr bwMode="auto">
                    <a:xfrm>
                      <a:off x="0" y="0"/>
                      <a:ext cx="258445" cy="251460"/>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ind w:left="1440" w:right="1100" w:hanging="1309"/>
        <w:spacing w:after="0" w:line="243" w:lineRule="auto"/>
        <w:tabs>
          <w:tab w:leader="none" w:pos="1420" w:val="left"/>
        </w:tabs>
        <w:rPr>
          <w:sz w:val="20"/>
          <w:szCs w:val="20"/>
          <w:color w:val="auto"/>
        </w:rPr>
      </w:pPr>
      <w:r>
        <w:rPr>
          <w:rFonts w:ascii="Arial" w:cs="Arial" w:eastAsia="Arial" w:hAnsi="Arial"/>
          <w:sz w:val="20"/>
          <w:szCs w:val="20"/>
          <w:color w:val="231F20"/>
        </w:rPr>
        <w:t>Proposal 3</w:t>
      </w:r>
      <w:r>
        <w:rPr>
          <w:sz w:val="20"/>
          <w:szCs w:val="20"/>
          <w:color w:val="auto"/>
        </w:rPr>
        <w:tab/>
      </w:r>
      <w:r>
        <w:rPr>
          <w:rFonts w:ascii="Arial" w:cs="Arial" w:eastAsia="Arial" w:hAnsi="Arial"/>
          <w:sz w:val="20"/>
          <w:szCs w:val="20"/>
          <w:color w:val="231F20"/>
        </w:rPr>
        <w:t>Ratification of Grant Thornton, LLC as our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4617085</wp:posOffset>
            </wp:positionH>
            <wp:positionV relativeFrom="paragraph">
              <wp:posOffset>-287655</wp:posOffset>
            </wp:positionV>
            <wp:extent cx="258445" cy="2514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43">
                      <a:extLst>
                        <a:ext uri="{28A0092B-C50C-407E-A947-70E740481C1C}"/>
                      </a:extLst>
                    </a:blip>
                    <a:srcRect/>
                    <a:stretch>
                      <a:fillRect/>
                    </a:stretch>
                  </pic:blipFill>
                  <pic:spPr bwMode="auto">
                    <a:xfrm>
                      <a:off x="0" y="0"/>
                      <a:ext cx="258445" cy="25146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0</wp:posOffset>
                </wp:positionH>
                <wp:positionV relativeFrom="paragraph">
                  <wp:posOffset>118745</wp:posOffset>
                </wp:positionV>
                <wp:extent cx="6400800" cy="0"/>
                <wp:wrapNone/>
                <wp:docPr id="47" name="Shape 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38100">
                          <a:solidFill>
                            <a:srgbClr val="EF3E2A"/>
                          </a:solidFill>
                          <a:miter lim="800000"/>
                          <a:headEnd/>
                          <a:tailEnd/>
                        </a:ln>
                      </wps:spPr>
                      <wps:bodyPr/>
                    </wps:wsp>
                  </a:graphicData>
                </a:graphic>
              </wp:anchor>
            </w:drawing>
          </mc:Choice>
          <mc:Fallback>
            <w:pict>
              <v:line id="Shape 47" o:spid="_x0000_s10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9.35pt" to="504pt,9.35pt" o:allowincell="f" strokecolor="#EF3E2A" strokeweight="3pt"/>
            </w:pict>
          </mc:Fallback>
        </mc:AlternateConten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FFFFFF"/>
        </w:rPr>
        <w:t>Board Voting</w:t>
      </w:r>
    </w:p>
    <w:p>
      <w:pPr>
        <w:jc w:val="center"/>
        <w:ind w:right="200"/>
        <w:spacing w:after="0" w:line="208" w:lineRule="auto"/>
        <w:rPr>
          <w:sz w:val="20"/>
          <w:szCs w:val="20"/>
          <w:color w:val="auto"/>
        </w:rPr>
      </w:pPr>
      <w:r>
        <w:rPr>
          <w:rFonts w:ascii="Arial" w:cs="Arial" w:eastAsia="Arial" w:hAnsi="Arial"/>
          <w:sz w:val="18"/>
          <w:szCs w:val="18"/>
          <w:color w:val="FFFFFF"/>
        </w:rPr>
        <w:t>Recommendation</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EF3E2A"/>
        </w:rPr>
        <w:t xml:space="preserve">FOR </w:t>
      </w:r>
      <w:r>
        <w:rPr>
          <w:rFonts w:ascii="Arial" w:cs="Arial" w:eastAsia="Arial" w:hAnsi="Arial"/>
          <w:sz w:val="20"/>
          <w:szCs w:val="20"/>
          <w:color w:val="231F20"/>
        </w:rPr>
        <w:t>each nominee</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color w:val="EF3E2A"/>
        </w:rPr>
        <w:t>FOR</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color w:val="EF3E2A"/>
        </w:rPr>
        <w:t>FOR</w:t>
      </w:r>
    </w:p>
    <w:p>
      <w:pPr>
        <w:spacing w:after="0" w:line="340" w:lineRule="exact"/>
        <w:rPr>
          <w:sz w:val="20"/>
          <w:szCs w:val="20"/>
          <w:color w:val="auto"/>
        </w:rPr>
      </w:pPr>
    </w:p>
    <w:p>
      <w:pPr>
        <w:sectPr>
          <w:pgSz w:w="11880" w:h="15480" w:orient="portrait"/>
          <w:cols w:equalWidth="0" w:num="2">
            <w:col w:w="7420" w:space="720"/>
            <w:col w:w="1940"/>
          </w:cols>
          <w:pgMar w:left="900" w:top="1343" w:right="900" w:bottom="1440" w:gutter="0" w:footer="0" w:header="0"/>
        </w:sectPr>
      </w:pPr>
    </w:p>
    <w:p>
      <w:pPr>
        <w:spacing w:after="0" w:line="314"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231F20"/>
        </w:rPr>
        <w:t>Other business will be transacted as may properly come before the 2026 annual meeting of shareholders (“Annual Meeting”).</w:t>
      </w:r>
    </w:p>
    <w:p>
      <w:pPr>
        <w:spacing w:after="0" w:line="206" w:lineRule="exact"/>
        <w:rPr>
          <w:sz w:val="20"/>
          <w:szCs w:val="20"/>
          <w:color w:val="auto"/>
        </w:rPr>
      </w:pPr>
    </w:p>
    <w:p>
      <w:pPr>
        <w:ind w:left="140"/>
        <w:spacing w:after="0"/>
        <w:rPr>
          <w:sz w:val="20"/>
          <w:szCs w:val="20"/>
          <w:color w:val="auto"/>
        </w:rPr>
      </w:pPr>
      <w:r>
        <w:rPr>
          <w:rFonts w:ascii="Arial" w:cs="Arial" w:eastAsia="Arial" w:hAnsi="Arial"/>
          <w:sz w:val="20"/>
          <w:szCs w:val="20"/>
          <w:b w:val="1"/>
          <w:bCs w:val="1"/>
          <w:color w:val="231F20"/>
        </w:rPr>
        <w:t>2026 ANNUAL MEETING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919480</wp:posOffset>
            </wp:positionH>
            <wp:positionV relativeFrom="paragraph">
              <wp:posOffset>137160</wp:posOffset>
            </wp:positionV>
            <wp:extent cx="294005" cy="2940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44">
                      <a:extLst>
                        <a:ext uri="{28A0092B-C50C-407E-A947-70E740481C1C}"/>
                      </a:extLst>
                    </a:blip>
                    <a:srcRect/>
                    <a:stretch>
                      <a:fillRect/>
                    </a:stretch>
                  </pic:blipFill>
                  <pic:spPr bwMode="auto">
                    <a:xfrm>
                      <a:off x="0" y="0"/>
                      <a:ext cx="294005" cy="294005"/>
                    </a:xfrm>
                    <a:prstGeom prst="rect">
                      <a:avLst/>
                    </a:prstGeom>
                    <a:noFill/>
                  </pic:spPr>
                </pic:pic>
              </a:graphicData>
            </a:graphic>
          </wp:anchor>
        </w:drawing>
        <w:drawing>
          <wp:anchor simplePos="0" relativeHeight="251657728" behindDoc="1" locked="0" layoutInCell="0" allowOverlap="1">
            <wp:simplePos x="0" y="0"/>
            <wp:positionH relativeFrom="column">
              <wp:posOffset>3166110</wp:posOffset>
            </wp:positionH>
            <wp:positionV relativeFrom="paragraph">
              <wp:posOffset>112395</wp:posOffset>
            </wp:positionV>
            <wp:extent cx="220980" cy="31877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45">
                      <a:extLst>
                        <a:ext uri="{28A0092B-C50C-407E-A947-70E740481C1C}"/>
                      </a:extLst>
                    </a:blip>
                    <a:srcRect/>
                    <a:stretch>
                      <a:fillRect/>
                    </a:stretch>
                  </pic:blipFill>
                  <pic:spPr bwMode="auto">
                    <a:xfrm>
                      <a:off x="0" y="0"/>
                      <a:ext cx="220980" cy="318770"/>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152400</wp:posOffset>
            </wp:positionV>
            <wp:extent cx="285115" cy="2787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46">
                      <a:extLst>
                        <a:ext uri="{28A0092B-C50C-407E-A947-70E740481C1C}"/>
                      </a:extLst>
                    </a:blip>
                    <a:srcRect/>
                    <a:stretch>
                      <a:fillRect/>
                    </a:stretch>
                  </pic:blipFill>
                  <pic:spPr bwMode="auto">
                    <a:xfrm>
                      <a:off x="0" y="0"/>
                      <a:ext cx="285115" cy="278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20" w:type="dxa"/>
            <w:vAlign w:val="bottom"/>
          </w:tcPr>
          <w:p>
            <w:pPr>
              <w:jc w:val="center"/>
              <w:ind w:left="340"/>
              <w:spacing w:after="0"/>
              <w:rPr>
                <w:sz w:val="20"/>
                <w:szCs w:val="20"/>
                <w:color w:val="auto"/>
              </w:rPr>
            </w:pPr>
            <w:r>
              <w:rPr>
                <w:rFonts w:ascii="Arial" w:cs="Arial" w:eastAsia="Arial" w:hAnsi="Arial"/>
                <w:sz w:val="20"/>
                <w:szCs w:val="20"/>
                <w:color w:val="EF3E2A"/>
              </w:rPr>
              <w:t>Date and Time</w:t>
            </w:r>
          </w:p>
        </w:tc>
        <w:tc>
          <w:tcPr>
            <w:tcW w:w="4640" w:type="dxa"/>
            <w:vAlign w:val="bottom"/>
          </w:tcPr>
          <w:p>
            <w:pPr>
              <w:jc w:val="center"/>
              <w:ind w:right="60"/>
              <w:spacing w:after="0"/>
              <w:rPr>
                <w:sz w:val="20"/>
                <w:szCs w:val="20"/>
                <w:color w:val="auto"/>
              </w:rPr>
            </w:pPr>
            <w:r>
              <w:rPr>
                <w:rFonts w:ascii="Arial" w:cs="Arial" w:eastAsia="Arial" w:hAnsi="Arial"/>
                <w:sz w:val="20"/>
                <w:szCs w:val="20"/>
                <w:color w:val="EF3E2A"/>
              </w:rPr>
              <w:t>Location</w:t>
            </w:r>
          </w:p>
        </w:tc>
        <w:tc>
          <w:tcPr>
            <w:tcW w:w="2520" w:type="dxa"/>
            <w:vAlign w:val="bottom"/>
          </w:tcPr>
          <w:p>
            <w:pPr>
              <w:jc w:val="center"/>
              <w:ind w:right="500"/>
              <w:spacing w:after="0"/>
              <w:rPr>
                <w:sz w:val="20"/>
                <w:szCs w:val="20"/>
                <w:color w:val="auto"/>
              </w:rPr>
            </w:pPr>
            <w:r>
              <w:rPr>
                <w:rFonts w:ascii="Arial" w:cs="Arial" w:eastAsia="Arial" w:hAnsi="Arial"/>
                <w:sz w:val="20"/>
                <w:szCs w:val="20"/>
                <w:color w:val="EF3E2A"/>
                <w:w w:val="99"/>
              </w:rPr>
              <w:t>Record Date</w:t>
            </w:r>
          </w:p>
        </w:tc>
      </w:tr>
      <w:tr>
        <w:trPr>
          <w:trHeight w:val="28"/>
        </w:trPr>
        <w:tc>
          <w:tcPr>
            <w:tcW w:w="2920" w:type="dxa"/>
            <w:vAlign w:val="bottom"/>
            <w:tcBorders>
              <w:bottom w:val="single" w:sz="8" w:color="231F20"/>
            </w:tcBorders>
          </w:tcPr>
          <w:p>
            <w:pPr>
              <w:spacing w:after="0"/>
              <w:rPr>
                <w:sz w:val="2"/>
                <w:szCs w:val="2"/>
                <w:color w:val="auto"/>
              </w:rPr>
            </w:pPr>
          </w:p>
        </w:tc>
        <w:tc>
          <w:tcPr>
            <w:tcW w:w="4640" w:type="dxa"/>
            <w:vAlign w:val="bottom"/>
            <w:tcBorders>
              <w:bottom w:val="single" w:sz="8" w:color="231F20"/>
            </w:tcBorders>
          </w:tcPr>
          <w:p>
            <w:pPr>
              <w:spacing w:after="0"/>
              <w:rPr>
                <w:sz w:val="2"/>
                <w:szCs w:val="2"/>
                <w:color w:val="auto"/>
              </w:rPr>
            </w:pPr>
          </w:p>
        </w:tc>
        <w:tc>
          <w:tcPr>
            <w:tcW w:w="2520" w:type="dxa"/>
            <w:vAlign w:val="bottom"/>
            <w:tcBorders>
              <w:bottom w:val="single" w:sz="8" w:color="231F20"/>
            </w:tcBorders>
          </w:tcPr>
          <w:p>
            <w:pPr>
              <w:spacing w:after="0"/>
              <w:rPr>
                <w:sz w:val="2"/>
                <w:szCs w:val="2"/>
                <w:color w:val="auto"/>
              </w:rPr>
            </w:pPr>
          </w:p>
        </w:tc>
      </w:tr>
      <w:tr>
        <w:trPr>
          <w:trHeight w:val="432"/>
        </w:trPr>
        <w:tc>
          <w:tcPr>
            <w:tcW w:w="2920" w:type="dxa"/>
            <w:vAlign w:val="bottom"/>
          </w:tcPr>
          <w:p>
            <w:pPr>
              <w:jc w:val="center"/>
              <w:ind w:left="340"/>
              <w:spacing w:after="0"/>
              <w:rPr>
                <w:sz w:val="20"/>
                <w:szCs w:val="20"/>
                <w:color w:val="auto"/>
              </w:rPr>
            </w:pPr>
            <w:r>
              <w:rPr>
                <w:rFonts w:ascii="Arial" w:cs="Arial" w:eastAsia="Arial" w:hAnsi="Arial"/>
                <w:sz w:val="20"/>
                <w:szCs w:val="20"/>
                <w:color w:val="231F20"/>
              </w:rPr>
              <w:t>Wednesday, May 6, 2026</w:t>
            </w:r>
          </w:p>
        </w:tc>
        <w:tc>
          <w:tcPr>
            <w:tcW w:w="4640" w:type="dxa"/>
            <w:vAlign w:val="bottom"/>
          </w:tcPr>
          <w:p>
            <w:pPr>
              <w:jc w:val="center"/>
              <w:ind w:right="60"/>
              <w:spacing w:after="0"/>
              <w:rPr>
                <w:sz w:val="20"/>
                <w:szCs w:val="20"/>
                <w:color w:val="auto"/>
              </w:rPr>
            </w:pPr>
            <w:r>
              <w:rPr>
                <w:rFonts w:ascii="Arial" w:cs="Arial" w:eastAsia="Arial" w:hAnsi="Arial"/>
                <w:sz w:val="20"/>
                <w:szCs w:val="20"/>
                <w:color w:val="231F20"/>
                <w:w w:val="98"/>
              </w:rPr>
              <w:t>Virtual Meeting</w:t>
            </w:r>
          </w:p>
        </w:tc>
        <w:tc>
          <w:tcPr>
            <w:tcW w:w="2520" w:type="dxa"/>
            <w:vAlign w:val="bottom"/>
          </w:tcPr>
          <w:p>
            <w:pPr>
              <w:jc w:val="center"/>
              <w:ind w:right="500"/>
              <w:spacing w:after="0"/>
              <w:rPr>
                <w:sz w:val="20"/>
                <w:szCs w:val="20"/>
                <w:color w:val="auto"/>
              </w:rPr>
            </w:pPr>
            <w:r>
              <w:rPr>
                <w:rFonts w:ascii="Arial" w:cs="Arial" w:eastAsia="Arial" w:hAnsi="Arial"/>
                <w:sz w:val="20"/>
                <w:szCs w:val="20"/>
                <w:color w:val="231F20"/>
              </w:rPr>
              <w:t>March 16, 2026</w:t>
            </w:r>
          </w:p>
        </w:tc>
      </w:tr>
      <w:tr>
        <w:trPr>
          <w:trHeight w:val="240"/>
        </w:trPr>
        <w:tc>
          <w:tcPr>
            <w:tcW w:w="2920" w:type="dxa"/>
            <w:vAlign w:val="bottom"/>
          </w:tcPr>
          <w:p>
            <w:pPr>
              <w:jc w:val="center"/>
              <w:ind w:left="340"/>
              <w:spacing w:after="0"/>
              <w:rPr>
                <w:sz w:val="20"/>
                <w:szCs w:val="20"/>
                <w:color w:val="auto"/>
              </w:rPr>
            </w:pPr>
            <w:r>
              <w:rPr>
                <w:rFonts w:ascii="Arial" w:cs="Arial" w:eastAsia="Arial" w:hAnsi="Arial"/>
                <w:sz w:val="20"/>
                <w:szCs w:val="20"/>
                <w:color w:val="231F20"/>
                <w:w w:val="99"/>
              </w:rPr>
              <w:t>9:00 a.m., Eastern Time</w:t>
            </w:r>
          </w:p>
        </w:tc>
        <w:tc>
          <w:tcPr>
            <w:tcW w:w="4640" w:type="dxa"/>
            <w:vAlign w:val="bottom"/>
          </w:tcPr>
          <w:p>
            <w:pPr>
              <w:jc w:val="center"/>
              <w:ind w:right="60"/>
              <w:spacing w:after="0"/>
              <w:rPr>
                <w:sz w:val="20"/>
                <w:szCs w:val="20"/>
                <w:color w:val="auto"/>
              </w:rPr>
            </w:pPr>
            <w:r>
              <w:rPr>
                <w:rFonts w:ascii="Arial" w:cs="Arial" w:eastAsia="Arial" w:hAnsi="Arial"/>
                <w:sz w:val="20"/>
                <w:szCs w:val="20"/>
                <w:color w:val="231F20"/>
                <w:w w:val="99"/>
              </w:rPr>
              <w:t>https://edge.media-server.com/mmc/p/h5ru67ve</w:t>
            </w:r>
          </w:p>
        </w:tc>
        <w:tc>
          <w:tcPr>
            <w:tcW w:w="2520" w:type="dxa"/>
            <w:vAlign w:val="bottom"/>
          </w:tcPr>
          <w:p>
            <w:pPr>
              <w:spacing w:after="0"/>
              <w:rPr>
                <w:sz w:val="20"/>
                <w:szCs w:val="20"/>
                <w:color w:val="auto"/>
              </w:rPr>
            </w:pPr>
          </w:p>
        </w:tc>
      </w:tr>
      <w:tr>
        <w:trPr>
          <w:trHeight w:val="198"/>
        </w:trPr>
        <w:tc>
          <w:tcPr>
            <w:tcW w:w="2920" w:type="dxa"/>
            <w:vAlign w:val="bottom"/>
            <w:tcBorders>
              <w:bottom w:val="single" w:sz="8" w:color="EF3E2A"/>
            </w:tcBorders>
          </w:tcPr>
          <w:p>
            <w:pPr>
              <w:spacing w:after="0"/>
              <w:rPr>
                <w:sz w:val="17"/>
                <w:szCs w:val="17"/>
                <w:color w:val="auto"/>
              </w:rPr>
            </w:pPr>
          </w:p>
        </w:tc>
        <w:tc>
          <w:tcPr>
            <w:tcW w:w="4640" w:type="dxa"/>
            <w:vAlign w:val="bottom"/>
            <w:tcBorders>
              <w:bottom w:val="single" w:sz="8" w:color="EF3E2A"/>
            </w:tcBorders>
          </w:tcPr>
          <w:p>
            <w:pPr>
              <w:spacing w:after="0"/>
              <w:rPr>
                <w:sz w:val="17"/>
                <w:szCs w:val="17"/>
                <w:color w:val="auto"/>
              </w:rPr>
            </w:pPr>
          </w:p>
        </w:tc>
        <w:tc>
          <w:tcPr>
            <w:tcW w:w="2520" w:type="dxa"/>
            <w:vAlign w:val="bottom"/>
            <w:tcBorders>
              <w:bottom w:val="single" w:sz="8" w:color="EF3E2A"/>
            </w:tcBorders>
          </w:tcPr>
          <w:p>
            <w:pPr>
              <w:spacing w:after="0"/>
              <w:rPr>
                <w:sz w:val="17"/>
                <w:szCs w:val="17"/>
                <w:color w:val="auto"/>
              </w:rPr>
            </w:pPr>
          </w:p>
        </w:tc>
      </w:tr>
    </w:tbl>
    <w:p>
      <w:pPr>
        <w:spacing w:after="0" w:line="297"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231F20"/>
        </w:rPr>
        <w:t>Only holders of record of our common shares of beneficial interest, $.01 par value per share, at the close of business on the record date are entitled to receive notice of, and to vote at, the Annual Meeting. References to “Common Shares”, “Shares”, “common shares” and “shares” in this proxy statement refer to our common shares of beneficial interest, $.01 par value per share.</w:t>
      </w: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Proxy Voting:</w:t>
      </w:r>
    </w:p>
    <w:p>
      <w:pPr>
        <w:spacing w:after="0" w:line="255"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231F20"/>
        </w:rPr>
        <w:t>Whether or not you plan to attend the Annual Meeting and vote your Shares at the Annual Meeting, we urge you to vote your Shares as instructed in the proxy statement. If you received a copy of the proxy card by mail, you may sign, date and mail the proxy card in the postage-paid envelope provided. If your Shares are held by a broker, bank or other nominee, please follow the instructions you receive from your broker, bank or other nominee to have your Shares voted. Any proxy may be revoked at any time prior to its exercise at the Annual Meeting.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2590800</wp:posOffset>
                </wp:positionH>
                <wp:positionV relativeFrom="paragraph">
                  <wp:posOffset>117475</wp:posOffset>
                </wp:positionV>
                <wp:extent cx="0" cy="1212850"/>
                <wp:wrapNone/>
                <wp:docPr id="51" name="Shape 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212850"/>
                        </a:xfrm>
                        <a:prstGeom prst="line">
                          <a:avLst/>
                        </a:prstGeom>
                        <a:solidFill>
                          <a:srgbClr val="FFFFFF"/>
                        </a:solidFill>
                        <a:ln w="6350">
                          <a:solidFill>
                            <a:srgbClr val="231F20"/>
                          </a:solidFill>
                          <a:miter lim="800000"/>
                          <a:headEnd/>
                          <a:tailEnd/>
                        </a:ln>
                      </wps:spPr>
                      <wps:bodyPr/>
                    </wps:wsp>
                  </a:graphicData>
                </a:graphic>
              </wp:anchor>
            </w:drawing>
          </mc:Choice>
          <mc:Fallback>
            <w:pict>
              <v:line id="Shape 51" o:spid="_x0000_s10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4pt,9.25pt" to="204pt,104.75pt" o:allowincell="f" strokecolor="#231F20" strokeweight="0.5pt"/>
            </w:pict>
          </mc:Fallback>
        </mc:AlternateContent>
        <mc:AlternateContent>
          <mc:Choice Requires="wps">
            <w:drawing>
              <wp:anchor simplePos="0" relativeHeight="251657728" behindDoc="1" locked="0" layoutInCell="0" allowOverlap="1">
                <wp:simplePos x="0" y="0"/>
                <wp:positionH relativeFrom="column">
                  <wp:posOffset>2587625</wp:posOffset>
                </wp:positionH>
                <wp:positionV relativeFrom="paragraph">
                  <wp:posOffset>120650</wp:posOffset>
                </wp:positionV>
                <wp:extent cx="3816350" cy="0"/>
                <wp:wrapNone/>
                <wp:docPr id="52" name="Shape 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816350"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52" o:spid="_x0000_s10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3.75pt,9.5pt" to="504.25pt,9.5pt" o:allowincell="f" strokecolor="#231F20" strokeweight="0.5pt"/>
            </w:pict>
          </mc:Fallback>
        </mc:AlternateContent>
        <mc:AlternateContent>
          <mc:Choice Requires="wps">
            <w:drawing>
              <wp:anchor simplePos="0" relativeHeight="251657728" behindDoc="1" locked="0" layoutInCell="0" allowOverlap="1">
                <wp:simplePos x="0" y="0"/>
                <wp:positionH relativeFrom="column">
                  <wp:posOffset>6400800</wp:posOffset>
                </wp:positionH>
                <wp:positionV relativeFrom="paragraph">
                  <wp:posOffset>117475</wp:posOffset>
                </wp:positionV>
                <wp:extent cx="0" cy="1212850"/>
                <wp:wrapNone/>
                <wp:docPr id="53" name="Shape 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212850"/>
                        </a:xfrm>
                        <a:prstGeom prst="line">
                          <a:avLst/>
                        </a:prstGeom>
                        <a:solidFill>
                          <a:srgbClr val="FFFFFF"/>
                        </a:solidFill>
                        <a:ln w="6350">
                          <a:solidFill>
                            <a:srgbClr val="231F20"/>
                          </a:solidFill>
                          <a:miter lim="800000"/>
                          <a:headEnd/>
                          <a:tailEnd/>
                        </a:ln>
                      </wps:spPr>
                      <wps:bodyPr/>
                    </wps:wsp>
                  </a:graphicData>
                </a:graphic>
              </wp:anchor>
            </w:drawing>
          </mc:Choice>
          <mc:Fallback>
            <w:pict>
              <v:line id="Shape 53" o:spid="_x0000_s10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4pt,9.25pt" to="504pt,104.75pt" o:allowincell="f" strokecolor="#231F20" strokeweight="0.5pt"/>
            </w:pict>
          </mc:Fallback>
        </mc:AlternateContent>
      </w:r>
    </w:p>
    <w:p>
      <w:pPr>
        <w:sectPr>
          <w:pgSz w:w="11880" w:h="15480" w:orient="portrait"/>
          <w:cols w:equalWidth="0" w:num="1">
            <w:col w:w="10080"/>
          </w:cols>
          <w:pgMar w:left="900" w:top="1343" w:right="900" w:bottom="1440" w:gutter="0" w:footer="0" w:header="0"/>
          <w:type w:val="continuous"/>
        </w:sectPr>
      </w:pP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231F20"/>
        </w:rPr>
        <w:t>By Order of the Board of Trustees,</w:t>
      </w:r>
    </w:p>
    <w:p>
      <w:pPr>
        <w:spacing w:after="0" w:line="370"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Dawn M. Becker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231F20"/>
        </w:rPr>
        <w:t>Executive Vice President</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231F20"/>
        </w:rPr>
        <w:t>Chief Legal Officer And Secretary</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color w:val="231F20"/>
        </w:rPr>
        <w:t>March 27, 2026</w:t>
      </w:r>
    </w:p>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EF3E2A"/>
        </w:rPr>
        <w:t>Important Notice Regarding Internet Availability of Proxy Materials</w:t>
      </w:r>
    </w:p>
    <w:p>
      <w:pPr>
        <w:spacing w:after="0" w:line="225" w:lineRule="exact"/>
        <w:rPr>
          <w:sz w:val="20"/>
          <w:szCs w:val="20"/>
          <w:color w:val="auto"/>
        </w:rPr>
      </w:pPr>
    </w:p>
    <w:p>
      <w:pPr>
        <w:jc w:val="both"/>
        <w:ind w:right="160"/>
        <w:spacing w:after="0" w:line="254" w:lineRule="auto"/>
        <w:rPr>
          <w:sz w:val="20"/>
          <w:szCs w:val="20"/>
          <w:color w:val="auto"/>
        </w:rPr>
      </w:pPr>
      <w:r>
        <w:rPr>
          <w:rFonts w:ascii="Arial" w:cs="Arial" w:eastAsia="Arial" w:hAnsi="Arial"/>
          <w:sz w:val="18"/>
          <w:szCs w:val="18"/>
          <w:b w:val="1"/>
          <w:bCs w:val="1"/>
          <w:color w:val="231F20"/>
        </w:rPr>
        <w:t xml:space="preserve">The proxy statement and annual report to shareholders, including our annual report on Form 10-K for the year ended December 31, 2025, are available at </w:t>
      </w:r>
      <w:r>
        <w:rPr>
          <w:rFonts w:ascii="Arial" w:cs="Arial" w:eastAsia="Arial" w:hAnsi="Arial"/>
          <w:sz w:val="18"/>
          <w:szCs w:val="18"/>
          <w:b w:val="1"/>
          <w:bCs w:val="1"/>
          <w:i w:val="1"/>
          <w:iCs w:val="1"/>
          <w:color w:val="231F20"/>
        </w:rPr>
        <w:t>www.federalrealty.com</w:t>
      </w:r>
      <w:r>
        <w:rPr>
          <w:rFonts w:ascii="Arial" w:cs="Arial" w:eastAsia="Arial" w:hAnsi="Arial"/>
          <w:sz w:val="18"/>
          <w:szCs w:val="18"/>
          <w:b w:val="1"/>
          <w:bCs w:val="1"/>
          <w:color w:val="231F20"/>
        </w:rPr>
        <w:t>. References in this proxy statement to our website are provided for your convenience only and the content on our website does not constitute part of this proxy statement.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-104775</wp:posOffset>
                </wp:positionH>
                <wp:positionV relativeFrom="paragraph">
                  <wp:posOffset>46355</wp:posOffset>
                </wp:positionV>
                <wp:extent cx="3816350" cy="0"/>
                <wp:wrapNone/>
                <wp:docPr id="54" name="Shape 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816350"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54" o:spid="_x0000_s10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2499pt,3.65pt" to="292.25pt,3.65pt" o:allowincell="f" strokecolor="#231F20" strokeweight="0.5pt"/>
            </w:pict>
          </mc:Fallback>
        </mc:AlternateContent>
      </w:r>
    </w:p>
    <w:p>
      <w:pPr>
        <w:sectPr>
          <w:pgSz w:w="11880" w:h="15480" w:orient="portrait"/>
          <w:cols w:equalWidth="0" w:num="2">
            <w:col w:w="3520" w:space="720"/>
            <w:col w:w="5840"/>
          </w:cols>
          <w:pgMar w:left="900" w:top="1343" w:right="900" w:bottom="1440" w:gutter="0" w:footer="0" w:header="0"/>
          <w:type w:val="continuous"/>
        </w:sectPr>
      </w:pPr>
    </w:p>
    <w:bookmarkStart w:id="119" w:name="page120"/>
    <w:bookmarkEnd w:id="119"/>
    <w:p>
      <w:pPr>
        <w:spacing w:after="0"/>
        <w:rPr>
          <w:sz w:val="20"/>
          <w:szCs w:val="20"/>
          <w:color w:val="auto"/>
        </w:rPr>
      </w:pPr>
      <w:r>
        <w:rPr>
          <w:rFonts w:ascii="Arial" w:cs="Arial" w:eastAsia="Arial" w:hAnsi="Arial"/>
          <w:sz w:val="28"/>
          <w:szCs w:val="28"/>
          <w:b w:val="1"/>
          <w:bCs w:val="1"/>
          <w:color w:val="231F20"/>
        </w:rPr>
        <mc:AlternateContent>
          <mc:Choice Requires="wps">
            <w:drawing>
              <wp:anchor simplePos="0" relativeHeight="251657728" behindDoc="1" locked="0" layoutInCell="0" allowOverlap="1">
                <wp:simplePos x="0" y="0"/>
                <wp:positionH relativeFrom="page">
                  <wp:posOffset>571500</wp:posOffset>
                </wp:positionH>
                <wp:positionV relativeFrom="page">
                  <wp:posOffset>819150</wp:posOffset>
                </wp:positionV>
                <wp:extent cx="6400800" cy="0"/>
                <wp:wrapNone/>
                <wp:docPr id="55" name="Shape 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38100">
                          <a:solidFill>
                            <a:srgbClr val="EF3E2A"/>
                          </a:solidFill>
                          <a:miter lim="800000"/>
                          <a:headEnd/>
                          <a:tailEnd/>
                        </a:ln>
                      </wps:spPr>
                      <wps:bodyPr/>
                    </wps:wsp>
                  </a:graphicData>
                </a:graphic>
              </wp:anchor>
            </w:drawing>
          </mc:Choice>
          <mc:Fallback>
            <w:pict>
              <v:line id="Shape 55" o:spid="_x0000_s108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5pt,64.5pt" to="549pt,64.5pt" o:allowincell="f" strokecolor="#EF3E2A" strokeweight="3pt">
                <w10:wrap anchorx="page" anchory="page"/>
              </v:line>
            </w:pict>
          </mc:Fallback>
        </mc:AlternateContent>
        <w:t>Table of Contents</w:t>
      </w:r>
    </w:p>
    <w:p>
      <w:pPr>
        <w:spacing w:after="0" w:line="346" w:lineRule="exact"/>
        <w:rPr>
          <w:sz w:val="20"/>
          <w:szCs w:val="20"/>
          <w:color w:val="auto"/>
        </w:rPr>
      </w:pPr>
    </w:p>
    <w:tbl>
      <w:tblPr>
        <w:tblLayout w:type="fixed"/>
        <w:tblInd w:w="20" w:type="dxa"/>
        <w:tblCellMar>
          <w:top w:w="0" w:type="dxa"/>
          <w:left w:w="0" w:type="dxa"/>
          <w:bottom w:w="0" w:type="dxa"/>
          <w:right w:w="0" w:type="dxa"/>
        </w:tblCellMar>
      </w:tblPr>
      <w:tr>
        <w:trPr>
          <w:trHeight w:val="296"/>
        </w:trPr>
        <w:tc>
          <w:tcPr>
            <w:tcW w:w="3980" w:type="dxa"/>
            <w:vAlign w:val="bottom"/>
            <w:tcBorders>
              <w:bottom w:val="single" w:sz="8" w:color="231F20"/>
            </w:tcBorders>
          </w:tcPr>
          <w:p>
            <w:pPr>
              <w:ind w:left="80"/>
              <w:spacing w:after="0"/>
              <w:rPr>
                <w:sz w:val="20"/>
                <w:szCs w:val="20"/>
                <w:color w:val="auto"/>
              </w:rPr>
            </w:pPr>
            <w:r>
              <w:rPr>
                <w:rFonts w:ascii="Arial" w:cs="Arial" w:eastAsia="Arial" w:hAnsi="Arial"/>
                <w:sz w:val="24"/>
                <w:szCs w:val="24"/>
                <w:b w:val="1"/>
                <w:bCs w:val="1"/>
                <w:color w:val="EF3E2A"/>
              </w:rPr>
              <w:t>C</w:t>
            </w:r>
            <w:r>
              <w:rPr>
                <w:rFonts w:ascii="Arial" w:cs="Arial" w:eastAsia="Arial" w:hAnsi="Arial"/>
                <w:sz w:val="18"/>
                <w:szCs w:val="18"/>
                <w:b w:val="1"/>
                <w:bCs w:val="1"/>
                <w:color w:val="EF3E2A"/>
              </w:rPr>
              <w:t>OMPANY</w:t>
            </w:r>
            <w:r>
              <w:rPr>
                <w:rFonts w:ascii="Arial" w:cs="Arial" w:eastAsia="Arial" w:hAnsi="Arial"/>
                <w:sz w:val="24"/>
                <w:szCs w:val="24"/>
                <w:b w:val="1"/>
                <w:bCs w:val="1"/>
                <w:color w:val="EF3E2A"/>
              </w:rPr>
              <w:t xml:space="preserve"> I</w:t>
            </w:r>
            <w:r>
              <w:rPr>
                <w:rFonts w:ascii="Arial" w:cs="Arial" w:eastAsia="Arial" w:hAnsi="Arial"/>
                <w:sz w:val="18"/>
                <w:szCs w:val="18"/>
                <w:b w:val="1"/>
                <w:bCs w:val="1"/>
                <w:color w:val="EF3E2A"/>
              </w:rPr>
              <w:t>NFORMATION</w:t>
            </w:r>
          </w:p>
        </w:tc>
        <w:tc>
          <w:tcPr>
            <w:tcW w:w="800" w:type="dxa"/>
            <w:vAlign w:val="bottom"/>
            <w:tcBorders>
              <w:bottom w:val="single" w:sz="8" w:color="231F20"/>
            </w:tcBorders>
          </w:tcPr>
          <w:p>
            <w:pPr>
              <w:jc w:val="right"/>
              <w:spacing w:after="0"/>
              <w:rPr>
                <w:sz w:val="20"/>
                <w:szCs w:val="20"/>
                <w:color w:val="auto"/>
              </w:rPr>
            </w:pPr>
            <w:r>
              <w:rPr>
                <w:rFonts w:ascii="Arial" w:cs="Arial" w:eastAsia="Arial" w:hAnsi="Arial"/>
                <w:sz w:val="24"/>
                <w:szCs w:val="24"/>
                <w:b w:val="1"/>
                <w:bCs w:val="1"/>
                <w:color w:val="EF3E2A"/>
              </w:rPr>
              <w:t>1</w:t>
            </w:r>
          </w:p>
        </w:tc>
      </w:tr>
      <w:tr>
        <w:trPr>
          <w:trHeight w:val="232"/>
        </w:trPr>
        <w:tc>
          <w:tcPr>
            <w:tcW w:w="3980" w:type="dxa"/>
            <w:vAlign w:val="bottom"/>
          </w:tcPr>
          <w:p>
            <w:pPr>
              <w:ind w:left="360"/>
              <w:spacing w:after="0"/>
              <w:rPr>
                <w:sz w:val="20"/>
                <w:szCs w:val="20"/>
                <w:color w:val="auto"/>
              </w:rPr>
            </w:pPr>
            <w:r>
              <w:rPr>
                <w:rFonts w:ascii="Arial" w:cs="Arial" w:eastAsia="Arial" w:hAnsi="Arial"/>
                <w:sz w:val="16"/>
                <w:szCs w:val="16"/>
                <w:color w:val="231F20"/>
              </w:rPr>
              <w:t>Highlights of 2025 Company Performance</w:t>
            </w:r>
          </w:p>
        </w:tc>
        <w:tc>
          <w:tcPr>
            <w:tcW w:w="800" w:type="dxa"/>
            <w:vAlign w:val="bottom"/>
          </w:tcPr>
          <w:p>
            <w:pPr>
              <w:jc w:val="right"/>
              <w:spacing w:after="0"/>
              <w:rPr>
                <w:sz w:val="20"/>
                <w:szCs w:val="20"/>
                <w:color w:val="auto"/>
              </w:rPr>
            </w:pPr>
            <w:r>
              <w:rPr>
                <w:rFonts w:ascii="Arial" w:cs="Arial" w:eastAsia="Arial" w:hAnsi="Arial"/>
                <w:sz w:val="14"/>
                <w:szCs w:val="14"/>
                <w:color w:val="231F20"/>
              </w:rPr>
              <w:t>1</w:t>
            </w:r>
          </w:p>
        </w:tc>
      </w:tr>
      <w:tr>
        <w:trPr>
          <w:trHeight w:val="240"/>
        </w:trPr>
        <w:tc>
          <w:tcPr>
            <w:tcW w:w="3980" w:type="dxa"/>
            <w:vAlign w:val="bottom"/>
          </w:tcPr>
          <w:p>
            <w:pPr>
              <w:ind w:left="360"/>
              <w:spacing w:after="0"/>
              <w:rPr>
                <w:sz w:val="20"/>
                <w:szCs w:val="20"/>
                <w:color w:val="auto"/>
              </w:rPr>
            </w:pPr>
            <w:r>
              <w:rPr>
                <w:rFonts w:ascii="Arial" w:cs="Arial" w:eastAsia="Arial" w:hAnsi="Arial"/>
                <w:sz w:val="16"/>
                <w:szCs w:val="16"/>
                <w:color w:val="231F20"/>
              </w:rPr>
              <w:t>Corporate Values</w:t>
            </w:r>
          </w:p>
        </w:tc>
        <w:tc>
          <w:tcPr>
            <w:tcW w:w="800" w:type="dxa"/>
            <w:vAlign w:val="bottom"/>
          </w:tcPr>
          <w:p>
            <w:pPr>
              <w:jc w:val="right"/>
              <w:spacing w:after="0"/>
              <w:rPr>
                <w:sz w:val="20"/>
                <w:szCs w:val="20"/>
                <w:color w:val="auto"/>
              </w:rPr>
            </w:pPr>
            <w:r>
              <w:rPr>
                <w:rFonts w:ascii="Arial" w:cs="Arial" w:eastAsia="Arial" w:hAnsi="Arial"/>
                <w:sz w:val="16"/>
                <w:szCs w:val="16"/>
                <w:color w:val="231F20"/>
              </w:rPr>
              <w:t>2</w:t>
            </w:r>
          </w:p>
        </w:tc>
      </w:tr>
      <w:tr>
        <w:trPr>
          <w:trHeight w:val="240"/>
        </w:trPr>
        <w:tc>
          <w:tcPr>
            <w:tcW w:w="3980" w:type="dxa"/>
            <w:vAlign w:val="bottom"/>
          </w:tcPr>
          <w:p>
            <w:pPr>
              <w:ind w:left="360"/>
              <w:spacing w:after="0"/>
              <w:rPr>
                <w:sz w:val="20"/>
                <w:szCs w:val="20"/>
                <w:color w:val="auto"/>
              </w:rPr>
            </w:pPr>
            <w:r>
              <w:rPr>
                <w:rFonts w:ascii="Arial" w:cs="Arial" w:eastAsia="Arial" w:hAnsi="Arial"/>
                <w:sz w:val="16"/>
                <w:szCs w:val="16"/>
                <w:color w:val="231F20"/>
              </w:rPr>
              <w:t>Our Board</w:t>
            </w:r>
          </w:p>
        </w:tc>
        <w:tc>
          <w:tcPr>
            <w:tcW w:w="800" w:type="dxa"/>
            <w:vAlign w:val="bottom"/>
          </w:tcPr>
          <w:p>
            <w:pPr>
              <w:jc w:val="right"/>
              <w:spacing w:after="0"/>
              <w:rPr>
                <w:sz w:val="20"/>
                <w:szCs w:val="20"/>
                <w:color w:val="auto"/>
              </w:rPr>
            </w:pPr>
            <w:r>
              <w:rPr>
                <w:rFonts w:ascii="Arial" w:cs="Arial" w:eastAsia="Arial" w:hAnsi="Arial"/>
                <w:sz w:val="16"/>
                <w:szCs w:val="16"/>
                <w:color w:val="231F20"/>
              </w:rPr>
              <w:t>2</w:t>
            </w:r>
          </w:p>
        </w:tc>
      </w:tr>
      <w:tr>
        <w:trPr>
          <w:trHeight w:val="240"/>
        </w:trPr>
        <w:tc>
          <w:tcPr>
            <w:tcW w:w="3980" w:type="dxa"/>
            <w:vAlign w:val="bottom"/>
          </w:tcPr>
          <w:p>
            <w:pPr>
              <w:ind w:left="360"/>
              <w:spacing w:after="0"/>
              <w:rPr>
                <w:sz w:val="20"/>
                <w:szCs w:val="20"/>
                <w:color w:val="auto"/>
              </w:rPr>
            </w:pPr>
            <w:r>
              <w:rPr>
                <w:rFonts w:ascii="Arial" w:cs="Arial" w:eastAsia="Arial" w:hAnsi="Arial"/>
                <w:sz w:val="16"/>
                <w:szCs w:val="16"/>
                <w:color w:val="231F20"/>
              </w:rPr>
              <w:t>Sustainability Snapshot</w:t>
            </w:r>
          </w:p>
        </w:tc>
        <w:tc>
          <w:tcPr>
            <w:tcW w:w="800" w:type="dxa"/>
            <w:vAlign w:val="bottom"/>
          </w:tcPr>
          <w:p>
            <w:pPr>
              <w:jc w:val="right"/>
              <w:spacing w:after="0"/>
              <w:rPr>
                <w:sz w:val="20"/>
                <w:szCs w:val="20"/>
                <w:color w:val="auto"/>
              </w:rPr>
            </w:pPr>
            <w:r>
              <w:rPr>
                <w:rFonts w:ascii="Arial" w:cs="Arial" w:eastAsia="Arial" w:hAnsi="Arial"/>
                <w:sz w:val="16"/>
                <w:szCs w:val="16"/>
                <w:color w:val="231F20"/>
              </w:rPr>
              <w:t>3</w:t>
            </w:r>
          </w:p>
        </w:tc>
      </w:tr>
    </w:tbl>
    <w:p>
      <w:pPr>
        <w:spacing w:after="0" w:line="132" w:lineRule="exact"/>
        <w:rPr>
          <w:sz w:val="20"/>
          <w:szCs w:val="20"/>
          <w:color w:val="auto"/>
        </w:rPr>
      </w:pPr>
    </w:p>
    <w:tbl>
      <w:tblPr>
        <w:tblLayout w:type="fixed"/>
        <w:tblInd w:w="20" w:type="dxa"/>
        <w:tblCellMar>
          <w:top w:w="0" w:type="dxa"/>
          <w:left w:w="0" w:type="dxa"/>
          <w:bottom w:w="0" w:type="dxa"/>
          <w:right w:w="0" w:type="dxa"/>
        </w:tblCellMar>
      </w:tblPr>
      <w:tr>
        <w:trPr>
          <w:trHeight w:val="296"/>
        </w:trPr>
        <w:tc>
          <w:tcPr>
            <w:tcW w:w="4180" w:type="dxa"/>
            <w:vAlign w:val="bottom"/>
            <w:tcBorders>
              <w:bottom w:val="single" w:sz="8" w:color="231F20"/>
            </w:tcBorders>
          </w:tcPr>
          <w:p>
            <w:pPr>
              <w:ind w:left="80"/>
              <w:spacing w:after="0"/>
              <w:rPr>
                <w:sz w:val="20"/>
                <w:szCs w:val="20"/>
                <w:color w:val="auto"/>
              </w:rPr>
            </w:pPr>
            <w:r>
              <w:rPr>
                <w:rFonts w:ascii="Arial" w:cs="Arial" w:eastAsia="Arial" w:hAnsi="Arial"/>
                <w:sz w:val="24"/>
                <w:szCs w:val="24"/>
                <w:b w:val="1"/>
                <w:bCs w:val="1"/>
                <w:color w:val="EF3E2A"/>
              </w:rPr>
              <w:t>G</w:t>
            </w:r>
            <w:r>
              <w:rPr>
                <w:rFonts w:ascii="Arial" w:cs="Arial" w:eastAsia="Arial" w:hAnsi="Arial"/>
                <w:sz w:val="18"/>
                <w:szCs w:val="18"/>
                <w:b w:val="1"/>
                <w:bCs w:val="1"/>
                <w:color w:val="EF3E2A"/>
              </w:rPr>
              <w:t>OVERNING THE</w:t>
            </w:r>
            <w:r>
              <w:rPr>
                <w:rFonts w:ascii="Arial" w:cs="Arial" w:eastAsia="Arial" w:hAnsi="Arial"/>
                <w:sz w:val="24"/>
                <w:szCs w:val="24"/>
                <w:b w:val="1"/>
                <w:bCs w:val="1"/>
                <w:color w:val="EF3E2A"/>
              </w:rPr>
              <w:t xml:space="preserve"> C</w:t>
            </w:r>
            <w:r>
              <w:rPr>
                <w:rFonts w:ascii="Arial" w:cs="Arial" w:eastAsia="Arial" w:hAnsi="Arial"/>
                <w:sz w:val="18"/>
                <w:szCs w:val="18"/>
                <w:b w:val="1"/>
                <w:bCs w:val="1"/>
                <w:color w:val="EF3E2A"/>
              </w:rPr>
              <w:t>OMPANY</w:t>
            </w:r>
          </w:p>
        </w:tc>
        <w:tc>
          <w:tcPr>
            <w:tcW w:w="600" w:type="dxa"/>
            <w:vAlign w:val="bottom"/>
            <w:tcBorders>
              <w:bottom w:val="single" w:sz="8" w:color="231F20"/>
            </w:tcBorders>
          </w:tcPr>
          <w:p>
            <w:pPr>
              <w:jc w:val="right"/>
              <w:spacing w:after="0"/>
              <w:rPr>
                <w:sz w:val="20"/>
                <w:szCs w:val="20"/>
                <w:color w:val="auto"/>
              </w:rPr>
            </w:pPr>
            <w:r>
              <w:rPr>
                <w:rFonts w:ascii="Arial" w:cs="Arial" w:eastAsia="Arial" w:hAnsi="Arial"/>
                <w:sz w:val="24"/>
                <w:szCs w:val="24"/>
                <w:b w:val="1"/>
                <w:bCs w:val="1"/>
                <w:color w:val="EF3E2A"/>
              </w:rPr>
              <w:t>4</w:t>
            </w:r>
          </w:p>
        </w:tc>
      </w:tr>
      <w:tr>
        <w:trPr>
          <w:trHeight w:val="232"/>
        </w:trPr>
        <w:tc>
          <w:tcPr>
            <w:tcW w:w="4180" w:type="dxa"/>
            <w:vAlign w:val="bottom"/>
          </w:tcPr>
          <w:p>
            <w:pPr>
              <w:ind w:left="360"/>
              <w:spacing w:after="0"/>
              <w:rPr>
                <w:sz w:val="20"/>
                <w:szCs w:val="20"/>
                <w:color w:val="auto"/>
              </w:rPr>
            </w:pPr>
            <w:r>
              <w:rPr>
                <w:rFonts w:ascii="Arial" w:cs="Arial" w:eastAsia="Arial" w:hAnsi="Arial"/>
                <w:sz w:val="16"/>
                <w:szCs w:val="16"/>
                <w:color w:val="231F20"/>
              </w:rPr>
              <w:t>Governance Documents</w:t>
            </w:r>
          </w:p>
        </w:tc>
        <w:tc>
          <w:tcPr>
            <w:tcW w:w="600" w:type="dxa"/>
            <w:vAlign w:val="bottom"/>
          </w:tcPr>
          <w:p>
            <w:pPr>
              <w:jc w:val="right"/>
              <w:spacing w:after="0"/>
              <w:rPr>
                <w:sz w:val="20"/>
                <w:szCs w:val="20"/>
                <w:color w:val="auto"/>
              </w:rPr>
            </w:pPr>
            <w:r>
              <w:rPr>
                <w:rFonts w:ascii="Arial" w:cs="Arial" w:eastAsia="Arial" w:hAnsi="Arial"/>
                <w:sz w:val="16"/>
                <w:szCs w:val="16"/>
                <w:color w:val="231F20"/>
              </w:rPr>
              <w:t>4</w:t>
            </w:r>
          </w:p>
        </w:tc>
      </w:tr>
      <w:tr>
        <w:trPr>
          <w:trHeight w:val="240"/>
        </w:trPr>
        <w:tc>
          <w:tcPr>
            <w:tcW w:w="4180" w:type="dxa"/>
            <w:vAlign w:val="bottom"/>
          </w:tcPr>
          <w:p>
            <w:pPr>
              <w:ind w:left="360"/>
              <w:spacing w:after="0"/>
              <w:rPr>
                <w:sz w:val="20"/>
                <w:szCs w:val="20"/>
                <w:color w:val="auto"/>
              </w:rPr>
            </w:pPr>
            <w:r>
              <w:rPr>
                <w:rFonts w:ascii="Arial" w:cs="Arial" w:eastAsia="Arial" w:hAnsi="Arial"/>
                <w:sz w:val="16"/>
                <w:szCs w:val="16"/>
                <w:color w:val="231F20"/>
              </w:rPr>
              <w:t>Governance Policies and Procedures</w:t>
            </w:r>
          </w:p>
        </w:tc>
        <w:tc>
          <w:tcPr>
            <w:tcW w:w="600" w:type="dxa"/>
            <w:vAlign w:val="bottom"/>
          </w:tcPr>
          <w:p>
            <w:pPr>
              <w:jc w:val="right"/>
              <w:spacing w:after="0"/>
              <w:rPr>
                <w:sz w:val="20"/>
                <w:szCs w:val="20"/>
                <w:color w:val="auto"/>
              </w:rPr>
            </w:pPr>
            <w:r>
              <w:rPr>
                <w:rFonts w:ascii="Arial" w:cs="Arial" w:eastAsia="Arial" w:hAnsi="Arial"/>
                <w:sz w:val="16"/>
                <w:szCs w:val="16"/>
                <w:color w:val="231F20"/>
              </w:rPr>
              <w:t>5</w:t>
            </w:r>
          </w:p>
        </w:tc>
      </w:tr>
      <w:tr>
        <w:trPr>
          <w:trHeight w:val="240"/>
        </w:trPr>
        <w:tc>
          <w:tcPr>
            <w:tcW w:w="4180" w:type="dxa"/>
            <w:vAlign w:val="bottom"/>
          </w:tcPr>
          <w:p>
            <w:pPr>
              <w:ind w:left="360"/>
              <w:spacing w:after="0"/>
              <w:rPr>
                <w:sz w:val="20"/>
                <w:szCs w:val="20"/>
                <w:color w:val="auto"/>
              </w:rPr>
            </w:pPr>
            <w:r>
              <w:rPr>
                <w:rFonts w:ascii="Arial" w:cs="Arial" w:eastAsia="Arial" w:hAnsi="Arial"/>
                <w:sz w:val="16"/>
                <w:szCs w:val="16"/>
                <w:color w:val="231F20"/>
              </w:rPr>
              <w:t>Board Leadership</w:t>
            </w:r>
          </w:p>
        </w:tc>
        <w:tc>
          <w:tcPr>
            <w:tcW w:w="600" w:type="dxa"/>
            <w:vAlign w:val="bottom"/>
          </w:tcPr>
          <w:p>
            <w:pPr>
              <w:jc w:val="right"/>
              <w:spacing w:after="0"/>
              <w:rPr>
                <w:sz w:val="20"/>
                <w:szCs w:val="20"/>
                <w:color w:val="auto"/>
              </w:rPr>
            </w:pPr>
            <w:r>
              <w:rPr>
                <w:rFonts w:ascii="Arial" w:cs="Arial" w:eastAsia="Arial" w:hAnsi="Arial"/>
                <w:sz w:val="16"/>
                <w:szCs w:val="16"/>
                <w:color w:val="231F20"/>
              </w:rPr>
              <w:t>5</w:t>
            </w:r>
          </w:p>
        </w:tc>
      </w:tr>
      <w:tr>
        <w:trPr>
          <w:trHeight w:val="240"/>
        </w:trPr>
        <w:tc>
          <w:tcPr>
            <w:tcW w:w="4180" w:type="dxa"/>
            <w:vAlign w:val="bottom"/>
          </w:tcPr>
          <w:p>
            <w:pPr>
              <w:ind w:left="360"/>
              <w:spacing w:after="0"/>
              <w:rPr>
                <w:sz w:val="20"/>
                <w:szCs w:val="20"/>
                <w:color w:val="auto"/>
              </w:rPr>
            </w:pPr>
            <w:r>
              <w:rPr>
                <w:rFonts w:ascii="Arial" w:cs="Arial" w:eastAsia="Arial" w:hAnsi="Arial"/>
                <w:sz w:val="16"/>
                <w:szCs w:val="16"/>
                <w:color w:val="231F20"/>
              </w:rPr>
              <w:t>Board and Committee Meetings</w:t>
            </w:r>
          </w:p>
        </w:tc>
        <w:tc>
          <w:tcPr>
            <w:tcW w:w="600" w:type="dxa"/>
            <w:vAlign w:val="bottom"/>
          </w:tcPr>
          <w:p>
            <w:pPr>
              <w:jc w:val="right"/>
              <w:spacing w:after="0"/>
              <w:rPr>
                <w:sz w:val="20"/>
                <w:szCs w:val="20"/>
                <w:color w:val="auto"/>
              </w:rPr>
            </w:pPr>
            <w:r>
              <w:rPr>
                <w:rFonts w:ascii="Arial" w:cs="Arial" w:eastAsia="Arial" w:hAnsi="Arial"/>
                <w:sz w:val="16"/>
                <w:szCs w:val="16"/>
                <w:color w:val="231F20"/>
              </w:rPr>
              <w:t>5</w:t>
            </w:r>
          </w:p>
        </w:tc>
      </w:tr>
      <w:tr>
        <w:trPr>
          <w:trHeight w:val="240"/>
        </w:trPr>
        <w:tc>
          <w:tcPr>
            <w:tcW w:w="4180" w:type="dxa"/>
            <w:vAlign w:val="bottom"/>
          </w:tcPr>
          <w:p>
            <w:pPr>
              <w:ind w:left="360"/>
              <w:spacing w:after="0"/>
              <w:rPr>
                <w:sz w:val="20"/>
                <w:szCs w:val="20"/>
                <w:color w:val="auto"/>
              </w:rPr>
            </w:pPr>
            <w:r>
              <w:rPr>
                <w:rFonts w:ascii="Arial" w:cs="Arial" w:eastAsia="Arial" w:hAnsi="Arial"/>
                <w:sz w:val="16"/>
                <w:szCs w:val="16"/>
                <w:color w:val="231F20"/>
              </w:rPr>
              <w:t>Board Committees</w:t>
            </w:r>
          </w:p>
        </w:tc>
        <w:tc>
          <w:tcPr>
            <w:tcW w:w="600" w:type="dxa"/>
            <w:vAlign w:val="bottom"/>
          </w:tcPr>
          <w:p>
            <w:pPr>
              <w:jc w:val="right"/>
              <w:spacing w:after="0"/>
              <w:rPr>
                <w:sz w:val="20"/>
                <w:szCs w:val="20"/>
                <w:color w:val="auto"/>
              </w:rPr>
            </w:pPr>
            <w:r>
              <w:rPr>
                <w:rFonts w:ascii="Arial" w:cs="Arial" w:eastAsia="Arial" w:hAnsi="Arial"/>
                <w:sz w:val="16"/>
                <w:szCs w:val="16"/>
                <w:color w:val="231F20"/>
              </w:rPr>
              <w:t>5</w:t>
            </w:r>
          </w:p>
        </w:tc>
      </w:tr>
      <w:tr>
        <w:trPr>
          <w:trHeight w:val="240"/>
        </w:trPr>
        <w:tc>
          <w:tcPr>
            <w:tcW w:w="4180" w:type="dxa"/>
            <w:vAlign w:val="bottom"/>
          </w:tcPr>
          <w:p>
            <w:pPr>
              <w:ind w:left="360"/>
              <w:spacing w:after="0"/>
              <w:rPr>
                <w:sz w:val="20"/>
                <w:szCs w:val="20"/>
                <w:color w:val="auto"/>
              </w:rPr>
            </w:pPr>
            <w:r>
              <w:rPr>
                <w:rFonts w:ascii="Arial" w:cs="Arial" w:eastAsia="Arial" w:hAnsi="Arial"/>
                <w:sz w:val="16"/>
                <w:szCs w:val="16"/>
                <w:color w:val="231F20"/>
              </w:rPr>
              <w:t>Board’s Role in Risk Oversight</w:t>
            </w:r>
          </w:p>
        </w:tc>
        <w:tc>
          <w:tcPr>
            <w:tcW w:w="600" w:type="dxa"/>
            <w:vAlign w:val="bottom"/>
          </w:tcPr>
          <w:p>
            <w:pPr>
              <w:jc w:val="right"/>
              <w:spacing w:after="0"/>
              <w:rPr>
                <w:sz w:val="20"/>
                <w:szCs w:val="20"/>
                <w:color w:val="auto"/>
              </w:rPr>
            </w:pPr>
            <w:r>
              <w:rPr>
                <w:rFonts w:ascii="Arial" w:cs="Arial" w:eastAsia="Arial" w:hAnsi="Arial"/>
                <w:sz w:val="16"/>
                <w:szCs w:val="16"/>
                <w:color w:val="231F20"/>
              </w:rPr>
              <w:t>7</w:t>
            </w:r>
          </w:p>
        </w:tc>
      </w:tr>
      <w:tr>
        <w:trPr>
          <w:trHeight w:val="240"/>
        </w:trPr>
        <w:tc>
          <w:tcPr>
            <w:tcW w:w="4180" w:type="dxa"/>
            <w:vAlign w:val="bottom"/>
          </w:tcPr>
          <w:p>
            <w:pPr>
              <w:ind w:left="360"/>
              <w:spacing w:after="0"/>
              <w:rPr>
                <w:sz w:val="20"/>
                <w:szCs w:val="20"/>
                <w:color w:val="auto"/>
              </w:rPr>
            </w:pPr>
            <w:r>
              <w:rPr>
                <w:rFonts w:ascii="Arial" w:cs="Arial" w:eastAsia="Arial" w:hAnsi="Arial"/>
                <w:sz w:val="16"/>
                <w:szCs w:val="16"/>
                <w:color w:val="231F20"/>
              </w:rPr>
              <w:t>Board and Committee Evaluation Process</w:t>
            </w:r>
          </w:p>
        </w:tc>
        <w:tc>
          <w:tcPr>
            <w:tcW w:w="600" w:type="dxa"/>
            <w:vAlign w:val="bottom"/>
          </w:tcPr>
          <w:p>
            <w:pPr>
              <w:jc w:val="right"/>
              <w:spacing w:after="0"/>
              <w:rPr>
                <w:sz w:val="20"/>
                <w:szCs w:val="20"/>
                <w:color w:val="auto"/>
              </w:rPr>
            </w:pPr>
            <w:r>
              <w:rPr>
                <w:rFonts w:ascii="Arial" w:cs="Arial" w:eastAsia="Arial" w:hAnsi="Arial"/>
                <w:sz w:val="16"/>
                <w:szCs w:val="16"/>
                <w:color w:val="231F20"/>
              </w:rPr>
              <w:t>8</w:t>
            </w:r>
          </w:p>
        </w:tc>
      </w:tr>
      <w:tr>
        <w:trPr>
          <w:trHeight w:val="240"/>
        </w:trPr>
        <w:tc>
          <w:tcPr>
            <w:tcW w:w="4180" w:type="dxa"/>
            <w:vAlign w:val="bottom"/>
          </w:tcPr>
          <w:p>
            <w:pPr>
              <w:ind w:left="360"/>
              <w:spacing w:after="0"/>
              <w:rPr>
                <w:sz w:val="20"/>
                <w:szCs w:val="20"/>
                <w:color w:val="auto"/>
              </w:rPr>
            </w:pPr>
            <w:r>
              <w:rPr>
                <w:rFonts w:ascii="Arial" w:cs="Arial" w:eastAsia="Arial" w:hAnsi="Arial"/>
                <w:sz w:val="16"/>
                <w:szCs w:val="16"/>
                <w:color w:val="231F20"/>
              </w:rPr>
              <w:t>Succession Planning</w:t>
            </w:r>
          </w:p>
        </w:tc>
        <w:tc>
          <w:tcPr>
            <w:tcW w:w="600" w:type="dxa"/>
            <w:vAlign w:val="bottom"/>
          </w:tcPr>
          <w:p>
            <w:pPr>
              <w:jc w:val="right"/>
              <w:spacing w:after="0"/>
              <w:rPr>
                <w:sz w:val="20"/>
                <w:szCs w:val="20"/>
                <w:color w:val="auto"/>
              </w:rPr>
            </w:pPr>
            <w:r>
              <w:rPr>
                <w:rFonts w:ascii="Arial" w:cs="Arial" w:eastAsia="Arial" w:hAnsi="Arial"/>
                <w:sz w:val="16"/>
                <w:szCs w:val="16"/>
                <w:color w:val="231F20"/>
              </w:rPr>
              <w:t>9</w:t>
            </w:r>
          </w:p>
        </w:tc>
      </w:tr>
      <w:tr>
        <w:trPr>
          <w:trHeight w:val="240"/>
        </w:trPr>
        <w:tc>
          <w:tcPr>
            <w:tcW w:w="4180" w:type="dxa"/>
            <w:vAlign w:val="bottom"/>
          </w:tcPr>
          <w:p>
            <w:pPr>
              <w:ind w:left="360"/>
              <w:spacing w:after="0"/>
              <w:rPr>
                <w:sz w:val="20"/>
                <w:szCs w:val="20"/>
                <w:color w:val="auto"/>
              </w:rPr>
            </w:pPr>
            <w:r>
              <w:rPr>
                <w:rFonts w:ascii="Arial" w:cs="Arial" w:eastAsia="Arial" w:hAnsi="Arial"/>
                <w:sz w:val="16"/>
                <w:szCs w:val="16"/>
                <w:color w:val="231F20"/>
              </w:rPr>
              <w:t>Communications with the Board</w:t>
            </w:r>
          </w:p>
        </w:tc>
        <w:tc>
          <w:tcPr>
            <w:tcW w:w="600" w:type="dxa"/>
            <w:vAlign w:val="bottom"/>
          </w:tcPr>
          <w:p>
            <w:pPr>
              <w:jc w:val="right"/>
              <w:spacing w:after="0"/>
              <w:rPr>
                <w:sz w:val="20"/>
                <w:szCs w:val="20"/>
                <w:color w:val="auto"/>
              </w:rPr>
            </w:pPr>
            <w:r>
              <w:rPr>
                <w:rFonts w:ascii="Arial" w:cs="Arial" w:eastAsia="Arial" w:hAnsi="Arial"/>
                <w:sz w:val="16"/>
                <w:szCs w:val="16"/>
                <w:color w:val="231F20"/>
              </w:rPr>
              <w:t>9</w:t>
            </w:r>
          </w:p>
        </w:tc>
      </w:tr>
      <w:tr>
        <w:trPr>
          <w:trHeight w:val="240"/>
        </w:trPr>
        <w:tc>
          <w:tcPr>
            <w:tcW w:w="4180" w:type="dxa"/>
            <w:vAlign w:val="bottom"/>
          </w:tcPr>
          <w:p>
            <w:pPr>
              <w:ind w:left="360"/>
              <w:spacing w:after="0"/>
              <w:rPr>
                <w:sz w:val="20"/>
                <w:szCs w:val="20"/>
                <w:color w:val="auto"/>
              </w:rPr>
            </w:pPr>
            <w:r>
              <w:rPr>
                <w:rFonts w:ascii="Arial" w:cs="Arial" w:eastAsia="Arial" w:hAnsi="Arial"/>
                <w:sz w:val="16"/>
                <w:szCs w:val="16"/>
                <w:color w:val="231F20"/>
              </w:rPr>
              <w:t>Compensation Committee Interlocks and Insider</w:t>
            </w:r>
          </w:p>
        </w:tc>
        <w:tc>
          <w:tcPr>
            <w:tcW w:w="600" w:type="dxa"/>
            <w:vAlign w:val="bottom"/>
          </w:tcPr>
          <w:p>
            <w:pPr>
              <w:jc w:val="right"/>
              <w:spacing w:after="0"/>
              <w:rPr>
                <w:sz w:val="20"/>
                <w:szCs w:val="20"/>
                <w:color w:val="auto"/>
              </w:rPr>
            </w:pPr>
            <w:r>
              <w:rPr>
                <w:rFonts w:ascii="Arial" w:cs="Arial" w:eastAsia="Arial" w:hAnsi="Arial"/>
                <w:sz w:val="16"/>
                <w:szCs w:val="16"/>
                <w:color w:val="231F20"/>
              </w:rPr>
              <w:t>10</w:t>
            </w:r>
          </w:p>
        </w:tc>
      </w:tr>
      <w:tr>
        <w:trPr>
          <w:trHeight w:val="200"/>
        </w:trPr>
        <w:tc>
          <w:tcPr>
            <w:tcW w:w="4180" w:type="dxa"/>
            <w:vAlign w:val="bottom"/>
          </w:tcPr>
          <w:p>
            <w:pPr>
              <w:ind w:left="460"/>
              <w:spacing w:after="0"/>
              <w:rPr>
                <w:sz w:val="20"/>
                <w:szCs w:val="20"/>
                <w:color w:val="auto"/>
              </w:rPr>
            </w:pPr>
            <w:r>
              <w:rPr>
                <w:rFonts w:ascii="Arial" w:cs="Arial" w:eastAsia="Arial" w:hAnsi="Arial"/>
                <w:sz w:val="16"/>
                <w:szCs w:val="16"/>
                <w:color w:val="231F20"/>
              </w:rPr>
              <w:t>Participation</w:t>
            </w:r>
          </w:p>
        </w:tc>
        <w:tc>
          <w:tcPr>
            <w:tcW w:w="600" w:type="dxa"/>
            <w:vAlign w:val="bottom"/>
          </w:tcPr>
          <w:p>
            <w:pPr>
              <w:spacing w:after="0"/>
              <w:rPr>
                <w:sz w:val="17"/>
                <w:szCs w:val="17"/>
                <w:color w:val="auto"/>
              </w:rPr>
            </w:pPr>
          </w:p>
        </w:tc>
      </w:tr>
      <w:tr>
        <w:trPr>
          <w:trHeight w:val="240"/>
        </w:trPr>
        <w:tc>
          <w:tcPr>
            <w:tcW w:w="4180" w:type="dxa"/>
            <w:vAlign w:val="bottom"/>
          </w:tcPr>
          <w:p>
            <w:pPr>
              <w:ind w:left="360"/>
              <w:spacing w:after="0"/>
              <w:rPr>
                <w:sz w:val="20"/>
                <w:szCs w:val="20"/>
                <w:color w:val="auto"/>
              </w:rPr>
            </w:pPr>
            <w:r>
              <w:rPr>
                <w:rFonts w:ascii="Arial" w:cs="Arial" w:eastAsia="Arial" w:hAnsi="Arial"/>
                <w:sz w:val="16"/>
                <w:szCs w:val="16"/>
                <w:color w:val="231F20"/>
              </w:rPr>
              <w:t>Related Party Transactions</w:t>
            </w:r>
          </w:p>
        </w:tc>
        <w:tc>
          <w:tcPr>
            <w:tcW w:w="600" w:type="dxa"/>
            <w:vAlign w:val="bottom"/>
          </w:tcPr>
          <w:p>
            <w:pPr>
              <w:jc w:val="right"/>
              <w:spacing w:after="0"/>
              <w:rPr>
                <w:sz w:val="20"/>
                <w:szCs w:val="20"/>
                <w:color w:val="auto"/>
              </w:rPr>
            </w:pPr>
            <w:r>
              <w:rPr>
                <w:rFonts w:ascii="Arial" w:cs="Arial" w:eastAsia="Arial" w:hAnsi="Arial"/>
                <w:sz w:val="16"/>
                <w:szCs w:val="16"/>
                <w:color w:val="231F20"/>
              </w:rPr>
              <w:t>10</w:t>
            </w:r>
          </w:p>
        </w:tc>
      </w:tr>
      <w:tr>
        <w:trPr>
          <w:trHeight w:val="240"/>
        </w:trPr>
        <w:tc>
          <w:tcPr>
            <w:tcW w:w="4180" w:type="dxa"/>
            <w:vAlign w:val="bottom"/>
          </w:tcPr>
          <w:p>
            <w:pPr>
              <w:ind w:left="360"/>
              <w:spacing w:after="0"/>
              <w:rPr>
                <w:sz w:val="20"/>
                <w:szCs w:val="20"/>
                <w:color w:val="auto"/>
              </w:rPr>
            </w:pPr>
            <w:r>
              <w:rPr>
                <w:rFonts w:ascii="Arial" w:cs="Arial" w:eastAsia="Arial" w:hAnsi="Arial"/>
                <w:sz w:val="16"/>
                <w:szCs w:val="16"/>
                <w:color w:val="231F20"/>
              </w:rPr>
              <w:t>Trustee Independence</w:t>
            </w:r>
          </w:p>
        </w:tc>
        <w:tc>
          <w:tcPr>
            <w:tcW w:w="600" w:type="dxa"/>
            <w:vAlign w:val="bottom"/>
          </w:tcPr>
          <w:p>
            <w:pPr>
              <w:jc w:val="right"/>
              <w:spacing w:after="0"/>
              <w:rPr>
                <w:sz w:val="20"/>
                <w:szCs w:val="20"/>
                <w:color w:val="auto"/>
              </w:rPr>
            </w:pPr>
            <w:r>
              <w:rPr>
                <w:rFonts w:ascii="Arial" w:cs="Arial" w:eastAsia="Arial" w:hAnsi="Arial"/>
                <w:sz w:val="16"/>
                <w:szCs w:val="16"/>
                <w:color w:val="231F20"/>
              </w:rPr>
              <w:t>10</w:t>
            </w:r>
          </w:p>
        </w:tc>
      </w:tr>
    </w:tbl>
    <w:p>
      <w:pPr>
        <w:spacing w:after="0" w:line="132" w:lineRule="exact"/>
        <w:rPr>
          <w:sz w:val="20"/>
          <w:szCs w:val="20"/>
          <w:color w:val="auto"/>
        </w:rPr>
      </w:pPr>
    </w:p>
    <w:tbl>
      <w:tblPr>
        <w:tblLayout w:type="fixed"/>
        <w:tblInd w:w="20" w:type="dxa"/>
        <w:tblCellMar>
          <w:top w:w="0" w:type="dxa"/>
          <w:left w:w="0" w:type="dxa"/>
          <w:bottom w:w="0" w:type="dxa"/>
          <w:right w:w="0" w:type="dxa"/>
        </w:tblCellMar>
      </w:tblPr>
      <w:tr>
        <w:trPr>
          <w:trHeight w:val="296"/>
        </w:trPr>
        <w:tc>
          <w:tcPr>
            <w:tcW w:w="4280" w:type="dxa"/>
            <w:vAlign w:val="bottom"/>
            <w:tcBorders>
              <w:bottom w:val="single" w:sz="8" w:color="231F20"/>
            </w:tcBorders>
          </w:tcPr>
          <w:p>
            <w:pPr>
              <w:ind w:left="80"/>
              <w:spacing w:after="0"/>
              <w:rPr>
                <w:sz w:val="20"/>
                <w:szCs w:val="20"/>
                <w:color w:val="auto"/>
              </w:rPr>
            </w:pPr>
            <w:r>
              <w:rPr>
                <w:rFonts w:ascii="Arial" w:cs="Arial" w:eastAsia="Arial" w:hAnsi="Arial"/>
                <w:sz w:val="24"/>
                <w:szCs w:val="24"/>
                <w:b w:val="1"/>
                <w:bCs w:val="1"/>
                <w:color w:val="EF3E2A"/>
              </w:rPr>
              <w:t>P</w:t>
            </w:r>
            <w:r>
              <w:rPr>
                <w:rFonts w:ascii="Arial" w:cs="Arial" w:eastAsia="Arial" w:hAnsi="Arial"/>
                <w:sz w:val="18"/>
                <w:szCs w:val="18"/>
                <w:b w:val="1"/>
                <w:bCs w:val="1"/>
                <w:color w:val="EF3E2A"/>
              </w:rPr>
              <w:t>ROPOSAL</w:t>
            </w:r>
            <w:r>
              <w:rPr>
                <w:rFonts w:ascii="Arial" w:cs="Arial" w:eastAsia="Arial" w:hAnsi="Arial"/>
                <w:sz w:val="24"/>
                <w:szCs w:val="24"/>
                <w:b w:val="1"/>
                <w:bCs w:val="1"/>
                <w:color w:val="EF3E2A"/>
              </w:rPr>
              <w:t xml:space="preserve"> 1: E</w:t>
            </w:r>
            <w:r>
              <w:rPr>
                <w:rFonts w:ascii="Arial" w:cs="Arial" w:eastAsia="Arial" w:hAnsi="Arial"/>
                <w:sz w:val="18"/>
                <w:szCs w:val="18"/>
                <w:b w:val="1"/>
                <w:bCs w:val="1"/>
                <w:color w:val="EF3E2A"/>
              </w:rPr>
              <w:t>LECTION OF</w:t>
            </w:r>
            <w:r>
              <w:rPr>
                <w:rFonts w:ascii="Arial" w:cs="Arial" w:eastAsia="Arial" w:hAnsi="Arial"/>
                <w:sz w:val="24"/>
                <w:szCs w:val="24"/>
                <w:b w:val="1"/>
                <w:bCs w:val="1"/>
                <w:color w:val="EF3E2A"/>
              </w:rPr>
              <w:t xml:space="preserve"> T</w:t>
            </w:r>
            <w:r>
              <w:rPr>
                <w:rFonts w:ascii="Arial" w:cs="Arial" w:eastAsia="Arial" w:hAnsi="Arial"/>
                <w:sz w:val="18"/>
                <w:szCs w:val="18"/>
                <w:b w:val="1"/>
                <w:bCs w:val="1"/>
                <w:color w:val="EF3E2A"/>
              </w:rPr>
              <w:t>RUSTEES</w:t>
            </w:r>
          </w:p>
        </w:tc>
        <w:tc>
          <w:tcPr>
            <w:tcW w:w="500" w:type="dxa"/>
            <w:vAlign w:val="bottom"/>
            <w:tcBorders>
              <w:bottom w:val="single" w:sz="8" w:color="231F20"/>
            </w:tcBorders>
            <w:gridSpan w:val="2"/>
          </w:tcPr>
          <w:p>
            <w:pPr>
              <w:jc w:val="right"/>
              <w:spacing w:after="0"/>
              <w:rPr>
                <w:sz w:val="20"/>
                <w:szCs w:val="20"/>
                <w:color w:val="auto"/>
              </w:rPr>
            </w:pPr>
            <w:r>
              <w:rPr>
                <w:rFonts w:ascii="Arial" w:cs="Arial" w:eastAsia="Arial" w:hAnsi="Arial"/>
                <w:sz w:val="24"/>
                <w:szCs w:val="24"/>
                <w:b w:val="1"/>
                <w:bCs w:val="1"/>
                <w:color w:val="EF3E2A"/>
              </w:rPr>
              <w:t>11</w:t>
            </w:r>
          </w:p>
        </w:tc>
      </w:tr>
      <w:tr>
        <w:trPr>
          <w:trHeight w:val="232"/>
        </w:trPr>
        <w:tc>
          <w:tcPr>
            <w:tcW w:w="4280" w:type="dxa"/>
            <w:vAlign w:val="bottom"/>
          </w:tcPr>
          <w:p>
            <w:pPr>
              <w:ind w:left="360"/>
              <w:spacing w:after="0"/>
              <w:rPr>
                <w:sz w:val="20"/>
                <w:szCs w:val="20"/>
                <w:color w:val="auto"/>
              </w:rPr>
            </w:pPr>
            <w:r>
              <w:rPr>
                <w:rFonts w:ascii="Arial" w:cs="Arial" w:eastAsia="Arial" w:hAnsi="Arial"/>
                <w:sz w:val="16"/>
                <w:szCs w:val="16"/>
                <w:color w:val="231F20"/>
              </w:rPr>
              <w:t>Vote Required and Majority Voting Standard</w:t>
            </w:r>
          </w:p>
        </w:tc>
        <w:tc>
          <w:tcPr>
            <w:tcW w:w="500" w:type="dxa"/>
            <w:vAlign w:val="bottom"/>
            <w:gridSpan w:val="2"/>
          </w:tcPr>
          <w:p>
            <w:pPr>
              <w:jc w:val="right"/>
              <w:spacing w:after="0"/>
              <w:rPr>
                <w:sz w:val="20"/>
                <w:szCs w:val="20"/>
                <w:color w:val="auto"/>
              </w:rPr>
            </w:pPr>
            <w:r>
              <w:rPr>
                <w:rFonts w:ascii="Arial" w:cs="Arial" w:eastAsia="Arial" w:hAnsi="Arial"/>
                <w:sz w:val="16"/>
                <w:szCs w:val="16"/>
                <w:color w:val="231F20"/>
              </w:rPr>
              <w:t>11</w:t>
            </w:r>
          </w:p>
        </w:tc>
      </w:tr>
      <w:tr>
        <w:trPr>
          <w:trHeight w:val="240"/>
        </w:trPr>
        <w:tc>
          <w:tcPr>
            <w:tcW w:w="4280" w:type="dxa"/>
            <w:vAlign w:val="bottom"/>
          </w:tcPr>
          <w:p>
            <w:pPr>
              <w:ind w:left="360"/>
              <w:spacing w:after="0"/>
              <w:rPr>
                <w:sz w:val="20"/>
                <w:szCs w:val="20"/>
                <w:color w:val="auto"/>
              </w:rPr>
            </w:pPr>
            <w:r>
              <w:rPr>
                <w:rFonts w:ascii="Arial" w:cs="Arial" w:eastAsia="Arial" w:hAnsi="Arial"/>
                <w:sz w:val="16"/>
                <w:szCs w:val="16"/>
                <w:color w:val="231F20"/>
              </w:rPr>
              <w:t>Nominee Characteristics and Selection</w:t>
            </w:r>
          </w:p>
        </w:tc>
        <w:tc>
          <w:tcPr>
            <w:tcW w:w="500" w:type="dxa"/>
            <w:vAlign w:val="bottom"/>
            <w:gridSpan w:val="2"/>
          </w:tcPr>
          <w:p>
            <w:pPr>
              <w:jc w:val="right"/>
              <w:spacing w:after="0"/>
              <w:rPr>
                <w:sz w:val="20"/>
                <w:szCs w:val="20"/>
                <w:color w:val="auto"/>
              </w:rPr>
            </w:pPr>
            <w:r>
              <w:rPr>
                <w:rFonts w:ascii="Arial" w:cs="Arial" w:eastAsia="Arial" w:hAnsi="Arial"/>
                <w:sz w:val="16"/>
                <w:szCs w:val="16"/>
                <w:color w:val="231F20"/>
              </w:rPr>
              <w:t>11</w:t>
            </w:r>
          </w:p>
        </w:tc>
      </w:tr>
      <w:tr>
        <w:trPr>
          <w:trHeight w:val="240"/>
        </w:trPr>
        <w:tc>
          <w:tcPr>
            <w:tcW w:w="4280" w:type="dxa"/>
            <w:vAlign w:val="bottom"/>
          </w:tcPr>
          <w:p>
            <w:pPr>
              <w:ind w:left="360"/>
              <w:spacing w:after="0"/>
              <w:rPr>
                <w:sz w:val="20"/>
                <w:szCs w:val="20"/>
                <w:color w:val="auto"/>
              </w:rPr>
            </w:pPr>
            <w:r>
              <w:rPr>
                <w:rFonts w:ascii="Arial" w:cs="Arial" w:eastAsia="Arial" w:hAnsi="Arial"/>
                <w:sz w:val="16"/>
                <w:szCs w:val="16"/>
                <w:color w:val="231F20"/>
              </w:rPr>
              <w:t>Nominee Diversity and Tenure</w:t>
            </w:r>
          </w:p>
        </w:tc>
        <w:tc>
          <w:tcPr>
            <w:tcW w:w="500" w:type="dxa"/>
            <w:vAlign w:val="bottom"/>
            <w:gridSpan w:val="2"/>
          </w:tcPr>
          <w:p>
            <w:pPr>
              <w:jc w:val="right"/>
              <w:spacing w:after="0"/>
              <w:rPr>
                <w:sz w:val="20"/>
                <w:szCs w:val="20"/>
                <w:color w:val="auto"/>
              </w:rPr>
            </w:pPr>
            <w:r>
              <w:rPr>
                <w:rFonts w:ascii="Arial" w:cs="Arial" w:eastAsia="Arial" w:hAnsi="Arial"/>
                <w:sz w:val="16"/>
                <w:szCs w:val="16"/>
                <w:color w:val="231F20"/>
              </w:rPr>
              <w:t>13</w:t>
            </w:r>
          </w:p>
        </w:tc>
      </w:tr>
      <w:tr>
        <w:trPr>
          <w:trHeight w:val="240"/>
        </w:trPr>
        <w:tc>
          <w:tcPr>
            <w:tcW w:w="4280" w:type="dxa"/>
            <w:vAlign w:val="bottom"/>
          </w:tcPr>
          <w:p>
            <w:pPr>
              <w:ind w:left="360"/>
              <w:spacing w:after="0"/>
              <w:rPr>
                <w:sz w:val="20"/>
                <w:szCs w:val="20"/>
                <w:color w:val="auto"/>
              </w:rPr>
            </w:pPr>
            <w:r>
              <w:rPr>
                <w:rFonts w:ascii="Arial" w:cs="Arial" w:eastAsia="Arial" w:hAnsi="Arial"/>
                <w:sz w:val="16"/>
                <w:szCs w:val="16"/>
                <w:color w:val="231F20"/>
              </w:rPr>
              <w:t>Our Nominees</w:t>
            </w:r>
          </w:p>
        </w:tc>
        <w:tc>
          <w:tcPr>
            <w:tcW w:w="500" w:type="dxa"/>
            <w:vAlign w:val="bottom"/>
            <w:gridSpan w:val="2"/>
          </w:tcPr>
          <w:p>
            <w:pPr>
              <w:jc w:val="right"/>
              <w:spacing w:after="0"/>
              <w:rPr>
                <w:sz w:val="20"/>
                <w:szCs w:val="20"/>
                <w:color w:val="auto"/>
              </w:rPr>
            </w:pPr>
            <w:r>
              <w:rPr>
                <w:rFonts w:ascii="Arial" w:cs="Arial" w:eastAsia="Arial" w:hAnsi="Arial"/>
                <w:sz w:val="16"/>
                <w:szCs w:val="16"/>
                <w:color w:val="231F20"/>
              </w:rPr>
              <w:t>13</w:t>
            </w:r>
          </w:p>
        </w:tc>
      </w:tr>
      <w:tr>
        <w:trPr>
          <w:trHeight w:val="240"/>
        </w:trPr>
        <w:tc>
          <w:tcPr>
            <w:tcW w:w="4280" w:type="dxa"/>
            <w:vAlign w:val="bottom"/>
          </w:tcPr>
          <w:p>
            <w:pPr>
              <w:ind w:left="360"/>
              <w:spacing w:after="0"/>
              <w:rPr>
                <w:sz w:val="20"/>
                <w:szCs w:val="20"/>
                <w:color w:val="auto"/>
              </w:rPr>
            </w:pPr>
            <w:r>
              <w:rPr>
                <w:rFonts w:ascii="Arial" w:cs="Arial" w:eastAsia="Arial" w:hAnsi="Arial"/>
                <w:sz w:val="16"/>
                <w:szCs w:val="16"/>
                <w:color w:val="231F20"/>
              </w:rPr>
              <w:t>Trustee Compensation</w:t>
            </w:r>
          </w:p>
        </w:tc>
        <w:tc>
          <w:tcPr>
            <w:tcW w:w="500" w:type="dxa"/>
            <w:vAlign w:val="bottom"/>
            <w:gridSpan w:val="2"/>
          </w:tcPr>
          <w:p>
            <w:pPr>
              <w:jc w:val="right"/>
              <w:spacing w:after="0"/>
              <w:rPr>
                <w:sz w:val="20"/>
                <w:szCs w:val="20"/>
                <w:color w:val="auto"/>
              </w:rPr>
            </w:pPr>
            <w:r>
              <w:rPr>
                <w:rFonts w:ascii="Arial" w:cs="Arial" w:eastAsia="Arial" w:hAnsi="Arial"/>
                <w:sz w:val="16"/>
                <w:szCs w:val="16"/>
                <w:color w:val="231F20"/>
              </w:rPr>
              <w:t>18</w:t>
            </w:r>
          </w:p>
        </w:tc>
      </w:tr>
      <w:tr>
        <w:trPr>
          <w:trHeight w:val="383"/>
        </w:trPr>
        <w:tc>
          <w:tcPr>
            <w:tcW w:w="4280" w:type="dxa"/>
            <w:vAlign w:val="bottom"/>
          </w:tcPr>
          <w:p>
            <w:pPr>
              <w:ind w:left="80"/>
              <w:spacing w:after="0"/>
              <w:rPr>
                <w:sz w:val="20"/>
                <w:szCs w:val="20"/>
                <w:color w:val="auto"/>
              </w:rPr>
            </w:pPr>
            <w:r>
              <w:rPr>
                <w:rFonts w:ascii="Arial" w:cs="Arial" w:eastAsia="Arial" w:hAnsi="Arial"/>
                <w:sz w:val="24"/>
                <w:szCs w:val="24"/>
                <w:b w:val="1"/>
                <w:bCs w:val="1"/>
                <w:color w:val="EF3E2A"/>
              </w:rPr>
              <w:t>P</w:t>
            </w:r>
            <w:r>
              <w:rPr>
                <w:rFonts w:ascii="Arial" w:cs="Arial" w:eastAsia="Arial" w:hAnsi="Arial"/>
                <w:sz w:val="18"/>
                <w:szCs w:val="18"/>
                <w:b w:val="1"/>
                <w:bCs w:val="1"/>
                <w:color w:val="EF3E2A"/>
              </w:rPr>
              <w:t>ROPOSAL</w:t>
            </w:r>
            <w:r>
              <w:rPr>
                <w:rFonts w:ascii="Arial" w:cs="Arial" w:eastAsia="Arial" w:hAnsi="Arial"/>
                <w:sz w:val="24"/>
                <w:szCs w:val="24"/>
                <w:b w:val="1"/>
                <w:bCs w:val="1"/>
                <w:color w:val="EF3E2A"/>
              </w:rPr>
              <w:t xml:space="preserve"> 2: A</w:t>
            </w:r>
            <w:r>
              <w:rPr>
                <w:rFonts w:ascii="Arial" w:cs="Arial" w:eastAsia="Arial" w:hAnsi="Arial"/>
                <w:sz w:val="18"/>
                <w:szCs w:val="18"/>
                <w:b w:val="1"/>
                <w:bCs w:val="1"/>
                <w:color w:val="EF3E2A"/>
              </w:rPr>
              <w:t>PPROVING OUR</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85"/>
        </w:trPr>
        <w:tc>
          <w:tcPr>
            <w:tcW w:w="4280" w:type="dxa"/>
            <w:vAlign w:val="bottom"/>
          </w:tcPr>
          <w:p>
            <w:pPr>
              <w:ind w:left="80"/>
              <w:spacing w:after="0" w:line="265" w:lineRule="exact"/>
              <w:rPr>
                <w:sz w:val="20"/>
                <w:szCs w:val="20"/>
                <w:color w:val="auto"/>
              </w:rPr>
            </w:pPr>
            <w:r>
              <w:rPr>
                <w:rFonts w:ascii="Arial" w:cs="Arial" w:eastAsia="Arial" w:hAnsi="Arial"/>
                <w:sz w:val="24"/>
                <w:szCs w:val="24"/>
                <w:b w:val="1"/>
                <w:bCs w:val="1"/>
                <w:color w:val="EF3E2A"/>
              </w:rPr>
              <w:t>E</w:t>
            </w:r>
            <w:r>
              <w:rPr>
                <w:rFonts w:ascii="Arial" w:cs="Arial" w:eastAsia="Arial" w:hAnsi="Arial"/>
                <w:sz w:val="18"/>
                <w:szCs w:val="18"/>
                <w:b w:val="1"/>
                <w:bCs w:val="1"/>
                <w:color w:val="EF3E2A"/>
              </w:rPr>
              <w:t>XECUTIVE</w:t>
            </w:r>
            <w:r>
              <w:rPr>
                <w:rFonts w:ascii="Arial" w:cs="Arial" w:eastAsia="Arial" w:hAnsi="Arial"/>
                <w:sz w:val="24"/>
                <w:szCs w:val="24"/>
                <w:b w:val="1"/>
                <w:bCs w:val="1"/>
                <w:color w:val="EF3E2A"/>
              </w:rPr>
              <w:t xml:space="preserve"> C</w:t>
            </w:r>
            <w:r>
              <w:rPr>
                <w:rFonts w:ascii="Arial" w:cs="Arial" w:eastAsia="Arial" w:hAnsi="Arial"/>
                <w:sz w:val="18"/>
                <w:szCs w:val="18"/>
                <w:b w:val="1"/>
                <w:bCs w:val="1"/>
                <w:color w:val="EF3E2A"/>
              </w:rPr>
              <w:t>OMPENSATION</w:t>
            </w:r>
          </w:p>
        </w:tc>
        <w:tc>
          <w:tcPr>
            <w:tcW w:w="500" w:type="dxa"/>
            <w:vAlign w:val="bottom"/>
            <w:gridSpan w:val="2"/>
          </w:tcPr>
          <w:p>
            <w:pPr>
              <w:jc w:val="right"/>
              <w:spacing w:after="0" w:line="265" w:lineRule="exact"/>
              <w:rPr>
                <w:sz w:val="20"/>
                <w:szCs w:val="20"/>
                <w:color w:val="auto"/>
              </w:rPr>
            </w:pPr>
            <w:r>
              <w:rPr>
                <w:rFonts w:ascii="Arial" w:cs="Arial" w:eastAsia="Arial" w:hAnsi="Arial"/>
                <w:sz w:val="24"/>
                <w:szCs w:val="24"/>
                <w:b w:val="1"/>
                <w:bCs w:val="1"/>
                <w:color w:val="EF3E2A"/>
              </w:rPr>
              <w:t>19</w:t>
            </w:r>
          </w:p>
        </w:tc>
      </w:tr>
      <w:tr>
        <w:trPr>
          <w:trHeight w:val="415"/>
        </w:trPr>
        <w:tc>
          <w:tcPr>
            <w:tcW w:w="4280" w:type="dxa"/>
            <w:vAlign w:val="bottom"/>
            <w:tcBorders>
              <w:top w:val="single" w:sz="8" w:color="231F20"/>
            </w:tcBorders>
          </w:tcPr>
          <w:p>
            <w:pPr>
              <w:ind w:left="80"/>
              <w:spacing w:after="0"/>
              <w:rPr>
                <w:sz w:val="20"/>
                <w:szCs w:val="20"/>
                <w:color w:val="auto"/>
              </w:rPr>
            </w:pPr>
            <w:r>
              <w:rPr>
                <w:rFonts w:ascii="Arial" w:cs="Arial" w:eastAsia="Arial" w:hAnsi="Arial"/>
                <w:sz w:val="24"/>
                <w:szCs w:val="24"/>
                <w:b w:val="1"/>
                <w:bCs w:val="1"/>
                <w:color w:val="EF3E2A"/>
              </w:rPr>
              <w:t>C</w:t>
            </w:r>
            <w:r>
              <w:rPr>
                <w:rFonts w:ascii="Arial" w:cs="Arial" w:eastAsia="Arial" w:hAnsi="Arial"/>
                <w:sz w:val="18"/>
                <w:szCs w:val="18"/>
                <w:b w:val="1"/>
                <w:bCs w:val="1"/>
                <w:color w:val="EF3E2A"/>
              </w:rPr>
              <w:t>OMPENSATION</w:t>
            </w:r>
            <w:r>
              <w:rPr>
                <w:rFonts w:ascii="Arial" w:cs="Arial" w:eastAsia="Arial" w:hAnsi="Arial"/>
                <w:sz w:val="24"/>
                <w:szCs w:val="24"/>
                <w:b w:val="1"/>
                <w:bCs w:val="1"/>
                <w:color w:val="EF3E2A"/>
              </w:rPr>
              <w:t xml:space="preserve"> D</w:t>
            </w:r>
            <w:r>
              <w:rPr>
                <w:rFonts w:ascii="Arial" w:cs="Arial" w:eastAsia="Arial" w:hAnsi="Arial"/>
                <w:sz w:val="18"/>
                <w:szCs w:val="18"/>
                <w:b w:val="1"/>
                <w:bCs w:val="1"/>
                <w:color w:val="EF3E2A"/>
              </w:rPr>
              <w:t>ISCUSSION AND</w:t>
            </w:r>
          </w:p>
        </w:tc>
        <w:tc>
          <w:tcPr>
            <w:tcW w:w="480" w:type="dxa"/>
            <w:vAlign w:val="bottom"/>
            <w:tcBorders>
              <w:top w:val="single" w:sz="8" w:color="231F20"/>
            </w:tcBorders>
          </w:tcPr>
          <w:p>
            <w:pPr>
              <w:spacing w:after="0"/>
              <w:rPr>
                <w:sz w:val="24"/>
                <w:szCs w:val="24"/>
                <w:color w:val="auto"/>
              </w:rPr>
            </w:pPr>
          </w:p>
        </w:tc>
        <w:tc>
          <w:tcPr>
            <w:tcW w:w="20" w:type="dxa"/>
            <w:vAlign w:val="bottom"/>
          </w:tcPr>
          <w:p>
            <w:pPr>
              <w:spacing w:after="0"/>
              <w:rPr>
                <w:sz w:val="24"/>
                <w:szCs w:val="24"/>
                <w:color w:val="auto"/>
              </w:rPr>
            </w:pPr>
          </w:p>
        </w:tc>
      </w:tr>
      <w:tr>
        <w:trPr>
          <w:trHeight w:val="285"/>
        </w:trPr>
        <w:tc>
          <w:tcPr>
            <w:tcW w:w="4280" w:type="dxa"/>
            <w:vAlign w:val="bottom"/>
            <w:tcBorders>
              <w:bottom w:val="single" w:sz="8" w:color="231F20"/>
            </w:tcBorders>
          </w:tcPr>
          <w:p>
            <w:pPr>
              <w:ind w:left="80"/>
              <w:spacing w:after="0" w:line="265" w:lineRule="exact"/>
              <w:rPr>
                <w:sz w:val="20"/>
                <w:szCs w:val="20"/>
                <w:color w:val="auto"/>
              </w:rPr>
            </w:pPr>
            <w:r>
              <w:rPr>
                <w:rFonts w:ascii="Arial" w:cs="Arial" w:eastAsia="Arial" w:hAnsi="Arial"/>
                <w:sz w:val="24"/>
                <w:szCs w:val="24"/>
                <w:b w:val="1"/>
                <w:bCs w:val="1"/>
                <w:color w:val="EF3E2A"/>
              </w:rPr>
              <w:t>A</w:t>
            </w:r>
            <w:r>
              <w:rPr>
                <w:rFonts w:ascii="Arial" w:cs="Arial" w:eastAsia="Arial" w:hAnsi="Arial"/>
                <w:sz w:val="18"/>
                <w:szCs w:val="18"/>
                <w:b w:val="1"/>
                <w:bCs w:val="1"/>
                <w:color w:val="EF3E2A"/>
              </w:rPr>
              <w:t>NALYSIS</w:t>
            </w:r>
          </w:p>
        </w:tc>
        <w:tc>
          <w:tcPr>
            <w:tcW w:w="500" w:type="dxa"/>
            <w:vAlign w:val="bottom"/>
            <w:tcBorders>
              <w:bottom w:val="single" w:sz="8" w:color="231F20"/>
            </w:tcBorders>
            <w:gridSpan w:val="2"/>
          </w:tcPr>
          <w:p>
            <w:pPr>
              <w:jc w:val="right"/>
              <w:spacing w:after="0" w:line="265" w:lineRule="exact"/>
              <w:rPr>
                <w:sz w:val="20"/>
                <w:szCs w:val="20"/>
                <w:color w:val="auto"/>
              </w:rPr>
            </w:pPr>
            <w:r>
              <w:rPr>
                <w:rFonts w:ascii="Arial" w:cs="Arial" w:eastAsia="Arial" w:hAnsi="Arial"/>
                <w:sz w:val="24"/>
                <w:szCs w:val="24"/>
                <w:b w:val="1"/>
                <w:bCs w:val="1"/>
                <w:color w:val="EF3E2A"/>
              </w:rPr>
              <w:t>20</w:t>
            </w:r>
          </w:p>
        </w:tc>
      </w:tr>
      <w:tr>
        <w:trPr>
          <w:trHeight w:val="232"/>
        </w:trPr>
        <w:tc>
          <w:tcPr>
            <w:tcW w:w="4280" w:type="dxa"/>
            <w:vAlign w:val="bottom"/>
          </w:tcPr>
          <w:p>
            <w:pPr>
              <w:ind w:left="360"/>
              <w:spacing w:after="0"/>
              <w:rPr>
                <w:sz w:val="20"/>
                <w:szCs w:val="20"/>
                <w:color w:val="auto"/>
              </w:rPr>
            </w:pPr>
            <w:r>
              <w:rPr>
                <w:rFonts w:ascii="Arial" w:cs="Arial" w:eastAsia="Arial" w:hAnsi="Arial"/>
                <w:sz w:val="16"/>
                <w:szCs w:val="16"/>
                <w:color w:val="231F20"/>
              </w:rPr>
              <w:t>Introduction</w:t>
            </w:r>
          </w:p>
        </w:tc>
        <w:tc>
          <w:tcPr>
            <w:tcW w:w="500" w:type="dxa"/>
            <w:vAlign w:val="bottom"/>
            <w:gridSpan w:val="2"/>
          </w:tcPr>
          <w:p>
            <w:pPr>
              <w:jc w:val="right"/>
              <w:spacing w:after="0"/>
              <w:rPr>
                <w:sz w:val="20"/>
                <w:szCs w:val="20"/>
                <w:color w:val="auto"/>
              </w:rPr>
            </w:pPr>
            <w:r>
              <w:rPr>
                <w:rFonts w:ascii="Arial" w:cs="Arial" w:eastAsia="Arial" w:hAnsi="Arial"/>
                <w:sz w:val="16"/>
                <w:szCs w:val="16"/>
                <w:color w:val="231F20"/>
              </w:rPr>
              <w:t>21</w:t>
            </w:r>
          </w:p>
        </w:tc>
      </w:tr>
      <w:tr>
        <w:trPr>
          <w:trHeight w:val="240"/>
        </w:trPr>
        <w:tc>
          <w:tcPr>
            <w:tcW w:w="4280" w:type="dxa"/>
            <w:vAlign w:val="bottom"/>
          </w:tcPr>
          <w:p>
            <w:pPr>
              <w:ind w:left="740"/>
              <w:spacing w:after="0"/>
              <w:rPr>
                <w:sz w:val="20"/>
                <w:szCs w:val="20"/>
                <w:color w:val="auto"/>
              </w:rPr>
            </w:pPr>
            <w:r>
              <w:rPr>
                <w:rFonts w:ascii="Arial" w:cs="Arial" w:eastAsia="Arial" w:hAnsi="Arial"/>
                <w:sz w:val="16"/>
                <w:szCs w:val="16"/>
                <w:color w:val="231F20"/>
              </w:rPr>
              <w:t>2025 Business Highlights supporting</w:t>
            </w:r>
          </w:p>
        </w:tc>
        <w:tc>
          <w:tcPr>
            <w:tcW w:w="500" w:type="dxa"/>
            <w:vAlign w:val="bottom"/>
            <w:gridSpan w:val="2"/>
          </w:tcPr>
          <w:p>
            <w:pPr>
              <w:jc w:val="right"/>
              <w:spacing w:after="0"/>
              <w:rPr>
                <w:sz w:val="20"/>
                <w:szCs w:val="20"/>
                <w:color w:val="auto"/>
              </w:rPr>
            </w:pPr>
            <w:r>
              <w:rPr>
                <w:rFonts w:ascii="Arial" w:cs="Arial" w:eastAsia="Arial" w:hAnsi="Arial"/>
                <w:sz w:val="16"/>
                <w:szCs w:val="16"/>
                <w:color w:val="231F20"/>
              </w:rPr>
              <w:t>21</w:t>
            </w:r>
          </w:p>
        </w:tc>
      </w:tr>
      <w:tr>
        <w:trPr>
          <w:trHeight w:val="200"/>
        </w:trPr>
        <w:tc>
          <w:tcPr>
            <w:tcW w:w="4280" w:type="dxa"/>
            <w:vAlign w:val="bottom"/>
          </w:tcPr>
          <w:p>
            <w:pPr>
              <w:ind w:left="840"/>
              <w:spacing w:after="0"/>
              <w:rPr>
                <w:sz w:val="20"/>
                <w:szCs w:val="20"/>
                <w:color w:val="auto"/>
              </w:rPr>
            </w:pPr>
            <w:r>
              <w:rPr>
                <w:rFonts w:ascii="Arial" w:cs="Arial" w:eastAsia="Arial" w:hAnsi="Arial"/>
                <w:sz w:val="16"/>
                <w:szCs w:val="16"/>
                <w:color w:val="231F20"/>
              </w:rPr>
              <w:t>Compensation Decisions</w:t>
            </w: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40"/>
        </w:trPr>
        <w:tc>
          <w:tcPr>
            <w:tcW w:w="4280" w:type="dxa"/>
            <w:vAlign w:val="bottom"/>
          </w:tcPr>
          <w:p>
            <w:pPr>
              <w:ind w:left="740"/>
              <w:spacing w:after="0"/>
              <w:rPr>
                <w:sz w:val="20"/>
                <w:szCs w:val="20"/>
                <w:color w:val="auto"/>
              </w:rPr>
            </w:pPr>
            <w:r>
              <w:rPr>
                <w:rFonts w:ascii="Arial" w:cs="Arial" w:eastAsia="Arial" w:hAnsi="Arial"/>
                <w:sz w:val="16"/>
                <w:szCs w:val="16"/>
                <w:color w:val="231F20"/>
              </w:rPr>
              <w:t>Program Philosophy and Objectives</w:t>
            </w:r>
          </w:p>
        </w:tc>
        <w:tc>
          <w:tcPr>
            <w:tcW w:w="500" w:type="dxa"/>
            <w:vAlign w:val="bottom"/>
            <w:gridSpan w:val="2"/>
          </w:tcPr>
          <w:p>
            <w:pPr>
              <w:jc w:val="right"/>
              <w:spacing w:after="0"/>
              <w:rPr>
                <w:sz w:val="20"/>
                <w:szCs w:val="20"/>
                <w:color w:val="auto"/>
              </w:rPr>
            </w:pPr>
            <w:r>
              <w:rPr>
                <w:rFonts w:ascii="Arial" w:cs="Arial" w:eastAsia="Arial" w:hAnsi="Arial"/>
                <w:sz w:val="16"/>
                <w:szCs w:val="16"/>
                <w:color w:val="231F20"/>
              </w:rPr>
              <w:t>21</w:t>
            </w:r>
          </w:p>
        </w:tc>
      </w:tr>
      <w:tr>
        <w:trPr>
          <w:trHeight w:val="240"/>
        </w:trPr>
        <w:tc>
          <w:tcPr>
            <w:tcW w:w="4280" w:type="dxa"/>
            <w:vAlign w:val="bottom"/>
          </w:tcPr>
          <w:p>
            <w:pPr>
              <w:ind w:left="740"/>
              <w:spacing w:after="0"/>
              <w:rPr>
                <w:sz w:val="20"/>
                <w:szCs w:val="20"/>
                <w:color w:val="auto"/>
              </w:rPr>
            </w:pPr>
            <w:r>
              <w:rPr>
                <w:rFonts w:ascii="Arial" w:cs="Arial" w:eastAsia="Arial" w:hAnsi="Arial"/>
                <w:sz w:val="16"/>
                <w:szCs w:val="16"/>
                <w:color w:val="231F20"/>
              </w:rPr>
              <w:t>Executive Compensation Practices</w:t>
            </w:r>
          </w:p>
        </w:tc>
        <w:tc>
          <w:tcPr>
            <w:tcW w:w="500" w:type="dxa"/>
            <w:vAlign w:val="bottom"/>
            <w:gridSpan w:val="2"/>
          </w:tcPr>
          <w:p>
            <w:pPr>
              <w:jc w:val="right"/>
              <w:spacing w:after="0"/>
              <w:rPr>
                <w:sz w:val="20"/>
                <w:szCs w:val="20"/>
                <w:color w:val="auto"/>
              </w:rPr>
            </w:pPr>
            <w:r>
              <w:rPr>
                <w:rFonts w:ascii="Arial" w:cs="Arial" w:eastAsia="Arial" w:hAnsi="Arial"/>
                <w:sz w:val="16"/>
                <w:szCs w:val="16"/>
                <w:color w:val="231F20"/>
              </w:rPr>
              <w:t>22</w:t>
            </w:r>
          </w:p>
        </w:tc>
      </w:tr>
      <w:tr>
        <w:trPr>
          <w:trHeight w:val="240"/>
        </w:trPr>
        <w:tc>
          <w:tcPr>
            <w:tcW w:w="4280" w:type="dxa"/>
            <w:vAlign w:val="bottom"/>
          </w:tcPr>
          <w:p>
            <w:pPr>
              <w:ind w:left="740"/>
              <w:spacing w:after="0"/>
              <w:rPr>
                <w:sz w:val="20"/>
                <w:szCs w:val="20"/>
                <w:color w:val="auto"/>
              </w:rPr>
            </w:pPr>
            <w:r>
              <w:rPr>
                <w:rFonts w:ascii="Arial" w:cs="Arial" w:eastAsia="Arial" w:hAnsi="Arial"/>
                <w:sz w:val="16"/>
                <w:szCs w:val="16"/>
                <w:color w:val="231F20"/>
              </w:rPr>
              <w:t>Components of Compensation</w:t>
            </w:r>
          </w:p>
        </w:tc>
        <w:tc>
          <w:tcPr>
            <w:tcW w:w="500" w:type="dxa"/>
            <w:vAlign w:val="bottom"/>
            <w:gridSpan w:val="2"/>
          </w:tcPr>
          <w:p>
            <w:pPr>
              <w:jc w:val="right"/>
              <w:spacing w:after="0"/>
              <w:rPr>
                <w:sz w:val="20"/>
                <w:szCs w:val="20"/>
                <w:color w:val="auto"/>
              </w:rPr>
            </w:pPr>
            <w:r>
              <w:rPr>
                <w:rFonts w:ascii="Arial" w:cs="Arial" w:eastAsia="Arial" w:hAnsi="Arial"/>
                <w:sz w:val="16"/>
                <w:szCs w:val="16"/>
                <w:color w:val="231F20"/>
              </w:rPr>
              <w:t>22</w:t>
            </w:r>
          </w:p>
        </w:tc>
      </w:tr>
      <w:tr>
        <w:trPr>
          <w:trHeight w:val="240"/>
        </w:trPr>
        <w:tc>
          <w:tcPr>
            <w:tcW w:w="4280" w:type="dxa"/>
            <w:vAlign w:val="bottom"/>
          </w:tcPr>
          <w:p>
            <w:pPr>
              <w:ind w:left="360"/>
              <w:spacing w:after="0"/>
              <w:rPr>
                <w:sz w:val="20"/>
                <w:szCs w:val="20"/>
                <w:color w:val="auto"/>
              </w:rPr>
            </w:pPr>
            <w:r>
              <w:rPr>
                <w:rFonts w:ascii="Arial" w:cs="Arial" w:eastAsia="Arial" w:hAnsi="Arial"/>
                <w:sz w:val="16"/>
                <w:szCs w:val="16"/>
                <w:color w:val="231F20"/>
              </w:rPr>
              <w:t>Compensation Setting Process</w:t>
            </w:r>
          </w:p>
        </w:tc>
        <w:tc>
          <w:tcPr>
            <w:tcW w:w="500" w:type="dxa"/>
            <w:vAlign w:val="bottom"/>
            <w:gridSpan w:val="2"/>
          </w:tcPr>
          <w:p>
            <w:pPr>
              <w:jc w:val="right"/>
              <w:spacing w:after="0"/>
              <w:rPr>
                <w:sz w:val="20"/>
                <w:szCs w:val="20"/>
                <w:color w:val="auto"/>
              </w:rPr>
            </w:pPr>
            <w:r>
              <w:rPr>
                <w:rFonts w:ascii="Arial" w:cs="Arial" w:eastAsia="Arial" w:hAnsi="Arial"/>
                <w:sz w:val="16"/>
                <w:szCs w:val="16"/>
                <w:color w:val="231F20"/>
              </w:rPr>
              <w:t>23</w:t>
            </w:r>
          </w:p>
        </w:tc>
      </w:tr>
      <w:tr>
        <w:trPr>
          <w:trHeight w:val="240"/>
        </w:trPr>
        <w:tc>
          <w:tcPr>
            <w:tcW w:w="4280" w:type="dxa"/>
            <w:vAlign w:val="bottom"/>
          </w:tcPr>
          <w:p>
            <w:pPr>
              <w:ind w:left="740"/>
              <w:spacing w:after="0"/>
              <w:rPr>
                <w:sz w:val="20"/>
                <w:szCs w:val="20"/>
                <w:color w:val="auto"/>
              </w:rPr>
            </w:pPr>
            <w:r>
              <w:rPr>
                <w:rFonts w:ascii="Arial" w:cs="Arial" w:eastAsia="Arial" w:hAnsi="Arial"/>
                <w:sz w:val="16"/>
                <w:szCs w:val="16"/>
                <w:color w:val="231F20"/>
              </w:rPr>
              <w:t>Annual Compensation Decision Making</w:t>
            </w:r>
          </w:p>
        </w:tc>
        <w:tc>
          <w:tcPr>
            <w:tcW w:w="500" w:type="dxa"/>
            <w:vAlign w:val="bottom"/>
            <w:gridSpan w:val="2"/>
          </w:tcPr>
          <w:p>
            <w:pPr>
              <w:jc w:val="right"/>
              <w:spacing w:after="0"/>
              <w:rPr>
                <w:sz w:val="20"/>
                <w:szCs w:val="20"/>
                <w:color w:val="auto"/>
              </w:rPr>
            </w:pPr>
            <w:r>
              <w:rPr>
                <w:rFonts w:ascii="Arial" w:cs="Arial" w:eastAsia="Arial" w:hAnsi="Arial"/>
                <w:sz w:val="16"/>
                <w:szCs w:val="16"/>
                <w:color w:val="231F20"/>
              </w:rPr>
              <w:t>23</w:t>
            </w:r>
          </w:p>
        </w:tc>
      </w:tr>
      <w:tr>
        <w:trPr>
          <w:trHeight w:val="240"/>
        </w:trPr>
        <w:tc>
          <w:tcPr>
            <w:tcW w:w="4280" w:type="dxa"/>
            <w:vAlign w:val="bottom"/>
          </w:tcPr>
          <w:p>
            <w:pPr>
              <w:ind w:left="740"/>
              <w:spacing w:after="0"/>
              <w:rPr>
                <w:sz w:val="20"/>
                <w:szCs w:val="20"/>
                <w:color w:val="auto"/>
              </w:rPr>
            </w:pPr>
            <w:r>
              <w:rPr>
                <w:rFonts w:ascii="Arial" w:cs="Arial" w:eastAsia="Arial" w:hAnsi="Arial"/>
                <w:sz w:val="16"/>
                <w:szCs w:val="16"/>
                <w:color w:val="231F20"/>
              </w:rPr>
              <w:t>Role of the Compensation Committee</w:t>
            </w:r>
          </w:p>
        </w:tc>
        <w:tc>
          <w:tcPr>
            <w:tcW w:w="500" w:type="dxa"/>
            <w:vAlign w:val="bottom"/>
            <w:gridSpan w:val="2"/>
          </w:tcPr>
          <w:p>
            <w:pPr>
              <w:jc w:val="right"/>
              <w:spacing w:after="0"/>
              <w:rPr>
                <w:sz w:val="20"/>
                <w:szCs w:val="20"/>
                <w:color w:val="auto"/>
              </w:rPr>
            </w:pPr>
            <w:r>
              <w:rPr>
                <w:rFonts w:ascii="Arial" w:cs="Arial" w:eastAsia="Arial" w:hAnsi="Arial"/>
                <w:sz w:val="16"/>
                <w:szCs w:val="16"/>
                <w:color w:val="231F20"/>
              </w:rPr>
              <w:t>23</w:t>
            </w:r>
          </w:p>
        </w:tc>
      </w:tr>
      <w:tr>
        <w:trPr>
          <w:trHeight w:val="240"/>
        </w:trPr>
        <w:tc>
          <w:tcPr>
            <w:tcW w:w="4280" w:type="dxa"/>
            <w:vAlign w:val="bottom"/>
          </w:tcPr>
          <w:p>
            <w:pPr>
              <w:ind w:left="740"/>
              <w:spacing w:after="0"/>
              <w:rPr>
                <w:sz w:val="20"/>
                <w:szCs w:val="20"/>
                <w:color w:val="auto"/>
              </w:rPr>
            </w:pPr>
            <w:r>
              <w:rPr>
                <w:rFonts w:ascii="Arial" w:cs="Arial" w:eastAsia="Arial" w:hAnsi="Arial"/>
                <w:sz w:val="16"/>
                <w:szCs w:val="16"/>
                <w:color w:val="231F20"/>
              </w:rPr>
              <w:t>Role of Management</w:t>
            </w:r>
          </w:p>
        </w:tc>
        <w:tc>
          <w:tcPr>
            <w:tcW w:w="500" w:type="dxa"/>
            <w:vAlign w:val="bottom"/>
            <w:gridSpan w:val="2"/>
          </w:tcPr>
          <w:p>
            <w:pPr>
              <w:jc w:val="right"/>
              <w:spacing w:after="0"/>
              <w:rPr>
                <w:sz w:val="20"/>
                <w:szCs w:val="20"/>
                <w:color w:val="auto"/>
              </w:rPr>
            </w:pPr>
            <w:r>
              <w:rPr>
                <w:rFonts w:ascii="Arial" w:cs="Arial" w:eastAsia="Arial" w:hAnsi="Arial"/>
                <w:sz w:val="16"/>
                <w:szCs w:val="16"/>
                <w:color w:val="231F20"/>
              </w:rPr>
              <w:t>23</w:t>
            </w:r>
          </w:p>
        </w:tc>
      </w:tr>
      <w:tr>
        <w:trPr>
          <w:trHeight w:val="240"/>
        </w:trPr>
        <w:tc>
          <w:tcPr>
            <w:tcW w:w="4280" w:type="dxa"/>
            <w:vAlign w:val="bottom"/>
          </w:tcPr>
          <w:p>
            <w:pPr>
              <w:ind w:left="740"/>
              <w:spacing w:after="0"/>
              <w:rPr>
                <w:sz w:val="20"/>
                <w:szCs w:val="20"/>
                <w:color w:val="auto"/>
              </w:rPr>
            </w:pPr>
            <w:r>
              <w:rPr>
                <w:rFonts w:ascii="Arial" w:cs="Arial" w:eastAsia="Arial" w:hAnsi="Arial"/>
                <w:sz w:val="16"/>
                <w:szCs w:val="16"/>
                <w:color w:val="231F20"/>
              </w:rPr>
              <w:t>Role of Independent Compensation Consultant</w:t>
            </w:r>
          </w:p>
        </w:tc>
        <w:tc>
          <w:tcPr>
            <w:tcW w:w="500" w:type="dxa"/>
            <w:vAlign w:val="bottom"/>
            <w:gridSpan w:val="2"/>
          </w:tcPr>
          <w:p>
            <w:pPr>
              <w:jc w:val="right"/>
              <w:spacing w:after="0"/>
              <w:rPr>
                <w:sz w:val="20"/>
                <w:szCs w:val="20"/>
                <w:color w:val="auto"/>
              </w:rPr>
            </w:pPr>
            <w:r>
              <w:rPr>
                <w:rFonts w:ascii="Arial" w:cs="Arial" w:eastAsia="Arial" w:hAnsi="Arial"/>
                <w:sz w:val="16"/>
                <w:szCs w:val="16"/>
                <w:color w:val="231F20"/>
              </w:rPr>
              <w:t>23</w:t>
            </w:r>
          </w:p>
        </w:tc>
      </w:tr>
      <w:tr>
        <w:trPr>
          <w:trHeight w:val="240"/>
        </w:trPr>
        <w:tc>
          <w:tcPr>
            <w:tcW w:w="4280" w:type="dxa"/>
            <w:vAlign w:val="bottom"/>
          </w:tcPr>
          <w:p>
            <w:pPr>
              <w:ind w:left="360"/>
              <w:spacing w:after="0"/>
              <w:rPr>
                <w:sz w:val="20"/>
                <w:szCs w:val="20"/>
                <w:color w:val="auto"/>
              </w:rPr>
            </w:pPr>
            <w:r>
              <w:rPr>
                <w:rFonts w:ascii="Arial" w:cs="Arial" w:eastAsia="Arial" w:hAnsi="Arial"/>
                <w:sz w:val="16"/>
                <w:szCs w:val="16"/>
                <w:color w:val="231F20"/>
              </w:rPr>
              <w:t>2025 Compensation Decisions</w:t>
            </w:r>
          </w:p>
        </w:tc>
        <w:tc>
          <w:tcPr>
            <w:tcW w:w="500" w:type="dxa"/>
            <w:vAlign w:val="bottom"/>
            <w:gridSpan w:val="2"/>
          </w:tcPr>
          <w:p>
            <w:pPr>
              <w:jc w:val="right"/>
              <w:spacing w:after="0"/>
              <w:rPr>
                <w:sz w:val="20"/>
                <w:szCs w:val="20"/>
                <w:color w:val="auto"/>
              </w:rPr>
            </w:pPr>
            <w:r>
              <w:rPr>
                <w:rFonts w:ascii="Arial" w:cs="Arial" w:eastAsia="Arial" w:hAnsi="Arial"/>
                <w:sz w:val="16"/>
                <w:szCs w:val="16"/>
                <w:color w:val="231F20"/>
              </w:rPr>
              <w:t>23</w:t>
            </w:r>
          </w:p>
        </w:tc>
      </w:tr>
      <w:tr>
        <w:trPr>
          <w:trHeight w:val="240"/>
        </w:trPr>
        <w:tc>
          <w:tcPr>
            <w:tcW w:w="4280" w:type="dxa"/>
            <w:vAlign w:val="bottom"/>
          </w:tcPr>
          <w:p>
            <w:pPr>
              <w:ind w:left="740"/>
              <w:spacing w:after="0"/>
              <w:rPr>
                <w:sz w:val="20"/>
                <w:szCs w:val="20"/>
                <w:color w:val="auto"/>
              </w:rPr>
            </w:pPr>
            <w:r>
              <w:rPr>
                <w:rFonts w:ascii="Arial" w:cs="Arial" w:eastAsia="Arial" w:hAnsi="Arial"/>
                <w:sz w:val="16"/>
                <w:szCs w:val="16"/>
                <w:color w:val="231F20"/>
              </w:rPr>
              <w:t>Setting 2025 Target Compensation</w:t>
            </w:r>
          </w:p>
        </w:tc>
        <w:tc>
          <w:tcPr>
            <w:tcW w:w="500" w:type="dxa"/>
            <w:vAlign w:val="bottom"/>
            <w:gridSpan w:val="2"/>
          </w:tcPr>
          <w:p>
            <w:pPr>
              <w:jc w:val="right"/>
              <w:spacing w:after="0"/>
              <w:rPr>
                <w:sz w:val="20"/>
                <w:szCs w:val="20"/>
                <w:color w:val="auto"/>
              </w:rPr>
            </w:pPr>
            <w:r>
              <w:rPr>
                <w:rFonts w:ascii="Arial" w:cs="Arial" w:eastAsia="Arial" w:hAnsi="Arial"/>
                <w:sz w:val="16"/>
                <w:szCs w:val="16"/>
                <w:color w:val="231F20"/>
              </w:rPr>
              <w:t>23</w:t>
            </w:r>
          </w:p>
        </w:tc>
      </w:tr>
      <w:tr>
        <w:trPr>
          <w:trHeight w:val="240"/>
        </w:trPr>
        <w:tc>
          <w:tcPr>
            <w:tcW w:w="4280" w:type="dxa"/>
            <w:vAlign w:val="bottom"/>
          </w:tcPr>
          <w:p>
            <w:pPr>
              <w:ind w:left="740"/>
              <w:spacing w:after="0"/>
              <w:rPr>
                <w:sz w:val="20"/>
                <w:szCs w:val="20"/>
                <w:color w:val="auto"/>
              </w:rPr>
            </w:pPr>
            <w:r>
              <w:rPr>
                <w:rFonts w:ascii="Arial" w:cs="Arial" w:eastAsia="Arial" w:hAnsi="Arial"/>
                <w:sz w:val="16"/>
                <w:szCs w:val="16"/>
                <w:color w:val="231F20"/>
              </w:rPr>
              <w:t>Individual Elements of 2025 Pay</w:t>
            </w:r>
          </w:p>
        </w:tc>
        <w:tc>
          <w:tcPr>
            <w:tcW w:w="500" w:type="dxa"/>
            <w:vAlign w:val="bottom"/>
            <w:gridSpan w:val="2"/>
          </w:tcPr>
          <w:p>
            <w:pPr>
              <w:jc w:val="right"/>
              <w:spacing w:after="0"/>
              <w:rPr>
                <w:sz w:val="20"/>
                <w:szCs w:val="20"/>
                <w:color w:val="auto"/>
              </w:rPr>
            </w:pPr>
            <w:r>
              <w:rPr>
                <w:rFonts w:ascii="Arial" w:cs="Arial" w:eastAsia="Arial" w:hAnsi="Arial"/>
                <w:sz w:val="16"/>
                <w:szCs w:val="16"/>
                <w:color w:val="231F20"/>
              </w:rPr>
              <w:t>24</w:t>
            </w:r>
          </w:p>
        </w:tc>
      </w:tr>
      <w:tr>
        <w:trPr>
          <w:trHeight w:val="240"/>
        </w:trPr>
        <w:tc>
          <w:tcPr>
            <w:tcW w:w="4280" w:type="dxa"/>
            <w:vAlign w:val="bottom"/>
          </w:tcPr>
          <w:p>
            <w:pPr>
              <w:ind w:left="360"/>
              <w:spacing w:after="0"/>
              <w:rPr>
                <w:sz w:val="20"/>
                <w:szCs w:val="20"/>
                <w:color w:val="auto"/>
              </w:rPr>
            </w:pPr>
            <w:r>
              <w:rPr>
                <w:rFonts w:ascii="Arial" w:cs="Arial" w:eastAsia="Arial" w:hAnsi="Arial"/>
                <w:sz w:val="16"/>
                <w:szCs w:val="16"/>
                <w:color w:val="231F20"/>
              </w:rPr>
              <w:t>2025 NEO Performance Summary</w:t>
            </w:r>
          </w:p>
        </w:tc>
        <w:tc>
          <w:tcPr>
            <w:tcW w:w="500" w:type="dxa"/>
            <w:vAlign w:val="bottom"/>
            <w:gridSpan w:val="2"/>
          </w:tcPr>
          <w:p>
            <w:pPr>
              <w:jc w:val="right"/>
              <w:spacing w:after="0"/>
              <w:rPr>
                <w:sz w:val="20"/>
                <w:szCs w:val="20"/>
                <w:color w:val="auto"/>
              </w:rPr>
            </w:pPr>
            <w:r>
              <w:rPr>
                <w:rFonts w:ascii="Arial" w:cs="Arial" w:eastAsia="Arial" w:hAnsi="Arial"/>
                <w:sz w:val="16"/>
                <w:szCs w:val="16"/>
                <w:color w:val="231F20"/>
              </w:rPr>
              <w:t>27</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2" w:lineRule="exact"/>
        <w:rPr>
          <w:sz w:val="20"/>
          <w:szCs w:val="20"/>
          <w:color w:val="auto"/>
        </w:rPr>
      </w:pPr>
    </w:p>
    <w:p>
      <w:pPr>
        <w:spacing w:after="0" w:line="1" w:lineRule="exact"/>
        <w:rPr>
          <w:sz w:val="1"/>
          <w:szCs w:val="1"/>
          <w:color w:val="auto"/>
        </w:rPr>
      </w:pPr>
    </w:p>
    <w:tbl>
      <w:tblPr>
        <w:tblLayout w:type="fixed"/>
        <w:tblInd w:w="360" w:type="dxa"/>
        <w:tblCellMar>
          <w:top w:w="0" w:type="dxa"/>
          <w:left w:w="0" w:type="dxa"/>
          <w:bottom w:w="0" w:type="dxa"/>
          <w:right w:w="0" w:type="dxa"/>
        </w:tblCellMar>
      </w:tblPr>
      <w:tr>
        <w:trPr>
          <w:trHeight w:val="184"/>
        </w:trPr>
        <w:tc>
          <w:tcPr>
            <w:tcW w:w="3920" w:type="dxa"/>
            <w:vAlign w:val="bottom"/>
          </w:tcPr>
          <w:p>
            <w:pPr>
              <w:spacing w:after="0"/>
              <w:rPr>
                <w:sz w:val="20"/>
                <w:szCs w:val="20"/>
                <w:color w:val="auto"/>
              </w:rPr>
            </w:pPr>
            <w:r>
              <w:rPr>
                <w:rFonts w:ascii="Arial" w:cs="Arial" w:eastAsia="Arial" w:hAnsi="Arial"/>
                <w:sz w:val="16"/>
                <w:szCs w:val="16"/>
                <w:color w:val="231F20"/>
              </w:rPr>
              <w:t>Other Compensation Practices and Policies</w:t>
            </w:r>
          </w:p>
        </w:tc>
        <w:tc>
          <w:tcPr>
            <w:tcW w:w="500" w:type="dxa"/>
            <w:vAlign w:val="bottom"/>
          </w:tcPr>
          <w:p>
            <w:pPr>
              <w:jc w:val="right"/>
              <w:spacing w:after="0"/>
              <w:rPr>
                <w:sz w:val="20"/>
                <w:szCs w:val="20"/>
                <w:color w:val="auto"/>
              </w:rPr>
            </w:pPr>
            <w:r>
              <w:rPr>
                <w:rFonts w:ascii="Arial" w:cs="Arial" w:eastAsia="Arial" w:hAnsi="Arial"/>
                <w:sz w:val="16"/>
                <w:szCs w:val="16"/>
                <w:color w:val="231F20"/>
              </w:rPr>
              <w:t>28</w:t>
            </w:r>
          </w:p>
        </w:tc>
      </w:tr>
      <w:tr>
        <w:trPr>
          <w:trHeight w:val="240"/>
        </w:trPr>
        <w:tc>
          <w:tcPr>
            <w:tcW w:w="3920" w:type="dxa"/>
            <w:vAlign w:val="bottom"/>
          </w:tcPr>
          <w:p>
            <w:pPr>
              <w:ind w:left="380"/>
              <w:spacing w:after="0"/>
              <w:rPr>
                <w:sz w:val="20"/>
                <w:szCs w:val="20"/>
                <w:color w:val="auto"/>
              </w:rPr>
            </w:pPr>
            <w:r>
              <w:rPr>
                <w:rFonts w:ascii="Arial" w:cs="Arial" w:eastAsia="Arial" w:hAnsi="Arial"/>
                <w:sz w:val="16"/>
                <w:szCs w:val="16"/>
                <w:color w:val="231F20"/>
              </w:rPr>
              <w:t>Consideration of Say on Pay Vote</w:t>
            </w:r>
          </w:p>
        </w:tc>
        <w:tc>
          <w:tcPr>
            <w:tcW w:w="500" w:type="dxa"/>
            <w:vAlign w:val="bottom"/>
          </w:tcPr>
          <w:p>
            <w:pPr>
              <w:jc w:val="right"/>
              <w:spacing w:after="0"/>
              <w:rPr>
                <w:sz w:val="20"/>
                <w:szCs w:val="20"/>
                <w:color w:val="auto"/>
              </w:rPr>
            </w:pPr>
            <w:r>
              <w:rPr>
                <w:rFonts w:ascii="Arial" w:cs="Arial" w:eastAsia="Arial" w:hAnsi="Arial"/>
                <w:sz w:val="16"/>
                <w:szCs w:val="16"/>
                <w:color w:val="231F20"/>
              </w:rPr>
              <w:t>28</w:t>
            </w:r>
          </w:p>
        </w:tc>
      </w:tr>
      <w:tr>
        <w:trPr>
          <w:trHeight w:val="240"/>
        </w:trPr>
        <w:tc>
          <w:tcPr>
            <w:tcW w:w="3920" w:type="dxa"/>
            <w:vAlign w:val="bottom"/>
          </w:tcPr>
          <w:p>
            <w:pPr>
              <w:ind w:left="380"/>
              <w:spacing w:after="0"/>
              <w:rPr>
                <w:sz w:val="20"/>
                <w:szCs w:val="20"/>
                <w:color w:val="auto"/>
              </w:rPr>
            </w:pPr>
            <w:r>
              <w:rPr>
                <w:rFonts w:ascii="Arial" w:cs="Arial" w:eastAsia="Arial" w:hAnsi="Arial"/>
                <w:sz w:val="16"/>
                <w:szCs w:val="16"/>
                <w:color w:val="231F20"/>
              </w:rPr>
              <w:t>No Hedging or Pledging of our Shares</w:t>
            </w:r>
          </w:p>
        </w:tc>
        <w:tc>
          <w:tcPr>
            <w:tcW w:w="500" w:type="dxa"/>
            <w:vAlign w:val="bottom"/>
          </w:tcPr>
          <w:p>
            <w:pPr>
              <w:jc w:val="right"/>
              <w:spacing w:after="0"/>
              <w:rPr>
                <w:sz w:val="20"/>
                <w:szCs w:val="20"/>
                <w:color w:val="auto"/>
              </w:rPr>
            </w:pPr>
            <w:r>
              <w:rPr>
                <w:rFonts w:ascii="Arial" w:cs="Arial" w:eastAsia="Arial" w:hAnsi="Arial"/>
                <w:sz w:val="16"/>
                <w:szCs w:val="16"/>
                <w:color w:val="231F20"/>
              </w:rPr>
              <w:t>28</w:t>
            </w:r>
          </w:p>
        </w:tc>
      </w:tr>
      <w:tr>
        <w:trPr>
          <w:trHeight w:val="240"/>
        </w:trPr>
        <w:tc>
          <w:tcPr>
            <w:tcW w:w="3920" w:type="dxa"/>
            <w:vAlign w:val="bottom"/>
          </w:tcPr>
          <w:p>
            <w:pPr>
              <w:ind w:left="380"/>
              <w:spacing w:after="0"/>
              <w:rPr>
                <w:sz w:val="20"/>
                <w:szCs w:val="20"/>
                <w:color w:val="auto"/>
              </w:rPr>
            </w:pPr>
            <w:r>
              <w:rPr>
                <w:rFonts w:ascii="Arial" w:cs="Arial" w:eastAsia="Arial" w:hAnsi="Arial"/>
                <w:sz w:val="16"/>
                <w:szCs w:val="16"/>
                <w:color w:val="231F20"/>
              </w:rPr>
              <w:t>Severance and Change-in-Control</w:t>
            </w:r>
          </w:p>
        </w:tc>
        <w:tc>
          <w:tcPr>
            <w:tcW w:w="500" w:type="dxa"/>
            <w:vAlign w:val="bottom"/>
          </w:tcPr>
          <w:p>
            <w:pPr>
              <w:jc w:val="right"/>
              <w:spacing w:after="0"/>
              <w:rPr>
                <w:sz w:val="20"/>
                <w:szCs w:val="20"/>
                <w:color w:val="auto"/>
              </w:rPr>
            </w:pPr>
            <w:r>
              <w:rPr>
                <w:rFonts w:ascii="Arial" w:cs="Arial" w:eastAsia="Arial" w:hAnsi="Arial"/>
                <w:sz w:val="16"/>
                <w:szCs w:val="16"/>
                <w:color w:val="231F20"/>
              </w:rPr>
              <w:t>28</w:t>
            </w:r>
          </w:p>
        </w:tc>
      </w:tr>
      <w:tr>
        <w:trPr>
          <w:trHeight w:val="200"/>
        </w:trPr>
        <w:tc>
          <w:tcPr>
            <w:tcW w:w="3920" w:type="dxa"/>
            <w:vAlign w:val="bottom"/>
          </w:tcPr>
          <w:p>
            <w:pPr>
              <w:ind w:left="480"/>
              <w:spacing w:after="0"/>
              <w:rPr>
                <w:sz w:val="20"/>
                <w:szCs w:val="20"/>
                <w:color w:val="auto"/>
              </w:rPr>
            </w:pPr>
            <w:r>
              <w:rPr>
                <w:rFonts w:ascii="Arial" w:cs="Arial" w:eastAsia="Arial" w:hAnsi="Arial"/>
                <w:sz w:val="16"/>
                <w:szCs w:val="16"/>
                <w:color w:val="231F20"/>
              </w:rPr>
              <w:t>Arrangements</w:t>
            </w:r>
          </w:p>
        </w:tc>
        <w:tc>
          <w:tcPr>
            <w:tcW w:w="500" w:type="dxa"/>
            <w:vAlign w:val="bottom"/>
          </w:tcPr>
          <w:p>
            <w:pPr>
              <w:spacing w:after="0"/>
              <w:rPr>
                <w:sz w:val="17"/>
                <w:szCs w:val="17"/>
                <w:color w:val="auto"/>
              </w:rPr>
            </w:pPr>
          </w:p>
        </w:tc>
      </w:tr>
      <w:tr>
        <w:trPr>
          <w:trHeight w:val="240"/>
        </w:trPr>
        <w:tc>
          <w:tcPr>
            <w:tcW w:w="3920" w:type="dxa"/>
            <w:vAlign w:val="bottom"/>
          </w:tcPr>
          <w:p>
            <w:pPr>
              <w:ind w:left="380"/>
              <w:spacing w:after="0"/>
              <w:rPr>
                <w:sz w:val="20"/>
                <w:szCs w:val="20"/>
                <w:color w:val="auto"/>
              </w:rPr>
            </w:pPr>
            <w:r>
              <w:rPr>
                <w:rFonts w:ascii="Arial" w:cs="Arial" w:eastAsia="Arial" w:hAnsi="Arial"/>
                <w:sz w:val="16"/>
                <w:szCs w:val="16"/>
                <w:color w:val="231F20"/>
              </w:rPr>
              <w:t>Clawback Policy</w:t>
            </w:r>
          </w:p>
        </w:tc>
        <w:tc>
          <w:tcPr>
            <w:tcW w:w="500" w:type="dxa"/>
            <w:vAlign w:val="bottom"/>
          </w:tcPr>
          <w:p>
            <w:pPr>
              <w:jc w:val="right"/>
              <w:spacing w:after="0"/>
              <w:rPr>
                <w:sz w:val="20"/>
                <w:szCs w:val="20"/>
                <w:color w:val="auto"/>
              </w:rPr>
            </w:pPr>
            <w:r>
              <w:rPr>
                <w:rFonts w:ascii="Arial" w:cs="Arial" w:eastAsia="Arial" w:hAnsi="Arial"/>
                <w:sz w:val="16"/>
                <w:szCs w:val="16"/>
                <w:color w:val="231F20"/>
              </w:rPr>
              <w:t>29</w:t>
            </w:r>
          </w:p>
        </w:tc>
      </w:tr>
      <w:tr>
        <w:trPr>
          <w:trHeight w:val="240"/>
        </w:trPr>
        <w:tc>
          <w:tcPr>
            <w:tcW w:w="3920" w:type="dxa"/>
            <w:vAlign w:val="bottom"/>
          </w:tcPr>
          <w:p>
            <w:pPr>
              <w:ind w:left="380"/>
              <w:spacing w:after="0"/>
              <w:rPr>
                <w:sz w:val="20"/>
                <w:szCs w:val="20"/>
                <w:color w:val="auto"/>
              </w:rPr>
            </w:pPr>
            <w:r>
              <w:rPr>
                <w:rFonts w:ascii="Arial" w:cs="Arial" w:eastAsia="Arial" w:hAnsi="Arial"/>
                <w:sz w:val="16"/>
                <w:szCs w:val="16"/>
                <w:color w:val="231F20"/>
              </w:rPr>
              <w:t>Share Ownership Guidelines</w:t>
            </w:r>
          </w:p>
        </w:tc>
        <w:tc>
          <w:tcPr>
            <w:tcW w:w="500" w:type="dxa"/>
            <w:vAlign w:val="bottom"/>
          </w:tcPr>
          <w:p>
            <w:pPr>
              <w:jc w:val="right"/>
              <w:spacing w:after="0"/>
              <w:rPr>
                <w:sz w:val="20"/>
                <w:szCs w:val="20"/>
                <w:color w:val="auto"/>
              </w:rPr>
            </w:pPr>
            <w:r>
              <w:rPr>
                <w:rFonts w:ascii="Arial" w:cs="Arial" w:eastAsia="Arial" w:hAnsi="Arial"/>
                <w:sz w:val="16"/>
                <w:szCs w:val="16"/>
                <w:color w:val="231F20"/>
              </w:rPr>
              <w:t>29</w:t>
            </w:r>
          </w:p>
        </w:tc>
      </w:tr>
      <w:tr>
        <w:trPr>
          <w:trHeight w:val="240"/>
        </w:trPr>
        <w:tc>
          <w:tcPr>
            <w:tcW w:w="3920" w:type="dxa"/>
            <w:vAlign w:val="bottom"/>
          </w:tcPr>
          <w:p>
            <w:pPr>
              <w:ind w:left="380"/>
              <w:spacing w:after="0"/>
              <w:rPr>
                <w:sz w:val="20"/>
                <w:szCs w:val="20"/>
                <w:color w:val="auto"/>
              </w:rPr>
            </w:pPr>
            <w:r>
              <w:rPr>
                <w:rFonts w:ascii="Arial" w:cs="Arial" w:eastAsia="Arial" w:hAnsi="Arial"/>
                <w:sz w:val="16"/>
                <w:szCs w:val="16"/>
                <w:color w:val="231F20"/>
              </w:rPr>
              <w:t>Risk Assessment of Compensation Programs</w:t>
            </w:r>
          </w:p>
        </w:tc>
        <w:tc>
          <w:tcPr>
            <w:tcW w:w="500" w:type="dxa"/>
            <w:vAlign w:val="bottom"/>
          </w:tcPr>
          <w:p>
            <w:pPr>
              <w:jc w:val="right"/>
              <w:spacing w:after="0"/>
              <w:rPr>
                <w:sz w:val="20"/>
                <w:szCs w:val="20"/>
                <w:color w:val="auto"/>
              </w:rPr>
            </w:pPr>
            <w:r>
              <w:rPr>
                <w:rFonts w:ascii="Arial" w:cs="Arial" w:eastAsia="Arial" w:hAnsi="Arial"/>
                <w:sz w:val="16"/>
                <w:szCs w:val="16"/>
                <w:color w:val="231F20"/>
              </w:rPr>
              <w:t>29</w:t>
            </w:r>
          </w:p>
        </w:tc>
      </w:tr>
      <w:tr>
        <w:trPr>
          <w:trHeight w:val="240"/>
        </w:trPr>
        <w:tc>
          <w:tcPr>
            <w:tcW w:w="3920" w:type="dxa"/>
            <w:vAlign w:val="bottom"/>
          </w:tcPr>
          <w:p>
            <w:pPr>
              <w:ind w:left="380"/>
              <w:spacing w:after="0"/>
              <w:rPr>
                <w:sz w:val="20"/>
                <w:szCs w:val="20"/>
                <w:color w:val="auto"/>
              </w:rPr>
            </w:pPr>
            <w:r>
              <w:rPr>
                <w:rFonts w:ascii="Arial" w:cs="Arial" w:eastAsia="Arial" w:hAnsi="Arial"/>
                <w:sz w:val="16"/>
                <w:szCs w:val="16"/>
                <w:color w:val="231F20"/>
              </w:rPr>
              <w:t>Equity Grant Practices</w:t>
            </w:r>
          </w:p>
        </w:tc>
        <w:tc>
          <w:tcPr>
            <w:tcW w:w="500" w:type="dxa"/>
            <w:vAlign w:val="bottom"/>
          </w:tcPr>
          <w:p>
            <w:pPr>
              <w:jc w:val="right"/>
              <w:spacing w:after="0"/>
              <w:rPr>
                <w:sz w:val="20"/>
                <w:szCs w:val="20"/>
                <w:color w:val="auto"/>
              </w:rPr>
            </w:pPr>
            <w:r>
              <w:rPr>
                <w:rFonts w:ascii="Arial" w:cs="Arial" w:eastAsia="Arial" w:hAnsi="Arial"/>
                <w:sz w:val="16"/>
                <w:szCs w:val="16"/>
                <w:color w:val="231F20"/>
              </w:rPr>
              <w:t>30</w:t>
            </w:r>
          </w:p>
        </w:tc>
      </w:tr>
      <w:tr>
        <w:trPr>
          <w:trHeight w:val="240"/>
        </w:trPr>
        <w:tc>
          <w:tcPr>
            <w:tcW w:w="3920" w:type="dxa"/>
            <w:vAlign w:val="bottom"/>
          </w:tcPr>
          <w:p>
            <w:pPr>
              <w:ind w:left="380"/>
              <w:spacing w:after="0"/>
              <w:rPr>
                <w:sz w:val="20"/>
                <w:szCs w:val="20"/>
                <w:color w:val="auto"/>
              </w:rPr>
            </w:pPr>
            <w:r>
              <w:rPr>
                <w:rFonts w:ascii="Arial" w:cs="Arial" w:eastAsia="Arial" w:hAnsi="Arial"/>
                <w:sz w:val="16"/>
                <w:szCs w:val="16"/>
                <w:color w:val="231F20"/>
              </w:rPr>
              <w:t>Insider Trading Policy</w:t>
            </w:r>
          </w:p>
        </w:tc>
        <w:tc>
          <w:tcPr>
            <w:tcW w:w="500" w:type="dxa"/>
            <w:vAlign w:val="bottom"/>
          </w:tcPr>
          <w:p>
            <w:pPr>
              <w:jc w:val="right"/>
              <w:spacing w:after="0"/>
              <w:rPr>
                <w:sz w:val="20"/>
                <w:szCs w:val="20"/>
                <w:color w:val="auto"/>
              </w:rPr>
            </w:pPr>
            <w:r>
              <w:rPr>
                <w:rFonts w:ascii="Arial" w:cs="Arial" w:eastAsia="Arial" w:hAnsi="Arial"/>
                <w:sz w:val="16"/>
                <w:szCs w:val="16"/>
                <w:color w:val="231F20"/>
              </w:rPr>
              <w:t>30</w:t>
            </w:r>
          </w:p>
        </w:tc>
      </w:tr>
      <w:tr>
        <w:trPr>
          <w:trHeight w:val="240"/>
        </w:trPr>
        <w:tc>
          <w:tcPr>
            <w:tcW w:w="3920" w:type="dxa"/>
            <w:vAlign w:val="bottom"/>
          </w:tcPr>
          <w:p>
            <w:pPr>
              <w:ind w:left="380"/>
              <w:spacing w:after="0"/>
              <w:rPr>
                <w:sz w:val="20"/>
                <w:szCs w:val="20"/>
                <w:color w:val="auto"/>
              </w:rPr>
            </w:pPr>
            <w:r>
              <w:rPr>
                <w:rFonts w:ascii="Arial" w:cs="Arial" w:eastAsia="Arial" w:hAnsi="Arial"/>
                <w:sz w:val="16"/>
                <w:szCs w:val="16"/>
                <w:color w:val="231F20"/>
              </w:rPr>
              <w:t>Tax Deductibility of Executive Compensation</w:t>
            </w:r>
          </w:p>
        </w:tc>
        <w:tc>
          <w:tcPr>
            <w:tcW w:w="500" w:type="dxa"/>
            <w:vAlign w:val="bottom"/>
          </w:tcPr>
          <w:p>
            <w:pPr>
              <w:jc w:val="right"/>
              <w:spacing w:after="0"/>
              <w:rPr>
                <w:sz w:val="20"/>
                <w:szCs w:val="20"/>
                <w:color w:val="auto"/>
              </w:rPr>
            </w:pPr>
            <w:r>
              <w:rPr>
                <w:rFonts w:ascii="Arial" w:cs="Arial" w:eastAsia="Arial" w:hAnsi="Arial"/>
                <w:sz w:val="16"/>
                <w:szCs w:val="16"/>
                <w:color w:val="231F20"/>
              </w:rPr>
              <w:t>30</w:t>
            </w:r>
          </w:p>
        </w:tc>
      </w:tr>
      <w:tr>
        <w:trPr>
          <w:trHeight w:val="240"/>
        </w:trPr>
        <w:tc>
          <w:tcPr>
            <w:tcW w:w="3920" w:type="dxa"/>
            <w:vAlign w:val="bottom"/>
          </w:tcPr>
          <w:p>
            <w:pPr>
              <w:ind w:left="380"/>
              <w:spacing w:after="0"/>
              <w:rPr>
                <w:sz w:val="20"/>
                <w:szCs w:val="20"/>
                <w:color w:val="auto"/>
              </w:rPr>
            </w:pPr>
            <w:r>
              <w:rPr>
                <w:rFonts w:ascii="Arial" w:cs="Arial" w:eastAsia="Arial" w:hAnsi="Arial"/>
                <w:sz w:val="16"/>
                <w:szCs w:val="16"/>
                <w:color w:val="231F20"/>
              </w:rPr>
              <w:t>Health and Welfare Benefits</w:t>
            </w:r>
          </w:p>
        </w:tc>
        <w:tc>
          <w:tcPr>
            <w:tcW w:w="500" w:type="dxa"/>
            <w:vAlign w:val="bottom"/>
          </w:tcPr>
          <w:p>
            <w:pPr>
              <w:jc w:val="right"/>
              <w:spacing w:after="0"/>
              <w:rPr>
                <w:sz w:val="20"/>
                <w:szCs w:val="20"/>
                <w:color w:val="auto"/>
              </w:rPr>
            </w:pPr>
            <w:r>
              <w:rPr>
                <w:rFonts w:ascii="Arial" w:cs="Arial" w:eastAsia="Arial" w:hAnsi="Arial"/>
                <w:sz w:val="16"/>
                <w:szCs w:val="16"/>
                <w:color w:val="231F20"/>
              </w:rPr>
              <w:t>30</w:t>
            </w:r>
          </w:p>
        </w:tc>
      </w:tr>
      <w:tr>
        <w:trPr>
          <w:trHeight w:val="240"/>
        </w:trPr>
        <w:tc>
          <w:tcPr>
            <w:tcW w:w="3920" w:type="dxa"/>
            <w:vAlign w:val="bottom"/>
          </w:tcPr>
          <w:p>
            <w:pPr>
              <w:spacing w:after="0"/>
              <w:rPr>
                <w:sz w:val="20"/>
                <w:szCs w:val="20"/>
                <w:color w:val="auto"/>
              </w:rPr>
            </w:pPr>
            <w:r>
              <w:rPr>
                <w:rFonts w:ascii="Arial" w:cs="Arial" w:eastAsia="Arial" w:hAnsi="Arial"/>
                <w:sz w:val="16"/>
                <w:szCs w:val="16"/>
                <w:color w:val="231F20"/>
              </w:rPr>
              <w:t>Compensation Committee Report</w:t>
            </w:r>
          </w:p>
        </w:tc>
        <w:tc>
          <w:tcPr>
            <w:tcW w:w="500" w:type="dxa"/>
            <w:vAlign w:val="bottom"/>
          </w:tcPr>
          <w:p>
            <w:pPr>
              <w:jc w:val="right"/>
              <w:spacing w:after="0"/>
              <w:rPr>
                <w:sz w:val="20"/>
                <w:szCs w:val="20"/>
                <w:color w:val="auto"/>
              </w:rPr>
            </w:pPr>
            <w:r>
              <w:rPr>
                <w:rFonts w:ascii="Arial" w:cs="Arial" w:eastAsia="Arial" w:hAnsi="Arial"/>
                <w:sz w:val="16"/>
                <w:szCs w:val="16"/>
                <w:color w:val="231F20"/>
              </w:rPr>
              <w:t>31</w:t>
            </w:r>
          </w:p>
        </w:tc>
      </w:tr>
    </w:tbl>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4240" w:type="dxa"/>
            <w:vAlign w:val="bottom"/>
          </w:tcPr>
          <w:p>
            <w:pPr>
              <w:ind w:left="80"/>
              <w:spacing w:after="0"/>
              <w:rPr>
                <w:sz w:val="20"/>
                <w:szCs w:val="20"/>
                <w:color w:val="auto"/>
              </w:rPr>
            </w:pPr>
            <w:r>
              <w:rPr>
                <w:rFonts w:ascii="Arial" w:cs="Arial" w:eastAsia="Arial" w:hAnsi="Arial"/>
                <w:sz w:val="24"/>
                <w:szCs w:val="24"/>
                <w:b w:val="1"/>
                <w:bCs w:val="1"/>
                <w:color w:val="EF3E2A"/>
              </w:rPr>
              <w:t>C</w:t>
            </w:r>
            <w:r>
              <w:rPr>
                <w:rFonts w:ascii="Arial" w:cs="Arial" w:eastAsia="Arial" w:hAnsi="Arial"/>
                <w:sz w:val="18"/>
                <w:szCs w:val="18"/>
                <w:b w:val="1"/>
                <w:bCs w:val="1"/>
                <w:color w:val="EF3E2A"/>
              </w:rPr>
              <w:t>OMPENSATION</w:t>
            </w:r>
            <w:r>
              <w:rPr>
                <w:rFonts w:ascii="Arial" w:cs="Arial" w:eastAsia="Arial" w:hAnsi="Arial"/>
                <w:sz w:val="24"/>
                <w:szCs w:val="24"/>
                <w:b w:val="1"/>
                <w:bCs w:val="1"/>
                <w:color w:val="EF3E2A"/>
              </w:rPr>
              <w:t xml:space="preserve"> T</w:t>
            </w:r>
            <w:r>
              <w:rPr>
                <w:rFonts w:ascii="Arial" w:cs="Arial" w:eastAsia="Arial" w:hAnsi="Arial"/>
                <w:sz w:val="18"/>
                <w:szCs w:val="18"/>
                <w:b w:val="1"/>
                <w:bCs w:val="1"/>
                <w:color w:val="EF3E2A"/>
              </w:rPr>
              <w:t>ABLES AND</w:t>
            </w:r>
          </w:p>
        </w:tc>
        <w:tc>
          <w:tcPr>
            <w:tcW w:w="52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90"/>
        </w:trPr>
        <w:tc>
          <w:tcPr>
            <w:tcW w:w="4240" w:type="dxa"/>
            <w:vAlign w:val="bottom"/>
            <w:tcBorders>
              <w:bottom w:val="single" w:sz="8" w:color="231F20"/>
            </w:tcBorders>
          </w:tcPr>
          <w:p>
            <w:pPr>
              <w:ind w:left="80"/>
              <w:spacing w:after="0" w:line="270" w:lineRule="exact"/>
              <w:rPr>
                <w:sz w:val="20"/>
                <w:szCs w:val="20"/>
                <w:color w:val="auto"/>
              </w:rPr>
            </w:pPr>
            <w:r>
              <w:rPr>
                <w:rFonts w:ascii="Arial" w:cs="Arial" w:eastAsia="Arial" w:hAnsi="Arial"/>
                <w:sz w:val="24"/>
                <w:szCs w:val="24"/>
                <w:b w:val="1"/>
                <w:bCs w:val="1"/>
                <w:color w:val="EF3E2A"/>
              </w:rPr>
              <w:t>N</w:t>
            </w:r>
            <w:r>
              <w:rPr>
                <w:rFonts w:ascii="Arial" w:cs="Arial" w:eastAsia="Arial" w:hAnsi="Arial"/>
                <w:sz w:val="18"/>
                <w:szCs w:val="18"/>
                <w:b w:val="1"/>
                <w:bCs w:val="1"/>
                <w:color w:val="EF3E2A"/>
              </w:rPr>
              <w:t>ARRATIVES</w:t>
            </w:r>
          </w:p>
        </w:tc>
        <w:tc>
          <w:tcPr>
            <w:tcW w:w="540" w:type="dxa"/>
            <w:vAlign w:val="bottom"/>
            <w:tcBorders>
              <w:bottom w:val="single" w:sz="8" w:color="231F20"/>
            </w:tcBorders>
            <w:gridSpan w:val="2"/>
          </w:tcPr>
          <w:p>
            <w:pPr>
              <w:jc w:val="right"/>
              <w:spacing w:after="0" w:line="270" w:lineRule="exact"/>
              <w:rPr>
                <w:sz w:val="20"/>
                <w:szCs w:val="20"/>
                <w:color w:val="auto"/>
              </w:rPr>
            </w:pPr>
            <w:r>
              <w:rPr>
                <w:rFonts w:ascii="Arial" w:cs="Arial" w:eastAsia="Arial" w:hAnsi="Arial"/>
                <w:sz w:val="24"/>
                <w:szCs w:val="24"/>
                <w:b w:val="1"/>
                <w:bCs w:val="1"/>
                <w:color w:val="EF3E2A"/>
              </w:rPr>
              <w:t>32</w:t>
            </w:r>
          </w:p>
        </w:tc>
      </w:tr>
      <w:tr>
        <w:trPr>
          <w:trHeight w:val="272"/>
        </w:trPr>
        <w:tc>
          <w:tcPr>
            <w:tcW w:w="4240" w:type="dxa"/>
            <w:vAlign w:val="bottom"/>
          </w:tcPr>
          <w:p>
            <w:pPr>
              <w:ind w:left="360"/>
              <w:spacing w:after="0"/>
              <w:rPr>
                <w:sz w:val="20"/>
                <w:szCs w:val="20"/>
                <w:color w:val="auto"/>
              </w:rPr>
            </w:pPr>
            <w:r>
              <w:rPr>
                <w:rFonts w:ascii="Arial" w:cs="Arial" w:eastAsia="Arial" w:hAnsi="Arial"/>
                <w:sz w:val="16"/>
                <w:szCs w:val="16"/>
                <w:color w:val="231F20"/>
              </w:rPr>
              <w:t>Summary Compensation Table</w:t>
            </w:r>
          </w:p>
        </w:tc>
        <w:tc>
          <w:tcPr>
            <w:tcW w:w="540" w:type="dxa"/>
            <w:vAlign w:val="bottom"/>
            <w:gridSpan w:val="2"/>
          </w:tcPr>
          <w:p>
            <w:pPr>
              <w:jc w:val="right"/>
              <w:spacing w:after="0"/>
              <w:rPr>
                <w:sz w:val="20"/>
                <w:szCs w:val="20"/>
                <w:color w:val="auto"/>
              </w:rPr>
            </w:pPr>
            <w:r>
              <w:rPr>
                <w:rFonts w:ascii="Arial" w:cs="Arial" w:eastAsia="Arial" w:hAnsi="Arial"/>
                <w:sz w:val="16"/>
                <w:szCs w:val="16"/>
                <w:color w:val="231F20"/>
              </w:rPr>
              <w:t>32</w:t>
            </w:r>
          </w:p>
        </w:tc>
      </w:tr>
      <w:tr>
        <w:trPr>
          <w:trHeight w:val="240"/>
        </w:trPr>
        <w:tc>
          <w:tcPr>
            <w:tcW w:w="4240" w:type="dxa"/>
            <w:vAlign w:val="bottom"/>
          </w:tcPr>
          <w:p>
            <w:pPr>
              <w:ind w:left="360"/>
              <w:spacing w:after="0"/>
              <w:rPr>
                <w:sz w:val="20"/>
                <w:szCs w:val="20"/>
                <w:color w:val="auto"/>
              </w:rPr>
            </w:pPr>
            <w:r>
              <w:rPr>
                <w:rFonts w:ascii="Arial" w:cs="Arial" w:eastAsia="Arial" w:hAnsi="Arial"/>
                <w:sz w:val="16"/>
                <w:szCs w:val="16"/>
                <w:color w:val="231F20"/>
              </w:rPr>
              <w:t>Grants of Plan Based Awards Table</w:t>
            </w:r>
          </w:p>
        </w:tc>
        <w:tc>
          <w:tcPr>
            <w:tcW w:w="540" w:type="dxa"/>
            <w:vAlign w:val="bottom"/>
            <w:gridSpan w:val="2"/>
          </w:tcPr>
          <w:p>
            <w:pPr>
              <w:jc w:val="right"/>
              <w:spacing w:after="0"/>
              <w:rPr>
                <w:sz w:val="20"/>
                <w:szCs w:val="20"/>
                <w:color w:val="auto"/>
              </w:rPr>
            </w:pPr>
            <w:r>
              <w:rPr>
                <w:rFonts w:ascii="Arial" w:cs="Arial" w:eastAsia="Arial" w:hAnsi="Arial"/>
                <w:sz w:val="16"/>
                <w:szCs w:val="16"/>
                <w:color w:val="231F20"/>
              </w:rPr>
              <w:t>32</w:t>
            </w:r>
          </w:p>
        </w:tc>
      </w:tr>
      <w:tr>
        <w:trPr>
          <w:trHeight w:val="240"/>
        </w:trPr>
        <w:tc>
          <w:tcPr>
            <w:tcW w:w="4240" w:type="dxa"/>
            <w:vAlign w:val="bottom"/>
          </w:tcPr>
          <w:p>
            <w:pPr>
              <w:ind w:left="360"/>
              <w:spacing w:after="0"/>
              <w:rPr>
                <w:sz w:val="20"/>
                <w:szCs w:val="20"/>
                <w:color w:val="auto"/>
              </w:rPr>
            </w:pPr>
            <w:r>
              <w:rPr>
                <w:rFonts w:ascii="Arial" w:cs="Arial" w:eastAsia="Arial" w:hAnsi="Arial"/>
                <w:sz w:val="16"/>
                <w:szCs w:val="16"/>
                <w:color w:val="231F20"/>
              </w:rPr>
              <w:t>Outstanding Equity Awards at Fiscal Year End Table</w:t>
            </w:r>
          </w:p>
        </w:tc>
        <w:tc>
          <w:tcPr>
            <w:tcW w:w="540" w:type="dxa"/>
            <w:vAlign w:val="bottom"/>
            <w:gridSpan w:val="2"/>
          </w:tcPr>
          <w:p>
            <w:pPr>
              <w:jc w:val="right"/>
              <w:spacing w:after="0"/>
              <w:rPr>
                <w:sz w:val="20"/>
                <w:szCs w:val="20"/>
                <w:color w:val="auto"/>
              </w:rPr>
            </w:pPr>
            <w:r>
              <w:rPr>
                <w:rFonts w:ascii="Arial" w:cs="Arial" w:eastAsia="Arial" w:hAnsi="Arial"/>
                <w:sz w:val="16"/>
                <w:szCs w:val="16"/>
                <w:color w:val="231F20"/>
              </w:rPr>
              <w:t>33</w:t>
            </w:r>
          </w:p>
        </w:tc>
      </w:tr>
      <w:tr>
        <w:trPr>
          <w:trHeight w:val="240"/>
        </w:trPr>
        <w:tc>
          <w:tcPr>
            <w:tcW w:w="4240" w:type="dxa"/>
            <w:vAlign w:val="bottom"/>
          </w:tcPr>
          <w:p>
            <w:pPr>
              <w:ind w:left="360"/>
              <w:spacing w:after="0"/>
              <w:rPr>
                <w:sz w:val="20"/>
                <w:szCs w:val="20"/>
                <w:color w:val="auto"/>
              </w:rPr>
            </w:pPr>
            <w:r>
              <w:rPr>
                <w:rFonts w:ascii="Arial" w:cs="Arial" w:eastAsia="Arial" w:hAnsi="Arial"/>
                <w:sz w:val="16"/>
                <w:szCs w:val="16"/>
                <w:color w:val="231F20"/>
              </w:rPr>
              <w:t>Options Exercised and Stock Vested in 2025</w:t>
            </w:r>
          </w:p>
        </w:tc>
        <w:tc>
          <w:tcPr>
            <w:tcW w:w="540" w:type="dxa"/>
            <w:vAlign w:val="bottom"/>
            <w:gridSpan w:val="2"/>
          </w:tcPr>
          <w:p>
            <w:pPr>
              <w:jc w:val="right"/>
              <w:spacing w:after="0"/>
              <w:rPr>
                <w:sz w:val="20"/>
                <w:szCs w:val="20"/>
                <w:color w:val="auto"/>
              </w:rPr>
            </w:pPr>
            <w:r>
              <w:rPr>
                <w:rFonts w:ascii="Arial" w:cs="Arial" w:eastAsia="Arial" w:hAnsi="Arial"/>
                <w:sz w:val="16"/>
                <w:szCs w:val="16"/>
                <w:color w:val="231F20"/>
              </w:rPr>
              <w:t>33</w:t>
            </w:r>
          </w:p>
        </w:tc>
      </w:tr>
      <w:tr>
        <w:trPr>
          <w:trHeight w:val="240"/>
        </w:trPr>
        <w:tc>
          <w:tcPr>
            <w:tcW w:w="4240" w:type="dxa"/>
            <w:vAlign w:val="bottom"/>
          </w:tcPr>
          <w:p>
            <w:pPr>
              <w:ind w:left="360"/>
              <w:spacing w:after="0"/>
              <w:rPr>
                <w:sz w:val="20"/>
                <w:szCs w:val="20"/>
                <w:color w:val="auto"/>
              </w:rPr>
            </w:pPr>
            <w:r>
              <w:rPr>
                <w:rFonts w:ascii="Arial" w:cs="Arial" w:eastAsia="Arial" w:hAnsi="Arial"/>
                <w:sz w:val="16"/>
                <w:szCs w:val="16"/>
                <w:color w:val="231F20"/>
              </w:rPr>
              <w:t>Non-Qualified Deferred Compensation</w:t>
            </w:r>
          </w:p>
        </w:tc>
        <w:tc>
          <w:tcPr>
            <w:tcW w:w="540" w:type="dxa"/>
            <w:vAlign w:val="bottom"/>
            <w:gridSpan w:val="2"/>
          </w:tcPr>
          <w:p>
            <w:pPr>
              <w:jc w:val="right"/>
              <w:spacing w:after="0"/>
              <w:rPr>
                <w:sz w:val="20"/>
                <w:szCs w:val="20"/>
                <w:color w:val="auto"/>
              </w:rPr>
            </w:pPr>
            <w:r>
              <w:rPr>
                <w:rFonts w:ascii="Arial" w:cs="Arial" w:eastAsia="Arial" w:hAnsi="Arial"/>
                <w:sz w:val="16"/>
                <w:szCs w:val="16"/>
                <w:color w:val="231F20"/>
              </w:rPr>
              <w:t>34</w:t>
            </w:r>
          </w:p>
        </w:tc>
      </w:tr>
      <w:tr>
        <w:trPr>
          <w:trHeight w:val="240"/>
        </w:trPr>
        <w:tc>
          <w:tcPr>
            <w:tcW w:w="4240" w:type="dxa"/>
            <w:vAlign w:val="bottom"/>
          </w:tcPr>
          <w:p>
            <w:pPr>
              <w:ind w:left="360"/>
              <w:spacing w:after="0"/>
              <w:rPr>
                <w:sz w:val="20"/>
                <w:szCs w:val="20"/>
                <w:color w:val="auto"/>
              </w:rPr>
            </w:pPr>
            <w:r>
              <w:rPr>
                <w:rFonts w:ascii="Arial" w:cs="Arial" w:eastAsia="Arial" w:hAnsi="Arial"/>
                <w:sz w:val="16"/>
                <w:szCs w:val="16"/>
                <w:color w:val="231F20"/>
              </w:rPr>
              <w:t>Potential Payments on Termination of Employment</w:t>
            </w:r>
          </w:p>
        </w:tc>
        <w:tc>
          <w:tcPr>
            <w:tcW w:w="540" w:type="dxa"/>
            <w:vAlign w:val="bottom"/>
            <w:gridSpan w:val="2"/>
          </w:tcPr>
          <w:p>
            <w:pPr>
              <w:jc w:val="right"/>
              <w:spacing w:after="0"/>
              <w:rPr>
                <w:sz w:val="20"/>
                <w:szCs w:val="20"/>
                <w:color w:val="auto"/>
              </w:rPr>
            </w:pPr>
            <w:r>
              <w:rPr>
                <w:rFonts w:ascii="Arial" w:cs="Arial" w:eastAsia="Arial" w:hAnsi="Arial"/>
                <w:sz w:val="16"/>
                <w:szCs w:val="16"/>
                <w:color w:val="231F20"/>
              </w:rPr>
              <w:t>34</w:t>
            </w:r>
          </w:p>
        </w:tc>
      </w:tr>
      <w:tr>
        <w:trPr>
          <w:trHeight w:val="200"/>
        </w:trPr>
        <w:tc>
          <w:tcPr>
            <w:tcW w:w="4240" w:type="dxa"/>
            <w:vAlign w:val="bottom"/>
          </w:tcPr>
          <w:p>
            <w:pPr>
              <w:ind w:left="460"/>
              <w:spacing w:after="0"/>
              <w:rPr>
                <w:sz w:val="20"/>
                <w:szCs w:val="20"/>
                <w:color w:val="auto"/>
              </w:rPr>
            </w:pPr>
            <w:r>
              <w:rPr>
                <w:rFonts w:ascii="Arial" w:cs="Arial" w:eastAsia="Arial" w:hAnsi="Arial"/>
                <w:sz w:val="16"/>
                <w:szCs w:val="16"/>
                <w:color w:val="231F20"/>
              </w:rPr>
              <w:t>and Change-in-Control</w:t>
            </w: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40"/>
        </w:trPr>
        <w:tc>
          <w:tcPr>
            <w:tcW w:w="4240" w:type="dxa"/>
            <w:vAlign w:val="bottom"/>
          </w:tcPr>
          <w:p>
            <w:pPr>
              <w:ind w:left="360"/>
              <w:spacing w:after="0"/>
              <w:rPr>
                <w:sz w:val="20"/>
                <w:szCs w:val="20"/>
                <w:color w:val="auto"/>
              </w:rPr>
            </w:pPr>
            <w:r>
              <w:rPr>
                <w:rFonts w:ascii="Arial" w:cs="Arial" w:eastAsia="Arial" w:hAnsi="Arial"/>
                <w:sz w:val="16"/>
                <w:szCs w:val="16"/>
                <w:color w:val="231F20"/>
              </w:rPr>
              <w:t>CEO Pay Ratio</w:t>
            </w:r>
          </w:p>
        </w:tc>
        <w:tc>
          <w:tcPr>
            <w:tcW w:w="540" w:type="dxa"/>
            <w:vAlign w:val="bottom"/>
            <w:gridSpan w:val="2"/>
          </w:tcPr>
          <w:p>
            <w:pPr>
              <w:jc w:val="right"/>
              <w:spacing w:after="0"/>
              <w:rPr>
                <w:sz w:val="20"/>
                <w:szCs w:val="20"/>
                <w:color w:val="auto"/>
              </w:rPr>
            </w:pPr>
            <w:r>
              <w:rPr>
                <w:rFonts w:ascii="Arial" w:cs="Arial" w:eastAsia="Arial" w:hAnsi="Arial"/>
                <w:sz w:val="16"/>
                <w:szCs w:val="16"/>
                <w:color w:val="231F20"/>
              </w:rPr>
              <w:t>36</w:t>
            </w:r>
          </w:p>
        </w:tc>
      </w:tr>
      <w:tr>
        <w:trPr>
          <w:trHeight w:val="240"/>
        </w:trPr>
        <w:tc>
          <w:tcPr>
            <w:tcW w:w="4240" w:type="dxa"/>
            <w:vAlign w:val="bottom"/>
          </w:tcPr>
          <w:p>
            <w:pPr>
              <w:ind w:left="360"/>
              <w:spacing w:after="0"/>
              <w:rPr>
                <w:sz w:val="20"/>
                <w:szCs w:val="20"/>
                <w:color w:val="auto"/>
              </w:rPr>
            </w:pPr>
            <w:r>
              <w:rPr>
                <w:rFonts w:ascii="Arial" w:cs="Arial" w:eastAsia="Arial" w:hAnsi="Arial"/>
                <w:sz w:val="16"/>
                <w:szCs w:val="16"/>
                <w:color w:val="231F20"/>
              </w:rPr>
              <w:t>Pay Versus Performance Disclosure</w:t>
            </w:r>
          </w:p>
        </w:tc>
        <w:tc>
          <w:tcPr>
            <w:tcW w:w="540" w:type="dxa"/>
            <w:vAlign w:val="bottom"/>
            <w:gridSpan w:val="2"/>
          </w:tcPr>
          <w:p>
            <w:pPr>
              <w:jc w:val="right"/>
              <w:spacing w:after="0"/>
              <w:rPr>
                <w:sz w:val="20"/>
                <w:szCs w:val="20"/>
                <w:color w:val="auto"/>
              </w:rPr>
            </w:pPr>
            <w:r>
              <w:rPr>
                <w:rFonts w:ascii="Arial" w:cs="Arial" w:eastAsia="Arial" w:hAnsi="Arial"/>
                <w:sz w:val="16"/>
                <w:szCs w:val="16"/>
                <w:color w:val="231F20"/>
              </w:rPr>
              <w:t>37</w:t>
            </w:r>
          </w:p>
        </w:tc>
      </w:tr>
      <w:tr>
        <w:trPr>
          <w:trHeight w:val="240"/>
        </w:trPr>
        <w:tc>
          <w:tcPr>
            <w:tcW w:w="4240" w:type="dxa"/>
            <w:vAlign w:val="bottom"/>
          </w:tcPr>
          <w:p>
            <w:pPr>
              <w:ind w:left="360"/>
              <w:spacing w:after="0"/>
              <w:rPr>
                <w:sz w:val="20"/>
                <w:szCs w:val="20"/>
                <w:color w:val="auto"/>
              </w:rPr>
            </w:pPr>
            <w:r>
              <w:rPr>
                <w:rFonts w:ascii="Arial" w:cs="Arial" w:eastAsia="Arial" w:hAnsi="Arial"/>
                <w:sz w:val="16"/>
                <w:szCs w:val="16"/>
                <w:color w:val="231F20"/>
              </w:rPr>
              <w:t>Equity Compensation Plan Information</w:t>
            </w:r>
          </w:p>
        </w:tc>
        <w:tc>
          <w:tcPr>
            <w:tcW w:w="540" w:type="dxa"/>
            <w:vAlign w:val="bottom"/>
            <w:gridSpan w:val="2"/>
          </w:tcPr>
          <w:p>
            <w:pPr>
              <w:jc w:val="right"/>
              <w:spacing w:after="0"/>
              <w:rPr>
                <w:sz w:val="20"/>
                <w:szCs w:val="20"/>
                <w:color w:val="auto"/>
              </w:rPr>
            </w:pPr>
            <w:r>
              <w:rPr>
                <w:rFonts w:ascii="Arial" w:cs="Arial" w:eastAsia="Arial" w:hAnsi="Arial"/>
                <w:sz w:val="16"/>
                <w:szCs w:val="16"/>
                <w:color w:val="231F20"/>
              </w:rPr>
              <w:t>40</w:t>
            </w:r>
          </w:p>
        </w:tc>
      </w:tr>
      <w:tr>
        <w:trPr>
          <w:trHeight w:val="458"/>
        </w:trPr>
        <w:tc>
          <w:tcPr>
            <w:tcW w:w="4240" w:type="dxa"/>
            <w:vAlign w:val="bottom"/>
          </w:tcPr>
          <w:p>
            <w:pPr>
              <w:ind w:left="80"/>
              <w:spacing w:after="0"/>
              <w:rPr>
                <w:sz w:val="20"/>
                <w:szCs w:val="20"/>
                <w:color w:val="auto"/>
              </w:rPr>
            </w:pPr>
            <w:r>
              <w:rPr>
                <w:rFonts w:ascii="Arial" w:cs="Arial" w:eastAsia="Arial" w:hAnsi="Arial"/>
                <w:sz w:val="24"/>
                <w:szCs w:val="24"/>
                <w:b w:val="1"/>
                <w:bCs w:val="1"/>
                <w:color w:val="EF3E2A"/>
              </w:rPr>
              <w:t>P</w:t>
            </w:r>
            <w:r>
              <w:rPr>
                <w:rFonts w:ascii="Arial" w:cs="Arial" w:eastAsia="Arial" w:hAnsi="Arial"/>
                <w:sz w:val="18"/>
                <w:szCs w:val="18"/>
                <w:b w:val="1"/>
                <w:bCs w:val="1"/>
                <w:color w:val="EF3E2A"/>
              </w:rPr>
              <w:t>ROPOSAL</w:t>
            </w:r>
            <w:r>
              <w:rPr>
                <w:rFonts w:ascii="Arial" w:cs="Arial" w:eastAsia="Arial" w:hAnsi="Arial"/>
                <w:sz w:val="24"/>
                <w:szCs w:val="24"/>
                <w:b w:val="1"/>
                <w:bCs w:val="1"/>
                <w:color w:val="EF3E2A"/>
              </w:rPr>
              <w:t xml:space="preserve"> 3: R</w:t>
            </w:r>
            <w:r>
              <w:rPr>
                <w:rFonts w:ascii="Arial" w:cs="Arial" w:eastAsia="Arial" w:hAnsi="Arial"/>
                <w:sz w:val="18"/>
                <w:szCs w:val="18"/>
                <w:b w:val="1"/>
                <w:bCs w:val="1"/>
                <w:color w:val="EF3E2A"/>
              </w:rPr>
              <w:t>ATIFICATION OF</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80"/>
        </w:trPr>
        <w:tc>
          <w:tcPr>
            <w:tcW w:w="4240" w:type="dxa"/>
            <w:vAlign w:val="bottom"/>
          </w:tcPr>
          <w:p>
            <w:pPr>
              <w:ind w:left="80"/>
              <w:spacing w:after="0"/>
              <w:rPr>
                <w:sz w:val="20"/>
                <w:szCs w:val="20"/>
                <w:color w:val="auto"/>
              </w:rPr>
            </w:pPr>
            <w:r>
              <w:rPr>
                <w:rFonts w:ascii="Arial" w:cs="Arial" w:eastAsia="Arial" w:hAnsi="Arial"/>
                <w:sz w:val="24"/>
                <w:szCs w:val="24"/>
                <w:b w:val="1"/>
                <w:bCs w:val="1"/>
                <w:color w:val="EF3E2A"/>
              </w:rPr>
              <w:t>I</w:t>
            </w:r>
            <w:r>
              <w:rPr>
                <w:rFonts w:ascii="Arial" w:cs="Arial" w:eastAsia="Arial" w:hAnsi="Arial"/>
                <w:sz w:val="18"/>
                <w:szCs w:val="18"/>
                <w:b w:val="1"/>
                <w:bCs w:val="1"/>
                <w:color w:val="EF3E2A"/>
              </w:rPr>
              <w:t>NDEPENDENT</w:t>
            </w:r>
            <w:r>
              <w:rPr>
                <w:rFonts w:ascii="Arial" w:cs="Arial" w:eastAsia="Arial" w:hAnsi="Arial"/>
                <w:sz w:val="24"/>
                <w:szCs w:val="24"/>
                <w:b w:val="1"/>
                <w:bCs w:val="1"/>
                <w:color w:val="EF3E2A"/>
              </w:rPr>
              <w:t xml:space="preserve"> R</w:t>
            </w:r>
            <w:r>
              <w:rPr>
                <w:rFonts w:ascii="Arial" w:cs="Arial" w:eastAsia="Arial" w:hAnsi="Arial"/>
                <w:sz w:val="18"/>
                <w:szCs w:val="18"/>
                <w:b w:val="1"/>
                <w:bCs w:val="1"/>
                <w:color w:val="EF3E2A"/>
              </w:rPr>
              <w:t>EGISTERED</w:t>
            </w:r>
            <w:r>
              <w:rPr>
                <w:rFonts w:ascii="Arial" w:cs="Arial" w:eastAsia="Arial" w:hAnsi="Arial"/>
                <w:sz w:val="24"/>
                <w:szCs w:val="24"/>
                <w:b w:val="1"/>
                <w:bCs w:val="1"/>
                <w:color w:val="EF3E2A"/>
              </w:rPr>
              <w:t xml:space="preserve"> P</w:t>
            </w:r>
            <w:r>
              <w:rPr>
                <w:rFonts w:ascii="Arial" w:cs="Arial" w:eastAsia="Arial" w:hAnsi="Arial"/>
                <w:sz w:val="18"/>
                <w:szCs w:val="18"/>
                <w:b w:val="1"/>
                <w:bCs w:val="1"/>
                <w:color w:val="EF3E2A"/>
              </w:rPr>
              <w:t>UBLIC</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0"/>
        </w:trPr>
        <w:tc>
          <w:tcPr>
            <w:tcW w:w="4240" w:type="dxa"/>
            <w:vAlign w:val="bottom"/>
            <w:tcBorders>
              <w:bottom w:val="single" w:sz="8" w:color="231F20"/>
            </w:tcBorders>
          </w:tcPr>
          <w:p>
            <w:pPr>
              <w:ind w:left="80"/>
              <w:spacing w:after="0" w:line="270" w:lineRule="exact"/>
              <w:rPr>
                <w:sz w:val="20"/>
                <w:szCs w:val="20"/>
                <w:color w:val="auto"/>
              </w:rPr>
            </w:pPr>
            <w:r>
              <w:rPr>
                <w:rFonts w:ascii="Arial" w:cs="Arial" w:eastAsia="Arial" w:hAnsi="Arial"/>
                <w:sz w:val="24"/>
                <w:szCs w:val="24"/>
                <w:b w:val="1"/>
                <w:bCs w:val="1"/>
                <w:color w:val="EF3E2A"/>
              </w:rPr>
              <w:t>A</w:t>
            </w:r>
            <w:r>
              <w:rPr>
                <w:rFonts w:ascii="Arial" w:cs="Arial" w:eastAsia="Arial" w:hAnsi="Arial"/>
                <w:sz w:val="18"/>
                <w:szCs w:val="18"/>
                <w:b w:val="1"/>
                <w:bCs w:val="1"/>
                <w:color w:val="EF3E2A"/>
              </w:rPr>
              <w:t>CCOUNTING</w:t>
            </w:r>
            <w:r>
              <w:rPr>
                <w:rFonts w:ascii="Arial" w:cs="Arial" w:eastAsia="Arial" w:hAnsi="Arial"/>
                <w:sz w:val="24"/>
                <w:szCs w:val="24"/>
                <w:b w:val="1"/>
                <w:bCs w:val="1"/>
                <w:color w:val="EF3E2A"/>
              </w:rPr>
              <w:t xml:space="preserve"> F</w:t>
            </w:r>
            <w:r>
              <w:rPr>
                <w:rFonts w:ascii="Arial" w:cs="Arial" w:eastAsia="Arial" w:hAnsi="Arial"/>
                <w:sz w:val="18"/>
                <w:szCs w:val="18"/>
                <w:b w:val="1"/>
                <w:bCs w:val="1"/>
                <w:color w:val="EF3E2A"/>
              </w:rPr>
              <w:t>IRM</w:t>
            </w:r>
          </w:p>
        </w:tc>
        <w:tc>
          <w:tcPr>
            <w:tcW w:w="540" w:type="dxa"/>
            <w:vAlign w:val="bottom"/>
            <w:tcBorders>
              <w:bottom w:val="single" w:sz="8" w:color="231F20"/>
            </w:tcBorders>
            <w:gridSpan w:val="2"/>
          </w:tcPr>
          <w:p>
            <w:pPr>
              <w:jc w:val="right"/>
              <w:spacing w:after="0" w:line="270" w:lineRule="exact"/>
              <w:rPr>
                <w:sz w:val="20"/>
                <w:szCs w:val="20"/>
                <w:color w:val="auto"/>
              </w:rPr>
            </w:pPr>
            <w:r>
              <w:rPr>
                <w:rFonts w:ascii="Arial" w:cs="Arial" w:eastAsia="Arial" w:hAnsi="Arial"/>
                <w:sz w:val="24"/>
                <w:szCs w:val="24"/>
                <w:b w:val="1"/>
                <w:bCs w:val="1"/>
                <w:color w:val="EF3E2A"/>
              </w:rPr>
              <w:t>40</w:t>
            </w:r>
          </w:p>
        </w:tc>
      </w:tr>
      <w:tr>
        <w:trPr>
          <w:trHeight w:val="272"/>
        </w:trPr>
        <w:tc>
          <w:tcPr>
            <w:tcW w:w="4240" w:type="dxa"/>
            <w:vAlign w:val="bottom"/>
          </w:tcPr>
          <w:p>
            <w:pPr>
              <w:ind w:left="360"/>
              <w:spacing w:after="0"/>
              <w:rPr>
                <w:sz w:val="20"/>
                <w:szCs w:val="20"/>
                <w:color w:val="auto"/>
              </w:rPr>
            </w:pPr>
            <w:r>
              <w:rPr>
                <w:rFonts w:ascii="Arial" w:cs="Arial" w:eastAsia="Arial" w:hAnsi="Arial"/>
                <w:sz w:val="16"/>
                <w:szCs w:val="16"/>
                <w:color w:val="231F20"/>
              </w:rPr>
              <w:t>Audit Committee Report</w:t>
            </w:r>
          </w:p>
        </w:tc>
        <w:tc>
          <w:tcPr>
            <w:tcW w:w="540" w:type="dxa"/>
            <w:vAlign w:val="bottom"/>
            <w:gridSpan w:val="2"/>
          </w:tcPr>
          <w:p>
            <w:pPr>
              <w:jc w:val="right"/>
              <w:spacing w:after="0"/>
              <w:rPr>
                <w:sz w:val="20"/>
                <w:szCs w:val="20"/>
                <w:color w:val="auto"/>
              </w:rPr>
            </w:pPr>
            <w:r>
              <w:rPr>
                <w:rFonts w:ascii="Arial" w:cs="Arial" w:eastAsia="Arial" w:hAnsi="Arial"/>
                <w:sz w:val="16"/>
                <w:szCs w:val="16"/>
                <w:color w:val="231F20"/>
              </w:rPr>
              <w:t>41</w:t>
            </w:r>
          </w:p>
        </w:tc>
      </w:tr>
      <w:tr>
        <w:trPr>
          <w:trHeight w:val="468"/>
        </w:trPr>
        <w:tc>
          <w:tcPr>
            <w:tcW w:w="4240" w:type="dxa"/>
            <w:vAlign w:val="bottom"/>
            <w:tcBorders>
              <w:bottom w:val="single" w:sz="8" w:color="231F20"/>
            </w:tcBorders>
          </w:tcPr>
          <w:p>
            <w:pPr>
              <w:ind w:left="80"/>
              <w:spacing w:after="0"/>
              <w:rPr>
                <w:sz w:val="20"/>
                <w:szCs w:val="20"/>
                <w:color w:val="auto"/>
              </w:rPr>
            </w:pPr>
            <w:r>
              <w:rPr>
                <w:rFonts w:ascii="Arial" w:cs="Arial" w:eastAsia="Arial" w:hAnsi="Arial"/>
                <w:sz w:val="24"/>
                <w:szCs w:val="24"/>
                <w:b w:val="1"/>
                <w:bCs w:val="1"/>
                <w:color w:val="EF3E2A"/>
              </w:rPr>
              <w:t>B</w:t>
            </w:r>
            <w:r>
              <w:rPr>
                <w:rFonts w:ascii="Arial" w:cs="Arial" w:eastAsia="Arial" w:hAnsi="Arial"/>
                <w:sz w:val="18"/>
                <w:szCs w:val="18"/>
                <w:b w:val="1"/>
                <w:bCs w:val="1"/>
                <w:color w:val="EF3E2A"/>
              </w:rPr>
              <w:t>ENEFICIAL</w:t>
            </w:r>
            <w:r>
              <w:rPr>
                <w:rFonts w:ascii="Arial" w:cs="Arial" w:eastAsia="Arial" w:hAnsi="Arial"/>
                <w:sz w:val="24"/>
                <w:szCs w:val="24"/>
                <w:b w:val="1"/>
                <w:bCs w:val="1"/>
                <w:color w:val="EF3E2A"/>
              </w:rPr>
              <w:t xml:space="preserve"> O</w:t>
            </w:r>
            <w:r>
              <w:rPr>
                <w:rFonts w:ascii="Arial" w:cs="Arial" w:eastAsia="Arial" w:hAnsi="Arial"/>
                <w:sz w:val="18"/>
                <w:szCs w:val="18"/>
                <w:b w:val="1"/>
                <w:bCs w:val="1"/>
                <w:color w:val="EF3E2A"/>
              </w:rPr>
              <w:t>WNERSHIP</w:t>
            </w:r>
          </w:p>
        </w:tc>
        <w:tc>
          <w:tcPr>
            <w:tcW w:w="540" w:type="dxa"/>
            <w:vAlign w:val="bottom"/>
            <w:tcBorders>
              <w:bottom w:val="single" w:sz="8" w:color="231F20"/>
            </w:tcBorders>
            <w:gridSpan w:val="2"/>
          </w:tcPr>
          <w:p>
            <w:pPr>
              <w:jc w:val="right"/>
              <w:spacing w:after="0"/>
              <w:rPr>
                <w:sz w:val="20"/>
                <w:szCs w:val="20"/>
                <w:color w:val="auto"/>
              </w:rPr>
            </w:pPr>
            <w:r>
              <w:rPr>
                <w:rFonts w:ascii="Arial" w:cs="Arial" w:eastAsia="Arial" w:hAnsi="Arial"/>
                <w:sz w:val="24"/>
                <w:szCs w:val="24"/>
                <w:b w:val="1"/>
                <w:bCs w:val="1"/>
                <w:color w:val="EF3E2A"/>
              </w:rPr>
              <w:t>43</w:t>
            </w:r>
          </w:p>
        </w:tc>
      </w:tr>
      <w:tr>
        <w:trPr>
          <w:trHeight w:val="232"/>
        </w:trPr>
        <w:tc>
          <w:tcPr>
            <w:tcW w:w="4240" w:type="dxa"/>
            <w:vAlign w:val="bottom"/>
          </w:tcPr>
          <w:p>
            <w:pPr>
              <w:ind w:left="360"/>
              <w:spacing w:after="0"/>
              <w:rPr>
                <w:sz w:val="20"/>
                <w:szCs w:val="20"/>
                <w:color w:val="auto"/>
              </w:rPr>
            </w:pPr>
            <w:r>
              <w:rPr>
                <w:rFonts w:ascii="Arial" w:cs="Arial" w:eastAsia="Arial" w:hAnsi="Arial"/>
                <w:sz w:val="16"/>
                <w:szCs w:val="16"/>
                <w:color w:val="231F20"/>
              </w:rPr>
              <w:t>Ownership of Principal Shareholders</w:t>
            </w:r>
          </w:p>
        </w:tc>
        <w:tc>
          <w:tcPr>
            <w:tcW w:w="540" w:type="dxa"/>
            <w:vAlign w:val="bottom"/>
            <w:gridSpan w:val="2"/>
          </w:tcPr>
          <w:p>
            <w:pPr>
              <w:jc w:val="right"/>
              <w:spacing w:after="0"/>
              <w:rPr>
                <w:sz w:val="20"/>
                <w:szCs w:val="20"/>
                <w:color w:val="auto"/>
              </w:rPr>
            </w:pPr>
            <w:r>
              <w:rPr>
                <w:rFonts w:ascii="Arial" w:cs="Arial" w:eastAsia="Arial" w:hAnsi="Arial"/>
                <w:sz w:val="16"/>
                <w:szCs w:val="16"/>
                <w:color w:val="231F20"/>
              </w:rPr>
              <w:t>43</w:t>
            </w:r>
          </w:p>
        </w:tc>
      </w:tr>
      <w:tr>
        <w:trPr>
          <w:trHeight w:val="240"/>
        </w:trPr>
        <w:tc>
          <w:tcPr>
            <w:tcW w:w="4240" w:type="dxa"/>
            <w:vAlign w:val="bottom"/>
          </w:tcPr>
          <w:p>
            <w:pPr>
              <w:ind w:left="360"/>
              <w:spacing w:after="0"/>
              <w:rPr>
                <w:sz w:val="20"/>
                <w:szCs w:val="20"/>
                <w:color w:val="auto"/>
              </w:rPr>
            </w:pPr>
            <w:r>
              <w:rPr>
                <w:rFonts w:ascii="Arial" w:cs="Arial" w:eastAsia="Arial" w:hAnsi="Arial"/>
                <w:sz w:val="16"/>
                <w:szCs w:val="16"/>
                <w:color w:val="231F20"/>
              </w:rPr>
              <w:t>Ownership of Trustees and Executive Officers</w:t>
            </w:r>
          </w:p>
        </w:tc>
        <w:tc>
          <w:tcPr>
            <w:tcW w:w="540" w:type="dxa"/>
            <w:vAlign w:val="bottom"/>
            <w:gridSpan w:val="2"/>
          </w:tcPr>
          <w:p>
            <w:pPr>
              <w:jc w:val="right"/>
              <w:spacing w:after="0"/>
              <w:rPr>
                <w:sz w:val="20"/>
                <w:szCs w:val="20"/>
                <w:color w:val="auto"/>
              </w:rPr>
            </w:pPr>
            <w:r>
              <w:rPr>
                <w:rFonts w:ascii="Arial" w:cs="Arial" w:eastAsia="Arial" w:hAnsi="Arial"/>
                <w:sz w:val="16"/>
                <w:szCs w:val="16"/>
                <w:color w:val="231F20"/>
              </w:rPr>
              <w:t>44</w:t>
            </w:r>
          </w:p>
        </w:tc>
      </w:tr>
      <w:tr>
        <w:trPr>
          <w:trHeight w:val="458"/>
        </w:trPr>
        <w:tc>
          <w:tcPr>
            <w:tcW w:w="4240" w:type="dxa"/>
            <w:vAlign w:val="bottom"/>
          </w:tcPr>
          <w:p>
            <w:pPr>
              <w:ind w:left="80"/>
              <w:spacing w:after="0"/>
              <w:rPr>
                <w:sz w:val="20"/>
                <w:szCs w:val="20"/>
                <w:color w:val="auto"/>
              </w:rPr>
            </w:pPr>
            <w:r>
              <w:rPr>
                <w:rFonts w:ascii="Arial" w:cs="Arial" w:eastAsia="Arial" w:hAnsi="Arial"/>
                <w:sz w:val="24"/>
                <w:szCs w:val="24"/>
                <w:b w:val="1"/>
                <w:bCs w:val="1"/>
                <w:color w:val="EF3E2A"/>
              </w:rPr>
              <w:t>I</w:t>
            </w:r>
            <w:r>
              <w:rPr>
                <w:rFonts w:ascii="Arial" w:cs="Arial" w:eastAsia="Arial" w:hAnsi="Arial"/>
                <w:sz w:val="18"/>
                <w:szCs w:val="18"/>
                <w:b w:val="1"/>
                <w:bCs w:val="1"/>
                <w:color w:val="EF3E2A"/>
              </w:rPr>
              <w:t>NFORMATION ABOUT THE</w:t>
            </w:r>
            <w:r>
              <w:rPr>
                <w:rFonts w:ascii="Arial" w:cs="Arial" w:eastAsia="Arial" w:hAnsi="Arial"/>
                <w:sz w:val="24"/>
                <w:szCs w:val="24"/>
                <w:b w:val="1"/>
                <w:bCs w:val="1"/>
                <w:color w:val="EF3E2A"/>
              </w:rPr>
              <w:t xml:space="preserve"> A</w:t>
            </w:r>
            <w:r>
              <w:rPr>
                <w:rFonts w:ascii="Arial" w:cs="Arial" w:eastAsia="Arial" w:hAnsi="Arial"/>
                <w:sz w:val="18"/>
                <w:szCs w:val="18"/>
                <w:b w:val="1"/>
                <w:bCs w:val="1"/>
                <w:color w:val="EF3E2A"/>
              </w:rPr>
              <w:t>NNUAL</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0"/>
        </w:trPr>
        <w:tc>
          <w:tcPr>
            <w:tcW w:w="4240" w:type="dxa"/>
            <w:vAlign w:val="bottom"/>
            <w:tcBorders>
              <w:bottom w:val="single" w:sz="8" w:color="231F20"/>
            </w:tcBorders>
          </w:tcPr>
          <w:p>
            <w:pPr>
              <w:ind w:left="80"/>
              <w:spacing w:after="0" w:line="270" w:lineRule="exact"/>
              <w:rPr>
                <w:sz w:val="20"/>
                <w:szCs w:val="20"/>
                <w:color w:val="auto"/>
              </w:rPr>
            </w:pPr>
            <w:r>
              <w:rPr>
                <w:rFonts w:ascii="Arial" w:cs="Arial" w:eastAsia="Arial" w:hAnsi="Arial"/>
                <w:sz w:val="24"/>
                <w:szCs w:val="24"/>
                <w:b w:val="1"/>
                <w:bCs w:val="1"/>
                <w:color w:val="EF3E2A"/>
              </w:rPr>
              <w:t>M</w:t>
            </w:r>
            <w:r>
              <w:rPr>
                <w:rFonts w:ascii="Arial" w:cs="Arial" w:eastAsia="Arial" w:hAnsi="Arial"/>
                <w:sz w:val="18"/>
                <w:szCs w:val="18"/>
                <w:b w:val="1"/>
                <w:bCs w:val="1"/>
                <w:color w:val="EF3E2A"/>
              </w:rPr>
              <w:t>EETING</w:t>
            </w:r>
          </w:p>
        </w:tc>
        <w:tc>
          <w:tcPr>
            <w:tcW w:w="540" w:type="dxa"/>
            <w:vAlign w:val="bottom"/>
            <w:tcBorders>
              <w:bottom w:val="single" w:sz="8" w:color="231F20"/>
            </w:tcBorders>
            <w:gridSpan w:val="2"/>
          </w:tcPr>
          <w:p>
            <w:pPr>
              <w:jc w:val="right"/>
              <w:spacing w:after="0" w:line="270" w:lineRule="exact"/>
              <w:rPr>
                <w:sz w:val="20"/>
                <w:szCs w:val="20"/>
                <w:color w:val="auto"/>
              </w:rPr>
            </w:pPr>
            <w:r>
              <w:rPr>
                <w:rFonts w:ascii="Arial" w:cs="Arial" w:eastAsia="Arial" w:hAnsi="Arial"/>
                <w:sz w:val="24"/>
                <w:szCs w:val="24"/>
                <w:b w:val="1"/>
                <w:bCs w:val="1"/>
                <w:color w:val="EF3E2A"/>
              </w:rPr>
              <w:t>44</w:t>
            </w:r>
          </w:p>
        </w:tc>
      </w:tr>
      <w:tr>
        <w:trPr>
          <w:trHeight w:val="232"/>
        </w:trPr>
        <w:tc>
          <w:tcPr>
            <w:tcW w:w="4240" w:type="dxa"/>
            <w:vAlign w:val="bottom"/>
          </w:tcPr>
          <w:p>
            <w:pPr>
              <w:ind w:left="360"/>
              <w:spacing w:after="0"/>
              <w:rPr>
                <w:sz w:val="20"/>
                <w:szCs w:val="20"/>
                <w:color w:val="auto"/>
              </w:rPr>
            </w:pPr>
            <w:r>
              <w:rPr>
                <w:rFonts w:ascii="Arial" w:cs="Arial" w:eastAsia="Arial" w:hAnsi="Arial"/>
                <w:sz w:val="16"/>
                <w:szCs w:val="16"/>
                <w:color w:val="231F20"/>
              </w:rPr>
              <w:t>Notice of Electronic Availability of Proxy Materials</w:t>
            </w:r>
          </w:p>
        </w:tc>
        <w:tc>
          <w:tcPr>
            <w:tcW w:w="540" w:type="dxa"/>
            <w:vAlign w:val="bottom"/>
            <w:gridSpan w:val="2"/>
          </w:tcPr>
          <w:p>
            <w:pPr>
              <w:jc w:val="right"/>
              <w:spacing w:after="0"/>
              <w:rPr>
                <w:sz w:val="20"/>
                <w:szCs w:val="20"/>
                <w:color w:val="auto"/>
              </w:rPr>
            </w:pPr>
            <w:r>
              <w:rPr>
                <w:rFonts w:ascii="Arial" w:cs="Arial" w:eastAsia="Arial" w:hAnsi="Arial"/>
                <w:sz w:val="16"/>
                <w:szCs w:val="16"/>
                <w:color w:val="231F20"/>
              </w:rPr>
              <w:t>44</w:t>
            </w:r>
          </w:p>
        </w:tc>
      </w:tr>
      <w:tr>
        <w:trPr>
          <w:trHeight w:val="240"/>
        </w:trPr>
        <w:tc>
          <w:tcPr>
            <w:tcW w:w="4240" w:type="dxa"/>
            <w:vAlign w:val="bottom"/>
          </w:tcPr>
          <w:p>
            <w:pPr>
              <w:ind w:left="360"/>
              <w:spacing w:after="0"/>
              <w:rPr>
                <w:sz w:val="20"/>
                <w:szCs w:val="20"/>
                <w:color w:val="auto"/>
              </w:rPr>
            </w:pPr>
            <w:r>
              <w:rPr>
                <w:rFonts w:ascii="Arial" w:cs="Arial" w:eastAsia="Arial" w:hAnsi="Arial"/>
                <w:sz w:val="16"/>
                <w:szCs w:val="16"/>
                <w:color w:val="231F20"/>
              </w:rPr>
              <w:t>Why You are Receiving These Materials</w:t>
            </w:r>
          </w:p>
        </w:tc>
        <w:tc>
          <w:tcPr>
            <w:tcW w:w="540" w:type="dxa"/>
            <w:vAlign w:val="bottom"/>
            <w:gridSpan w:val="2"/>
          </w:tcPr>
          <w:p>
            <w:pPr>
              <w:jc w:val="right"/>
              <w:spacing w:after="0"/>
              <w:rPr>
                <w:sz w:val="20"/>
                <w:szCs w:val="20"/>
                <w:color w:val="auto"/>
              </w:rPr>
            </w:pPr>
            <w:r>
              <w:rPr>
                <w:rFonts w:ascii="Arial" w:cs="Arial" w:eastAsia="Arial" w:hAnsi="Arial"/>
                <w:sz w:val="16"/>
                <w:szCs w:val="16"/>
                <w:color w:val="231F20"/>
              </w:rPr>
              <w:t>44</w:t>
            </w:r>
          </w:p>
        </w:tc>
      </w:tr>
      <w:tr>
        <w:trPr>
          <w:trHeight w:val="240"/>
        </w:trPr>
        <w:tc>
          <w:tcPr>
            <w:tcW w:w="4240" w:type="dxa"/>
            <w:vAlign w:val="bottom"/>
          </w:tcPr>
          <w:p>
            <w:pPr>
              <w:ind w:left="360"/>
              <w:spacing w:after="0"/>
              <w:rPr>
                <w:sz w:val="20"/>
                <w:szCs w:val="20"/>
                <w:color w:val="auto"/>
              </w:rPr>
            </w:pPr>
            <w:r>
              <w:rPr>
                <w:rFonts w:ascii="Arial" w:cs="Arial" w:eastAsia="Arial" w:hAnsi="Arial"/>
                <w:sz w:val="16"/>
                <w:szCs w:val="16"/>
                <w:color w:val="231F20"/>
              </w:rPr>
              <w:t>Accessing Materials</w:t>
            </w:r>
          </w:p>
        </w:tc>
        <w:tc>
          <w:tcPr>
            <w:tcW w:w="540" w:type="dxa"/>
            <w:vAlign w:val="bottom"/>
            <w:gridSpan w:val="2"/>
          </w:tcPr>
          <w:p>
            <w:pPr>
              <w:jc w:val="right"/>
              <w:spacing w:after="0"/>
              <w:rPr>
                <w:sz w:val="20"/>
                <w:szCs w:val="20"/>
                <w:color w:val="auto"/>
              </w:rPr>
            </w:pPr>
            <w:r>
              <w:rPr>
                <w:rFonts w:ascii="Arial" w:cs="Arial" w:eastAsia="Arial" w:hAnsi="Arial"/>
                <w:sz w:val="16"/>
                <w:szCs w:val="16"/>
                <w:color w:val="231F20"/>
              </w:rPr>
              <w:t>45</w:t>
            </w:r>
          </w:p>
        </w:tc>
      </w:tr>
      <w:tr>
        <w:trPr>
          <w:trHeight w:val="240"/>
        </w:trPr>
        <w:tc>
          <w:tcPr>
            <w:tcW w:w="4240" w:type="dxa"/>
            <w:vAlign w:val="bottom"/>
          </w:tcPr>
          <w:p>
            <w:pPr>
              <w:ind w:left="360"/>
              <w:spacing w:after="0"/>
              <w:rPr>
                <w:sz w:val="20"/>
                <w:szCs w:val="20"/>
                <w:color w:val="auto"/>
              </w:rPr>
            </w:pPr>
            <w:r>
              <w:rPr>
                <w:rFonts w:ascii="Arial" w:cs="Arial" w:eastAsia="Arial" w:hAnsi="Arial"/>
                <w:sz w:val="16"/>
                <w:szCs w:val="16"/>
                <w:color w:val="231F20"/>
              </w:rPr>
              <w:t>How to Vote</w:t>
            </w:r>
          </w:p>
        </w:tc>
        <w:tc>
          <w:tcPr>
            <w:tcW w:w="540" w:type="dxa"/>
            <w:vAlign w:val="bottom"/>
            <w:gridSpan w:val="2"/>
          </w:tcPr>
          <w:p>
            <w:pPr>
              <w:jc w:val="right"/>
              <w:spacing w:after="0"/>
              <w:rPr>
                <w:sz w:val="20"/>
                <w:szCs w:val="20"/>
                <w:color w:val="auto"/>
              </w:rPr>
            </w:pPr>
            <w:r>
              <w:rPr>
                <w:rFonts w:ascii="Arial" w:cs="Arial" w:eastAsia="Arial" w:hAnsi="Arial"/>
                <w:sz w:val="16"/>
                <w:szCs w:val="16"/>
                <w:color w:val="231F20"/>
              </w:rPr>
              <w:t>45</w:t>
            </w:r>
          </w:p>
        </w:tc>
      </w:tr>
      <w:tr>
        <w:trPr>
          <w:trHeight w:val="240"/>
        </w:trPr>
        <w:tc>
          <w:tcPr>
            <w:tcW w:w="4240" w:type="dxa"/>
            <w:vAlign w:val="bottom"/>
          </w:tcPr>
          <w:p>
            <w:pPr>
              <w:ind w:left="360"/>
              <w:spacing w:after="0"/>
              <w:rPr>
                <w:sz w:val="20"/>
                <w:szCs w:val="20"/>
                <w:color w:val="auto"/>
              </w:rPr>
            </w:pPr>
            <w:r>
              <w:rPr>
                <w:rFonts w:ascii="Arial" w:cs="Arial" w:eastAsia="Arial" w:hAnsi="Arial"/>
                <w:sz w:val="16"/>
                <w:szCs w:val="16"/>
                <w:color w:val="231F20"/>
              </w:rPr>
              <w:t>How to Participate in the Annual Meeting</w:t>
            </w:r>
          </w:p>
        </w:tc>
        <w:tc>
          <w:tcPr>
            <w:tcW w:w="540" w:type="dxa"/>
            <w:vAlign w:val="bottom"/>
            <w:gridSpan w:val="2"/>
          </w:tcPr>
          <w:p>
            <w:pPr>
              <w:jc w:val="right"/>
              <w:spacing w:after="0"/>
              <w:rPr>
                <w:sz w:val="20"/>
                <w:szCs w:val="20"/>
                <w:color w:val="auto"/>
              </w:rPr>
            </w:pPr>
            <w:r>
              <w:rPr>
                <w:rFonts w:ascii="Arial" w:cs="Arial" w:eastAsia="Arial" w:hAnsi="Arial"/>
                <w:sz w:val="16"/>
                <w:szCs w:val="16"/>
                <w:color w:val="231F20"/>
              </w:rPr>
              <w:t>46</w:t>
            </w:r>
          </w:p>
        </w:tc>
      </w:tr>
      <w:tr>
        <w:trPr>
          <w:trHeight w:val="240"/>
        </w:trPr>
        <w:tc>
          <w:tcPr>
            <w:tcW w:w="4240" w:type="dxa"/>
            <w:vAlign w:val="bottom"/>
          </w:tcPr>
          <w:p>
            <w:pPr>
              <w:ind w:left="360"/>
              <w:spacing w:after="0"/>
              <w:rPr>
                <w:sz w:val="20"/>
                <w:szCs w:val="20"/>
                <w:color w:val="auto"/>
              </w:rPr>
            </w:pPr>
            <w:r>
              <w:rPr>
                <w:rFonts w:ascii="Arial" w:cs="Arial" w:eastAsia="Arial" w:hAnsi="Arial"/>
                <w:sz w:val="16"/>
                <w:szCs w:val="16"/>
                <w:color w:val="231F20"/>
              </w:rPr>
              <w:t>Eliminating Duplicative Proxy Materials</w:t>
            </w:r>
          </w:p>
        </w:tc>
        <w:tc>
          <w:tcPr>
            <w:tcW w:w="540" w:type="dxa"/>
            <w:vAlign w:val="bottom"/>
            <w:gridSpan w:val="2"/>
          </w:tcPr>
          <w:p>
            <w:pPr>
              <w:jc w:val="right"/>
              <w:spacing w:after="0"/>
              <w:rPr>
                <w:sz w:val="20"/>
                <w:szCs w:val="20"/>
                <w:color w:val="auto"/>
              </w:rPr>
            </w:pPr>
            <w:r>
              <w:rPr>
                <w:rFonts w:ascii="Arial" w:cs="Arial" w:eastAsia="Arial" w:hAnsi="Arial"/>
                <w:sz w:val="16"/>
                <w:szCs w:val="16"/>
                <w:color w:val="231F20"/>
              </w:rPr>
              <w:t>46</w:t>
            </w:r>
          </w:p>
        </w:tc>
      </w:tr>
      <w:tr>
        <w:trPr>
          <w:trHeight w:val="240"/>
        </w:trPr>
        <w:tc>
          <w:tcPr>
            <w:tcW w:w="4240" w:type="dxa"/>
            <w:vAlign w:val="bottom"/>
          </w:tcPr>
          <w:p>
            <w:pPr>
              <w:ind w:left="360"/>
              <w:spacing w:after="0"/>
              <w:rPr>
                <w:sz w:val="20"/>
                <w:szCs w:val="20"/>
                <w:color w:val="auto"/>
              </w:rPr>
            </w:pPr>
            <w:r>
              <w:rPr>
                <w:rFonts w:ascii="Arial" w:cs="Arial" w:eastAsia="Arial" w:hAnsi="Arial"/>
                <w:sz w:val="16"/>
                <w:szCs w:val="16"/>
                <w:color w:val="231F20"/>
              </w:rPr>
              <w:t>Solicitation of Proxies</w:t>
            </w:r>
          </w:p>
        </w:tc>
        <w:tc>
          <w:tcPr>
            <w:tcW w:w="540" w:type="dxa"/>
            <w:vAlign w:val="bottom"/>
            <w:gridSpan w:val="2"/>
          </w:tcPr>
          <w:p>
            <w:pPr>
              <w:jc w:val="right"/>
              <w:spacing w:after="0"/>
              <w:rPr>
                <w:sz w:val="20"/>
                <w:szCs w:val="20"/>
                <w:color w:val="auto"/>
              </w:rPr>
            </w:pPr>
            <w:r>
              <w:rPr>
                <w:rFonts w:ascii="Arial" w:cs="Arial" w:eastAsia="Arial" w:hAnsi="Arial"/>
                <w:sz w:val="16"/>
                <w:szCs w:val="16"/>
                <w:color w:val="231F20"/>
              </w:rPr>
              <w:t>47</w:t>
            </w:r>
          </w:p>
        </w:tc>
      </w:tr>
      <w:tr>
        <w:trPr>
          <w:trHeight w:val="240"/>
        </w:trPr>
        <w:tc>
          <w:tcPr>
            <w:tcW w:w="4240" w:type="dxa"/>
            <w:vAlign w:val="bottom"/>
          </w:tcPr>
          <w:p>
            <w:pPr>
              <w:ind w:left="360"/>
              <w:spacing w:after="0"/>
              <w:rPr>
                <w:sz w:val="20"/>
                <w:szCs w:val="20"/>
                <w:color w:val="auto"/>
              </w:rPr>
            </w:pPr>
            <w:r>
              <w:rPr>
                <w:rFonts w:ascii="Arial" w:cs="Arial" w:eastAsia="Arial" w:hAnsi="Arial"/>
                <w:sz w:val="16"/>
                <w:szCs w:val="16"/>
                <w:color w:val="231F20"/>
              </w:rPr>
              <w:t>Shareholder Proposals for the 2027 Annual Meeting</w:t>
            </w:r>
          </w:p>
        </w:tc>
        <w:tc>
          <w:tcPr>
            <w:tcW w:w="540" w:type="dxa"/>
            <w:vAlign w:val="bottom"/>
            <w:gridSpan w:val="2"/>
          </w:tcPr>
          <w:p>
            <w:pPr>
              <w:jc w:val="right"/>
              <w:spacing w:after="0"/>
              <w:rPr>
                <w:sz w:val="20"/>
                <w:szCs w:val="20"/>
                <w:color w:val="auto"/>
              </w:rPr>
            </w:pPr>
            <w:r>
              <w:rPr>
                <w:rFonts w:ascii="Arial" w:cs="Arial" w:eastAsia="Arial" w:hAnsi="Arial"/>
                <w:sz w:val="16"/>
                <w:szCs w:val="16"/>
                <w:color w:val="231F20"/>
              </w:rPr>
              <w:t>47</w:t>
            </w:r>
          </w:p>
        </w:tc>
      </w:tr>
      <w:tr>
        <w:trPr>
          <w:trHeight w:val="448"/>
        </w:trPr>
        <w:tc>
          <w:tcPr>
            <w:tcW w:w="4240" w:type="dxa"/>
            <w:vAlign w:val="bottom"/>
          </w:tcPr>
          <w:p>
            <w:pPr>
              <w:ind w:left="80"/>
              <w:spacing w:after="0"/>
              <w:rPr>
                <w:sz w:val="20"/>
                <w:szCs w:val="20"/>
                <w:color w:val="auto"/>
              </w:rPr>
            </w:pPr>
            <w:r>
              <w:rPr>
                <w:rFonts w:ascii="Arial" w:cs="Arial" w:eastAsia="Arial" w:hAnsi="Arial"/>
                <w:sz w:val="24"/>
                <w:szCs w:val="24"/>
                <w:b w:val="1"/>
                <w:bCs w:val="1"/>
                <w:color w:val="EF3E2A"/>
              </w:rPr>
              <w:t>A</w:t>
            </w:r>
            <w:r>
              <w:rPr>
                <w:rFonts w:ascii="Arial" w:cs="Arial" w:eastAsia="Arial" w:hAnsi="Arial"/>
                <w:sz w:val="18"/>
                <w:szCs w:val="18"/>
                <w:b w:val="1"/>
                <w:bCs w:val="1"/>
                <w:color w:val="EF3E2A"/>
              </w:rPr>
              <w:t>PPENDIX</w:t>
            </w:r>
            <w:r>
              <w:rPr>
                <w:rFonts w:ascii="Arial" w:cs="Arial" w:eastAsia="Arial" w:hAnsi="Arial"/>
                <w:sz w:val="24"/>
                <w:szCs w:val="24"/>
                <w:b w:val="1"/>
                <w:bCs w:val="1"/>
                <w:color w:val="EF3E2A"/>
              </w:rPr>
              <w:t xml:space="preserve"> A</w:t>
            </w:r>
          </w:p>
        </w:tc>
        <w:tc>
          <w:tcPr>
            <w:tcW w:w="540" w:type="dxa"/>
            <w:vAlign w:val="bottom"/>
            <w:gridSpan w:val="2"/>
          </w:tcPr>
          <w:p>
            <w:pPr>
              <w:jc w:val="right"/>
              <w:spacing w:after="0"/>
              <w:rPr>
                <w:sz w:val="20"/>
                <w:szCs w:val="20"/>
                <w:color w:val="auto"/>
              </w:rPr>
            </w:pPr>
            <w:r>
              <w:rPr>
                <w:rFonts w:ascii="Arial" w:cs="Arial" w:eastAsia="Arial" w:hAnsi="Arial"/>
                <w:sz w:val="24"/>
                <w:szCs w:val="24"/>
                <w:b w:val="1"/>
                <w:bCs w:val="1"/>
                <w:color w:val="EF3E2A"/>
              </w:rPr>
              <w:t>A-1</w:t>
            </w:r>
          </w:p>
        </w:tc>
      </w:tr>
      <w:tr>
        <w:trPr>
          <w:trHeight w:val="40"/>
        </w:trPr>
        <w:tc>
          <w:tcPr>
            <w:tcW w:w="4240" w:type="dxa"/>
            <w:vAlign w:val="bottom"/>
            <w:shd w:val="clear" w:color="auto" w:fill="231F20"/>
          </w:tcPr>
          <w:p>
            <w:pPr>
              <w:spacing w:after="0"/>
              <w:rPr>
                <w:sz w:val="3"/>
                <w:szCs w:val="3"/>
                <w:color w:val="auto"/>
              </w:rPr>
            </w:pPr>
          </w:p>
        </w:tc>
        <w:tc>
          <w:tcPr>
            <w:tcW w:w="520" w:type="dxa"/>
            <w:vAlign w:val="bottom"/>
            <w:shd w:val="clear" w:color="auto" w:fill="231F20"/>
          </w:tcPr>
          <w:p>
            <w:pPr>
              <w:spacing w:after="0"/>
              <w:rPr>
                <w:sz w:val="3"/>
                <w:szCs w:val="3"/>
                <w:color w:val="auto"/>
              </w:rPr>
            </w:pPr>
          </w:p>
        </w:tc>
        <w:tc>
          <w:tcPr>
            <w:tcW w:w="20" w:type="dxa"/>
            <w:vAlign w:val="bottom"/>
          </w:tcPr>
          <w:p>
            <w:pPr>
              <w:spacing w:after="0"/>
              <w:rPr>
                <w:sz w:val="3"/>
                <w:szCs w:val="3"/>
                <w:color w:val="auto"/>
              </w:rPr>
            </w:pPr>
          </w:p>
        </w:tc>
      </w:tr>
    </w:tbl>
    <w:p>
      <w:pPr>
        <w:spacing w:after="0" w:line="23" w:lineRule="exact"/>
        <w:rPr>
          <w:sz w:val="20"/>
          <w:szCs w:val="20"/>
          <w:color w:val="auto"/>
        </w:rPr>
      </w:pPr>
    </w:p>
    <w:p>
      <w:pPr>
        <w:sectPr>
          <w:pgSz w:w="11880" w:h="15480" w:orient="portrait"/>
          <w:cols w:equalWidth="0" w:num="2">
            <w:col w:w="4800" w:space="500"/>
            <w:col w:w="4780"/>
          </w:cols>
          <w:pgMar w:left="900" w:top="1336" w:right="900" w:bottom="923" w:gutter="0" w:footer="0" w:header="0"/>
        </w:sectPr>
      </w:pPr>
    </w:p>
    <w:tbl>
      <w:tblPr>
        <w:tblLayout w:type="fixed"/>
        <w:tblInd w:w="5660" w:type="dxa"/>
        <w:tblCellMar>
          <w:top w:w="0" w:type="dxa"/>
          <w:left w:w="0" w:type="dxa"/>
          <w:bottom w:w="0" w:type="dxa"/>
          <w:right w:w="0" w:type="dxa"/>
        </w:tblCellMar>
      </w:tblPr>
      <w:tr>
        <w:trPr>
          <w:trHeight w:val="230"/>
        </w:trPr>
        <w:tc>
          <w:tcPr>
            <w:tcW w:w="3900" w:type="dxa"/>
            <w:vAlign w:val="bottom"/>
          </w:tcPr>
          <w:p>
            <w:pPr>
              <w:spacing w:after="0"/>
              <w:rPr>
                <w:sz w:val="20"/>
                <w:szCs w:val="20"/>
                <w:color w:val="auto"/>
              </w:rPr>
            </w:pPr>
            <w:r>
              <w:rPr>
                <w:rFonts w:ascii="Arial" w:cs="Arial" w:eastAsia="Arial" w:hAnsi="Arial"/>
                <w:sz w:val="16"/>
                <w:szCs w:val="16"/>
                <w:color w:val="231F20"/>
              </w:rPr>
              <w:t>Appendix A – Reconciliation of Non-GAAP Financial</w:t>
            </w:r>
          </w:p>
        </w:tc>
        <w:tc>
          <w:tcPr>
            <w:tcW w:w="520" w:type="dxa"/>
            <w:vAlign w:val="bottom"/>
          </w:tcPr>
          <w:p>
            <w:pPr>
              <w:ind w:left="200"/>
              <w:spacing w:after="0"/>
              <w:rPr>
                <w:sz w:val="20"/>
                <w:szCs w:val="20"/>
                <w:color w:val="auto"/>
              </w:rPr>
            </w:pPr>
            <w:r>
              <w:rPr>
                <w:rFonts w:ascii="Arial" w:cs="Arial" w:eastAsia="Arial" w:hAnsi="Arial"/>
                <w:sz w:val="20"/>
                <w:szCs w:val="20"/>
                <w:color w:val="231F20"/>
                <w:w w:val="96"/>
              </w:rPr>
              <w:t>A-1</w:t>
            </w:r>
          </w:p>
        </w:tc>
      </w:tr>
      <w:tr>
        <w:trPr>
          <w:trHeight w:val="179"/>
        </w:trPr>
        <w:tc>
          <w:tcPr>
            <w:tcW w:w="3900" w:type="dxa"/>
            <w:vAlign w:val="bottom"/>
          </w:tcPr>
          <w:p>
            <w:pPr>
              <w:spacing w:after="0" w:line="178" w:lineRule="exact"/>
              <w:rPr>
                <w:sz w:val="20"/>
                <w:szCs w:val="20"/>
                <w:color w:val="auto"/>
              </w:rPr>
            </w:pPr>
            <w:r>
              <w:rPr>
                <w:rFonts w:ascii="Arial" w:cs="Arial" w:eastAsia="Arial" w:hAnsi="Arial"/>
                <w:sz w:val="16"/>
                <w:szCs w:val="16"/>
                <w:color w:val="231F20"/>
              </w:rPr>
              <w:t>Measures</w:t>
            </w:r>
          </w:p>
        </w:tc>
        <w:tc>
          <w:tcPr>
            <w:tcW w:w="520" w:type="dxa"/>
            <w:vAlign w:val="bottom"/>
          </w:tcPr>
          <w:p>
            <w:pPr>
              <w:spacing w:after="0"/>
              <w:rPr>
                <w:sz w:val="15"/>
                <w:szCs w:val="15"/>
                <w:color w:val="auto"/>
              </w:rPr>
            </w:pPr>
          </w:p>
        </w:tc>
      </w:tr>
    </w:tbl>
    <w:p>
      <w:pPr>
        <w:sectPr>
          <w:pgSz w:w="11880" w:h="15480" w:orient="portrait"/>
          <w:cols w:equalWidth="0" w:num="1">
            <w:col w:w="10080"/>
          </w:cols>
          <w:pgMar w:left="900" w:top="1336" w:right="900" w:bottom="923" w:gutter="0" w:footer="0" w:header="0"/>
          <w:type w:val="continuous"/>
        </w:sectPr>
      </w:pPr>
    </w:p>
    <w:bookmarkStart w:id="120" w:name="page121"/>
    <w:bookmarkEnd w:id="120"/>
    <w:p>
      <w:pPr>
        <w:ind w:left="140"/>
        <w:spacing w:after="0"/>
        <w:rPr>
          <w:sz w:val="20"/>
          <w:szCs w:val="20"/>
          <w:color w:val="auto"/>
        </w:rPr>
      </w:pPr>
      <w:r>
        <w:rPr>
          <w:rFonts w:ascii="Arial" w:cs="Arial" w:eastAsia="Arial" w:hAnsi="Arial"/>
          <w:sz w:val="36"/>
          <w:szCs w:val="36"/>
          <w:b w:val="1"/>
          <w:bCs w:val="1"/>
          <w:color w:val="231F20"/>
        </w:rPr>
        <mc:AlternateContent>
          <mc:Choice Requires="wps">
            <w:drawing>
              <wp:anchor simplePos="0" relativeHeight="251657728" behindDoc="1" locked="0" layoutInCell="0" allowOverlap="1">
                <wp:simplePos x="0" y="0"/>
                <wp:positionH relativeFrom="page">
                  <wp:posOffset>571500</wp:posOffset>
                </wp:positionH>
                <wp:positionV relativeFrom="page">
                  <wp:posOffset>819150</wp:posOffset>
                </wp:positionV>
                <wp:extent cx="6400800" cy="0"/>
                <wp:wrapNone/>
                <wp:docPr id="56" name="Shape 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38100">
                          <a:solidFill>
                            <a:srgbClr val="EF3E2A"/>
                          </a:solidFill>
                          <a:miter lim="800000"/>
                          <a:headEnd/>
                          <a:tailEnd/>
                        </a:ln>
                      </wps:spPr>
                      <wps:bodyPr/>
                    </wps:wsp>
                  </a:graphicData>
                </a:graphic>
              </wp:anchor>
            </w:drawing>
          </mc:Choice>
          <mc:Fallback>
            <w:pict>
              <v:line id="Shape 56" o:spid="_x0000_s108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5pt,64.5pt" to="549pt,64.5pt" o:allowincell="f" strokecolor="#EF3E2A" strokeweight="3pt">
                <w10:wrap anchorx="page" anchory="page"/>
              </v:line>
            </w:pict>
          </mc:Fallback>
        </mc:AlternateContent>
        <w:t>Company Information</w:t>
      </w:r>
    </w:p>
    <w:p>
      <w:pPr>
        <w:spacing w:after="0" w:line="148" w:lineRule="exact"/>
        <w:rPr>
          <w:sz w:val="20"/>
          <w:szCs w:val="20"/>
          <w:color w:val="auto"/>
        </w:rPr>
      </w:pPr>
    </w:p>
    <w:p>
      <w:pPr>
        <w:jc w:val="both"/>
        <w:ind w:right="80"/>
        <w:spacing w:after="0" w:line="249" w:lineRule="auto"/>
        <w:rPr>
          <w:sz w:val="20"/>
          <w:szCs w:val="20"/>
          <w:color w:val="auto"/>
        </w:rPr>
      </w:pPr>
      <w:r>
        <w:rPr>
          <w:rFonts w:ascii="Arial" w:cs="Arial" w:eastAsia="Arial" w:hAnsi="Arial"/>
          <w:sz w:val="20"/>
          <w:szCs w:val="20"/>
          <w:color w:val="231F20"/>
        </w:rPr>
        <w:t>Following is basic information about the Company and summary highlights of information contained elsewhere in the proxy statement. This summary does not contain all of the information that you should consider, and you should read the entire proxy statement carefully before voting. References to “we,” “us,” “our,” “Federal” and the “Company” in this proxy statement refer to Federal Realty Investment Trust together with its subsidiaries, unless the context requires otherwise. References to the “Board” or “board” refer to our Board of Trustees, and references to “Trustees” and “trustees” refer to the members of our Board.</w:t>
      </w:r>
    </w:p>
    <w:p>
      <w:pPr>
        <w:spacing w:after="0" w:line="173" w:lineRule="exact"/>
        <w:rPr>
          <w:sz w:val="20"/>
          <w:szCs w:val="20"/>
          <w:color w:val="auto"/>
        </w:rPr>
      </w:pPr>
    </w:p>
    <w:p>
      <w:pPr>
        <w:jc w:val="both"/>
        <w:ind w:right="80"/>
        <w:spacing w:after="0" w:line="248" w:lineRule="auto"/>
        <w:rPr>
          <w:sz w:val="20"/>
          <w:szCs w:val="20"/>
          <w:color w:val="auto"/>
        </w:rPr>
      </w:pPr>
      <w:r>
        <w:rPr>
          <w:rFonts w:ascii="Arial" w:cs="Arial" w:eastAsia="Arial" w:hAnsi="Arial"/>
          <w:sz w:val="20"/>
          <w:szCs w:val="20"/>
          <w:color w:val="231F20"/>
        </w:rPr>
        <w:t>Federal Realty Investment Trust is an S&amp;P 500 company headquartered in North Bethesda, Maryland that specializes in the ownership, management, and redevelopment of high quality retail and mixed-use properties located primarily in major coastal markets and select underserved markets that we believe have strong economic and demographic fundamentals.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3280" w:type="dxa"/>
            <w:vAlign w:val="bottom"/>
            <w:tcBorders>
              <w:bottom w:val="single" w:sz="8" w:color="231F20"/>
            </w:tcBorders>
          </w:tcPr>
          <w:p>
            <w:pPr>
              <w:jc w:val="center"/>
              <w:spacing w:after="0"/>
              <w:rPr>
                <w:sz w:val="20"/>
                <w:szCs w:val="20"/>
                <w:color w:val="auto"/>
              </w:rPr>
            </w:pPr>
            <w:r>
              <w:rPr>
                <w:rFonts w:ascii="Arial" w:cs="Arial" w:eastAsia="Arial" w:hAnsi="Arial"/>
                <w:sz w:val="20"/>
                <w:szCs w:val="20"/>
                <w:color w:val="EF3E2A"/>
              </w:rPr>
              <w:t>Company Information</w:t>
            </w:r>
          </w:p>
        </w:tc>
        <w:tc>
          <w:tcPr>
            <w:tcW w:w="3420" w:type="dxa"/>
            <w:vAlign w:val="bottom"/>
            <w:tcBorders>
              <w:bottom w:val="single" w:sz="8" w:color="231F20"/>
            </w:tcBorders>
          </w:tcPr>
          <w:p>
            <w:pPr>
              <w:jc w:val="center"/>
              <w:ind w:left="240"/>
              <w:spacing w:after="0"/>
              <w:rPr>
                <w:sz w:val="20"/>
                <w:szCs w:val="20"/>
                <w:color w:val="auto"/>
              </w:rPr>
            </w:pPr>
            <w:r>
              <w:rPr>
                <w:rFonts w:ascii="Arial" w:cs="Arial" w:eastAsia="Arial" w:hAnsi="Arial"/>
                <w:sz w:val="20"/>
                <w:szCs w:val="20"/>
                <w:color w:val="EF3E2A"/>
                <w:w w:val="98"/>
              </w:rPr>
              <w:t>Our Properties*</w:t>
            </w:r>
          </w:p>
        </w:tc>
        <w:tc>
          <w:tcPr>
            <w:tcW w:w="3380" w:type="dxa"/>
            <w:vAlign w:val="bottom"/>
            <w:tcBorders>
              <w:bottom w:val="single" w:sz="8" w:color="231F20"/>
            </w:tcBorders>
          </w:tcPr>
          <w:p>
            <w:pPr>
              <w:jc w:val="center"/>
              <w:ind w:left="160"/>
              <w:spacing w:after="0"/>
              <w:rPr>
                <w:sz w:val="20"/>
                <w:szCs w:val="20"/>
                <w:color w:val="auto"/>
              </w:rPr>
            </w:pPr>
            <w:r>
              <w:rPr>
                <w:rFonts w:ascii="Arial" w:cs="Arial" w:eastAsia="Arial" w:hAnsi="Arial"/>
                <w:sz w:val="20"/>
                <w:szCs w:val="20"/>
                <w:color w:val="EF3E2A"/>
                <w:w w:val="98"/>
              </w:rPr>
              <w:t>Our Employees*</w:t>
            </w:r>
          </w:p>
        </w:tc>
        <w:tc>
          <w:tcPr>
            <w:tcW w:w="80" w:type="dxa"/>
            <w:vAlign w:val="bottom"/>
          </w:tcPr>
          <w:p>
            <w:pPr>
              <w:spacing w:after="0"/>
              <w:rPr>
                <w:sz w:val="20"/>
                <w:szCs w:val="20"/>
                <w:color w:val="auto"/>
              </w:rPr>
            </w:pPr>
          </w:p>
        </w:tc>
      </w:tr>
      <w:tr>
        <w:trPr>
          <w:trHeight w:val="355"/>
        </w:trPr>
        <w:tc>
          <w:tcPr>
            <w:tcW w:w="3280" w:type="dxa"/>
            <w:vAlign w:val="bottom"/>
          </w:tcPr>
          <w:p>
            <w:pPr>
              <w:jc w:val="center"/>
              <w:spacing w:after="0"/>
              <w:rPr>
                <w:sz w:val="20"/>
                <w:szCs w:val="20"/>
                <w:color w:val="auto"/>
              </w:rPr>
            </w:pPr>
            <w:r>
              <w:rPr>
                <w:rFonts w:ascii="Arial" w:cs="Arial" w:eastAsia="Arial" w:hAnsi="Arial"/>
                <w:sz w:val="20"/>
                <w:szCs w:val="20"/>
                <w:color w:val="231F20"/>
              </w:rPr>
              <w:t>Established in 1962</w:t>
            </w:r>
          </w:p>
        </w:tc>
        <w:tc>
          <w:tcPr>
            <w:tcW w:w="3420" w:type="dxa"/>
            <w:vAlign w:val="bottom"/>
          </w:tcPr>
          <w:p>
            <w:pPr>
              <w:jc w:val="center"/>
              <w:ind w:left="260"/>
              <w:spacing w:after="0"/>
              <w:rPr>
                <w:sz w:val="20"/>
                <w:szCs w:val="20"/>
                <w:color w:val="auto"/>
              </w:rPr>
            </w:pPr>
            <w:r>
              <w:rPr>
                <w:rFonts w:ascii="Arial" w:cs="Arial" w:eastAsia="Arial" w:hAnsi="Arial"/>
                <w:sz w:val="20"/>
                <w:szCs w:val="20"/>
                <w:color w:val="231F20"/>
                <w:w w:val="99"/>
              </w:rPr>
              <w:t>104 Properties</w:t>
            </w:r>
          </w:p>
        </w:tc>
        <w:tc>
          <w:tcPr>
            <w:tcW w:w="3460" w:type="dxa"/>
            <w:vAlign w:val="bottom"/>
            <w:gridSpan w:val="2"/>
          </w:tcPr>
          <w:p>
            <w:pPr>
              <w:jc w:val="center"/>
              <w:ind w:left="80"/>
              <w:spacing w:after="0"/>
              <w:rPr>
                <w:sz w:val="20"/>
                <w:szCs w:val="20"/>
                <w:color w:val="auto"/>
              </w:rPr>
            </w:pPr>
            <w:r>
              <w:rPr>
                <w:rFonts w:ascii="Arial" w:cs="Arial" w:eastAsia="Arial" w:hAnsi="Arial"/>
                <w:sz w:val="20"/>
                <w:szCs w:val="20"/>
                <w:color w:val="231F20"/>
              </w:rPr>
              <w:t>329 full-time employees</w:t>
            </w:r>
          </w:p>
        </w:tc>
      </w:tr>
      <w:tr>
        <w:trPr>
          <w:trHeight w:val="240"/>
        </w:trPr>
        <w:tc>
          <w:tcPr>
            <w:tcW w:w="3280" w:type="dxa"/>
            <w:vAlign w:val="bottom"/>
          </w:tcPr>
          <w:p>
            <w:pPr>
              <w:jc w:val="center"/>
              <w:spacing w:after="0"/>
              <w:rPr>
                <w:sz w:val="20"/>
                <w:szCs w:val="20"/>
                <w:color w:val="auto"/>
              </w:rPr>
            </w:pPr>
            <w:r>
              <w:rPr>
                <w:rFonts w:ascii="Arial" w:cs="Arial" w:eastAsia="Arial" w:hAnsi="Arial"/>
                <w:sz w:val="20"/>
                <w:szCs w:val="20"/>
                <w:color w:val="231F20"/>
                <w:w w:val="99"/>
              </w:rPr>
              <w:t>Member of the S&amp;P 500</w:t>
            </w:r>
          </w:p>
        </w:tc>
        <w:tc>
          <w:tcPr>
            <w:tcW w:w="3420" w:type="dxa"/>
            <w:vAlign w:val="bottom"/>
          </w:tcPr>
          <w:p>
            <w:pPr>
              <w:jc w:val="center"/>
              <w:ind w:left="260"/>
              <w:spacing w:after="0" w:line="240" w:lineRule="exact"/>
              <w:rPr>
                <w:sz w:val="20"/>
                <w:szCs w:val="20"/>
                <w:color w:val="auto"/>
              </w:rPr>
            </w:pPr>
            <w:r>
              <w:rPr>
                <w:rFonts w:ascii="Symbol" w:cs="Symbol" w:eastAsia="Symbol" w:hAnsi="Symbol"/>
                <w:sz w:val="20"/>
                <w:szCs w:val="20"/>
                <w:color w:val="231F20"/>
                <w:w w:val="98"/>
              </w:rPr>
              <w:t>≈</w:t>
            </w:r>
            <w:r>
              <w:rPr>
                <w:rFonts w:ascii="Arial" w:cs="Arial" w:eastAsia="Arial" w:hAnsi="Arial"/>
                <w:sz w:val="20"/>
                <w:szCs w:val="20"/>
                <w:color w:val="231F20"/>
                <w:w w:val="98"/>
              </w:rPr>
              <w:t>29M SF of commercial space</w:t>
            </w:r>
          </w:p>
        </w:tc>
        <w:tc>
          <w:tcPr>
            <w:tcW w:w="3460" w:type="dxa"/>
            <w:vAlign w:val="bottom"/>
            <w:gridSpan w:val="2"/>
          </w:tcPr>
          <w:p>
            <w:pPr>
              <w:jc w:val="center"/>
              <w:ind w:left="80"/>
              <w:spacing w:after="0"/>
              <w:rPr>
                <w:sz w:val="20"/>
                <w:szCs w:val="20"/>
                <w:color w:val="auto"/>
              </w:rPr>
            </w:pPr>
            <w:r>
              <w:rPr>
                <w:rFonts w:ascii="Arial" w:cs="Arial" w:eastAsia="Arial" w:hAnsi="Arial"/>
                <w:sz w:val="20"/>
                <w:szCs w:val="20"/>
                <w:color w:val="231F20"/>
              </w:rPr>
              <w:t>6 primary offices</w:t>
            </w:r>
          </w:p>
        </w:tc>
      </w:tr>
      <w:tr>
        <w:trPr>
          <w:trHeight w:val="285"/>
        </w:trPr>
        <w:tc>
          <w:tcPr>
            <w:tcW w:w="3280" w:type="dxa"/>
            <w:vAlign w:val="bottom"/>
          </w:tcPr>
          <w:p>
            <w:pPr>
              <w:spacing w:after="0"/>
              <w:rPr>
                <w:sz w:val="24"/>
                <w:szCs w:val="24"/>
                <w:color w:val="auto"/>
              </w:rPr>
            </w:pPr>
          </w:p>
        </w:tc>
        <w:tc>
          <w:tcPr>
            <w:tcW w:w="3420" w:type="dxa"/>
            <w:vAlign w:val="bottom"/>
          </w:tcPr>
          <w:p>
            <w:pPr>
              <w:jc w:val="center"/>
              <w:ind w:left="240"/>
              <w:spacing w:after="0"/>
              <w:rPr>
                <w:sz w:val="20"/>
                <w:szCs w:val="20"/>
                <w:color w:val="auto"/>
              </w:rPr>
            </w:pPr>
            <w:r>
              <w:rPr>
                <w:rFonts w:ascii="Symbol" w:cs="Symbol" w:eastAsia="Symbol" w:hAnsi="Symbol"/>
                <w:sz w:val="20"/>
                <w:szCs w:val="20"/>
                <w:color w:val="231F20"/>
                <w:w w:val="97"/>
              </w:rPr>
              <w:t>≈</w:t>
            </w:r>
            <w:r>
              <w:rPr>
                <w:rFonts w:ascii="Arial" w:cs="Arial" w:eastAsia="Arial" w:hAnsi="Arial"/>
                <w:sz w:val="20"/>
                <w:szCs w:val="20"/>
                <w:color w:val="231F20"/>
                <w:w w:val="97"/>
              </w:rPr>
              <w:t>2,700 residential units</w:t>
            </w:r>
          </w:p>
        </w:tc>
        <w:tc>
          <w:tcPr>
            <w:tcW w:w="3460" w:type="dxa"/>
            <w:vAlign w:val="bottom"/>
            <w:gridSpan w:val="2"/>
          </w:tcPr>
          <w:p>
            <w:pPr>
              <w:jc w:val="center"/>
              <w:ind w:left="100"/>
              <w:spacing w:after="0"/>
              <w:rPr>
                <w:sz w:val="20"/>
                <w:szCs w:val="20"/>
                <w:color w:val="auto"/>
              </w:rPr>
            </w:pPr>
            <w:r>
              <w:rPr>
                <w:rFonts w:ascii="Arial" w:cs="Arial" w:eastAsia="Arial" w:hAnsi="Arial"/>
                <w:sz w:val="20"/>
                <w:szCs w:val="20"/>
                <w:color w:val="231F20"/>
              </w:rPr>
              <w:t>Average tenure of more than 9 years</w:t>
            </w:r>
          </w:p>
        </w:tc>
      </w:tr>
      <w:tr>
        <w:trPr>
          <w:trHeight w:val="119"/>
        </w:trPr>
        <w:tc>
          <w:tcPr>
            <w:tcW w:w="3280" w:type="dxa"/>
            <w:vAlign w:val="bottom"/>
            <w:tcBorders>
              <w:bottom w:val="single" w:sz="8" w:color="EF3E2A"/>
            </w:tcBorders>
          </w:tcPr>
          <w:p>
            <w:pPr>
              <w:spacing w:after="0"/>
              <w:rPr>
                <w:sz w:val="10"/>
                <w:szCs w:val="10"/>
                <w:color w:val="auto"/>
              </w:rPr>
            </w:pPr>
          </w:p>
        </w:tc>
        <w:tc>
          <w:tcPr>
            <w:tcW w:w="3420" w:type="dxa"/>
            <w:vAlign w:val="bottom"/>
            <w:tcBorders>
              <w:bottom w:val="single" w:sz="8" w:color="EF3E2A"/>
            </w:tcBorders>
          </w:tcPr>
          <w:p>
            <w:pPr>
              <w:spacing w:after="0"/>
              <w:rPr>
                <w:sz w:val="10"/>
                <w:szCs w:val="10"/>
                <w:color w:val="auto"/>
              </w:rPr>
            </w:pPr>
          </w:p>
        </w:tc>
        <w:tc>
          <w:tcPr>
            <w:tcW w:w="3380" w:type="dxa"/>
            <w:vAlign w:val="bottom"/>
            <w:tcBorders>
              <w:bottom w:val="single" w:sz="8" w:color="EF3E2A"/>
            </w:tcBorders>
          </w:tcPr>
          <w:p>
            <w:pPr>
              <w:spacing w:after="0"/>
              <w:rPr>
                <w:sz w:val="10"/>
                <w:szCs w:val="10"/>
                <w:color w:val="auto"/>
              </w:rPr>
            </w:pPr>
          </w:p>
        </w:tc>
        <w:tc>
          <w:tcPr>
            <w:tcW w:w="80" w:type="dxa"/>
            <w:vAlign w:val="bottom"/>
          </w:tcPr>
          <w:p>
            <w:pPr>
              <w:spacing w:after="0"/>
              <w:rPr>
                <w:sz w:val="10"/>
                <w:szCs w:val="10"/>
                <w:color w:val="auto"/>
              </w:rPr>
            </w:pPr>
          </w:p>
        </w:tc>
      </w:tr>
    </w:tbl>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231F20"/>
        </w:rPr>
        <w:t>* Information as of December 31, 2025.</w:t>
      </w:r>
    </w:p>
    <w:p>
      <w:pPr>
        <w:spacing w:after="0" w:line="147" w:lineRule="exact"/>
        <w:rPr>
          <w:sz w:val="20"/>
          <w:szCs w:val="20"/>
          <w:color w:val="auto"/>
        </w:rPr>
      </w:pPr>
    </w:p>
    <w:p>
      <w:pPr>
        <w:spacing w:after="0" w:line="268" w:lineRule="exact"/>
        <w:rPr>
          <w:sz w:val="20"/>
          <w:szCs w:val="20"/>
          <w:color w:val="auto"/>
        </w:rPr>
      </w:pPr>
      <w:r>
        <w:rPr>
          <w:rFonts w:ascii="Arial Unicode MS" w:cs="Arial Unicode MS" w:eastAsia="Arial Unicode MS" w:hAnsi="Arial Unicode MS"/>
          <w:sz w:val="20"/>
          <w:szCs w:val="20"/>
          <w:color w:val="EF3E2A"/>
        </w:rPr>
        <w:t>➣</w:t>
      </w:r>
      <w:r>
        <w:rPr>
          <w:rFonts w:ascii="Arial" w:cs="Arial" w:eastAsia="Arial" w:hAnsi="Arial"/>
          <w:sz w:val="20"/>
          <w:szCs w:val="20"/>
          <w:b w:val="1"/>
          <w:bCs w:val="1"/>
          <w:color w:val="231F20"/>
        </w:rPr>
        <w:t xml:space="preserve"> HIGHLIGHTS OF 2025 COMPANY PERFORMANCE</w:t>
      </w:r>
    </w:p>
    <w:p>
      <w:pPr>
        <w:spacing w:after="0" w:line="180" w:lineRule="exact"/>
        <w:rPr>
          <w:sz w:val="20"/>
          <w:szCs w:val="20"/>
          <w:color w:val="auto"/>
        </w:rPr>
      </w:pPr>
    </w:p>
    <w:p>
      <w:pPr>
        <w:ind w:right="80"/>
        <w:spacing w:after="0" w:line="245" w:lineRule="auto"/>
        <w:rPr>
          <w:sz w:val="20"/>
          <w:szCs w:val="20"/>
          <w:color w:val="auto"/>
        </w:rPr>
      </w:pPr>
      <w:r>
        <w:rPr>
          <w:rFonts w:ascii="Arial" w:cs="Arial" w:eastAsia="Arial" w:hAnsi="Arial"/>
          <w:sz w:val="20"/>
          <w:szCs w:val="20"/>
          <w:color w:val="231F20"/>
        </w:rPr>
        <w:t>Key business and financial achievements for 2025, in addition to net income available for common shareholders of $4.68 per diluted share, included: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762000</wp:posOffset>
                </wp:positionH>
                <wp:positionV relativeFrom="paragraph">
                  <wp:posOffset>75565</wp:posOffset>
                </wp:positionV>
                <wp:extent cx="1076325" cy="3632200"/>
                <wp:wrapNone/>
                <wp:docPr id="57" name="Shape 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76325" cy="3632200"/>
                        </a:xfrm>
                        <a:prstGeom prst="rect">
                          <a:avLst/>
                        </a:prstGeom>
                        <a:solidFill>
                          <a:srgbClr val="B2B4B6"/>
                        </a:solidFill>
                      </wps:spPr>
                      <wps:bodyPr/>
                    </wps:wsp>
                  </a:graphicData>
                </a:graphic>
              </wp:anchor>
            </w:drawing>
          </mc:Choice>
          <mc:Fallback>
            <w:pict>
              <v:rect id="Shape 57" o:spid="_x0000_s1082" style="position:absolute;margin-left:60pt;margin-top:5.95pt;width:84.75pt;height:286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B2B4B6" stroked="f"/>
            </w:pict>
          </mc:Fallback>
        </mc:AlternateContent>
        <mc:AlternateContent>
          <mc:Choice Requires="wps">
            <w:drawing>
              <wp:anchor simplePos="0" relativeHeight="251657728" behindDoc="1" locked="0" layoutInCell="0" allowOverlap="1">
                <wp:simplePos x="0" y="0"/>
                <wp:positionH relativeFrom="column">
                  <wp:posOffset>1838325</wp:posOffset>
                </wp:positionH>
                <wp:positionV relativeFrom="paragraph">
                  <wp:posOffset>75565</wp:posOffset>
                </wp:positionV>
                <wp:extent cx="4562475" cy="3632200"/>
                <wp:wrapNone/>
                <wp:docPr id="58" name="Shape 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562475" cy="3632200"/>
                        </a:xfrm>
                        <a:prstGeom prst="rect">
                          <a:avLst/>
                        </a:prstGeom>
                        <a:solidFill>
                          <a:srgbClr val="F1F1F2"/>
                        </a:solidFill>
                      </wps:spPr>
                      <wps:bodyPr/>
                    </wps:wsp>
                  </a:graphicData>
                </a:graphic>
              </wp:anchor>
            </w:drawing>
          </mc:Choice>
          <mc:Fallback>
            <w:pict>
              <v:rect id="Shape 58" o:spid="_x0000_s1083" style="position:absolute;margin-left:144.75pt;margin-top:5.95pt;width:359.25pt;height:286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1F1F2" stroked="f"/>
            </w:pict>
          </mc:Fallback>
        </mc:AlternateContent>
      </w:r>
    </w:p>
    <w:p>
      <w:pPr>
        <w:sectPr>
          <w:pgSz w:w="11880" w:h="15480" w:orient="portrait"/>
          <w:cols w:equalWidth="0" w:num="1">
            <w:col w:w="10160"/>
          </w:cols>
          <w:pgMar w:left="900" w:top="1340" w:right="820" w:bottom="763" w:gutter="0" w:footer="0" w:header="0"/>
        </w:sectPr>
      </w:pPr>
    </w:p>
    <w:p>
      <w:pPr>
        <w:spacing w:after="0" w:line="331" w:lineRule="exact"/>
        <w:rPr>
          <w:sz w:val="20"/>
          <w:szCs w:val="20"/>
          <w:color w:val="auto"/>
        </w:rPr>
      </w:pPr>
    </w:p>
    <w:p>
      <w:pPr>
        <w:jc w:val="center"/>
        <w:ind w:left="1360"/>
        <w:spacing w:after="0" w:line="250" w:lineRule="auto"/>
        <w:rPr>
          <w:sz w:val="20"/>
          <w:szCs w:val="20"/>
          <w:color w:val="auto"/>
        </w:rPr>
      </w:pPr>
      <w:r>
        <w:rPr>
          <w:rFonts w:ascii="Arial" w:cs="Arial" w:eastAsia="Arial" w:hAnsi="Arial"/>
          <w:sz w:val="20"/>
          <w:szCs w:val="20"/>
          <w:b w:val="1"/>
          <w:bCs w:val="1"/>
          <w:color w:val="FFFFFF"/>
        </w:rPr>
        <w:t>NAREIT FFO Per Share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-472440</wp:posOffset>
            </wp:positionV>
            <wp:extent cx="568325" cy="4984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47">
                      <a:extLst>
                        <a:ext uri="{28A0092B-C50C-407E-A947-70E740481C1C}"/>
                      </a:extLst>
                    </a:blip>
                    <a:srcRect/>
                    <a:stretch>
                      <a:fillRect/>
                    </a:stretch>
                  </pic:blipFill>
                  <pic:spPr bwMode="auto">
                    <a:xfrm>
                      <a:off x="0" y="0"/>
                      <a:ext cx="568325" cy="498475"/>
                    </a:xfrm>
                    <a:prstGeom prst="rect">
                      <a:avLst/>
                    </a:prstGeom>
                    <a:noFill/>
                  </pic:spPr>
                </pic:pic>
              </a:graphicData>
            </a:graphic>
          </wp:anchor>
        </w:drawing>
        <w:drawing>
          <wp:anchor simplePos="0" relativeHeight="251657728" behindDoc="1" locked="0" layoutInCell="0" allowOverlap="1">
            <wp:simplePos x="0" y="0"/>
            <wp:positionH relativeFrom="column">
              <wp:posOffset>148590</wp:posOffset>
            </wp:positionH>
            <wp:positionV relativeFrom="paragraph">
              <wp:posOffset>265430</wp:posOffset>
            </wp:positionV>
            <wp:extent cx="467995" cy="4648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48">
                      <a:extLst>
                        <a:ext uri="{28A0092B-C50C-407E-A947-70E740481C1C}"/>
                      </a:extLst>
                    </a:blip>
                    <a:srcRect/>
                    <a:stretch>
                      <a:fillRect/>
                    </a:stretch>
                  </pic:blipFill>
                  <pic:spPr bwMode="auto">
                    <a:xfrm>
                      <a:off x="0" y="0"/>
                      <a:ext cx="467995" cy="4648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jc w:val="both"/>
        <w:ind w:right="200"/>
        <w:spacing w:after="0" w:line="248" w:lineRule="auto"/>
        <w:rPr>
          <w:sz w:val="20"/>
          <w:szCs w:val="20"/>
          <w:color w:val="auto"/>
        </w:rPr>
      </w:pPr>
      <w:r>
        <w:rPr>
          <w:rFonts w:ascii="Arial" w:cs="Arial" w:eastAsia="Arial" w:hAnsi="Arial"/>
          <w:sz w:val="20"/>
          <w:szCs w:val="20"/>
          <w:color w:val="231F20"/>
        </w:rPr>
        <w:t xml:space="preserve">NAREIT FFO per diluted share** of </w:t>
      </w:r>
      <w:r>
        <w:rPr>
          <w:rFonts w:ascii="Arial" w:cs="Arial" w:eastAsia="Arial" w:hAnsi="Arial"/>
          <w:sz w:val="20"/>
          <w:szCs w:val="20"/>
          <w:color w:val="EF3E2A"/>
        </w:rPr>
        <w:t>$7.22</w:t>
      </w:r>
      <w:r>
        <w:rPr>
          <w:rFonts w:ascii="Arial" w:cs="Arial" w:eastAsia="Arial" w:hAnsi="Arial"/>
          <w:sz w:val="20"/>
          <w:szCs w:val="20"/>
          <w:color w:val="231F20"/>
        </w:rPr>
        <w:t xml:space="preserve"> representing growth of </w:t>
      </w:r>
      <w:r>
        <w:rPr>
          <w:rFonts w:ascii="Arial" w:cs="Arial" w:eastAsia="Arial" w:hAnsi="Arial"/>
          <w:sz w:val="20"/>
          <w:szCs w:val="20"/>
          <w:color w:val="EF3E2A"/>
        </w:rPr>
        <w:t>6.6%</w:t>
      </w:r>
      <w:r>
        <w:rPr>
          <w:rFonts w:ascii="Arial" w:cs="Arial" w:eastAsia="Arial" w:hAnsi="Arial"/>
          <w:sz w:val="20"/>
          <w:szCs w:val="20"/>
          <w:color w:val="231F20"/>
        </w:rPr>
        <w:t xml:space="preserve"> over 2024 driven by record levels of total revenue, positive impacts from capital investment, and overall continued strength in the broader retail real estate market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-1914525</wp:posOffset>
                </wp:positionH>
                <wp:positionV relativeFrom="paragraph">
                  <wp:posOffset>93345</wp:posOffset>
                </wp:positionV>
                <wp:extent cx="6394450" cy="0"/>
                <wp:wrapNone/>
                <wp:docPr id="61" name="Shape 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94450"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61" o:spid="_x0000_s10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0.7499pt,7.35pt" to="352.75pt,7.35pt" o:allowincell="f" strokecolor="#231F20" strokeweight="0.5pt"/>
            </w:pict>
          </mc:Fallback>
        </mc:AlternateContent>
      </w:r>
    </w:p>
    <w:p>
      <w:pPr>
        <w:spacing w:after="0" w:line="200" w:lineRule="exact"/>
        <w:rPr>
          <w:sz w:val="20"/>
          <w:szCs w:val="20"/>
          <w:color w:val="auto"/>
        </w:rPr>
      </w:pPr>
    </w:p>
    <w:p>
      <w:pPr>
        <w:sectPr>
          <w:pgSz w:w="11880" w:h="15480" w:orient="portrait"/>
          <w:cols w:equalWidth="0" w:num="2">
            <w:col w:w="2740" w:space="280"/>
            <w:col w:w="7140"/>
          </w:cols>
          <w:pgMar w:left="900" w:top="1340" w:right="820" w:bottom="763" w:gutter="0" w:footer="0" w:header="0"/>
          <w:type w:val="continuous"/>
        </w:sectPr>
      </w:pPr>
    </w:p>
    <w:p>
      <w:pPr>
        <w:spacing w:after="0" w:line="139" w:lineRule="exact"/>
        <w:rPr>
          <w:sz w:val="20"/>
          <w:szCs w:val="20"/>
          <w:color w:val="auto"/>
        </w:rPr>
      </w:pPr>
    </w:p>
    <w:p>
      <w:pPr>
        <w:jc w:val="right"/>
        <w:ind w:right="200"/>
        <w:spacing w:after="0"/>
        <w:tabs>
          <w:tab w:leader="none" w:pos="5680" w:val="left"/>
          <w:tab w:leader="none" w:pos="360" w:val="left"/>
        </w:tabs>
        <w:rPr>
          <w:sz w:val="20"/>
          <w:szCs w:val="20"/>
          <w:color w:val="auto"/>
        </w:rPr>
      </w:pPr>
      <w:r>
        <w:rPr>
          <w:rFonts w:ascii="Arial" w:cs="Arial" w:eastAsia="Arial" w:hAnsi="Arial"/>
          <w:sz w:val="20"/>
          <w:szCs w:val="20"/>
          <w:color w:val="231F20"/>
        </w:rPr>
        <w:t>Signed  new</w:t>
        <w:tab/>
        <w:t>and  renewal  comparable  space  leases  covering  more</w:t>
      </w:r>
      <w:r>
        <w:rPr>
          <w:sz w:val="20"/>
          <w:szCs w:val="20"/>
          <w:color w:val="auto"/>
        </w:rPr>
        <w:tab/>
      </w:r>
      <w:r>
        <w:rPr>
          <w:rFonts w:ascii="Arial" w:cs="Arial" w:eastAsia="Arial" w:hAnsi="Arial"/>
          <w:sz w:val="19"/>
          <w:szCs w:val="19"/>
          <w:color w:val="231F20"/>
        </w:rPr>
        <w:t>than</w:t>
      </w:r>
    </w:p>
    <w:p>
      <w:pPr>
        <w:ind w:left="1320"/>
        <w:spacing w:after="0" w:line="193" w:lineRule="auto"/>
        <w:rPr>
          <w:sz w:val="20"/>
          <w:szCs w:val="20"/>
          <w:color w:val="auto"/>
        </w:rPr>
      </w:pPr>
      <w:r>
        <w:rPr>
          <w:rFonts w:ascii="Arial" w:cs="Arial" w:eastAsia="Arial" w:hAnsi="Arial"/>
          <w:sz w:val="13"/>
          <w:szCs w:val="13"/>
          <w:b w:val="1"/>
          <w:bCs w:val="1"/>
          <w:color w:val="FFFFFF"/>
        </w:rPr>
        <w:t>Strong Leasing</w:t>
      </w:r>
    </w:p>
    <w:p>
      <w:pPr>
        <w:jc w:val="right"/>
        <w:ind w:right="200"/>
        <w:spacing w:after="0" w:line="192" w:lineRule="auto"/>
        <w:rPr>
          <w:sz w:val="20"/>
          <w:szCs w:val="20"/>
          <w:color w:val="auto"/>
        </w:rPr>
      </w:pPr>
      <w:r>
        <w:rPr>
          <w:rFonts w:ascii="Arial" w:cs="Arial" w:eastAsia="Arial" w:hAnsi="Arial"/>
          <w:sz w:val="13"/>
          <w:szCs w:val="13"/>
          <w:color w:val="EF3E2A"/>
        </w:rPr>
        <w:t xml:space="preserve">2.3 million </w:t>
      </w:r>
      <w:r>
        <w:rPr>
          <w:rFonts w:ascii="Arial" w:cs="Arial" w:eastAsia="Arial" w:hAnsi="Arial"/>
          <w:sz w:val="13"/>
          <w:szCs w:val="13"/>
          <w:color w:val="231F20"/>
        </w:rPr>
        <w:t>square feet of space and approximately $88.9 million of year 1</w:t>
      </w:r>
    </w:p>
    <w:p>
      <w:pPr>
        <w:ind w:left="1680"/>
        <w:spacing w:after="0" w:line="180" w:lineRule="auto"/>
        <w:rPr>
          <w:sz w:val="20"/>
          <w:szCs w:val="20"/>
          <w:color w:val="auto"/>
        </w:rPr>
      </w:pPr>
      <w:r>
        <w:rPr>
          <w:rFonts w:ascii="Arial" w:cs="Arial" w:eastAsia="Arial" w:hAnsi="Arial"/>
          <w:sz w:val="14"/>
          <w:szCs w:val="14"/>
          <w:b w:val="1"/>
          <w:bCs w:val="1"/>
          <w:color w:val="FFFFFF"/>
        </w:rPr>
        <w:t>Activity</w:t>
      </w:r>
    </w:p>
    <w:p>
      <w:pPr>
        <w:ind w:left="3020"/>
        <w:spacing w:after="0" w:line="193" w:lineRule="auto"/>
        <w:rPr>
          <w:sz w:val="20"/>
          <w:szCs w:val="20"/>
          <w:color w:val="auto"/>
        </w:rPr>
      </w:pPr>
      <w:r>
        <w:rPr>
          <w:rFonts w:ascii="Arial" w:cs="Arial" w:eastAsia="Arial" w:hAnsi="Arial"/>
          <w:sz w:val="20"/>
          <w:szCs w:val="20"/>
          <w:color w:val="231F20"/>
        </w:rPr>
        <w:t>revenue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97155</wp:posOffset>
                </wp:positionV>
                <wp:extent cx="6394450" cy="0"/>
                <wp:wrapNone/>
                <wp:docPr id="62" name="Shape 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94450"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62" o:spid="_x0000_s10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5pt,7.65pt" to="503.75pt,7.65pt" o:allowincell="f" strokecolor="#231F20" strokeweight="0.5pt"/>
            </w:pict>
          </mc:Fallback>
        </mc:AlternateContent>
      </w:r>
    </w:p>
    <w:p>
      <w:pPr>
        <w:sectPr>
          <w:pgSz w:w="11880" w:h="15480" w:orient="portrait"/>
          <w:cols w:equalWidth="0" w:num="1">
            <w:col w:w="10160"/>
          </w:cols>
          <w:pgMar w:left="900" w:top="1340" w:right="820" w:bottom="763" w:gutter="0" w:footer="0" w:header="0"/>
          <w:type w:val="continuous"/>
        </w:sectPr>
      </w:pPr>
    </w:p>
    <w:p>
      <w:pPr>
        <w:spacing w:after="0" w:line="200" w:lineRule="exact"/>
        <w:rPr>
          <w:sz w:val="20"/>
          <w:szCs w:val="20"/>
          <w:color w:val="auto"/>
        </w:rPr>
      </w:pPr>
    </w:p>
    <w:p>
      <w:pPr>
        <w:spacing w:after="0" w:line="331" w:lineRule="exact"/>
        <w:rPr>
          <w:sz w:val="20"/>
          <w:szCs w:val="20"/>
          <w:color w:val="auto"/>
        </w:rPr>
      </w:pPr>
    </w:p>
    <w:p>
      <w:pPr>
        <w:jc w:val="center"/>
        <w:ind w:left="1460"/>
        <w:spacing w:after="0" w:line="250" w:lineRule="auto"/>
        <w:rPr>
          <w:sz w:val="20"/>
          <w:szCs w:val="20"/>
          <w:color w:val="auto"/>
        </w:rPr>
      </w:pPr>
      <w:r>
        <w:rPr>
          <w:rFonts w:ascii="Arial" w:cs="Arial" w:eastAsia="Arial" w:hAnsi="Arial"/>
          <w:sz w:val="20"/>
          <w:szCs w:val="20"/>
          <w:b w:val="1"/>
          <w:bCs w:val="1"/>
          <w:color w:val="FFFFFF"/>
        </w:rPr>
        <w:t>Productive Capital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160655</wp:posOffset>
            </wp:positionH>
            <wp:positionV relativeFrom="paragraph">
              <wp:posOffset>-483870</wp:posOffset>
            </wp:positionV>
            <wp:extent cx="440690" cy="4406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49">
                      <a:extLst>
                        <a:ext uri="{28A0092B-C50C-407E-A947-70E740481C1C}"/>
                      </a:extLst>
                    </a:blip>
                    <a:srcRect/>
                    <a:stretch>
                      <a:fillRect/>
                    </a:stretch>
                  </pic:blipFill>
                  <pic:spPr bwMode="auto">
                    <a:xfrm>
                      <a:off x="0" y="0"/>
                      <a:ext cx="440690" cy="440690"/>
                    </a:xfrm>
                    <a:prstGeom prst="rect">
                      <a:avLst/>
                    </a:prstGeom>
                    <a:noFill/>
                  </pic:spPr>
                </pic:pic>
              </a:graphicData>
            </a:graphic>
          </wp:anchor>
        </w:drawing>
        <w:drawing>
          <wp:anchor simplePos="0" relativeHeight="251657728" behindDoc="1" locked="0" layoutInCell="0" allowOverlap="1">
            <wp:simplePos x="0" y="0"/>
            <wp:positionH relativeFrom="column">
              <wp:posOffset>67945</wp:posOffset>
            </wp:positionH>
            <wp:positionV relativeFrom="paragraph">
              <wp:posOffset>233680</wp:posOffset>
            </wp:positionV>
            <wp:extent cx="632460" cy="534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50">
                      <a:extLst>
                        <a:ext uri="{28A0092B-C50C-407E-A947-70E740481C1C}"/>
                      </a:extLst>
                    </a:blip>
                    <a:srcRect/>
                    <a:stretch>
                      <a:fillRect/>
                    </a:stretch>
                  </pic:blipFill>
                  <pic:spPr bwMode="auto">
                    <a:xfrm>
                      <a:off x="0" y="0"/>
                      <a:ext cx="632460" cy="5340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95" w:lineRule="exact"/>
        <w:rPr>
          <w:sz w:val="20"/>
          <w:szCs w:val="20"/>
          <w:color w:val="auto"/>
        </w:rPr>
      </w:pPr>
    </w:p>
    <w:p>
      <w:pPr>
        <w:jc w:val="both"/>
        <w:ind w:right="200"/>
        <w:spacing w:after="0" w:line="248" w:lineRule="auto"/>
        <w:rPr>
          <w:sz w:val="20"/>
          <w:szCs w:val="20"/>
          <w:color w:val="auto"/>
        </w:rPr>
      </w:pPr>
      <w:r>
        <w:rPr>
          <w:rFonts w:ascii="Arial" w:cs="Arial" w:eastAsia="Arial" w:hAnsi="Arial"/>
          <w:sz w:val="20"/>
          <w:szCs w:val="20"/>
          <w:color w:val="231F20"/>
        </w:rPr>
        <w:t xml:space="preserve">Investments in new acquisitions such as </w:t>
      </w:r>
      <w:r>
        <w:rPr>
          <w:rFonts w:ascii="Arial" w:cs="Arial" w:eastAsia="Arial" w:hAnsi="Arial"/>
          <w:sz w:val="20"/>
          <w:szCs w:val="20"/>
          <w:color w:val="EF3E2A"/>
        </w:rPr>
        <w:t>Del Monte Shopping Center, Town</w:t>
      </w:r>
      <w:r>
        <w:rPr>
          <w:rFonts w:ascii="Arial" w:cs="Arial" w:eastAsia="Arial" w:hAnsi="Arial"/>
          <w:sz w:val="20"/>
          <w:szCs w:val="20"/>
          <w:color w:val="231F20"/>
        </w:rPr>
        <w:t xml:space="preserve"> </w:t>
      </w:r>
      <w:r>
        <w:rPr>
          <w:rFonts w:ascii="Arial" w:cs="Arial" w:eastAsia="Arial" w:hAnsi="Arial"/>
          <w:sz w:val="20"/>
          <w:szCs w:val="20"/>
          <w:color w:val="EF3E2A"/>
        </w:rPr>
        <w:t xml:space="preserve">Center Plaza and Town Center Crossing, Annapolis Town Center </w:t>
      </w:r>
      <w:r>
        <w:rPr>
          <w:rFonts w:ascii="Arial" w:cs="Arial" w:eastAsia="Arial" w:hAnsi="Arial"/>
          <w:sz w:val="20"/>
          <w:szCs w:val="20"/>
          <w:color w:val="231F20"/>
        </w:rPr>
        <w:t>and</w:t>
      </w:r>
      <w:r>
        <w:rPr>
          <w:rFonts w:ascii="Arial" w:cs="Arial" w:eastAsia="Arial" w:hAnsi="Arial"/>
          <w:sz w:val="20"/>
          <w:szCs w:val="20"/>
          <w:color w:val="EF3E2A"/>
        </w:rPr>
        <w:t xml:space="preserve"> Village Pointe </w:t>
      </w:r>
      <w:r>
        <w:rPr>
          <w:rFonts w:ascii="Arial" w:cs="Arial" w:eastAsia="Arial" w:hAnsi="Arial"/>
          <w:sz w:val="20"/>
          <w:szCs w:val="20"/>
          <w:color w:val="231F20"/>
        </w:rPr>
        <w:t>producing year over year growth and positioning the company for</w:t>
      </w:r>
      <w:r>
        <w:rPr>
          <w:rFonts w:ascii="Arial" w:cs="Arial" w:eastAsia="Arial" w:hAnsi="Arial"/>
          <w:sz w:val="20"/>
          <w:szCs w:val="20"/>
          <w:color w:val="EF3E2A"/>
        </w:rPr>
        <w:t xml:space="preserve"> </w:t>
      </w:r>
      <w:r>
        <w:rPr>
          <w:rFonts w:ascii="Arial" w:cs="Arial" w:eastAsia="Arial" w:hAnsi="Arial"/>
          <w:sz w:val="20"/>
          <w:szCs w:val="20"/>
          <w:color w:val="231F20"/>
        </w:rPr>
        <w:t>continued growth</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-1914525</wp:posOffset>
                </wp:positionH>
                <wp:positionV relativeFrom="paragraph">
                  <wp:posOffset>93345</wp:posOffset>
                </wp:positionV>
                <wp:extent cx="6394450" cy="0"/>
                <wp:wrapNone/>
                <wp:docPr id="65" name="Shape 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94450"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65" o:spid="_x0000_s10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0.7499pt,7.35pt" to="352.75pt,7.35pt" o:allowincell="f" strokecolor="#231F20" strokeweight="0.5pt"/>
            </w:pict>
          </mc:Fallback>
        </mc:AlternateContent>
      </w:r>
    </w:p>
    <w:p>
      <w:pPr>
        <w:spacing w:after="0" w:line="200" w:lineRule="exact"/>
        <w:rPr>
          <w:sz w:val="20"/>
          <w:szCs w:val="20"/>
          <w:color w:val="auto"/>
        </w:rPr>
      </w:pPr>
    </w:p>
    <w:p>
      <w:pPr>
        <w:sectPr>
          <w:pgSz w:w="11880" w:h="15480" w:orient="portrait"/>
          <w:cols w:equalWidth="0" w:num="2">
            <w:col w:w="2640" w:space="380"/>
            <w:col w:w="7140"/>
          </w:cols>
          <w:pgMar w:left="900" w:top="1340" w:right="820" w:bottom="763" w:gutter="0" w:footer="0" w:header="0"/>
          <w:type w:val="continuous"/>
        </w:sectPr>
      </w:pP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2860" w:type="dxa"/>
            <w:vAlign w:val="bottom"/>
          </w:tcPr>
          <w:p>
            <w:pPr>
              <w:jc w:val="center"/>
              <w:ind w:left="1140"/>
              <w:spacing w:after="0"/>
              <w:rPr>
                <w:sz w:val="20"/>
                <w:szCs w:val="20"/>
                <w:color w:val="auto"/>
              </w:rPr>
            </w:pPr>
            <w:r>
              <w:rPr>
                <w:rFonts w:ascii="Arial" w:cs="Arial" w:eastAsia="Arial" w:hAnsi="Arial"/>
                <w:sz w:val="20"/>
                <w:szCs w:val="20"/>
                <w:b w:val="1"/>
                <w:bCs w:val="1"/>
                <w:color w:val="FFFFFF"/>
                <w:w w:val="99"/>
              </w:rPr>
              <w:t>58th Year of</w:t>
            </w:r>
          </w:p>
        </w:tc>
        <w:tc>
          <w:tcPr>
            <w:tcW w:w="7220" w:type="dxa"/>
            <w:vAlign w:val="bottom"/>
          </w:tcPr>
          <w:p>
            <w:pPr>
              <w:ind w:left="160"/>
              <w:spacing w:after="0"/>
              <w:rPr>
                <w:sz w:val="20"/>
                <w:szCs w:val="20"/>
                <w:color w:val="auto"/>
              </w:rPr>
            </w:pPr>
            <w:r>
              <w:rPr>
                <w:rFonts w:ascii="Arial" w:cs="Arial" w:eastAsia="Arial" w:hAnsi="Arial"/>
                <w:sz w:val="20"/>
                <w:szCs w:val="20"/>
                <w:color w:val="231F20"/>
              </w:rPr>
              <w:t xml:space="preserve">Raised the dividend on our common shares for the </w:t>
            </w:r>
            <w:r>
              <w:rPr>
                <w:rFonts w:ascii="Arial" w:cs="Arial" w:eastAsia="Arial" w:hAnsi="Arial"/>
                <w:sz w:val="20"/>
                <w:szCs w:val="20"/>
                <w:color w:val="EF3E2A"/>
              </w:rPr>
              <w:t>58th</w:t>
            </w:r>
            <w:r>
              <w:rPr>
                <w:rFonts w:ascii="Arial" w:cs="Arial" w:eastAsia="Arial" w:hAnsi="Arial"/>
                <w:sz w:val="20"/>
                <w:szCs w:val="20"/>
                <w:color w:val="231F20"/>
              </w:rPr>
              <w:t xml:space="preserve"> consecutive year, a</w:t>
            </w:r>
          </w:p>
        </w:tc>
      </w:tr>
      <w:tr>
        <w:trPr>
          <w:trHeight w:val="240"/>
        </w:trPr>
        <w:tc>
          <w:tcPr>
            <w:tcW w:w="2860" w:type="dxa"/>
            <w:vAlign w:val="bottom"/>
          </w:tcPr>
          <w:p>
            <w:pPr>
              <w:jc w:val="center"/>
              <w:ind w:left="1120"/>
              <w:spacing w:after="0"/>
              <w:rPr>
                <w:sz w:val="20"/>
                <w:szCs w:val="20"/>
                <w:color w:val="auto"/>
              </w:rPr>
            </w:pPr>
            <w:r>
              <w:rPr>
                <w:rFonts w:ascii="Arial" w:cs="Arial" w:eastAsia="Arial" w:hAnsi="Arial"/>
                <w:sz w:val="20"/>
                <w:szCs w:val="20"/>
                <w:b w:val="1"/>
                <w:bCs w:val="1"/>
                <w:color w:val="FFFFFF"/>
                <w:w w:val="99"/>
              </w:rPr>
              <w:t>Dividend</w:t>
            </w:r>
          </w:p>
        </w:tc>
        <w:tc>
          <w:tcPr>
            <w:tcW w:w="7220" w:type="dxa"/>
            <w:vAlign w:val="bottom"/>
          </w:tcPr>
          <w:p>
            <w:pPr>
              <w:ind w:left="160"/>
              <w:spacing w:after="0" w:line="223" w:lineRule="exact"/>
              <w:rPr>
                <w:sz w:val="20"/>
                <w:szCs w:val="20"/>
                <w:color w:val="auto"/>
              </w:rPr>
            </w:pPr>
            <w:r>
              <w:rPr>
                <w:rFonts w:ascii="Arial" w:cs="Arial" w:eastAsia="Arial" w:hAnsi="Arial"/>
                <w:sz w:val="20"/>
                <w:szCs w:val="20"/>
                <w:color w:val="231F20"/>
              </w:rPr>
              <w:t>record in the REIT industry, representing a compound annual growth rate of</w:t>
            </w:r>
          </w:p>
        </w:tc>
      </w:tr>
      <w:tr>
        <w:trPr>
          <w:trHeight w:val="263"/>
        </w:trPr>
        <w:tc>
          <w:tcPr>
            <w:tcW w:w="2860" w:type="dxa"/>
            <w:vAlign w:val="bottom"/>
          </w:tcPr>
          <w:p>
            <w:pPr>
              <w:jc w:val="center"/>
              <w:ind w:left="1120"/>
              <w:spacing w:after="0"/>
              <w:rPr>
                <w:sz w:val="20"/>
                <w:szCs w:val="20"/>
                <w:color w:val="auto"/>
              </w:rPr>
            </w:pPr>
            <w:r>
              <w:rPr>
                <w:rFonts w:ascii="Arial" w:cs="Arial" w:eastAsia="Arial" w:hAnsi="Arial"/>
                <w:sz w:val="20"/>
                <w:szCs w:val="20"/>
                <w:b w:val="1"/>
                <w:bCs w:val="1"/>
                <w:color w:val="FFFFFF"/>
                <w:w w:val="99"/>
              </w:rPr>
              <w:t>Increases</w:t>
            </w:r>
          </w:p>
        </w:tc>
        <w:tc>
          <w:tcPr>
            <w:tcW w:w="7220" w:type="dxa"/>
            <w:vAlign w:val="bottom"/>
          </w:tcPr>
          <w:p>
            <w:pPr>
              <w:ind w:left="160"/>
              <w:spacing w:after="0" w:line="223" w:lineRule="exact"/>
              <w:rPr>
                <w:sz w:val="20"/>
                <w:szCs w:val="20"/>
                <w:color w:val="auto"/>
              </w:rPr>
            </w:pPr>
            <w:r>
              <w:rPr>
                <w:rFonts w:ascii="Arial" w:cs="Arial" w:eastAsia="Arial" w:hAnsi="Arial"/>
                <w:sz w:val="20"/>
                <w:szCs w:val="20"/>
                <w:color w:val="231F20"/>
              </w:rPr>
              <w:t xml:space="preserve">approximately </w:t>
            </w:r>
            <w:r>
              <w:rPr>
                <w:rFonts w:ascii="Arial" w:cs="Arial" w:eastAsia="Arial" w:hAnsi="Arial"/>
                <w:sz w:val="20"/>
                <w:szCs w:val="20"/>
                <w:color w:val="EF3E2A"/>
              </w:rPr>
              <w:t>6.5%</w:t>
            </w:r>
            <w:r>
              <w:rPr>
                <w:rFonts w:ascii="Arial" w:cs="Arial" w:eastAsia="Arial" w:hAnsi="Arial"/>
                <w:sz w:val="20"/>
                <w:szCs w:val="20"/>
                <w:color w:val="231F20"/>
              </w:rPr>
              <w:t xml:space="preserve"> over that 58-year period</w:t>
            </w:r>
          </w:p>
        </w:tc>
      </w:tr>
      <w:tr>
        <w:trPr>
          <w:trHeight w:val="110"/>
        </w:trPr>
        <w:tc>
          <w:tcPr>
            <w:tcW w:w="2860" w:type="dxa"/>
            <w:vAlign w:val="bottom"/>
            <w:tcBorders>
              <w:bottom w:val="single" w:sz="8" w:color="231F20"/>
            </w:tcBorders>
          </w:tcPr>
          <w:p>
            <w:pPr>
              <w:spacing w:after="0"/>
              <w:rPr>
                <w:sz w:val="9"/>
                <w:szCs w:val="9"/>
                <w:color w:val="auto"/>
              </w:rPr>
            </w:pPr>
          </w:p>
        </w:tc>
        <w:tc>
          <w:tcPr>
            <w:tcW w:w="7220" w:type="dxa"/>
            <w:vAlign w:val="bottom"/>
            <w:tcBorders>
              <w:bottom w:val="single" w:sz="8" w:color="231F20"/>
            </w:tcBorders>
          </w:tcPr>
          <w:p>
            <w:pPr>
              <w:spacing w:after="0"/>
              <w:rPr>
                <w:sz w:val="9"/>
                <w:szCs w:val="9"/>
                <w:color w:val="auto"/>
              </w:rPr>
            </w:pPr>
          </w:p>
        </w:tc>
      </w:tr>
      <w:tr>
        <w:trPr>
          <w:trHeight w:val="407"/>
        </w:trPr>
        <w:tc>
          <w:tcPr>
            <w:tcW w:w="2860" w:type="dxa"/>
            <w:vAlign w:val="bottom"/>
          </w:tcPr>
          <w:p>
            <w:pPr>
              <w:spacing w:after="0"/>
              <w:rPr>
                <w:sz w:val="24"/>
                <w:szCs w:val="24"/>
                <w:color w:val="auto"/>
              </w:rPr>
            </w:pPr>
          </w:p>
        </w:tc>
        <w:tc>
          <w:tcPr>
            <w:tcW w:w="7220" w:type="dxa"/>
            <w:vAlign w:val="bottom"/>
          </w:tcPr>
          <w:p>
            <w:pPr>
              <w:ind w:left="160"/>
              <w:spacing w:after="0"/>
              <w:rPr>
                <w:sz w:val="20"/>
                <w:szCs w:val="20"/>
                <w:color w:val="auto"/>
              </w:rPr>
            </w:pPr>
            <w:r>
              <w:rPr>
                <w:rFonts w:ascii="Arial" w:cs="Arial" w:eastAsia="Arial" w:hAnsi="Arial"/>
                <w:sz w:val="20"/>
                <w:szCs w:val="20"/>
                <w:color w:val="231F20"/>
              </w:rPr>
              <w:t xml:space="preserve">Achieved </w:t>
            </w:r>
            <w:r>
              <w:rPr>
                <w:rFonts w:ascii="Symbol" w:cs="Symbol" w:eastAsia="Symbol" w:hAnsi="Symbol"/>
                <w:sz w:val="20"/>
                <w:szCs w:val="20"/>
                <w:color w:val="231F20"/>
              </w:rPr>
              <w:t>≈</w:t>
            </w:r>
            <w:r>
              <w:rPr>
                <w:rFonts w:ascii="Arial" w:cs="Arial" w:eastAsia="Arial" w:hAnsi="Arial"/>
                <w:sz w:val="20"/>
                <w:szCs w:val="20"/>
                <w:color w:val="231F20"/>
              </w:rPr>
              <w:t xml:space="preserve"> </w:t>
            </w:r>
            <w:r>
              <w:rPr>
                <w:rFonts w:ascii="Arial" w:cs="Arial" w:eastAsia="Arial" w:hAnsi="Arial"/>
                <w:sz w:val="20"/>
                <w:szCs w:val="20"/>
                <w:color w:val="EF3E2A"/>
              </w:rPr>
              <w:t>35%</w:t>
            </w:r>
            <w:r>
              <w:rPr>
                <w:rFonts w:ascii="Arial" w:cs="Arial" w:eastAsia="Arial" w:hAnsi="Arial"/>
                <w:sz w:val="20"/>
                <w:szCs w:val="20"/>
                <w:color w:val="231F20"/>
              </w:rPr>
              <w:t xml:space="preserve"> decrease in Scope 1 and 2 GHG emissions through 2024</w:t>
            </w:r>
          </w:p>
        </w:tc>
      </w:tr>
      <w:tr>
        <w:trPr>
          <w:trHeight w:val="240"/>
        </w:trPr>
        <w:tc>
          <w:tcPr>
            <w:tcW w:w="2860" w:type="dxa"/>
            <w:vAlign w:val="bottom"/>
          </w:tcPr>
          <w:p>
            <w:pPr>
              <w:jc w:val="center"/>
              <w:ind w:left="1140"/>
              <w:spacing w:after="0"/>
              <w:rPr>
                <w:sz w:val="20"/>
                <w:szCs w:val="20"/>
                <w:color w:val="auto"/>
              </w:rPr>
            </w:pPr>
            <w:r>
              <w:rPr>
                <w:rFonts w:ascii="Arial" w:cs="Arial" w:eastAsia="Arial" w:hAnsi="Arial"/>
                <w:sz w:val="20"/>
                <w:szCs w:val="20"/>
                <w:b w:val="1"/>
                <w:bCs w:val="1"/>
                <w:color w:val="FFFFFF"/>
                <w:w w:val="99"/>
              </w:rPr>
              <w:t>Sustainability</w:t>
            </w:r>
          </w:p>
        </w:tc>
        <w:tc>
          <w:tcPr>
            <w:tcW w:w="7220" w:type="dxa"/>
            <w:vAlign w:val="bottom"/>
          </w:tcPr>
          <w:p>
            <w:pPr>
              <w:ind w:left="160"/>
              <w:spacing w:after="0" w:line="226" w:lineRule="exact"/>
              <w:rPr>
                <w:sz w:val="20"/>
                <w:szCs w:val="20"/>
                <w:color w:val="auto"/>
              </w:rPr>
            </w:pPr>
            <w:r>
              <w:rPr>
                <w:rFonts w:ascii="Arial" w:cs="Arial" w:eastAsia="Arial" w:hAnsi="Arial"/>
                <w:sz w:val="20"/>
                <w:szCs w:val="20"/>
                <w:color w:val="231F20"/>
              </w:rPr>
              <w:t>versus 2019 baseline in alignment with our 2030 GHG reduction target set in</w:t>
            </w:r>
          </w:p>
        </w:tc>
      </w:tr>
      <w:tr>
        <w:trPr>
          <w:trHeight w:val="225"/>
        </w:trPr>
        <w:tc>
          <w:tcPr>
            <w:tcW w:w="2860" w:type="dxa"/>
            <w:vAlign w:val="bottom"/>
          </w:tcPr>
          <w:p>
            <w:pPr>
              <w:spacing w:after="0"/>
              <w:rPr>
                <w:sz w:val="19"/>
                <w:szCs w:val="19"/>
                <w:color w:val="auto"/>
              </w:rPr>
            </w:pPr>
          </w:p>
        </w:tc>
        <w:tc>
          <w:tcPr>
            <w:tcW w:w="7220" w:type="dxa"/>
            <w:vAlign w:val="bottom"/>
          </w:tcPr>
          <w:p>
            <w:pPr>
              <w:ind w:left="160"/>
              <w:spacing w:after="0" w:line="226" w:lineRule="exact"/>
              <w:rPr>
                <w:sz w:val="20"/>
                <w:szCs w:val="20"/>
                <w:color w:val="auto"/>
              </w:rPr>
            </w:pPr>
            <w:r>
              <w:rPr>
                <w:rFonts w:ascii="Arial" w:cs="Arial" w:eastAsia="Arial" w:hAnsi="Arial"/>
                <w:sz w:val="20"/>
                <w:szCs w:val="20"/>
                <w:color w:val="231F20"/>
              </w:rPr>
              <w:t>accordance with the Science-Based Target initiative</w:t>
            </w:r>
          </w:p>
        </w:tc>
      </w:tr>
      <w:tr>
        <w:trPr>
          <w:trHeight w:val="148"/>
        </w:trPr>
        <w:tc>
          <w:tcPr>
            <w:tcW w:w="2860" w:type="dxa"/>
            <w:vAlign w:val="bottom"/>
            <w:tcBorders>
              <w:bottom w:val="single" w:sz="8" w:color="231F20"/>
            </w:tcBorders>
          </w:tcPr>
          <w:p>
            <w:pPr>
              <w:spacing w:after="0"/>
              <w:rPr>
                <w:sz w:val="12"/>
                <w:szCs w:val="12"/>
                <w:color w:val="auto"/>
              </w:rPr>
            </w:pPr>
          </w:p>
        </w:tc>
        <w:tc>
          <w:tcPr>
            <w:tcW w:w="7220" w:type="dxa"/>
            <w:vAlign w:val="bottom"/>
            <w:tcBorders>
              <w:bottom w:val="single" w:sz="8" w:color="231F20"/>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136525</wp:posOffset>
            </wp:positionH>
            <wp:positionV relativeFrom="paragraph">
              <wp:posOffset>-576580</wp:posOffset>
            </wp:positionV>
            <wp:extent cx="495300" cy="4895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51">
                      <a:extLst>
                        <a:ext uri="{28A0092B-C50C-407E-A947-70E740481C1C}"/>
                      </a:extLst>
                    </a:blip>
                    <a:srcRect/>
                    <a:stretch>
                      <a:fillRect/>
                    </a:stretch>
                  </pic:blipFill>
                  <pic:spPr bwMode="auto">
                    <a:xfrm>
                      <a:off x="0" y="0"/>
                      <a:ext cx="495300" cy="489585"/>
                    </a:xfrm>
                    <a:prstGeom prst="rect">
                      <a:avLst/>
                    </a:prstGeom>
                    <a:noFill/>
                  </pic:spPr>
                </pic:pic>
              </a:graphicData>
            </a:graphic>
          </wp:anchor>
        </w:drawing>
      </w:r>
    </w:p>
    <w:p>
      <w:pPr>
        <w:spacing w:after="0" w:line="202" w:lineRule="exact"/>
        <w:rPr>
          <w:sz w:val="20"/>
          <w:szCs w:val="20"/>
          <w:color w:val="auto"/>
        </w:rPr>
      </w:pPr>
    </w:p>
    <w:p>
      <w:pPr>
        <w:ind w:right="80"/>
        <w:spacing w:after="0" w:line="245" w:lineRule="auto"/>
        <w:tabs>
          <w:tab w:leader="none" w:pos="225" w:val="left"/>
        </w:tabs>
        <w:numPr>
          <w:ilvl w:val="0"/>
          <w:numId w:val="76"/>
        </w:numPr>
        <w:rPr>
          <w:rFonts w:ascii="Arial" w:cs="Arial" w:eastAsia="Arial" w:hAnsi="Arial"/>
          <w:sz w:val="20"/>
          <w:szCs w:val="20"/>
          <w:color w:val="231F20"/>
        </w:rPr>
      </w:pPr>
      <w:r>
        <w:rPr>
          <w:rFonts w:ascii="Arial" w:cs="Arial" w:eastAsia="Arial" w:hAnsi="Arial"/>
          <w:sz w:val="20"/>
          <w:szCs w:val="20"/>
          <w:color w:val="231F20"/>
        </w:rPr>
        <w:t>NAREIT FFO per diluted share (“NAREIT FFO per share”) is a non-GAAP financial measure that we consider significant in our business. See Appendix A for a reconciliation of NAREIT FFO per share to net income.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125095</wp:posOffset>
                </wp:positionV>
                <wp:extent cx="6400800" cy="177800"/>
                <wp:wrapNone/>
                <wp:docPr id="67" name="Shape 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177800"/>
                        </a:xfrm>
                        <a:prstGeom prst="rect">
                          <a:avLst/>
                        </a:prstGeom>
                        <a:solidFill>
                          <a:srgbClr val="E8E7E5"/>
                        </a:solidFill>
                      </wps:spPr>
                      <wps:bodyPr/>
                    </wps:wsp>
                  </a:graphicData>
                </a:graphic>
              </wp:anchor>
            </w:drawing>
          </mc:Choice>
          <mc:Fallback>
            <w:pict>
              <v:rect id="Shape 67" o:spid="_x0000_s1092" style="position:absolute;margin-left:0pt;margin-top:9.85pt;width:504pt;height:1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8E7E5" stroked="f"/>
            </w:pict>
          </mc:Fallback>
        </mc:AlternateContent>
        <mc:AlternateContent>
          <mc:Choice Requires="wps">
            <w:drawing>
              <wp:anchor simplePos="0" relativeHeight="251657728" behindDoc="1" locked="0" layoutInCell="0" allowOverlap="1">
                <wp:simplePos x="0" y="0"/>
                <wp:positionH relativeFrom="column">
                  <wp:posOffset>6350</wp:posOffset>
                </wp:positionH>
                <wp:positionV relativeFrom="paragraph">
                  <wp:posOffset>124460</wp:posOffset>
                </wp:positionV>
                <wp:extent cx="0" cy="177800"/>
                <wp:wrapNone/>
                <wp:docPr id="68" name="Shape 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68" o:spid="_x0000_s10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pt,9.8pt" to="0.5pt,23.8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130810</wp:posOffset>
                </wp:positionV>
                <wp:extent cx="6400800" cy="0"/>
                <wp:wrapNone/>
                <wp:docPr id="69" name="Shape 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69" o:spid="_x0000_s10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0.3pt" to="504pt,10.3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6394450</wp:posOffset>
                </wp:positionH>
                <wp:positionV relativeFrom="paragraph">
                  <wp:posOffset>124460</wp:posOffset>
                </wp:positionV>
                <wp:extent cx="0" cy="177800"/>
                <wp:wrapNone/>
                <wp:docPr id="70" name="Shape 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70" o:spid="_x0000_s10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3.5pt,9.8pt" to="503.5pt,23.8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295910</wp:posOffset>
                </wp:positionV>
                <wp:extent cx="6400800" cy="0"/>
                <wp:wrapNone/>
                <wp:docPr id="71" name="Shape 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71" o:spid="_x0000_s10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3.3pt" to="504pt,23.3pt" o:allowincell="f" strokecolor="#231F20" strokeweight="1pt"/>
            </w:pict>
          </mc:Fallback>
        </mc:AlternateContent>
      </w:r>
    </w:p>
    <w:p>
      <w:pPr>
        <w:sectPr>
          <w:pgSz w:w="11880" w:h="15480" w:orient="portrait"/>
          <w:cols w:equalWidth="0" w:num="1">
            <w:col w:w="10160"/>
          </w:cols>
          <w:pgMar w:left="900" w:top="1340" w:right="820" w:bottom="763" w:gutter="0" w:footer="0" w:header="0"/>
          <w:type w:val="continuous"/>
        </w:sectPr>
      </w:pPr>
    </w:p>
    <w:p>
      <w:pPr>
        <w:spacing w:after="0" w:line="245" w:lineRule="exact"/>
        <w:rPr>
          <w:sz w:val="20"/>
          <w:szCs w:val="20"/>
          <w:color w:val="auto"/>
        </w:rPr>
      </w:pPr>
    </w:p>
    <w:p>
      <w:pPr>
        <w:ind w:left="6800"/>
        <w:spacing w:after="0"/>
        <w:tabs>
          <w:tab w:leader="none" w:pos="8160" w:val="left"/>
          <w:tab w:leader="none" w:pos="9900" w:val="left"/>
        </w:tabs>
        <w:rPr>
          <w:sz w:val="20"/>
          <w:szCs w:val="20"/>
          <w:color w:val="auto"/>
        </w:rPr>
      </w:pPr>
      <w:r>
        <w:rPr>
          <w:rFonts w:ascii="Arial" w:cs="Arial" w:eastAsia="Arial" w:hAnsi="Arial"/>
          <w:sz w:val="16"/>
          <w:szCs w:val="16"/>
          <w:color w:val="EF3E2A"/>
        </w:rPr>
        <w:t>Federal Realty</w:t>
      </w:r>
      <w:r>
        <w:rPr>
          <w:sz w:val="20"/>
          <w:szCs w:val="20"/>
          <w:color w:val="auto"/>
        </w:rPr>
        <w:tab/>
      </w:r>
      <w:r>
        <w:rPr>
          <w:rFonts w:ascii="Arial" w:cs="Arial" w:eastAsia="Arial" w:hAnsi="Arial"/>
          <w:sz w:val="16"/>
          <w:szCs w:val="16"/>
          <w:color w:val="231F20"/>
        </w:rPr>
        <w:t>2026 Proxy Statement</w:t>
      </w:r>
      <w:r>
        <w:rPr>
          <w:sz w:val="20"/>
          <w:szCs w:val="20"/>
          <w:color w:val="auto"/>
        </w:rPr>
        <w:tab/>
      </w:r>
      <w:r>
        <w:rPr>
          <w:rFonts w:ascii="Arial" w:cs="Arial" w:eastAsia="Arial" w:hAnsi="Arial"/>
          <w:sz w:val="14"/>
          <w:szCs w:val="14"/>
          <w:color w:val="231F20"/>
        </w:rPr>
        <w:t>1</w:t>
      </w:r>
    </w:p>
    <w:p>
      <w:pPr>
        <w:sectPr>
          <w:pgSz w:w="11880" w:h="15480" w:orient="portrait"/>
          <w:cols w:equalWidth="0" w:num="1">
            <w:col w:w="10160"/>
          </w:cols>
          <w:pgMar w:left="900" w:top="1340" w:right="820" w:bottom="763" w:gutter="0" w:footer="0" w:header="0"/>
          <w:type w:val="continuous"/>
        </w:sectPr>
      </w:pPr>
    </w:p>
    <w:bookmarkStart w:id="121" w:name="page122"/>
    <w:bookmarkEnd w:id="121"/>
    <w:p>
      <w:pPr>
        <w:spacing w:after="0" w:line="268" w:lineRule="exact"/>
        <w:rPr>
          <w:sz w:val="20"/>
          <w:szCs w:val="20"/>
          <w:color w:val="auto"/>
        </w:rPr>
      </w:pPr>
      <w:r>
        <w:rPr>
          <w:rFonts w:ascii="Arial Unicode MS" w:cs="Arial Unicode MS" w:eastAsia="Arial Unicode MS" w:hAnsi="Arial Unicode MS"/>
          <w:sz w:val="20"/>
          <w:szCs w:val="20"/>
          <w:color w:val="EF3E2A"/>
        </w:rPr>
        <w:t>➣</w:t>
      </w:r>
      <w:r>
        <w:rPr>
          <w:rFonts w:ascii="Arial" w:cs="Arial" w:eastAsia="Arial" w:hAnsi="Arial"/>
          <w:sz w:val="20"/>
          <w:szCs w:val="20"/>
          <w:b w:val="1"/>
          <w:bCs w:val="1"/>
          <w:color w:val="231F20"/>
        </w:rPr>
        <w:t xml:space="preserve"> CORPORATE VALUES</w:t>
      </w:r>
    </w:p>
    <w:p>
      <w:pPr>
        <w:spacing w:after="0" w:line="257"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231F20"/>
        </w:rPr>
        <w:t xml:space="preserve">Our four core values drive the behaviors, actions and decisions we make towards achieving our business objectives and promote a unified approach to our individual jobs. We strive to achieve </w:t>
      </w:r>
      <w:r>
        <w:rPr>
          <w:rFonts w:ascii="Arial" w:cs="Arial" w:eastAsia="Arial" w:hAnsi="Arial"/>
          <w:sz w:val="20"/>
          <w:szCs w:val="20"/>
          <w:b w:val="1"/>
          <w:bCs w:val="1"/>
          <w:color w:val="EF3E2A"/>
        </w:rPr>
        <w:t>Excellence</w:t>
      </w:r>
      <w:r>
        <w:rPr>
          <w:rFonts w:ascii="Arial" w:cs="Arial" w:eastAsia="Arial" w:hAnsi="Arial"/>
          <w:sz w:val="20"/>
          <w:szCs w:val="20"/>
          <w:color w:val="231F20"/>
        </w:rPr>
        <w:t xml:space="preserve"> in all that we do as we operate, develop and redevelop properties to serve the needs of the local communities. </w:t>
      </w:r>
      <w:r>
        <w:rPr>
          <w:rFonts w:ascii="Arial" w:cs="Arial" w:eastAsia="Arial" w:hAnsi="Arial"/>
          <w:sz w:val="20"/>
          <w:szCs w:val="20"/>
          <w:b w:val="1"/>
          <w:bCs w:val="1"/>
          <w:color w:val="EF3E2A"/>
        </w:rPr>
        <w:t>Innovation</w:t>
      </w:r>
      <w:r>
        <w:rPr>
          <w:rFonts w:ascii="Arial" w:cs="Arial" w:eastAsia="Arial" w:hAnsi="Arial"/>
          <w:sz w:val="20"/>
          <w:szCs w:val="20"/>
          <w:color w:val="231F20"/>
        </w:rPr>
        <w:t xml:space="preserve"> is key to introducing new ways of conducting our business to continue to meet the evolving economic, environmental and social challenges the real estate industry must address both in the short- and long-term. We hold ourselves </w:t>
      </w:r>
      <w:r>
        <w:rPr>
          <w:rFonts w:ascii="Arial" w:cs="Arial" w:eastAsia="Arial" w:hAnsi="Arial"/>
          <w:sz w:val="20"/>
          <w:szCs w:val="20"/>
          <w:b w:val="1"/>
          <w:bCs w:val="1"/>
          <w:color w:val="EF3E2A"/>
        </w:rPr>
        <w:t>Accountable</w:t>
      </w:r>
      <w:r>
        <w:rPr>
          <w:rFonts w:ascii="Arial" w:cs="Arial" w:eastAsia="Arial" w:hAnsi="Arial"/>
          <w:sz w:val="20"/>
          <w:szCs w:val="20"/>
          <w:color w:val="231F20"/>
        </w:rPr>
        <w:t xml:space="preserve"> for our work and our results and always act with the highest level of </w:t>
      </w:r>
      <w:r>
        <w:rPr>
          <w:rFonts w:ascii="Arial" w:cs="Arial" w:eastAsia="Arial" w:hAnsi="Arial"/>
          <w:sz w:val="20"/>
          <w:szCs w:val="20"/>
          <w:b w:val="1"/>
          <w:bCs w:val="1"/>
          <w:color w:val="EF3E2A"/>
        </w:rPr>
        <w:t>Integrity</w:t>
      </w:r>
      <w:r>
        <w:rPr>
          <w:rFonts w:ascii="Arial" w:cs="Arial" w:eastAsia="Arial" w:hAnsi="Arial"/>
          <w:sz w:val="20"/>
          <w:szCs w:val="20"/>
          <w:color w:val="231F20"/>
        </w:rPr>
        <w:t xml:space="preserve"> in our dealings with our shareholders, our employees, our tenants, our business partners and our community partners. Living these values underpins our ability to successfully deliver results for all stakeholders.</w:t>
      </w:r>
    </w:p>
    <w:p>
      <w:pPr>
        <w:spacing w:after="0" w:line="206" w:lineRule="exact"/>
        <w:rPr>
          <w:sz w:val="20"/>
          <w:szCs w:val="20"/>
          <w:color w:val="auto"/>
        </w:rPr>
      </w:pPr>
    </w:p>
    <w:p>
      <w:pPr>
        <w:spacing w:after="0" w:line="268" w:lineRule="exact"/>
        <w:rPr>
          <w:sz w:val="20"/>
          <w:szCs w:val="20"/>
          <w:color w:val="auto"/>
        </w:rPr>
      </w:pPr>
      <w:r>
        <w:rPr>
          <w:rFonts w:ascii="Arial Unicode MS" w:cs="Arial Unicode MS" w:eastAsia="Arial Unicode MS" w:hAnsi="Arial Unicode MS"/>
          <w:sz w:val="20"/>
          <w:szCs w:val="20"/>
          <w:color w:val="EF3E2A"/>
        </w:rPr>
        <w:t>➣</w:t>
      </w:r>
      <w:r>
        <w:rPr>
          <w:rFonts w:ascii="Arial" w:cs="Arial" w:eastAsia="Arial" w:hAnsi="Arial"/>
          <w:sz w:val="20"/>
          <w:szCs w:val="20"/>
          <w:b w:val="1"/>
          <w:bCs w:val="1"/>
          <w:color w:val="231F20"/>
        </w:rPr>
        <w:t xml:space="preserve"> OUR BOARD</w:t>
      </w:r>
    </w:p>
    <w:p>
      <w:pPr>
        <w:spacing w:after="0" w:line="257"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231F20"/>
        </w:rPr>
        <w:t>We have eight (8) trustees serving on our Board, all of whom are independent except for Mr. Wood who serves as our CEO. Each of these individuals has been nominated to stand for election at the 2026 annual shareholder meeting.</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60" w:type="dxa"/>
            <w:vAlign w:val="bottom"/>
            <w:shd w:val="clear" w:color="auto" w:fill="EF3E2A"/>
          </w:tcPr>
          <w:p>
            <w:pPr>
              <w:spacing w:after="0"/>
              <w:rPr>
                <w:sz w:val="19"/>
                <w:szCs w:val="19"/>
                <w:color w:val="auto"/>
              </w:rPr>
            </w:pPr>
          </w:p>
        </w:tc>
        <w:tc>
          <w:tcPr>
            <w:tcW w:w="680" w:type="dxa"/>
            <w:vAlign w:val="bottom"/>
            <w:shd w:val="clear" w:color="auto" w:fill="EF3E2A"/>
          </w:tcPr>
          <w:p>
            <w:pPr>
              <w:spacing w:after="0"/>
              <w:rPr>
                <w:sz w:val="19"/>
                <w:szCs w:val="19"/>
                <w:color w:val="auto"/>
              </w:rPr>
            </w:pPr>
          </w:p>
        </w:tc>
        <w:tc>
          <w:tcPr>
            <w:tcW w:w="1040" w:type="dxa"/>
            <w:vAlign w:val="bottom"/>
            <w:shd w:val="clear" w:color="auto" w:fill="EF3E2A"/>
          </w:tcPr>
          <w:p>
            <w:pPr>
              <w:jc w:val="center"/>
              <w:spacing w:after="0"/>
              <w:rPr>
                <w:sz w:val="20"/>
                <w:szCs w:val="20"/>
                <w:color w:val="auto"/>
              </w:rPr>
            </w:pPr>
            <w:r>
              <w:rPr>
                <w:rFonts w:ascii="Arial" w:cs="Arial" w:eastAsia="Arial" w:hAnsi="Arial"/>
                <w:sz w:val="20"/>
                <w:szCs w:val="20"/>
                <w:b w:val="1"/>
                <w:bCs w:val="1"/>
                <w:color w:val="FFFFFF"/>
                <w:w w:val="99"/>
              </w:rPr>
              <w:t>Trustee</w:t>
            </w:r>
          </w:p>
        </w:tc>
        <w:tc>
          <w:tcPr>
            <w:tcW w:w="1500" w:type="dxa"/>
            <w:vAlign w:val="bottom"/>
            <w:shd w:val="clear" w:color="auto" w:fill="EF3E2A"/>
          </w:tcPr>
          <w:p>
            <w:pPr>
              <w:spacing w:after="0"/>
              <w:rPr>
                <w:sz w:val="19"/>
                <w:szCs w:val="19"/>
                <w:color w:val="auto"/>
              </w:rPr>
            </w:pPr>
          </w:p>
        </w:tc>
        <w:tc>
          <w:tcPr>
            <w:tcW w:w="2700" w:type="dxa"/>
            <w:vAlign w:val="bottom"/>
            <w:gridSpan w:val="3"/>
            <w:shd w:val="clear" w:color="auto" w:fill="EF3E2A"/>
          </w:tcPr>
          <w:p>
            <w:pPr>
              <w:jc w:val="center"/>
              <w:spacing w:after="0"/>
              <w:rPr>
                <w:sz w:val="20"/>
                <w:szCs w:val="20"/>
                <w:color w:val="auto"/>
              </w:rPr>
            </w:pPr>
            <w:r>
              <w:rPr>
                <w:rFonts w:ascii="Arial" w:cs="Arial" w:eastAsia="Arial" w:hAnsi="Arial"/>
                <w:sz w:val="20"/>
                <w:szCs w:val="20"/>
                <w:b w:val="1"/>
                <w:bCs w:val="1"/>
                <w:color w:val="FFFFFF"/>
              </w:rPr>
              <w:t>Committee Memberships</w:t>
            </w:r>
          </w:p>
        </w:tc>
      </w:tr>
      <w:tr>
        <w:trPr>
          <w:trHeight w:val="246"/>
        </w:trPr>
        <w:tc>
          <w:tcPr>
            <w:tcW w:w="4160" w:type="dxa"/>
            <w:vAlign w:val="bottom"/>
            <w:shd w:val="clear" w:color="auto" w:fill="EF3E2A"/>
          </w:tcPr>
          <w:p>
            <w:pPr>
              <w:spacing w:after="0" w:line="228" w:lineRule="exact"/>
              <w:rPr>
                <w:sz w:val="20"/>
                <w:szCs w:val="20"/>
                <w:color w:val="auto"/>
              </w:rPr>
            </w:pPr>
            <w:r>
              <w:rPr>
                <w:rFonts w:ascii="Arial" w:cs="Arial" w:eastAsia="Arial" w:hAnsi="Arial"/>
                <w:sz w:val="20"/>
                <w:szCs w:val="20"/>
                <w:b w:val="1"/>
                <w:bCs w:val="1"/>
                <w:color w:val="FFFFFF"/>
              </w:rPr>
              <w:t>Name and Principal Occupation</w:t>
            </w:r>
          </w:p>
        </w:tc>
        <w:tc>
          <w:tcPr>
            <w:tcW w:w="680" w:type="dxa"/>
            <w:vAlign w:val="bottom"/>
            <w:shd w:val="clear" w:color="auto" w:fill="EF3E2A"/>
          </w:tcPr>
          <w:p>
            <w:pPr>
              <w:jc w:val="center"/>
              <w:spacing w:after="0" w:line="228" w:lineRule="exact"/>
              <w:rPr>
                <w:sz w:val="20"/>
                <w:szCs w:val="20"/>
                <w:color w:val="auto"/>
              </w:rPr>
            </w:pPr>
            <w:r>
              <w:rPr>
                <w:rFonts w:ascii="Arial" w:cs="Arial" w:eastAsia="Arial" w:hAnsi="Arial"/>
                <w:sz w:val="20"/>
                <w:szCs w:val="20"/>
                <w:b w:val="1"/>
                <w:bCs w:val="1"/>
                <w:color w:val="FFFFFF"/>
              </w:rPr>
              <w:t>Age</w:t>
            </w:r>
          </w:p>
        </w:tc>
        <w:tc>
          <w:tcPr>
            <w:tcW w:w="1040" w:type="dxa"/>
            <w:vAlign w:val="bottom"/>
            <w:shd w:val="clear" w:color="auto" w:fill="EF3E2A"/>
          </w:tcPr>
          <w:p>
            <w:pPr>
              <w:jc w:val="center"/>
              <w:spacing w:after="0" w:line="228" w:lineRule="exact"/>
              <w:rPr>
                <w:sz w:val="20"/>
                <w:szCs w:val="20"/>
                <w:color w:val="auto"/>
              </w:rPr>
            </w:pPr>
            <w:r>
              <w:rPr>
                <w:rFonts w:ascii="Arial" w:cs="Arial" w:eastAsia="Arial" w:hAnsi="Arial"/>
                <w:sz w:val="20"/>
                <w:szCs w:val="20"/>
                <w:b w:val="1"/>
                <w:bCs w:val="1"/>
                <w:color w:val="FFFFFF"/>
              </w:rPr>
              <w:t>Since</w:t>
            </w:r>
          </w:p>
        </w:tc>
        <w:tc>
          <w:tcPr>
            <w:tcW w:w="1500" w:type="dxa"/>
            <w:vAlign w:val="bottom"/>
            <w:shd w:val="clear" w:color="auto" w:fill="EF3E2A"/>
          </w:tcPr>
          <w:p>
            <w:pPr>
              <w:jc w:val="center"/>
              <w:spacing w:after="0" w:line="228" w:lineRule="exact"/>
              <w:rPr>
                <w:sz w:val="20"/>
                <w:szCs w:val="20"/>
                <w:color w:val="auto"/>
              </w:rPr>
            </w:pPr>
            <w:r>
              <w:rPr>
                <w:rFonts w:ascii="Arial" w:cs="Arial" w:eastAsia="Arial" w:hAnsi="Arial"/>
                <w:sz w:val="20"/>
                <w:szCs w:val="20"/>
                <w:b w:val="1"/>
                <w:bCs w:val="1"/>
                <w:color w:val="FFFFFF"/>
                <w:w w:val="99"/>
              </w:rPr>
              <w:t>Independent</w:t>
            </w:r>
          </w:p>
        </w:tc>
        <w:tc>
          <w:tcPr>
            <w:tcW w:w="900" w:type="dxa"/>
            <w:vAlign w:val="bottom"/>
            <w:shd w:val="clear" w:color="auto" w:fill="EF3E2A"/>
          </w:tcPr>
          <w:p>
            <w:pPr>
              <w:ind w:left="300"/>
              <w:spacing w:after="0" w:line="228" w:lineRule="exact"/>
              <w:rPr>
                <w:sz w:val="20"/>
                <w:szCs w:val="20"/>
                <w:color w:val="auto"/>
              </w:rPr>
            </w:pPr>
            <w:r>
              <w:rPr>
                <w:rFonts w:ascii="Arial" w:cs="Arial" w:eastAsia="Arial" w:hAnsi="Arial"/>
                <w:sz w:val="20"/>
                <w:szCs w:val="20"/>
                <w:b w:val="1"/>
                <w:bCs w:val="1"/>
                <w:color w:val="FFFFFF"/>
              </w:rPr>
              <w:t>AC</w:t>
            </w:r>
          </w:p>
        </w:tc>
        <w:tc>
          <w:tcPr>
            <w:tcW w:w="900" w:type="dxa"/>
            <w:vAlign w:val="bottom"/>
            <w:shd w:val="clear" w:color="auto" w:fill="EF3E2A"/>
          </w:tcPr>
          <w:p>
            <w:pPr>
              <w:jc w:val="center"/>
              <w:spacing w:after="0" w:line="228" w:lineRule="exact"/>
              <w:rPr>
                <w:sz w:val="20"/>
                <w:szCs w:val="20"/>
                <w:color w:val="auto"/>
              </w:rPr>
            </w:pPr>
            <w:r>
              <w:rPr>
                <w:rFonts w:ascii="Arial" w:cs="Arial" w:eastAsia="Arial" w:hAnsi="Arial"/>
                <w:sz w:val="20"/>
                <w:szCs w:val="20"/>
                <w:b w:val="1"/>
                <w:bCs w:val="1"/>
                <w:color w:val="FFFFFF"/>
              </w:rPr>
              <w:t>CC</w:t>
            </w:r>
          </w:p>
        </w:tc>
        <w:tc>
          <w:tcPr>
            <w:tcW w:w="900" w:type="dxa"/>
            <w:vAlign w:val="bottom"/>
            <w:shd w:val="clear" w:color="auto" w:fill="EF3E2A"/>
          </w:tcPr>
          <w:p>
            <w:pPr>
              <w:jc w:val="center"/>
              <w:spacing w:after="0" w:line="228" w:lineRule="exact"/>
              <w:rPr>
                <w:sz w:val="20"/>
                <w:szCs w:val="20"/>
                <w:color w:val="auto"/>
              </w:rPr>
            </w:pPr>
            <w:r>
              <w:rPr>
                <w:rFonts w:ascii="Arial" w:cs="Arial" w:eastAsia="Arial" w:hAnsi="Arial"/>
                <w:sz w:val="20"/>
                <w:szCs w:val="20"/>
                <w:b w:val="1"/>
                <w:bCs w:val="1"/>
                <w:color w:val="FFFFFF"/>
              </w:rPr>
              <w:t>NC</w:t>
            </w:r>
          </w:p>
        </w:tc>
      </w:tr>
      <w:tr>
        <w:trPr>
          <w:trHeight w:val="282"/>
        </w:trPr>
        <w:tc>
          <w:tcPr>
            <w:tcW w:w="4160" w:type="dxa"/>
            <w:vAlign w:val="bottom"/>
            <w:shd w:val="clear" w:color="auto" w:fill="DCDDDE"/>
          </w:tcPr>
          <w:p>
            <w:pPr>
              <w:spacing w:after="0"/>
              <w:rPr>
                <w:sz w:val="20"/>
                <w:szCs w:val="20"/>
                <w:color w:val="auto"/>
              </w:rPr>
            </w:pPr>
            <w:r>
              <w:rPr>
                <w:rFonts w:ascii="Arial" w:cs="Arial" w:eastAsia="Arial" w:hAnsi="Arial"/>
                <w:sz w:val="20"/>
                <w:szCs w:val="20"/>
                <w:b w:val="1"/>
                <w:bCs w:val="1"/>
                <w:color w:val="231F20"/>
              </w:rPr>
              <w:t>David W. Faeder±</w:t>
            </w:r>
          </w:p>
        </w:tc>
        <w:tc>
          <w:tcPr>
            <w:tcW w:w="680" w:type="dxa"/>
            <w:vAlign w:val="bottom"/>
            <w:shd w:val="clear" w:color="auto" w:fill="DCDDDE"/>
          </w:tcPr>
          <w:p>
            <w:pPr>
              <w:jc w:val="center"/>
              <w:spacing w:after="0"/>
              <w:rPr>
                <w:sz w:val="20"/>
                <w:szCs w:val="20"/>
                <w:color w:val="auto"/>
              </w:rPr>
            </w:pPr>
            <w:r>
              <w:rPr>
                <w:rFonts w:ascii="Arial" w:cs="Arial" w:eastAsia="Arial" w:hAnsi="Arial"/>
                <w:sz w:val="20"/>
                <w:szCs w:val="20"/>
                <w:color w:val="231F20"/>
                <w:w w:val="98"/>
              </w:rPr>
              <w:t>69</w:t>
            </w:r>
          </w:p>
        </w:tc>
        <w:tc>
          <w:tcPr>
            <w:tcW w:w="1040" w:type="dxa"/>
            <w:vAlign w:val="bottom"/>
            <w:shd w:val="clear" w:color="auto" w:fill="DCDDDE"/>
          </w:tcPr>
          <w:p>
            <w:pPr>
              <w:jc w:val="center"/>
              <w:spacing w:after="0"/>
              <w:rPr>
                <w:sz w:val="20"/>
                <w:szCs w:val="20"/>
                <w:color w:val="auto"/>
              </w:rPr>
            </w:pPr>
            <w:r>
              <w:rPr>
                <w:rFonts w:ascii="Arial" w:cs="Arial" w:eastAsia="Arial" w:hAnsi="Arial"/>
                <w:sz w:val="20"/>
                <w:szCs w:val="20"/>
                <w:color w:val="231F20"/>
                <w:w w:val="98"/>
              </w:rPr>
              <w:t>2003</w:t>
            </w:r>
          </w:p>
        </w:tc>
        <w:tc>
          <w:tcPr>
            <w:tcW w:w="1500" w:type="dxa"/>
            <w:vAlign w:val="bottom"/>
            <w:shd w:val="clear" w:color="auto" w:fill="DCDDDE"/>
          </w:tcPr>
          <w:p>
            <w:pPr>
              <w:jc w:val="center"/>
              <w:spacing w:after="0"/>
              <w:rPr>
                <w:sz w:val="20"/>
                <w:szCs w:val="20"/>
                <w:color w:val="auto"/>
              </w:rPr>
            </w:pPr>
            <w:r>
              <w:rPr>
                <w:rFonts w:ascii="Arial" w:cs="Arial" w:eastAsia="Arial" w:hAnsi="Arial"/>
                <w:sz w:val="20"/>
                <w:szCs w:val="20"/>
                <w:color w:val="231F20"/>
                <w:w w:val="98"/>
              </w:rPr>
              <w:t>Yes</w:t>
            </w:r>
          </w:p>
        </w:tc>
        <w:tc>
          <w:tcPr>
            <w:tcW w:w="900" w:type="dxa"/>
            <w:vAlign w:val="bottom"/>
            <w:shd w:val="clear" w:color="auto" w:fill="DCDDDE"/>
          </w:tcPr>
          <w:p>
            <w:pPr>
              <w:jc w:val="center"/>
              <w:spacing w:after="0" w:line="268" w:lineRule="exact"/>
              <w:rPr>
                <w:sz w:val="20"/>
                <w:szCs w:val="20"/>
                <w:color w:val="auto"/>
              </w:rPr>
            </w:pPr>
            <w:r>
              <w:rPr>
                <w:rFonts w:ascii="Arial Unicode MS" w:cs="Arial Unicode MS" w:eastAsia="Arial Unicode MS" w:hAnsi="Arial Unicode MS"/>
                <w:sz w:val="20"/>
                <w:szCs w:val="20"/>
                <w:color w:val="231F20"/>
                <w:w w:val="98"/>
              </w:rPr>
              <w:t>✓</w:t>
            </w:r>
            <w:r>
              <w:rPr>
                <w:rFonts w:ascii="Arial" w:cs="Arial" w:eastAsia="Arial" w:hAnsi="Arial"/>
                <w:sz w:val="20"/>
                <w:szCs w:val="20"/>
                <w:color w:val="231F20"/>
                <w:w w:val="98"/>
              </w:rPr>
              <w:t>$</w:t>
            </w:r>
          </w:p>
        </w:tc>
        <w:tc>
          <w:tcPr>
            <w:tcW w:w="900" w:type="dxa"/>
            <w:vAlign w:val="bottom"/>
            <w:shd w:val="clear" w:color="auto" w:fill="DCDDDE"/>
          </w:tcPr>
          <w:p>
            <w:pPr>
              <w:spacing w:after="0"/>
              <w:rPr>
                <w:sz w:val="24"/>
                <w:szCs w:val="24"/>
                <w:color w:val="auto"/>
              </w:rPr>
            </w:pPr>
          </w:p>
        </w:tc>
        <w:tc>
          <w:tcPr>
            <w:tcW w:w="900" w:type="dxa"/>
            <w:vAlign w:val="bottom"/>
            <w:shd w:val="clear" w:color="auto" w:fill="DCDDDE"/>
          </w:tcPr>
          <w:p>
            <w:pPr>
              <w:jc w:val="center"/>
              <w:spacing w:after="0" w:line="268" w:lineRule="exact"/>
              <w:rPr>
                <w:sz w:val="20"/>
                <w:szCs w:val="20"/>
                <w:color w:val="auto"/>
              </w:rPr>
            </w:pPr>
            <w:r>
              <w:rPr>
                <w:rFonts w:ascii="Arial Unicode MS" w:cs="Arial Unicode MS" w:eastAsia="Arial Unicode MS" w:hAnsi="Arial Unicode MS"/>
                <w:sz w:val="20"/>
                <w:szCs w:val="20"/>
                <w:color w:val="231F20"/>
                <w:w w:val="92"/>
              </w:rPr>
              <w:t>✓</w:t>
            </w:r>
          </w:p>
        </w:tc>
      </w:tr>
      <w:tr>
        <w:trPr>
          <w:trHeight w:val="214"/>
        </w:trPr>
        <w:tc>
          <w:tcPr>
            <w:tcW w:w="4160" w:type="dxa"/>
            <w:vAlign w:val="bottom"/>
            <w:shd w:val="clear" w:color="auto" w:fill="DCDDDE"/>
          </w:tcPr>
          <w:p>
            <w:pPr>
              <w:spacing w:after="0"/>
              <w:rPr>
                <w:sz w:val="20"/>
                <w:szCs w:val="20"/>
                <w:color w:val="auto"/>
              </w:rPr>
            </w:pPr>
            <w:r>
              <w:rPr>
                <w:rFonts w:ascii="Arial" w:cs="Arial" w:eastAsia="Arial" w:hAnsi="Arial"/>
                <w:sz w:val="18"/>
                <w:szCs w:val="18"/>
                <w:color w:val="231F20"/>
              </w:rPr>
              <w:t>Managing Partner/Fountain Square Properties and</w:t>
            </w:r>
          </w:p>
        </w:tc>
        <w:tc>
          <w:tcPr>
            <w:tcW w:w="680" w:type="dxa"/>
            <w:vAlign w:val="bottom"/>
            <w:shd w:val="clear" w:color="auto" w:fill="DCDDDE"/>
          </w:tcPr>
          <w:p>
            <w:pPr>
              <w:spacing w:after="0"/>
              <w:rPr>
                <w:sz w:val="18"/>
                <w:szCs w:val="18"/>
                <w:color w:val="auto"/>
              </w:rPr>
            </w:pPr>
          </w:p>
        </w:tc>
        <w:tc>
          <w:tcPr>
            <w:tcW w:w="1040" w:type="dxa"/>
            <w:vAlign w:val="bottom"/>
            <w:shd w:val="clear" w:color="auto" w:fill="DCDDDE"/>
          </w:tcPr>
          <w:p>
            <w:pPr>
              <w:spacing w:after="0"/>
              <w:rPr>
                <w:sz w:val="18"/>
                <w:szCs w:val="18"/>
                <w:color w:val="auto"/>
              </w:rPr>
            </w:pPr>
          </w:p>
        </w:tc>
        <w:tc>
          <w:tcPr>
            <w:tcW w:w="1500" w:type="dxa"/>
            <w:vAlign w:val="bottom"/>
            <w:shd w:val="clear" w:color="auto" w:fill="DCDDDE"/>
          </w:tcPr>
          <w:p>
            <w:pPr>
              <w:spacing w:after="0"/>
              <w:rPr>
                <w:sz w:val="18"/>
                <w:szCs w:val="18"/>
                <w:color w:val="auto"/>
              </w:rPr>
            </w:pPr>
          </w:p>
        </w:tc>
        <w:tc>
          <w:tcPr>
            <w:tcW w:w="900" w:type="dxa"/>
            <w:vAlign w:val="bottom"/>
            <w:shd w:val="clear" w:color="auto" w:fill="DCDDDE"/>
          </w:tcPr>
          <w:p>
            <w:pPr>
              <w:spacing w:after="0"/>
              <w:rPr>
                <w:sz w:val="18"/>
                <w:szCs w:val="18"/>
                <w:color w:val="auto"/>
              </w:rPr>
            </w:pPr>
          </w:p>
        </w:tc>
        <w:tc>
          <w:tcPr>
            <w:tcW w:w="900" w:type="dxa"/>
            <w:vAlign w:val="bottom"/>
            <w:shd w:val="clear" w:color="auto" w:fill="DCDDDE"/>
          </w:tcPr>
          <w:p>
            <w:pPr>
              <w:spacing w:after="0"/>
              <w:rPr>
                <w:sz w:val="18"/>
                <w:szCs w:val="18"/>
                <w:color w:val="auto"/>
              </w:rPr>
            </w:pPr>
          </w:p>
        </w:tc>
        <w:tc>
          <w:tcPr>
            <w:tcW w:w="900" w:type="dxa"/>
            <w:vAlign w:val="bottom"/>
            <w:shd w:val="clear" w:color="auto" w:fill="DCDDDE"/>
          </w:tcPr>
          <w:p>
            <w:pPr>
              <w:spacing w:after="0"/>
              <w:rPr>
                <w:sz w:val="18"/>
                <w:szCs w:val="18"/>
                <w:color w:val="auto"/>
              </w:rPr>
            </w:pPr>
          </w:p>
        </w:tc>
      </w:tr>
      <w:tr>
        <w:trPr>
          <w:trHeight w:val="244"/>
        </w:trPr>
        <w:tc>
          <w:tcPr>
            <w:tcW w:w="4160" w:type="dxa"/>
            <w:vAlign w:val="bottom"/>
            <w:tcBorders>
              <w:bottom w:val="single" w:sz="8" w:color="DCDDDE"/>
            </w:tcBorders>
            <w:shd w:val="clear" w:color="auto" w:fill="DCDDDE"/>
          </w:tcPr>
          <w:p>
            <w:pPr>
              <w:spacing w:after="0"/>
              <w:rPr>
                <w:sz w:val="20"/>
                <w:szCs w:val="20"/>
                <w:color w:val="auto"/>
              </w:rPr>
            </w:pPr>
            <w:r>
              <w:rPr>
                <w:rFonts w:ascii="Arial" w:cs="Arial" w:eastAsia="Arial" w:hAnsi="Arial"/>
                <w:sz w:val="18"/>
                <w:szCs w:val="18"/>
                <w:color w:val="231F20"/>
              </w:rPr>
              <w:t>Managing Member/Kensington Senior Living</w:t>
            </w:r>
          </w:p>
        </w:tc>
        <w:tc>
          <w:tcPr>
            <w:tcW w:w="680" w:type="dxa"/>
            <w:vAlign w:val="bottom"/>
            <w:tcBorders>
              <w:bottom w:val="single" w:sz="8" w:color="DCDDDE"/>
            </w:tcBorders>
            <w:shd w:val="clear" w:color="auto" w:fill="DCDDDE"/>
          </w:tcPr>
          <w:p>
            <w:pPr>
              <w:spacing w:after="0"/>
              <w:rPr>
                <w:sz w:val="21"/>
                <w:szCs w:val="21"/>
                <w:color w:val="auto"/>
              </w:rPr>
            </w:pPr>
          </w:p>
        </w:tc>
        <w:tc>
          <w:tcPr>
            <w:tcW w:w="1040" w:type="dxa"/>
            <w:vAlign w:val="bottom"/>
            <w:tcBorders>
              <w:bottom w:val="single" w:sz="8" w:color="DCDDDE"/>
            </w:tcBorders>
            <w:shd w:val="clear" w:color="auto" w:fill="DCDDDE"/>
          </w:tcPr>
          <w:p>
            <w:pPr>
              <w:spacing w:after="0"/>
              <w:rPr>
                <w:sz w:val="21"/>
                <w:szCs w:val="21"/>
                <w:color w:val="auto"/>
              </w:rPr>
            </w:pPr>
          </w:p>
        </w:tc>
        <w:tc>
          <w:tcPr>
            <w:tcW w:w="1500" w:type="dxa"/>
            <w:vAlign w:val="bottom"/>
            <w:tcBorders>
              <w:bottom w:val="single" w:sz="8" w:color="DCDDDE"/>
            </w:tcBorders>
            <w:shd w:val="clear" w:color="auto" w:fill="DCDDDE"/>
          </w:tcPr>
          <w:p>
            <w:pPr>
              <w:spacing w:after="0"/>
              <w:rPr>
                <w:sz w:val="21"/>
                <w:szCs w:val="21"/>
                <w:color w:val="auto"/>
              </w:rPr>
            </w:pPr>
          </w:p>
        </w:tc>
        <w:tc>
          <w:tcPr>
            <w:tcW w:w="900" w:type="dxa"/>
            <w:vAlign w:val="bottom"/>
            <w:tcBorders>
              <w:bottom w:val="single" w:sz="8" w:color="DCDDDE"/>
            </w:tcBorders>
            <w:shd w:val="clear" w:color="auto" w:fill="DCDDDE"/>
          </w:tcPr>
          <w:p>
            <w:pPr>
              <w:spacing w:after="0"/>
              <w:rPr>
                <w:sz w:val="21"/>
                <w:szCs w:val="21"/>
                <w:color w:val="auto"/>
              </w:rPr>
            </w:pPr>
          </w:p>
        </w:tc>
        <w:tc>
          <w:tcPr>
            <w:tcW w:w="900" w:type="dxa"/>
            <w:vAlign w:val="bottom"/>
            <w:tcBorders>
              <w:bottom w:val="single" w:sz="8" w:color="DCDDDE"/>
            </w:tcBorders>
            <w:shd w:val="clear" w:color="auto" w:fill="DCDDDE"/>
          </w:tcPr>
          <w:p>
            <w:pPr>
              <w:spacing w:after="0"/>
              <w:rPr>
                <w:sz w:val="21"/>
                <w:szCs w:val="21"/>
                <w:color w:val="auto"/>
              </w:rPr>
            </w:pPr>
          </w:p>
        </w:tc>
        <w:tc>
          <w:tcPr>
            <w:tcW w:w="900" w:type="dxa"/>
            <w:vAlign w:val="bottom"/>
            <w:tcBorders>
              <w:bottom w:val="single" w:sz="8" w:color="DCDDDE"/>
            </w:tcBorders>
            <w:shd w:val="clear" w:color="auto" w:fill="DCDDDE"/>
          </w:tcPr>
          <w:p>
            <w:pPr>
              <w:spacing w:after="0"/>
              <w:rPr>
                <w:sz w:val="21"/>
                <w:szCs w:val="21"/>
                <w:color w:val="auto"/>
              </w:rPr>
            </w:pPr>
          </w:p>
        </w:tc>
      </w:tr>
      <w:tr>
        <w:trPr>
          <w:trHeight w:val="282"/>
        </w:trPr>
        <w:tc>
          <w:tcPr>
            <w:tcW w:w="4160" w:type="dxa"/>
            <w:vAlign w:val="bottom"/>
          </w:tcPr>
          <w:p>
            <w:pPr>
              <w:spacing w:after="0"/>
              <w:rPr>
                <w:sz w:val="20"/>
                <w:szCs w:val="20"/>
                <w:color w:val="auto"/>
              </w:rPr>
            </w:pPr>
            <w:r>
              <w:rPr>
                <w:rFonts w:ascii="Arial" w:cs="Arial" w:eastAsia="Arial" w:hAnsi="Arial"/>
                <w:sz w:val="20"/>
                <w:szCs w:val="20"/>
                <w:b w:val="1"/>
                <w:bCs w:val="1"/>
                <w:color w:val="231F20"/>
              </w:rPr>
              <w:t>Joseph. D. Fisher</w:t>
            </w:r>
          </w:p>
        </w:tc>
        <w:tc>
          <w:tcPr>
            <w:tcW w:w="680" w:type="dxa"/>
            <w:vAlign w:val="bottom"/>
          </w:tcPr>
          <w:p>
            <w:pPr>
              <w:jc w:val="center"/>
              <w:spacing w:after="0"/>
              <w:rPr>
                <w:sz w:val="20"/>
                <w:szCs w:val="20"/>
                <w:color w:val="auto"/>
              </w:rPr>
            </w:pPr>
            <w:r>
              <w:rPr>
                <w:rFonts w:ascii="Arial" w:cs="Arial" w:eastAsia="Arial" w:hAnsi="Arial"/>
                <w:sz w:val="20"/>
                <w:szCs w:val="20"/>
                <w:color w:val="231F20"/>
                <w:w w:val="98"/>
              </w:rPr>
              <w:t>46</w:t>
            </w:r>
          </w:p>
        </w:tc>
        <w:tc>
          <w:tcPr>
            <w:tcW w:w="1040" w:type="dxa"/>
            <w:vAlign w:val="bottom"/>
          </w:tcPr>
          <w:p>
            <w:pPr>
              <w:jc w:val="center"/>
              <w:spacing w:after="0"/>
              <w:rPr>
                <w:sz w:val="20"/>
                <w:szCs w:val="20"/>
                <w:color w:val="auto"/>
              </w:rPr>
            </w:pPr>
            <w:r>
              <w:rPr>
                <w:rFonts w:ascii="Arial" w:cs="Arial" w:eastAsia="Arial" w:hAnsi="Arial"/>
                <w:sz w:val="20"/>
                <w:szCs w:val="20"/>
                <w:color w:val="231F20"/>
                <w:w w:val="98"/>
              </w:rPr>
              <w:t>2026</w:t>
            </w:r>
          </w:p>
        </w:tc>
        <w:tc>
          <w:tcPr>
            <w:tcW w:w="1500" w:type="dxa"/>
            <w:vAlign w:val="bottom"/>
          </w:tcPr>
          <w:p>
            <w:pPr>
              <w:jc w:val="center"/>
              <w:spacing w:after="0"/>
              <w:rPr>
                <w:sz w:val="20"/>
                <w:szCs w:val="20"/>
                <w:color w:val="auto"/>
              </w:rPr>
            </w:pPr>
            <w:r>
              <w:rPr>
                <w:rFonts w:ascii="Arial" w:cs="Arial" w:eastAsia="Arial" w:hAnsi="Arial"/>
                <w:sz w:val="20"/>
                <w:szCs w:val="20"/>
                <w:color w:val="231F20"/>
                <w:w w:val="98"/>
              </w:rPr>
              <w:t>Yes</w:t>
            </w:r>
          </w:p>
        </w:tc>
        <w:tc>
          <w:tcPr>
            <w:tcW w:w="900" w:type="dxa"/>
            <w:vAlign w:val="bottom"/>
          </w:tcPr>
          <w:p>
            <w:pPr>
              <w:jc w:val="center"/>
              <w:spacing w:after="0" w:line="268" w:lineRule="exact"/>
              <w:rPr>
                <w:sz w:val="20"/>
                <w:szCs w:val="20"/>
                <w:color w:val="auto"/>
              </w:rPr>
            </w:pPr>
            <w:r>
              <w:rPr>
                <w:rFonts w:ascii="Arial Unicode MS" w:cs="Arial Unicode MS" w:eastAsia="Arial Unicode MS" w:hAnsi="Arial Unicode MS"/>
                <w:sz w:val="20"/>
                <w:szCs w:val="20"/>
                <w:color w:val="231F20"/>
                <w:w w:val="98"/>
              </w:rPr>
              <w:t>✓</w:t>
            </w:r>
            <w:r>
              <w:rPr>
                <w:rFonts w:ascii="Arial" w:cs="Arial" w:eastAsia="Arial" w:hAnsi="Arial"/>
                <w:sz w:val="20"/>
                <w:szCs w:val="20"/>
                <w:color w:val="231F20"/>
                <w:w w:val="98"/>
              </w:rPr>
              <w:t>$</w:t>
            </w:r>
          </w:p>
        </w:tc>
        <w:tc>
          <w:tcPr>
            <w:tcW w:w="900" w:type="dxa"/>
            <w:vAlign w:val="bottom"/>
          </w:tcPr>
          <w:p>
            <w:pPr>
              <w:jc w:val="center"/>
              <w:spacing w:after="0" w:line="268" w:lineRule="exact"/>
              <w:rPr>
                <w:sz w:val="20"/>
                <w:szCs w:val="20"/>
                <w:color w:val="auto"/>
              </w:rPr>
            </w:pPr>
            <w:r>
              <w:rPr>
                <w:rFonts w:ascii="Arial Unicode MS" w:cs="Arial Unicode MS" w:eastAsia="Arial Unicode MS" w:hAnsi="Arial Unicode MS"/>
                <w:sz w:val="20"/>
                <w:szCs w:val="20"/>
                <w:color w:val="231F20"/>
                <w:w w:val="92"/>
              </w:rPr>
              <w:t>✓</w:t>
            </w:r>
          </w:p>
        </w:tc>
        <w:tc>
          <w:tcPr>
            <w:tcW w:w="900" w:type="dxa"/>
            <w:vAlign w:val="bottom"/>
          </w:tcPr>
          <w:p>
            <w:pPr>
              <w:spacing w:after="0"/>
              <w:rPr>
                <w:sz w:val="24"/>
                <w:szCs w:val="24"/>
                <w:color w:val="auto"/>
              </w:rPr>
            </w:pPr>
          </w:p>
        </w:tc>
      </w:tr>
      <w:tr>
        <w:trPr>
          <w:trHeight w:val="214"/>
        </w:trPr>
        <w:tc>
          <w:tcPr>
            <w:tcW w:w="4160" w:type="dxa"/>
            <w:vAlign w:val="bottom"/>
          </w:tcPr>
          <w:p>
            <w:pPr>
              <w:spacing w:after="0"/>
              <w:rPr>
                <w:sz w:val="20"/>
                <w:szCs w:val="20"/>
                <w:color w:val="auto"/>
              </w:rPr>
            </w:pPr>
            <w:r>
              <w:rPr>
                <w:rFonts w:ascii="Arial" w:cs="Arial" w:eastAsia="Arial" w:hAnsi="Arial"/>
                <w:sz w:val="18"/>
                <w:szCs w:val="18"/>
                <w:color w:val="231F20"/>
              </w:rPr>
              <w:t>President, Chief Financial Officer/Public Storage</w:t>
            </w:r>
          </w:p>
        </w:tc>
        <w:tc>
          <w:tcPr>
            <w:tcW w:w="6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44"/>
        </w:trPr>
        <w:tc>
          <w:tcPr>
            <w:tcW w:w="4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500" w:type="dxa"/>
            <w:vAlign w:val="bottom"/>
          </w:tcPr>
          <w:p>
            <w:pPr>
              <w:spacing w:after="0"/>
              <w:rPr>
                <w:sz w:val="3"/>
                <w:szCs w:val="3"/>
                <w:color w:val="auto"/>
              </w:rPr>
            </w:pPr>
          </w:p>
        </w:tc>
        <w:tc>
          <w:tcPr>
            <w:tcW w:w="900" w:type="dxa"/>
            <w:vAlign w:val="bottom"/>
          </w:tcPr>
          <w:p>
            <w:pPr>
              <w:spacing w:after="0"/>
              <w:rPr>
                <w:sz w:val="3"/>
                <w:szCs w:val="3"/>
                <w:color w:val="auto"/>
              </w:rPr>
            </w:pPr>
          </w:p>
        </w:tc>
        <w:tc>
          <w:tcPr>
            <w:tcW w:w="90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82"/>
        </w:trPr>
        <w:tc>
          <w:tcPr>
            <w:tcW w:w="4160" w:type="dxa"/>
            <w:vAlign w:val="bottom"/>
            <w:shd w:val="clear" w:color="auto" w:fill="DCDDDE"/>
          </w:tcPr>
          <w:p>
            <w:pPr>
              <w:spacing w:after="0"/>
              <w:rPr>
                <w:sz w:val="20"/>
                <w:szCs w:val="20"/>
                <w:color w:val="auto"/>
              </w:rPr>
            </w:pPr>
            <w:r>
              <w:rPr>
                <w:rFonts w:ascii="Arial" w:cs="Arial" w:eastAsia="Arial" w:hAnsi="Arial"/>
                <w:sz w:val="20"/>
                <w:szCs w:val="20"/>
                <w:b w:val="1"/>
                <w:bCs w:val="1"/>
                <w:color w:val="231F20"/>
              </w:rPr>
              <w:t>Elizabeth I. Holland</w:t>
            </w:r>
          </w:p>
        </w:tc>
        <w:tc>
          <w:tcPr>
            <w:tcW w:w="680" w:type="dxa"/>
            <w:vAlign w:val="bottom"/>
            <w:shd w:val="clear" w:color="auto" w:fill="DCDDDE"/>
          </w:tcPr>
          <w:p>
            <w:pPr>
              <w:jc w:val="center"/>
              <w:spacing w:after="0"/>
              <w:rPr>
                <w:sz w:val="20"/>
                <w:szCs w:val="20"/>
                <w:color w:val="auto"/>
              </w:rPr>
            </w:pPr>
            <w:r>
              <w:rPr>
                <w:rFonts w:ascii="Arial" w:cs="Arial" w:eastAsia="Arial" w:hAnsi="Arial"/>
                <w:sz w:val="20"/>
                <w:szCs w:val="20"/>
                <w:color w:val="231F20"/>
                <w:w w:val="98"/>
              </w:rPr>
              <w:t>60</w:t>
            </w:r>
          </w:p>
        </w:tc>
        <w:tc>
          <w:tcPr>
            <w:tcW w:w="1040" w:type="dxa"/>
            <w:vAlign w:val="bottom"/>
            <w:shd w:val="clear" w:color="auto" w:fill="DCDDDE"/>
          </w:tcPr>
          <w:p>
            <w:pPr>
              <w:jc w:val="center"/>
              <w:spacing w:after="0"/>
              <w:rPr>
                <w:sz w:val="20"/>
                <w:szCs w:val="20"/>
                <w:color w:val="auto"/>
              </w:rPr>
            </w:pPr>
            <w:r>
              <w:rPr>
                <w:rFonts w:ascii="Arial" w:cs="Arial" w:eastAsia="Arial" w:hAnsi="Arial"/>
                <w:sz w:val="20"/>
                <w:szCs w:val="20"/>
                <w:color w:val="231F20"/>
                <w:w w:val="98"/>
              </w:rPr>
              <w:t>2017</w:t>
            </w:r>
          </w:p>
        </w:tc>
        <w:tc>
          <w:tcPr>
            <w:tcW w:w="1500" w:type="dxa"/>
            <w:vAlign w:val="bottom"/>
            <w:shd w:val="clear" w:color="auto" w:fill="DCDDDE"/>
          </w:tcPr>
          <w:p>
            <w:pPr>
              <w:jc w:val="center"/>
              <w:spacing w:after="0"/>
              <w:rPr>
                <w:sz w:val="20"/>
                <w:szCs w:val="20"/>
                <w:color w:val="auto"/>
              </w:rPr>
            </w:pPr>
            <w:r>
              <w:rPr>
                <w:rFonts w:ascii="Arial" w:cs="Arial" w:eastAsia="Arial" w:hAnsi="Arial"/>
                <w:sz w:val="20"/>
                <w:szCs w:val="20"/>
                <w:color w:val="231F20"/>
                <w:w w:val="98"/>
              </w:rPr>
              <w:t>Yes</w:t>
            </w:r>
          </w:p>
        </w:tc>
        <w:tc>
          <w:tcPr>
            <w:tcW w:w="900" w:type="dxa"/>
            <w:vAlign w:val="bottom"/>
            <w:shd w:val="clear" w:color="auto" w:fill="DCDDDE"/>
          </w:tcPr>
          <w:p>
            <w:pPr>
              <w:jc w:val="center"/>
              <w:spacing w:after="0" w:line="268" w:lineRule="exact"/>
              <w:rPr>
                <w:sz w:val="20"/>
                <w:szCs w:val="20"/>
                <w:color w:val="auto"/>
              </w:rPr>
            </w:pPr>
            <w:r>
              <w:rPr>
                <w:rFonts w:ascii="Arial Unicode MS" w:cs="Arial Unicode MS" w:eastAsia="Arial Unicode MS" w:hAnsi="Arial Unicode MS"/>
                <w:sz w:val="20"/>
                <w:szCs w:val="20"/>
                <w:color w:val="231F20"/>
                <w:w w:val="92"/>
              </w:rPr>
              <w:t>✓</w:t>
            </w:r>
          </w:p>
        </w:tc>
        <w:tc>
          <w:tcPr>
            <w:tcW w:w="900" w:type="dxa"/>
            <w:vAlign w:val="bottom"/>
            <w:shd w:val="clear" w:color="auto" w:fill="DCDDDE"/>
          </w:tcPr>
          <w:p>
            <w:pPr>
              <w:jc w:val="center"/>
              <w:spacing w:after="0"/>
              <w:rPr>
                <w:sz w:val="20"/>
                <w:szCs w:val="20"/>
                <w:color w:val="auto"/>
              </w:rPr>
            </w:pPr>
            <w:r>
              <w:rPr>
                <w:rFonts w:ascii="Arial" w:cs="Arial" w:eastAsia="Arial" w:hAnsi="Arial"/>
                <w:sz w:val="20"/>
                <w:szCs w:val="20"/>
                <w:color w:val="231F20"/>
                <w:w w:val="96"/>
              </w:rPr>
              <w:t>C</w:t>
            </w:r>
          </w:p>
        </w:tc>
        <w:tc>
          <w:tcPr>
            <w:tcW w:w="900" w:type="dxa"/>
            <w:vAlign w:val="bottom"/>
            <w:shd w:val="clear" w:color="auto" w:fill="DCDDDE"/>
          </w:tcPr>
          <w:p>
            <w:pPr>
              <w:spacing w:after="0"/>
              <w:rPr>
                <w:sz w:val="24"/>
                <w:szCs w:val="24"/>
                <w:color w:val="auto"/>
              </w:rPr>
            </w:pPr>
          </w:p>
        </w:tc>
      </w:tr>
      <w:tr>
        <w:trPr>
          <w:trHeight w:val="214"/>
        </w:trPr>
        <w:tc>
          <w:tcPr>
            <w:tcW w:w="4160" w:type="dxa"/>
            <w:vAlign w:val="bottom"/>
            <w:shd w:val="clear" w:color="auto" w:fill="DCDDDE"/>
          </w:tcPr>
          <w:p>
            <w:pPr>
              <w:spacing w:after="0"/>
              <w:rPr>
                <w:sz w:val="20"/>
                <w:szCs w:val="20"/>
                <w:color w:val="auto"/>
              </w:rPr>
            </w:pPr>
            <w:r>
              <w:rPr>
                <w:rFonts w:ascii="Arial" w:cs="Arial" w:eastAsia="Arial" w:hAnsi="Arial"/>
                <w:sz w:val="18"/>
                <w:szCs w:val="18"/>
                <w:color w:val="231F20"/>
              </w:rPr>
              <w:t>Chief Executive Officer/Abbell Credit Corporation</w:t>
            </w:r>
          </w:p>
        </w:tc>
        <w:tc>
          <w:tcPr>
            <w:tcW w:w="680" w:type="dxa"/>
            <w:vAlign w:val="bottom"/>
            <w:shd w:val="clear" w:color="auto" w:fill="DCDDDE"/>
          </w:tcPr>
          <w:p>
            <w:pPr>
              <w:spacing w:after="0"/>
              <w:rPr>
                <w:sz w:val="18"/>
                <w:szCs w:val="18"/>
                <w:color w:val="auto"/>
              </w:rPr>
            </w:pPr>
          </w:p>
        </w:tc>
        <w:tc>
          <w:tcPr>
            <w:tcW w:w="1040" w:type="dxa"/>
            <w:vAlign w:val="bottom"/>
            <w:shd w:val="clear" w:color="auto" w:fill="DCDDDE"/>
          </w:tcPr>
          <w:p>
            <w:pPr>
              <w:spacing w:after="0"/>
              <w:rPr>
                <w:sz w:val="18"/>
                <w:szCs w:val="18"/>
                <w:color w:val="auto"/>
              </w:rPr>
            </w:pPr>
          </w:p>
        </w:tc>
        <w:tc>
          <w:tcPr>
            <w:tcW w:w="1500" w:type="dxa"/>
            <w:vAlign w:val="bottom"/>
            <w:shd w:val="clear" w:color="auto" w:fill="DCDDDE"/>
          </w:tcPr>
          <w:p>
            <w:pPr>
              <w:spacing w:after="0"/>
              <w:rPr>
                <w:sz w:val="18"/>
                <w:szCs w:val="18"/>
                <w:color w:val="auto"/>
              </w:rPr>
            </w:pPr>
          </w:p>
        </w:tc>
        <w:tc>
          <w:tcPr>
            <w:tcW w:w="900" w:type="dxa"/>
            <w:vAlign w:val="bottom"/>
            <w:shd w:val="clear" w:color="auto" w:fill="DCDDDE"/>
          </w:tcPr>
          <w:p>
            <w:pPr>
              <w:spacing w:after="0"/>
              <w:rPr>
                <w:sz w:val="18"/>
                <w:szCs w:val="18"/>
                <w:color w:val="auto"/>
              </w:rPr>
            </w:pPr>
          </w:p>
        </w:tc>
        <w:tc>
          <w:tcPr>
            <w:tcW w:w="900" w:type="dxa"/>
            <w:vAlign w:val="bottom"/>
            <w:shd w:val="clear" w:color="auto" w:fill="DCDDDE"/>
          </w:tcPr>
          <w:p>
            <w:pPr>
              <w:spacing w:after="0"/>
              <w:rPr>
                <w:sz w:val="18"/>
                <w:szCs w:val="18"/>
                <w:color w:val="auto"/>
              </w:rPr>
            </w:pPr>
          </w:p>
        </w:tc>
        <w:tc>
          <w:tcPr>
            <w:tcW w:w="900" w:type="dxa"/>
            <w:vAlign w:val="bottom"/>
            <w:shd w:val="clear" w:color="auto" w:fill="DCDDDE"/>
          </w:tcPr>
          <w:p>
            <w:pPr>
              <w:spacing w:after="0"/>
              <w:rPr>
                <w:sz w:val="18"/>
                <w:szCs w:val="18"/>
                <w:color w:val="auto"/>
              </w:rPr>
            </w:pPr>
          </w:p>
        </w:tc>
      </w:tr>
      <w:tr>
        <w:trPr>
          <w:trHeight w:val="244"/>
        </w:trPr>
        <w:tc>
          <w:tcPr>
            <w:tcW w:w="4160" w:type="dxa"/>
            <w:vAlign w:val="bottom"/>
            <w:tcBorders>
              <w:bottom w:val="single" w:sz="8" w:color="DCDDDE"/>
            </w:tcBorders>
            <w:shd w:val="clear" w:color="auto" w:fill="DCDDDE"/>
          </w:tcPr>
          <w:p>
            <w:pPr>
              <w:spacing w:after="0"/>
              <w:rPr>
                <w:sz w:val="20"/>
                <w:szCs w:val="20"/>
                <w:color w:val="auto"/>
              </w:rPr>
            </w:pPr>
            <w:r>
              <w:rPr>
                <w:rFonts w:ascii="Arial" w:cs="Arial" w:eastAsia="Arial" w:hAnsi="Arial"/>
                <w:sz w:val="18"/>
                <w:szCs w:val="18"/>
                <w:color w:val="231F20"/>
              </w:rPr>
              <w:t>and Abbell Associates, LLC</w:t>
            </w:r>
          </w:p>
        </w:tc>
        <w:tc>
          <w:tcPr>
            <w:tcW w:w="680" w:type="dxa"/>
            <w:vAlign w:val="bottom"/>
            <w:tcBorders>
              <w:bottom w:val="single" w:sz="8" w:color="DCDDDE"/>
            </w:tcBorders>
            <w:shd w:val="clear" w:color="auto" w:fill="DCDDDE"/>
          </w:tcPr>
          <w:p>
            <w:pPr>
              <w:spacing w:after="0"/>
              <w:rPr>
                <w:sz w:val="21"/>
                <w:szCs w:val="21"/>
                <w:color w:val="auto"/>
              </w:rPr>
            </w:pPr>
          </w:p>
        </w:tc>
        <w:tc>
          <w:tcPr>
            <w:tcW w:w="1040" w:type="dxa"/>
            <w:vAlign w:val="bottom"/>
            <w:tcBorders>
              <w:bottom w:val="single" w:sz="8" w:color="DCDDDE"/>
            </w:tcBorders>
            <w:shd w:val="clear" w:color="auto" w:fill="DCDDDE"/>
          </w:tcPr>
          <w:p>
            <w:pPr>
              <w:spacing w:after="0"/>
              <w:rPr>
                <w:sz w:val="21"/>
                <w:szCs w:val="21"/>
                <w:color w:val="auto"/>
              </w:rPr>
            </w:pPr>
          </w:p>
        </w:tc>
        <w:tc>
          <w:tcPr>
            <w:tcW w:w="1500" w:type="dxa"/>
            <w:vAlign w:val="bottom"/>
            <w:tcBorders>
              <w:bottom w:val="single" w:sz="8" w:color="DCDDDE"/>
            </w:tcBorders>
            <w:shd w:val="clear" w:color="auto" w:fill="DCDDDE"/>
          </w:tcPr>
          <w:p>
            <w:pPr>
              <w:spacing w:after="0"/>
              <w:rPr>
                <w:sz w:val="21"/>
                <w:szCs w:val="21"/>
                <w:color w:val="auto"/>
              </w:rPr>
            </w:pPr>
          </w:p>
        </w:tc>
        <w:tc>
          <w:tcPr>
            <w:tcW w:w="900" w:type="dxa"/>
            <w:vAlign w:val="bottom"/>
            <w:tcBorders>
              <w:bottom w:val="single" w:sz="8" w:color="DCDDDE"/>
            </w:tcBorders>
            <w:shd w:val="clear" w:color="auto" w:fill="DCDDDE"/>
          </w:tcPr>
          <w:p>
            <w:pPr>
              <w:spacing w:after="0"/>
              <w:rPr>
                <w:sz w:val="21"/>
                <w:szCs w:val="21"/>
                <w:color w:val="auto"/>
              </w:rPr>
            </w:pPr>
          </w:p>
        </w:tc>
        <w:tc>
          <w:tcPr>
            <w:tcW w:w="900" w:type="dxa"/>
            <w:vAlign w:val="bottom"/>
            <w:tcBorders>
              <w:bottom w:val="single" w:sz="8" w:color="DCDDDE"/>
            </w:tcBorders>
            <w:shd w:val="clear" w:color="auto" w:fill="DCDDDE"/>
          </w:tcPr>
          <w:p>
            <w:pPr>
              <w:spacing w:after="0"/>
              <w:rPr>
                <w:sz w:val="21"/>
                <w:szCs w:val="21"/>
                <w:color w:val="auto"/>
              </w:rPr>
            </w:pPr>
          </w:p>
        </w:tc>
        <w:tc>
          <w:tcPr>
            <w:tcW w:w="900" w:type="dxa"/>
            <w:vAlign w:val="bottom"/>
            <w:tcBorders>
              <w:bottom w:val="single" w:sz="8" w:color="DCDDDE"/>
            </w:tcBorders>
            <w:shd w:val="clear" w:color="auto" w:fill="DCDDDE"/>
          </w:tcPr>
          <w:p>
            <w:pPr>
              <w:spacing w:after="0"/>
              <w:rPr>
                <w:sz w:val="21"/>
                <w:szCs w:val="21"/>
                <w:color w:val="auto"/>
              </w:rPr>
            </w:pPr>
          </w:p>
        </w:tc>
      </w:tr>
      <w:tr>
        <w:trPr>
          <w:trHeight w:val="282"/>
        </w:trPr>
        <w:tc>
          <w:tcPr>
            <w:tcW w:w="4160" w:type="dxa"/>
            <w:vAlign w:val="bottom"/>
          </w:tcPr>
          <w:p>
            <w:pPr>
              <w:spacing w:after="0"/>
              <w:rPr>
                <w:sz w:val="20"/>
                <w:szCs w:val="20"/>
                <w:color w:val="auto"/>
              </w:rPr>
            </w:pPr>
            <w:r>
              <w:rPr>
                <w:rFonts w:ascii="Arial" w:cs="Arial" w:eastAsia="Arial" w:hAnsi="Arial"/>
                <w:sz w:val="20"/>
                <w:szCs w:val="20"/>
                <w:b w:val="1"/>
                <w:bCs w:val="1"/>
                <w:color w:val="231F20"/>
              </w:rPr>
              <w:t>Nicole Y. Lamb-Hale</w:t>
            </w:r>
          </w:p>
        </w:tc>
        <w:tc>
          <w:tcPr>
            <w:tcW w:w="680" w:type="dxa"/>
            <w:vAlign w:val="bottom"/>
          </w:tcPr>
          <w:p>
            <w:pPr>
              <w:jc w:val="center"/>
              <w:spacing w:after="0"/>
              <w:rPr>
                <w:sz w:val="20"/>
                <w:szCs w:val="20"/>
                <w:color w:val="auto"/>
              </w:rPr>
            </w:pPr>
            <w:r>
              <w:rPr>
                <w:rFonts w:ascii="Arial" w:cs="Arial" w:eastAsia="Arial" w:hAnsi="Arial"/>
                <w:sz w:val="20"/>
                <w:szCs w:val="20"/>
                <w:color w:val="231F20"/>
                <w:w w:val="98"/>
              </w:rPr>
              <w:t>59</w:t>
            </w:r>
          </w:p>
        </w:tc>
        <w:tc>
          <w:tcPr>
            <w:tcW w:w="1040" w:type="dxa"/>
            <w:vAlign w:val="bottom"/>
          </w:tcPr>
          <w:p>
            <w:pPr>
              <w:jc w:val="center"/>
              <w:spacing w:after="0"/>
              <w:rPr>
                <w:sz w:val="20"/>
                <w:szCs w:val="20"/>
                <w:color w:val="auto"/>
              </w:rPr>
            </w:pPr>
            <w:r>
              <w:rPr>
                <w:rFonts w:ascii="Arial" w:cs="Arial" w:eastAsia="Arial" w:hAnsi="Arial"/>
                <w:sz w:val="20"/>
                <w:szCs w:val="20"/>
                <w:color w:val="231F20"/>
                <w:w w:val="98"/>
              </w:rPr>
              <w:t>2020</w:t>
            </w:r>
          </w:p>
        </w:tc>
        <w:tc>
          <w:tcPr>
            <w:tcW w:w="1500" w:type="dxa"/>
            <w:vAlign w:val="bottom"/>
          </w:tcPr>
          <w:p>
            <w:pPr>
              <w:jc w:val="center"/>
              <w:spacing w:after="0"/>
              <w:rPr>
                <w:sz w:val="20"/>
                <w:szCs w:val="20"/>
                <w:color w:val="auto"/>
              </w:rPr>
            </w:pPr>
            <w:r>
              <w:rPr>
                <w:rFonts w:ascii="Arial" w:cs="Arial" w:eastAsia="Arial" w:hAnsi="Arial"/>
                <w:sz w:val="20"/>
                <w:szCs w:val="20"/>
                <w:color w:val="231F20"/>
                <w:w w:val="98"/>
              </w:rPr>
              <w:t>Yes</w:t>
            </w:r>
          </w:p>
        </w:tc>
        <w:tc>
          <w:tcPr>
            <w:tcW w:w="900" w:type="dxa"/>
            <w:vAlign w:val="bottom"/>
          </w:tcPr>
          <w:p>
            <w:pPr>
              <w:spacing w:after="0"/>
              <w:rPr>
                <w:sz w:val="24"/>
                <w:szCs w:val="24"/>
                <w:color w:val="auto"/>
              </w:rPr>
            </w:pPr>
          </w:p>
        </w:tc>
        <w:tc>
          <w:tcPr>
            <w:tcW w:w="900" w:type="dxa"/>
            <w:vAlign w:val="bottom"/>
          </w:tcPr>
          <w:p>
            <w:pPr>
              <w:jc w:val="center"/>
              <w:spacing w:after="0" w:line="268" w:lineRule="exact"/>
              <w:rPr>
                <w:sz w:val="20"/>
                <w:szCs w:val="20"/>
                <w:color w:val="auto"/>
              </w:rPr>
            </w:pPr>
            <w:r>
              <w:rPr>
                <w:rFonts w:ascii="Arial Unicode MS" w:cs="Arial Unicode MS" w:eastAsia="Arial Unicode MS" w:hAnsi="Arial Unicode MS"/>
                <w:sz w:val="20"/>
                <w:szCs w:val="20"/>
                <w:color w:val="231F20"/>
                <w:w w:val="92"/>
              </w:rPr>
              <w:t>✓</w:t>
            </w:r>
          </w:p>
        </w:tc>
        <w:tc>
          <w:tcPr>
            <w:tcW w:w="900" w:type="dxa"/>
            <w:vAlign w:val="bottom"/>
          </w:tcPr>
          <w:p>
            <w:pPr>
              <w:jc w:val="center"/>
              <w:spacing w:after="0" w:line="268" w:lineRule="exact"/>
              <w:rPr>
                <w:sz w:val="20"/>
                <w:szCs w:val="20"/>
                <w:color w:val="auto"/>
              </w:rPr>
            </w:pPr>
            <w:r>
              <w:rPr>
                <w:rFonts w:ascii="Arial Unicode MS" w:cs="Arial Unicode MS" w:eastAsia="Arial Unicode MS" w:hAnsi="Arial Unicode MS"/>
                <w:sz w:val="20"/>
                <w:szCs w:val="20"/>
                <w:color w:val="231F20"/>
                <w:w w:val="92"/>
              </w:rPr>
              <w:t>✓</w:t>
            </w:r>
          </w:p>
        </w:tc>
      </w:tr>
      <w:tr>
        <w:trPr>
          <w:trHeight w:val="214"/>
        </w:trPr>
        <w:tc>
          <w:tcPr>
            <w:tcW w:w="4160" w:type="dxa"/>
            <w:vAlign w:val="bottom"/>
          </w:tcPr>
          <w:p>
            <w:pPr>
              <w:spacing w:after="0"/>
              <w:rPr>
                <w:sz w:val="20"/>
                <w:szCs w:val="20"/>
                <w:color w:val="auto"/>
              </w:rPr>
            </w:pPr>
            <w:r>
              <w:rPr>
                <w:rFonts w:ascii="Arial" w:cs="Arial" w:eastAsia="Arial" w:hAnsi="Arial"/>
                <w:sz w:val="18"/>
                <w:szCs w:val="18"/>
                <w:color w:val="231F20"/>
              </w:rPr>
              <w:t>Vice President, Chief Administrative Officer and</w:t>
            </w:r>
          </w:p>
        </w:tc>
        <w:tc>
          <w:tcPr>
            <w:tcW w:w="6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0"/>
        </w:trPr>
        <w:tc>
          <w:tcPr>
            <w:tcW w:w="4160" w:type="dxa"/>
            <w:vAlign w:val="bottom"/>
          </w:tcPr>
          <w:p>
            <w:pPr>
              <w:spacing w:after="0"/>
              <w:rPr>
                <w:sz w:val="20"/>
                <w:szCs w:val="20"/>
                <w:color w:val="auto"/>
              </w:rPr>
            </w:pPr>
            <w:r>
              <w:rPr>
                <w:rFonts w:ascii="Arial" w:cs="Arial" w:eastAsia="Arial" w:hAnsi="Arial"/>
                <w:sz w:val="18"/>
                <w:szCs w:val="18"/>
                <w:color w:val="231F20"/>
              </w:rPr>
              <w:t>Corporate Secretary/Cummins Inc.</w:t>
            </w:r>
          </w:p>
        </w:tc>
        <w:tc>
          <w:tcPr>
            <w:tcW w:w="6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44"/>
        </w:trPr>
        <w:tc>
          <w:tcPr>
            <w:tcW w:w="4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500" w:type="dxa"/>
            <w:vAlign w:val="bottom"/>
          </w:tcPr>
          <w:p>
            <w:pPr>
              <w:spacing w:after="0"/>
              <w:rPr>
                <w:sz w:val="3"/>
                <w:szCs w:val="3"/>
                <w:color w:val="auto"/>
              </w:rPr>
            </w:pPr>
          </w:p>
        </w:tc>
        <w:tc>
          <w:tcPr>
            <w:tcW w:w="900" w:type="dxa"/>
            <w:vAlign w:val="bottom"/>
          </w:tcPr>
          <w:p>
            <w:pPr>
              <w:spacing w:after="0"/>
              <w:rPr>
                <w:sz w:val="3"/>
                <w:szCs w:val="3"/>
                <w:color w:val="auto"/>
              </w:rPr>
            </w:pPr>
          </w:p>
        </w:tc>
        <w:tc>
          <w:tcPr>
            <w:tcW w:w="90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82"/>
        </w:trPr>
        <w:tc>
          <w:tcPr>
            <w:tcW w:w="4160" w:type="dxa"/>
            <w:vAlign w:val="bottom"/>
            <w:shd w:val="clear" w:color="auto" w:fill="DCDDDE"/>
          </w:tcPr>
          <w:p>
            <w:pPr>
              <w:spacing w:after="0"/>
              <w:rPr>
                <w:sz w:val="20"/>
                <w:szCs w:val="20"/>
                <w:color w:val="auto"/>
              </w:rPr>
            </w:pPr>
            <w:r>
              <w:rPr>
                <w:rFonts w:ascii="Arial" w:cs="Arial" w:eastAsia="Arial" w:hAnsi="Arial"/>
                <w:sz w:val="20"/>
                <w:szCs w:val="20"/>
                <w:b w:val="1"/>
                <w:bCs w:val="1"/>
                <w:color w:val="231F20"/>
              </w:rPr>
              <w:t>Thomas A. McEachin</w:t>
            </w:r>
          </w:p>
        </w:tc>
        <w:tc>
          <w:tcPr>
            <w:tcW w:w="680" w:type="dxa"/>
            <w:vAlign w:val="bottom"/>
            <w:shd w:val="clear" w:color="auto" w:fill="DCDDDE"/>
          </w:tcPr>
          <w:p>
            <w:pPr>
              <w:jc w:val="center"/>
              <w:spacing w:after="0"/>
              <w:rPr>
                <w:sz w:val="20"/>
                <w:szCs w:val="20"/>
                <w:color w:val="auto"/>
              </w:rPr>
            </w:pPr>
            <w:r>
              <w:rPr>
                <w:rFonts w:ascii="Arial" w:cs="Arial" w:eastAsia="Arial" w:hAnsi="Arial"/>
                <w:sz w:val="20"/>
                <w:szCs w:val="20"/>
                <w:color w:val="231F20"/>
                <w:w w:val="98"/>
              </w:rPr>
              <w:t>73</w:t>
            </w:r>
          </w:p>
        </w:tc>
        <w:tc>
          <w:tcPr>
            <w:tcW w:w="1040" w:type="dxa"/>
            <w:vAlign w:val="bottom"/>
            <w:shd w:val="clear" w:color="auto" w:fill="DCDDDE"/>
          </w:tcPr>
          <w:p>
            <w:pPr>
              <w:jc w:val="center"/>
              <w:spacing w:after="0"/>
              <w:rPr>
                <w:sz w:val="20"/>
                <w:szCs w:val="20"/>
                <w:color w:val="auto"/>
              </w:rPr>
            </w:pPr>
            <w:r>
              <w:rPr>
                <w:rFonts w:ascii="Arial" w:cs="Arial" w:eastAsia="Arial" w:hAnsi="Arial"/>
                <w:sz w:val="20"/>
                <w:szCs w:val="20"/>
                <w:color w:val="231F20"/>
                <w:w w:val="98"/>
              </w:rPr>
              <w:t>2022</w:t>
            </w:r>
          </w:p>
        </w:tc>
        <w:tc>
          <w:tcPr>
            <w:tcW w:w="1500" w:type="dxa"/>
            <w:vAlign w:val="bottom"/>
            <w:shd w:val="clear" w:color="auto" w:fill="DCDDDE"/>
          </w:tcPr>
          <w:p>
            <w:pPr>
              <w:jc w:val="center"/>
              <w:spacing w:after="0"/>
              <w:rPr>
                <w:sz w:val="20"/>
                <w:szCs w:val="20"/>
                <w:color w:val="auto"/>
              </w:rPr>
            </w:pPr>
            <w:r>
              <w:rPr>
                <w:rFonts w:ascii="Arial" w:cs="Arial" w:eastAsia="Arial" w:hAnsi="Arial"/>
                <w:sz w:val="20"/>
                <w:szCs w:val="20"/>
                <w:color w:val="231F20"/>
                <w:w w:val="98"/>
              </w:rPr>
              <w:t>Yes</w:t>
            </w:r>
          </w:p>
        </w:tc>
        <w:tc>
          <w:tcPr>
            <w:tcW w:w="900" w:type="dxa"/>
            <w:vAlign w:val="bottom"/>
            <w:shd w:val="clear" w:color="auto" w:fill="DCDDDE"/>
          </w:tcPr>
          <w:p>
            <w:pPr>
              <w:spacing w:after="0"/>
              <w:rPr>
                <w:sz w:val="24"/>
                <w:szCs w:val="24"/>
                <w:color w:val="auto"/>
              </w:rPr>
            </w:pPr>
          </w:p>
        </w:tc>
        <w:tc>
          <w:tcPr>
            <w:tcW w:w="900" w:type="dxa"/>
            <w:vAlign w:val="bottom"/>
            <w:shd w:val="clear" w:color="auto" w:fill="DCDDDE"/>
          </w:tcPr>
          <w:p>
            <w:pPr>
              <w:jc w:val="center"/>
              <w:spacing w:after="0" w:line="268" w:lineRule="exact"/>
              <w:rPr>
                <w:sz w:val="20"/>
                <w:szCs w:val="20"/>
                <w:color w:val="auto"/>
              </w:rPr>
            </w:pPr>
            <w:r>
              <w:rPr>
                <w:rFonts w:ascii="Arial Unicode MS" w:cs="Arial Unicode MS" w:eastAsia="Arial Unicode MS" w:hAnsi="Arial Unicode MS"/>
                <w:sz w:val="20"/>
                <w:szCs w:val="20"/>
                <w:color w:val="231F20"/>
                <w:w w:val="92"/>
              </w:rPr>
              <w:t>✓</w:t>
            </w:r>
          </w:p>
        </w:tc>
        <w:tc>
          <w:tcPr>
            <w:tcW w:w="900" w:type="dxa"/>
            <w:vAlign w:val="bottom"/>
            <w:shd w:val="clear" w:color="auto" w:fill="DCDDDE"/>
          </w:tcPr>
          <w:p>
            <w:pPr>
              <w:jc w:val="center"/>
              <w:spacing w:after="0" w:line="268" w:lineRule="exact"/>
              <w:rPr>
                <w:sz w:val="20"/>
                <w:szCs w:val="20"/>
                <w:color w:val="auto"/>
              </w:rPr>
            </w:pPr>
            <w:r>
              <w:rPr>
                <w:rFonts w:ascii="Arial Unicode MS" w:cs="Arial Unicode MS" w:eastAsia="Arial Unicode MS" w:hAnsi="Arial Unicode MS"/>
                <w:sz w:val="20"/>
                <w:szCs w:val="20"/>
                <w:color w:val="231F20"/>
                <w:w w:val="92"/>
              </w:rPr>
              <w:t>✓</w:t>
            </w:r>
          </w:p>
        </w:tc>
      </w:tr>
      <w:tr>
        <w:trPr>
          <w:trHeight w:val="214"/>
        </w:trPr>
        <w:tc>
          <w:tcPr>
            <w:tcW w:w="4160" w:type="dxa"/>
            <w:vAlign w:val="bottom"/>
            <w:shd w:val="clear" w:color="auto" w:fill="DCDDDE"/>
          </w:tcPr>
          <w:p>
            <w:pPr>
              <w:spacing w:after="0"/>
              <w:rPr>
                <w:sz w:val="20"/>
                <w:szCs w:val="20"/>
                <w:color w:val="auto"/>
              </w:rPr>
            </w:pPr>
            <w:r>
              <w:rPr>
                <w:rFonts w:ascii="Arial" w:cs="Arial" w:eastAsia="Arial" w:hAnsi="Arial"/>
                <w:sz w:val="18"/>
                <w:szCs w:val="18"/>
                <w:color w:val="231F20"/>
              </w:rPr>
              <w:t>Former Chief Financial Officer/Covidien Surgical</w:t>
            </w:r>
          </w:p>
        </w:tc>
        <w:tc>
          <w:tcPr>
            <w:tcW w:w="680" w:type="dxa"/>
            <w:vAlign w:val="bottom"/>
            <w:shd w:val="clear" w:color="auto" w:fill="DCDDDE"/>
          </w:tcPr>
          <w:p>
            <w:pPr>
              <w:spacing w:after="0"/>
              <w:rPr>
                <w:sz w:val="18"/>
                <w:szCs w:val="18"/>
                <w:color w:val="auto"/>
              </w:rPr>
            </w:pPr>
          </w:p>
        </w:tc>
        <w:tc>
          <w:tcPr>
            <w:tcW w:w="1040" w:type="dxa"/>
            <w:vAlign w:val="bottom"/>
            <w:shd w:val="clear" w:color="auto" w:fill="DCDDDE"/>
          </w:tcPr>
          <w:p>
            <w:pPr>
              <w:spacing w:after="0"/>
              <w:rPr>
                <w:sz w:val="18"/>
                <w:szCs w:val="18"/>
                <w:color w:val="auto"/>
              </w:rPr>
            </w:pPr>
          </w:p>
        </w:tc>
        <w:tc>
          <w:tcPr>
            <w:tcW w:w="1500" w:type="dxa"/>
            <w:vAlign w:val="bottom"/>
            <w:shd w:val="clear" w:color="auto" w:fill="DCDDDE"/>
          </w:tcPr>
          <w:p>
            <w:pPr>
              <w:spacing w:after="0"/>
              <w:rPr>
                <w:sz w:val="18"/>
                <w:szCs w:val="18"/>
                <w:color w:val="auto"/>
              </w:rPr>
            </w:pPr>
          </w:p>
        </w:tc>
        <w:tc>
          <w:tcPr>
            <w:tcW w:w="900" w:type="dxa"/>
            <w:vAlign w:val="bottom"/>
            <w:shd w:val="clear" w:color="auto" w:fill="DCDDDE"/>
          </w:tcPr>
          <w:p>
            <w:pPr>
              <w:spacing w:after="0"/>
              <w:rPr>
                <w:sz w:val="18"/>
                <w:szCs w:val="18"/>
                <w:color w:val="auto"/>
              </w:rPr>
            </w:pPr>
          </w:p>
        </w:tc>
        <w:tc>
          <w:tcPr>
            <w:tcW w:w="900" w:type="dxa"/>
            <w:vAlign w:val="bottom"/>
            <w:shd w:val="clear" w:color="auto" w:fill="DCDDDE"/>
          </w:tcPr>
          <w:p>
            <w:pPr>
              <w:spacing w:after="0"/>
              <w:rPr>
                <w:sz w:val="18"/>
                <w:szCs w:val="18"/>
                <w:color w:val="auto"/>
              </w:rPr>
            </w:pPr>
          </w:p>
        </w:tc>
        <w:tc>
          <w:tcPr>
            <w:tcW w:w="900" w:type="dxa"/>
            <w:vAlign w:val="bottom"/>
            <w:shd w:val="clear" w:color="auto" w:fill="DCDDDE"/>
          </w:tcPr>
          <w:p>
            <w:pPr>
              <w:spacing w:after="0"/>
              <w:rPr>
                <w:sz w:val="18"/>
                <w:szCs w:val="18"/>
                <w:color w:val="auto"/>
              </w:rPr>
            </w:pPr>
          </w:p>
        </w:tc>
      </w:tr>
      <w:tr>
        <w:trPr>
          <w:trHeight w:val="244"/>
        </w:trPr>
        <w:tc>
          <w:tcPr>
            <w:tcW w:w="4160" w:type="dxa"/>
            <w:vAlign w:val="bottom"/>
            <w:tcBorders>
              <w:bottom w:val="single" w:sz="8" w:color="DCDDDE"/>
            </w:tcBorders>
            <w:shd w:val="clear" w:color="auto" w:fill="DCDDDE"/>
          </w:tcPr>
          <w:p>
            <w:pPr>
              <w:spacing w:after="0"/>
              <w:rPr>
                <w:sz w:val="20"/>
                <w:szCs w:val="20"/>
                <w:color w:val="auto"/>
              </w:rPr>
            </w:pPr>
            <w:r>
              <w:rPr>
                <w:rFonts w:ascii="Arial" w:cs="Arial" w:eastAsia="Arial" w:hAnsi="Arial"/>
                <w:sz w:val="18"/>
                <w:szCs w:val="18"/>
                <w:color w:val="231F20"/>
              </w:rPr>
              <w:t>Solutions</w:t>
            </w:r>
          </w:p>
        </w:tc>
        <w:tc>
          <w:tcPr>
            <w:tcW w:w="680" w:type="dxa"/>
            <w:vAlign w:val="bottom"/>
            <w:tcBorders>
              <w:bottom w:val="single" w:sz="8" w:color="DCDDDE"/>
            </w:tcBorders>
            <w:shd w:val="clear" w:color="auto" w:fill="DCDDDE"/>
          </w:tcPr>
          <w:p>
            <w:pPr>
              <w:spacing w:after="0"/>
              <w:rPr>
                <w:sz w:val="21"/>
                <w:szCs w:val="21"/>
                <w:color w:val="auto"/>
              </w:rPr>
            </w:pPr>
          </w:p>
        </w:tc>
        <w:tc>
          <w:tcPr>
            <w:tcW w:w="1040" w:type="dxa"/>
            <w:vAlign w:val="bottom"/>
            <w:tcBorders>
              <w:bottom w:val="single" w:sz="8" w:color="DCDDDE"/>
            </w:tcBorders>
            <w:shd w:val="clear" w:color="auto" w:fill="DCDDDE"/>
          </w:tcPr>
          <w:p>
            <w:pPr>
              <w:spacing w:after="0"/>
              <w:rPr>
                <w:sz w:val="21"/>
                <w:szCs w:val="21"/>
                <w:color w:val="auto"/>
              </w:rPr>
            </w:pPr>
          </w:p>
        </w:tc>
        <w:tc>
          <w:tcPr>
            <w:tcW w:w="1500" w:type="dxa"/>
            <w:vAlign w:val="bottom"/>
            <w:tcBorders>
              <w:bottom w:val="single" w:sz="8" w:color="DCDDDE"/>
            </w:tcBorders>
            <w:shd w:val="clear" w:color="auto" w:fill="DCDDDE"/>
          </w:tcPr>
          <w:p>
            <w:pPr>
              <w:spacing w:after="0"/>
              <w:rPr>
                <w:sz w:val="21"/>
                <w:szCs w:val="21"/>
                <w:color w:val="auto"/>
              </w:rPr>
            </w:pPr>
          </w:p>
        </w:tc>
        <w:tc>
          <w:tcPr>
            <w:tcW w:w="900" w:type="dxa"/>
            <w:vAlign w:val="bottom"/>
            <w:tcBorders>
              <w:bottom w:val="single" w:sz="8" w:color="DCDDDE"/>
            </w:tcBorders>
            <w:shd w:val="clear" w:color="auto" w:fill="DCDDDE"/>
          </w:tcPr>
          <w:p>
            <w:pPr>
              <w:spacing w:after="0"/>
              <w:rPr>
                <w:sz w:val="21"/>
                <w:szCs w:val="21"/>
                <w:color w:val="auto"/>
              </w:rPr>
            </w:pPr>
          </w:p>
        </w:tc>
        <w:tc>
          <w:tcPr>
            <w:tcW w:w="900" w:type="dxa"/>
            <w:vAlign w:val="bottom"/>
            <w:tcBorders>
              <w:bottom w:val="single" w:sz="8" w:color="DCDDDE"/>
            </w:tcBorders>
            <w:shd w:val="clear" w:color="auto" w:fill="DCDDDE"/>
          </w:tcPr>
          <w:p>
            <w:pPr>
              <w:spacing w:after="0"/>
              <w:rPr>
                <w:sz w:val="21"/>
                <w:szCs w:val="21"/>
                <w:color w:val="auto"/>
              </w:rPr>
            </w:pPr>
          </w:p>
        </w:tc>
        <w:tc>
          <w:tcPr>
            <w:tcW w:w="900" w:type="dxa"/>
            <w:vAlign w:val="bottom"/>
            <w:tcBorders>
              <w:bottom w:val="single" w:sz="8" w:color="DCDDDE"/>
            </w:tcBorders>
            <w:shd w:val="clear" w:color="auto" w:fill="DCDDDE"/>
          </w:tcPr>
          <w:p>
            <w:pPr>
              <w:spacing w:after="0"/>
              <w:rPr>
                <w:sz w:val="21"/>
                <w:szCs w:val="21"/>
                <w:color w:val="auto"/>
              </w:rPr>
            </w:pPr>
          </w:p>
        </w:tc>
      </w:tr>
      <w:tr>
        <w:trPr>
          <w:trHeight w:val="282"/>
        </w:trPr>
        <w:tc>
          <w:tcPr>
            <w:tcW w:w="4160" w:type="dxa"/>
            <w:vAlign w:val="bottom"/>
          </w:tcPr>
          <w:p>
            <w:pPr>
              <w:spacing w:after="0"/>
              <w:rPr>
                <w:sz w:val="20"/>
                <w:szCs w:val="20"/>
                <w:color w:val="auto"/>
              </w:rPr>
            </w:pPr>
            <w:r>
              <w:rPr>
                <w:rFonts w:ascii="Arial" w:cs="Arial" w:eastAsia="Arial" w:hAnsi="Arial"/>
                <w:sz w:val="20"/>
                <w:szCs w:val="20"/>
                <w:b w:val="1"/>
                <w:bCs w:val="1"/>
                <w:color w:val="231F20"/>
              </w:rPr>
              <w:t>Anthony P. Nader, III</w:t>
            </w:r>
          </w:p>
        </w:tc>
        <w:tc>
          <w:tcPr>
            <w:tcW w:w="680" w:type="dxa"/>
            <w:vAlign w:val="bottom"/>
          </w:tcPr>
          <w:p>
            <w:pPr>
              <w:jc w:val="center"/>
              <w:spacing w:after="0"/>
              <w:rPr>
                <w:sz w:val="20"/>
                <w:szCs w:val="20"/>
                <w:color w:val="auto"/>
              </w:rPr>
            </w:pPr>
            <w:r>
              <w:rPr>
                <w:rFonts w:ascii="Arial" w:cs="Arial" w:eastAsia="Arial" w:hAnsi="Arial"/>
                <w:sz w:val="20"/>
                <w:szCs w:val="20"/>
                <w:color w:val="231F20"/>
                <w:w w:val="98"/>
              </w:rPr>
              <w:t>62</w:t>
            </w:r>
          </w:p>
        </w:tc>
        <w:tc>
          <w:tcPr>
            <w:tcW w:w="1040" w:type="dxa"/>
            <w:vAlign w:val="bottom"/>
          </w:tcPr>
          <w:p>
            <w:pPr>
              <w:jc w:val="center"/>
              <w:spacing w:after="0"/>
              <w:rPr>
                <w:sz w:val="20"/>
                <w:szCs w:val="20"/>
                <w:color w:val="auto"/>
              </w:rPr>
            </w:pPr>
            <w:r>
              <w:rPr>
                <w:rFonts w:ascii="Arial" w:cs="Arial" w:eastAsia="Arial" w:hAnsi="Arial"/>
                <w:sz w:val="20"/>
                <w:szCs w:val="20"/>
                <w:color w:val="231F20"/>
                <w:w w:val="98"/>
              </w:rPr>
              <w:t>2020</w:t>
            </w:r>
          </w:p>
        </w:tc>
        <w:tc>
          <w:tcPr>
            <w:tcW w:w="1500" w:type="dxa"/>
            <w:vAlign w:val="bottom"/>
          </w:tcPr>
          <w:p>
            <w:pPr>
              <w:jc w:val="center"/>
              <w:spacing w:after="0"/>
              <w:rPr>
                <w:sz w:val="20"/>
                <w:szCs w:val="20"/>
                <w:color w:val="auto"/>
              </w:rPr>
            </w:pPr>
            <w:r>
              <w:rPr>
                <w:rFonts w:ascii="Arial" w:cs="Arial" w:eastAsia="Arial" w:hAnsi="Arial"/>
                <w:sz w:val="20"/>
                <w:szCs w:val="20"/>
                <w:color w:val="231F20"/>
                <w:w w:val="98"/>
              </w:rPr>
              <w:t>Yes</w:t>
            </w:r>
          </w:p>
        </w:tc>
        <w:tc>
          <w:tcPr>
            <w:tcW w:w="900" w:type="dxa"/>
            <w:vAlign w:val="bottom"/>
          </w:tcPr>
          <w:p>
            <w:pPr>
              <w:jc w:val="center"/>
              <w:spacing w:after="0" w:line="268" w:lineRule="exact"/>
              <w:rPr>
                <w:sz w:val="20"/>
                <w:szCs w:val="20"/>
                <w:color w:val="auto"/>
              </w:rPr>
            </w:pPr>
            <w:r>
              <w:rPr>
                <w:rFonts w:ascii="Arial Unicode MS" w:cs="Arial Unicode MS" w:eastAsia="Arial Unicode MS" w:hAnsi="Arial Unicode MS"/>
                <w:sz w:val="20"/>
                <w:szCs w:val="20"/>
                <w:color w:val="231F20"/>
                <w:w w:val="98"/>
              </w:rPr>
              <w:t>✓</w:t>
            </w:r>
            <w:r>
              <w:rPr>
                <w:rFonts w:ascii="Arial" w:cs="Arial" w:eastAsia="Arial" w:hAnsi="Arial"/>
                <w:sz w:val="20"/>
                <w:szCs w:val="20"/>
                <w:color w:val="231F20"/>
                <w:w w:val="98"/>
              </w:rPr>
              <w:t>$</w:t>
            </w:r>
          </w:p>
        </w:tc>
        <w:tc>
          <w:tcPr>
            <w:tcW w:w="9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20"/>
                <w:szCs w:val="20"/>
                <w:color w:val="231F20"/>
                <w:w w:val="96"/>
              </w:rPr>
              <w:t>C</w:t>
            </w:r>
          </w:p>
        </w:tc>
      </w:tr>
      <w:tr>
        <w:trPr>
          <w:trHeight w:val="214"/>
        </w:trPr>
        <w:tc>
          <w:tcPr>
            <w:tcW w:w="4160" w:type="dxa"/>
            <w:vAlign w:val="bottom"/>
          </w:tcPr>
          <w:p>
            <w:pPr>
              <w:spacing w:after="0"/>
              <w:rPr>
                <w:sz w:val="20"/>
                <w:szCs w:val="20"/>
                <w:color w:val="auto"/>
              </w:rPr>
            </w:pPr>
            <w:r>
              <w:rPr>
                <w:rFonts w:ascii="Arial" w:cs="Arial" w:eastAsia="Arial" w:hAnsi="Arial"/>
                <w:sz w:val="18"/>
                <w:szCs w:val="18"/>
                <w:color w:val="231F20"/>
              </w:rPr>
              <w:t>Managing Director/SWaN &amp; Legend Partners</w:t>
            </w:r>
          </w:p>
        </w:tc>
        <w:tc>
          <w:tcPr>
            <w:tcW w:w="6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44"/>
        </w:trPr>
        <w:tc>
          <w:tcPr>
            <w:tcW w:w="4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500" w:type="dxa"/>
            <w:vAlign w:val="bottom"/>
          </w:tcPr>
          <w:p>
            <w:pPr>
              <w:spacing w:after="0"/>
              <w:rPr>
                <w:sz w:val="3"/>
                <w:szCs w:val="3"/>
                <w:color w:val="auto"/>
              </w:rPr>
            </w:pPr>
          </w:p>
        </w:tc>
        <w:tc>
          <w:tcPr>
            <w:tcW w:w="900" w:type="dxa"/>
            <w:vAlign w:val="bottom"/>
          </w:tcPr>
          <w:p>
            <w:pPr>
              <w:spacing w:after="0"/>
              <w:rPr>
                <w:sz w:val="3"/>
                <w:szCs w:val="3"/>
                <w:color w:val="auto"/>
              </w:rPr>
            </w:pPr>
          </w:p>
        </w:tc>
        <w:tc>
          <w:tcPr>
            <w:tcW w:w="90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82"/>
        </w:trPr>
        <w:tc>
          <w:tcPr>
            <w:tcW w:w="4160" w:type="dxa"/>
            <w:vAlign w:val="bottom"/>
            <w:shd w:val="clear" w:color="auto" w:fill="DCDDDE"/>
          </w:tcPr>
          <w:p>
            <w:pPr>
              <w:spacing w:after="0"/>
              <w:rPr>
                <w:sz w:val="20"/>
                <w:szCs w:val="20"/>
                <w:color w:val="auto"/>
              </w:rPr>
            </w:pPr>
            <w:r>
              <w:rPr>
                <w:rFonts w:ascii="Arial" w:cs="Arial" w:eastAsia="Arial" w:hAnsi="Arial"/>
                <w:sz w:val="20"/>
                <w:szCs w:val="20"/>
                <w:b w:val="1"/>
                <w:bCs w:val="1"/>
                <w:color w:val="231F20"/>
              </w:rPr>
              <w:t>Gail P. Steinel</w:t>
            </w:r>
          </w:p>
        </w:tc>
        <w:tc>
          <w:tcPr>
            <w:tcW w:w="680" w:type="dxa"/>
            <w:vAlign w:val="bottom"/>
            <w:shd w:val="clear" w:color="auto" w:fill="DCDDDE"/>
          </w:tcPr>
          <w:p>
            <w:pPr>
              <w:jc w:val="center"/>
              <w:spacing w:after="0"/>
              <w:rPr>
                <w:sz w:val="20"/>
                <w:szCs w:val="20"/>
                <w:color w:val="auto"/>
              </w:rPr>
            </w:pPr>
            <w:r>
              <w:rPr>
                <w:rFonts w:ascii="Arial" w:cs="Arial" w:eastAsia="Arial" w:hAnsi="Arial"/>
                <w:sz w:val="20"/>
                <w:szCs w:val="20"/>
                <w:color w:val="231F20"/>
                <w:w w:val="98"/>
              </w:rPr>
              <w:t>69</w:t>
            </w:r>
          </w:p>
        </w:tc>
        <w:tc>
          <w:tcPr>
            <w:tcW w:w="1040" w:type="dxa"/>
            <w:vAlign w:val="bottom"/>
            <w:shd w:val="clear" w:color="auto" w:fill="DCDDDE"/>
          </w:tcPr>
          <w:p>
            <w:pPr>
              <w:jc w:val="center"/>
              <w:spacing w:after="0"/>
              <w:rPr>
                <w:sz w:val="20"/>
                <w:szCs w:val="20"/>
                <w:color w:val="auto"/>
              </w:rPr>
            </w:pPr>
            <w:r>
              <w:rPr>
                <w:rFonts w:ascii="Arial" w:cs="Arial" w:eastAsia="Arial" w:hAnsi="Arial"/>
                <w:sz w:val="20"/>
                <w:szCs w:val="20"/>
                <w:color w:val="231F20"/>
                <w:w w:val="98"/>
              </w:rPr>
              <w:t>2006</w:t>
            </w:r>
          </w:p>
        </w:tc>
        <w:tc>
          <w:tcPr>
            <w:tcW w:w="1500" w:type="dxa"/>
            <w:vAlign w:val="bottom"/>
            <w:shd w:val="clear" w:color="auto" w:fill="DCDDDE"/>
          </w:tcPr>
          <w:p>
            <w:pPr>
              <w:jc w:val="center"/>
              <w:spacing w:after="0"/>
              <w:rPr>
                <w:sz w:val="20"/>
                <w:szCs w:val="20"/>
                <w:color w:val="auto"/>
              </w:rPr>
            </w:pPr>
            <w:r>
              <w:rPr>
                <w:rFonts w:ascii="Arial" w:cs="Arial" w:eastAsia="Arial" w:hAnsi="Arial"/>
                <w:sz w:val="20"/>
                <w:szCs w:val="20"/>
                <w:color w:val="231F20"/>
                <w:w w:val="98"/>
              </w:rPr>
              <w:t>Yes</w:t>
            </w:r>
          </w:p>
        </w:tc>
        <w:tc>
          <w:tcPr>
            <w:tcW w:w="900" w:type="dxa"/>
            <w:vAlign w:val="bottom"/>
            <w:shd w:val="clear" w:color="auto" w:fill="DCDDDE"/>
          </w:tcPr>
          <w:p>
            <w:pPr>
              <w:ind w:left="320"/>
              <w:spacing w:after="0"/>
              <w:rPr>
                <w:sz w:val="20"/>
                <w:szCs w:val="20"/>
                <w:color w:val="auto"/>
              </w:rPr>
            </w:pPr>
            <w:r>
              <w:rPr>
                <w:rFonts w:ascii="Arial" w:cs="Arial" w:eastAsia="Arial" w:hAnsi="Arial"/>
                <w:sz w:val="20"/>
                <w:szCs w:val="20"/>
                <w:color w:val="231F20"/>
              </w:rPr>
              <w:t>C$</w:t>
            </w:r>
          </w:p>
        </w:tc>
        <w:tc>
          <w:tcPr>
            <w:tcW w:w="900" w:type="dxa"/>
            <w:vAlign w:val="bottom"/>
            <w:shd w:val="clear" w:color="auto" w:fill="DCDDDE"/>
          </w:tcPr>
          <w:p>
            <w:pPr>
              <w:jc w:val="center"/>
              <w:spacing w:after="0" w:line="268" w:lineRule="exact"/>
              <w:rPr>
                <w:sz w:val="20"/>
                <w:szCs w:val="20"/>
                <w:color w:val="auto"/>
              </w:rPr>
            </w:pPr>
            <w:r>
              <w:rPr>
                <w:rFonts w:ascii="Arial Unicode MS" w:cs="Arial Unicode MS" w:eastAsia="Arial Unicode MS" w:hAnsi="Arial Unicode MS"/>
                <w:sz w:val="20"/>
                <w:szCs w:val="20"/>
                <w:color w:val="231F20"/>
                <w:w w:val="92"/>
              </w:rPr>
              <w:t>✓</w:t>
            </w:r>
          </w:p>
        </w:tc>
        <w:tc>
          <w:tcPr>
            <w:tcW w:w="900" w:type="dxa"/>
            <w:vAlign w:val="bottom"/>
            <w:shd w:val="clear" w:color="auto" w:fill="DCDDDE"/>
          </w:tcPr>
          <w:p>
            <w:pPr>
              <w:spacing w:after="0"/>
              <w:rPr>
                <w:sz w:val="24"/>
                <w:szCs w:val="24"/>
                <w:color w:val="auto"/>
              </w:rPr>
            </w:pPr>
          </w:p>
        </w:tc>
      </w:tr>
      <w:tr>
        <w:trPr>
          <w:trHeight w:val="238"/>
        </w:trPr>
        <w:tc>
          <w:tcPr>
            <w:tcW w:w="4160" w:type="dxa"/>
            <w:vAlign w:val="bottom"/>
            <w:tcBorders>
              <w:bottom w:val="single" w:sz="8" w:color="DCDDDE"/>
            </w:tcBorders>
            <w:shd w:val="clear" w:color="auto" w:fill="DCDDDE"/>
          </w:tcPr>
          <w:p>
            <w:pPr>
              <w:spacing w:after="0"/>
              <w:rPr>
                <w:sz w:val="20"/>
                <w:szCs w:val="20"/>
                <w:color w:val="auto"/>
              </w:rPr>
            </w:pPr>
            <w:r>
              <w:rPr>
                <w:rFonts w:ascii="Arial" w:cs="Arial" w:eastAsia="Arial" w:hAnsi="Arial"/>
                <w:sz w:val="18"/>
                <w:szCs w:val="18"/>
                <w:color w:val="231F20"/>
              </w:rPr>
              <w:t>Owner/Executive Advisors</w:t>
            </w:r>
          </w:p>
        </w:tc>
        <w:tc>
          <w:tcPr>
            <w:tcW w:w="680" w:type="dxa"/>
            <w:vAlign w:val="bottom"/>
            <w:tcBorders>
              <w:bottom w:val="single" w:sz="8" w:color="DCDDDE"/>
            </w:tcBorders>
            <w:shd w:val="clear" w:color="auto" w:fill="DCDDDE"/>
          </w:tcPr>
          <w:p>
            <w:pPr>
              <w:spacing w:after="0"/>
              <w:rPr>
                <w:sz w:val="20"/>
                <w:szCs w:val="20"/>
                <w:color w:val="auto"/>
              </w:rPr>
            </w:pPr>
          </w:p>
        </w:tc>
        <w:tc>
          <w:tcPr>
            <w:tcW w:w="1040" w:type="dxa"/>
            <w:vAlign w:val="bottom"/>
            <w:tcBorders>
              <w:bottom w:val="single" w:sz="8" w:color="DCDDDE"/>
            </w:tcBorders>
            <w:shd w:val="clear" w:color="auto" w:fill="DCDDDE"/>
          </w:tcPr>
          <w:p>
            <w:pPr>
              <w:spacing w:after="0"/>
              <w:rPr>
                <w:sz w:val="20"/>
                <w:szCs w:val="20"/>
                <w:color w:val="auto"/>
              </w:rPr>
            </w:pPr>
          </w:p>
        </w:tc>
        <w:tc>
          <w:tcPr>
            <w:tcW w:w="1500" w:type="dxa"/>
            <w:vAlign w:val="bottom"/>
            <w:tcBorders>
              <w:bottom w:val="single" w:sz="8" w:color="DCDDDE"/>
            </w:tcBorders>
            <w:shd w:val="clear" w:color="auto" w:fill="DCDDDE"/>
          </w:tcPr>
          <w:p>
            <w:pPr>
              <w:spacing w:after="0"/>
              <w:rPr>
                <w:sz w:val="20"/>
                <w:szCs w:val="20"/>
                <w:color w:val="auto"/>
              </w:rPr>
            </w:pPr>
          </w:p>
        </w:tc>
        <w:tc>
          <w:tcPr>
            <w:tcW w:w="900" w:type="dxa"/>
            <w:vAlign w:val="bottom"/>
            <w:tcBorders>
              <w:bottom w:val="single" w:sz="8" w:color="DCDDDE"/>
            </w:tcBorders>
            <w:shd w:val="clear" w:color="auto" w:fill="DCDDDE"/>
          </w:tcPr>
          <w:p>
            <w:pPr>
              <w:spacing w:after="0"/>
              <w:rPr>
                <w:sz w:val="20"/>
                <w:szCs w:val="20"/>
                <w:color w:val="auto"/>
              </w:rPr>
            </w:pPr>
          </w:p>
        </w:tc>
        <w:tc>
          <w:tcPr>
            <w:tcW w:w="900" w:type="dxa"/>
            <w:vAlign w:val="bottom"/>
            <w:tcBorders>
              <w:bottom w:val="single" w:sz="8" w:color="DCDDDE"/>
            </w:tcBorders>
            <w:shd w:val="clear" w:color="auto" w:fill="DCDDDE"/>
          </w:tcPr>
          <w:p>
            <w:pPr>
              <w:spacing w:after="0"/>
              <w:rPr>
                <w:sz w:val="20"/>
                <w:szCs w:val="20"/>
                <w:color w:val="auto"/>
              </w:rPr>
            </w:pPr>
          </w:p>
        </w:tc>
        <w:tc>
          <w:tcPr>
            <w:tcW w:w="900" w:type="dxa"/>
            <w:vAlign w:val="bottom"/>
            <w:tcBorders>
              <w:bottom w:val="single" w:sz="8" w:color="DCDDDE"/>
            </w:tcBorders>
            <w:shd w:val="clear" w:color="auto" w:fill="DCDDDE"/>
          </w:tcPr>
          <w:p>
            <w:pPr>
              <w:spacing w:after="0"/>
              <w:rPr>
                <w:sz w:val="20"/>
                <w:szCs w:val="20"/>
                <w:color w:val="auto"/>
              </w:rPr>
            </w:pPr>
          </w:p>
        </w:tc>
      </w:tr>
      <w:tr>
        <w:trPr>
          <w:trHeight w:val="282"/>
        </w:trPr>
        <w:tc>
          <w:tcPr>
            <w:tcW w:w="4160" w:type="dxa"/>
            <w:vAlign w:val="bottom"/>
          </w:tcPr>
          <w:p>
            <w:pPr>
              <w:spacing w:after="0"/>
              <w:rPr>
                <w:sz w:val="20"/>
                <w:szCs w:val="20"/>
                <w:color w:val="auto"/>
              </w:rPr>
            </w:pPr>
            <w:r>
              <w:rPr>
                <w:rFonts w:ascii="Arial" w:cs="Arial" w:eastAsia="Arial" w:hAnsi="Arial"/>
                <w:sz w:val="20"/>
                <w:szCs w:val="20"/>
                <w:b w:val="1"/>
                <w:bCs w:val="1"/>
                <w:color w:val="231F20"/>
              </w:rPr>
              <w:t>Donald C. Wood</w:t>
            </w:r>
          </w:p>
        </w:tc>
        <w:tc>
          <w:tcPr>
            <w:tcW w:w="680" w:type="dxa"/>
            <w:vAlign w:val="bottom"/>
          </w:tcPr>
          <w:p>
            <w:pPr>
              <w:jc w:val="center"/>
              <w:spacing w:after="0"/>
              <w:rPr>
                <w:sz w:val="20"/>
                <w:szCs w:val="20"/>
                <w:color w:val="auto"/>
              </w:rPr>
            </w:pPr>
            <w:r>
              <w:rPr>
                <w:rFonts w:ascii="Arial" w:cs="Arial" w:eastAsia="Arial" w:hAnsi="Arial"/>
                <w:sz w:val="20"/>
                <w:szCs w:val="20"/>
                <w:color w:val="231F20"/>
                <w:w w:val="98"/>
              </w:rPr>
              <w:t>65</w:t>
            </w:r>
          </w:p>
        </w:tc>
        <w:tc>
          <w:tcPr>
            <w:tcW w:w="1040" w:type="dxa"/>
            <w:vAlign w:val="bottom"/>
          </w:tcPr>
          <w:p>
            <w:pPr>
              <w:jc w:val="center"/>
              <w:spacing w:after="0"/>
              <w:rPr>
                <w:sz w:val="20"/>
                <w:szCs w:val="20"/>
                <w:color w:val="auto"/>
              </w:rPr>
            </w:pPr>
            <w:r>
              <w:rPr>
                <w:rFonts w:ascii="Arial" w:cs="Arial" w:eastAsia="Arial" w:hAnsi="Arial"/>
                <w:sz w:val="20"/>
                <w:szCs w:val="20"/>
                <w:color w:val="231F20"/>
                <w:w w:val="98"/>
              </w:rPr>
              <w:t>2003</w:t>
            </w:r>
          </w:p>
        </w:tc>
        <w:tc>
          <w:tcPr>
            <w:tcW w:w="1500" w:type="dxa"/>
            <w:vAlign w:val="bottom"/>
          </w:tcPr>
          <w:p>
            <w:pPr>
              <w:jc w:val="center"/>
              <w:spacing w:after="0"/>
              <w:rPr>
                <w:sz w:val="20"/>
                <w:szCs w:val="20"/>
                <w:color w:val="auto"/>
              </w:rPr>
            </w:pPr>
            <w:r>
              <w:rPr>
                <w:rFonts w:ascii="Arial" w:cs="Arial" w:eastAsia="Arial" w:hAnsi="Arial"/>
                <w:sz w:val="20"/>
                <w:szCs w:val="20"/>
                <w:color w:val="231F20"/>
              </w:rPr>
              <w:t>No</w:t>
            </w: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14"/>
        </w:trPr>
        <w:tc>
          <w:tcPr>
            <w:tcW w:w="4160" w:type="dxa"/>
            <w:vAlign w:val="bottom"/>
          </w:tcPr>
          <w:p>
            <w:pPr>
              <w:spacing w:after="0"/>
              <w:rPr>
                <w:sz w:val="20"/>
                <w:szCs w:val="20"/>
                <w:color w:val="auto"/>
              </w:rPr>
            </w:pPr>
            <w:r>
              <w:rPr>
                <w:rFonts w:ascii="Arial" w:cs="Arial" w:eastAsia="Arial" w:hAnsi="Arial"/>
                <w:sz w:val="18"/>
                <w:szCs w:val="18"/>
                <w:color w:val="231F20"/>
              </w:rPr>
              <w:t>Chief Executive Officer/Federal Realty Investment</w:t>
            </w:r>
          </w:p>
        </w:tc>
        <w:tc>
          <w:tcPr>
            <w:tcW w:w="6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0"/>
        </w:trPr>
        <w:tc>
          <w:tcPr>
            <w:tcW w:w="4160" w:type="dxa"/>
            <w:vAlign w:val="bottom"/>
          </w:tcPr>
          <w:p>
            <w:pPr>
              <w:spacing w:after="0"/>
              <w:rPr>
                <w:sz w:val="20"/>
                <w:szCs w:val="20"/>
                <w:color w:val="auto"/>
              </w:rPr>
            </w:pPr>
            <w:r>
              <w:rPr>
                <w:rFonts w:ascii="Arial" w:cs="Arial" w:eastAsia="Arial" w:hAnsi="Arial"/>
                <w:sz w:val="18"/>
                <w:szCs w:val="18"/>
                <w:color w:val="231F20"/>
              </w:rPr>
              <w:t>Trust</w:t>
            </w:r>
          </w:p>
        </w:tc>
        <w:tc>
          <w:tcPr>
            <w:tcW w:w="6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00" w:type="dxa"/>
            <w:vAlign w:val="bottom"/>
          </w:tcPr>
          <w:p>
            <w:pPr>
              <w:spacing w:after="0"/>
              <w:rPr>
                <w:sz w:val="19"/>
                <w:szCs w:val="19"/>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Legend:</w:t>
      </w:r>
    </w:p>
    <w:p>
      <w:pPr>
        <w:spacing w:after="0" w:line="21"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231F20"/>
        </w:rPr>
        <w:t>AC-Audit Committee; CC-Compensation and Human Capital Management Committee; NC-Nominating and Corporate Governance Committee</w:t>
      </w:r>
    </w:p>
    <w:p>
      <w:pPr>
        <w:spacing w:after="0" w:line="54" w:lineRule="exact"/>
        <w:rPr>
          <w:sz w:val="20"/>
          <w:szCs w:val="20"/>
          <w:color w:val="auto"/>
        </w:rPr>
      </w:pPr>
    </w:p>
    <w:p>
      <w:pPr>
        <w:ind w:left="400" w:right="6520"/>
        <w:spacing w:after="0" w:line="285" w:lineRule="auto"/>
        <w:tabs>
          <w:tab w:leader="none" w:pos="700" w:val="left"/>
        </w:tabs>
        <w:numPr>
          <w:ilvl w:val="0"/>
          <w:numId w:val="79"/>
        </w:numPr>
        <w:rPr>
          <w:rFonts w:ascii="Arial" w:cs="Arial" w:eastAsia="Arial" w:hAnsi="Arial"/>
          <w:sz w:val="20"/>
          <w:szCs w:val="20"/>
          <w:color w:val="231F20"/>
        </w:rPr>
      </w:pPr>
      <w:r>
        <w:rPr>
          <w:rFonts w:ascii="Arial" w:cs="Arial" w:eastAsia="Arial" w:hAnsi="Arial"/>
          <w:sz w:val="20"/>
          <w:szCs w:val="20"/>
          <w:color w:val="231F20"/>
        </w:rPr>
        <w:t>Indicates Chairman of the Board C Indicates Committee Chair</w:t>
      </w:r>
    </w:p>
    <w:p>
      <w:pPr>
        <w:spacing w:after="0" w:line="7" w:lineRule="exact"/>
        <w:rPr>
          <w:rFonts w:ascii="Arial" w:cs="Arial" w:eastAsia="Arial" w:hAnsi="Arial"/>
          <w:sz w:val="20"/>
          <w:szCs w:val="20"/>
          <w:color w:val="231F20"/>
        </w:rPr>
      </w:pPr>
    </w:p>
    <w:p>
      <w:pPr>
        <w:ind w:left="400"/>
        <w:spacing w:after="0"/>
        <w:rPr>
          <w:rFonts w:ascii="Arial" w:cs="Arial" w:eastAsia="Arial" w:hAnsi="Arial"/>
          <w:sz w:val="20"/>
          <w:szCs w:val="20"/>
          <w:color w:val="231F20"/>
        </w:rPr>
      </w:pPr>
      <w:r>
        <w:rPr>
          <w:rFonts w:ascii="Arial" w:cs="Arial" w:eastAsia="Arial" w:hAnsi="Arial"/>
          <w:sz w:val="20"/>
          <w:szCs w:val="20"/>
          <w:color w:val="231F20"/>
        </w:rPr>
        <w:t>$  Indicates Audit Committee Financial Expert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558800</wp:posOffset>
                </wp:positionV>
                <wp:extent cx="6400800" cy="177800"/>
                <wp:wrapNone/>
                <wp:docPr id="72" name="Shape 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177800"/>
                        </a:xfrm>
                        <a:prstGeom prst="rect">
                          <a:avLst/>
                        </a:prstGeom>
                        <a:solidFill>
                          <a:srgbClr val="E8E7E5"/>
                        </a:solidFill>
                      </wps:spPr>
                      <wps:bodyPr/>
                    </wps:wsp>
                  </a:graphicData>
                </a:graphic>
              </wp:anchor>
            </w:drawing>
          </mc:Choice>
          <mc:Fallback>
            <w:pict>
              <v:rect id="Shape 72" o:spid="_x0000_s1097" style="position:absolute;margin-left:0pt;margin-top:44pt;width:504pt;height:1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8E7E5" stroked="f"/>
            </w:pict>
          </mc:Fallback>
        </mc:AlternateContent>
        <mc:AlternateContent>
          <mc:Choice Requires="wps">
            <w:drawing>
              <wp:anchor simplePos="0" relativeHeight="251657728" behindDoc="1" locked="0" layoutInCell="0" allowOverlap="1">
                <wp:simplePos x="0" y="0"/>
                <wp:positionH relativeFrom="column">
                  <wp:posOffset>6350</wp:posOffset>
                </wp:positionH>
                <wp:positionV relativeFrom="paragraph">
                  <wp:posOffset>558165</wp:posOffset>
                </wp:positionV>
                <wp:extent cx="0" cy="177800"/>
                <wp:wrapNone/>
                <wp:docPr id="73" name="Shape 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73" o:spid="_x0000_s109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pt,43.95pt" to="0.5pt,57.95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564515</wp:posOffset>
                </wp:positionV>
                <wp:extent cx="6400800" cy="0"/>
                <wp:wrapNone/>
                <wp:docPr id="74" name="Shape 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74" o:spid="_x0000_s109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44.45pt" to="504pt,44.45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6394450</wp:posOffset>
                </wp:positionH>
                <wp:positionV relativeFrom="paragraph">
                  <wp:posOffset>558165</wp:posOffset>
                </wp:positionV>
                <wp:extent cx="0" cy="177800"/>
                <wp:wrapNone/>
                <wp:docPr id="75" name="Shape 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75" o:spid="_x0000_s110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3.5pt,43.95pt" to="503.5pt,57.95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729615</wp:posOffset>
                </wp:positionV>
                <wp:extent cx="6400800" cy="0"/>
                <wp:wrapNone/>
                <wp:docPr id="76" name="Shape 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76" o:spid="_x0000_s110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7.45pt" to="504pt,57.45pt" o:allowincell="f" strokecolor="#231F20" strokeweight="1pt"/>
            </w:pict>
          </mc:Fallback>
        </mc:AlternateContent>
      </w:r>
    </w:p>
    <w:p>
      <w:pPr>
        <w:sectPr>
          <w:pgSz w:w="11880" w:h="15480" w:orient="portrait"/>
          <w:cols w:equalWidth="0" w:num="1">
            <w:col w:w="10080"/>
          </w:cols>
          <w:pgMar w:left="900" w:top="1272" w:right="900" w:bottom="76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80"/>
        <w:spacing w:after="0"/>
        <w:tabs>
          <w:tab w:leader="none" w:pos="1420" w:val="left"/>
          <w:tab w:leader="none" w:pos="3160" w:val="left"/>
        </w:tabs>
        <w:rPr>
          <w:sz w:val="20"/>
          <w:szCs w:val="20"/>
          <w:color w:val="auto"/>
        </w:rPr>
      </w:pPr>
      <w:r>
        <w:rPr>
          <w:rFonts w:ascii="Arial" w:cs="Arial" w:eastAsia="Arial" w:hAnsi="Arial"/>
          <w:sz w:val="16"/>
          <w:szCs w:val="16"/>
          <w:color w:val="EF3E2A"/>
        </w:rPr>
        <w:t>Federal Realty</w:t>
      </w:r>
      <w:r>
        <w:rPr>
          <w:sz w:val="20"/>
          <w:szCs w:val="20"/>
          <w:color w:val="auto"/>
        </w:rPr>
        <w:tab/>
      </w:r>
      <w:r>
        <w:rPr>
          <w:rFonts w:ascii="Arial" w:cs="Arial" w:eastAsia="Arial" w:hAnsi="Arial"/>
          <w:sz w:val="16"/>
          <w:szCs w:val="16"/>
          <w:color w:val="231F20"/>
        </w:rPr>
        <w:t>2026 Proxy Statement</w:t>
        <w:tab/>
        <w:t>2</w:t>
      </w:r>
    </w:p>
    <w:p>
      <w:pPr>
        <w:sectPr>
          <w:pgSz w:w="11880" w:h="15480" w:orient="portrait"/>
          <w:cols w:equalWidth="0" w:num="1">
            <w:col w:w="10080"/>
          </w:cols>
          <w:pgMar w:left="900" w:top="1272" w:right="900" w:bottom="763" w:gutter="0" w:footer="0" w:header="0"/>
          <w:type w:val="continuous"/>
        </w:sectPr>
      </w:pPr>
    </w:p>
    <w:bookmarkStart w:id="122" w:name="page123"/>
    <w:bookmarkEnd w:id="122"/>
    <w:p>
      <w:pPr>
        <w:spacing w:after="0" w:line="268" w:lineRule="exact"/>
        <w:rPr>
          <w:sz w:val="20"/>
          <w:szCs w:val="20"/>
          <w:color w:val="auto"/>
        </w:rPr>
      </w:pPr>
      <w:r>
        <w:rPr>
          <w:rFonts w:ascii="Arial Unicode MS" w:cs="Arial Unicode MS" w:eastAsia="Arial Unicode MS" w:hAnsi="Arial Unicode MS"/>
          <w:sz w:val="20"/>
          <w:szCs w:val="20"/>
          <w:color w:val="EF3E2A"/>
        </w:rPr>
        <w:t>➣</w:t>
      </w:r>
      <w:r>
        <w:rPr>
          <w:rFonts w:ascii="Arial" w:cs="Arial" w:eastAsia="Arial" w:hAnsi="Arial"/>
          <w:sz w:val="20"/>
          <w:szCs w:val="20"/>
          <w:b w:val="1"/>
          <w:bCs w:val="1"/>
          <w:color w:val="231F20"/>
        </w:rPr>
        <w:t xml:space="preserve"> SUSTAINABILITY SNAPSHOT</w:t>
      </w:r>
    </w:p>
    <w:p>
      <w:pPr>
        <w:spacing w:after="0" w:line="284"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231F20"/>
        </w:rPr>
        <w:t>Our sustainability initiatives are directly tied to supporting our business objective of using our real estate to create long-term value for all of our constituencies, including our shareholders. We have focused our efforts around the five areas that we believe are most impactful to supporting our business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214630</wp:posOffset>
            </wp:positionV>
            <wp:extent cx="6412230" cy="15017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52">
                      <a:extLst>
                        <a:ext uri="{28A0092B-C50C-407E-A947-70E740481C1C}"/>
                      </a:extLst>
                    </a:blip>
                    <a:srcRect/>
                    <a:stretch>
                      <a:fillRect/>
                    </a:stretch>
                  </pic:blipFill>
                  <pic:spPr bwMode="auto">
                    <a:xfrm>
                      <a:off x="0" y="0"/>
                      <a:ext cx="6412230" cy="1501775"/>
                    </a:xfrm>
                    <a:prstGeom prst="rect">
                      <a:avLst/>
                    </a:prstGeom>
                    <a:noFill/>
                  </pic:spPr>
                </pic:pic>
              </a:graphicData>
            </a:graphic>
          </wp:anchor>
        </w:drawing>
      </w:r>
    </w:p>
    <w:p>
      <w:pPr>
        <w:sectPr>
          <w:pgSz w:w="11880" w:h="15480" w:orient="portrait"/>
          <w:cols w:equalWidth="0" w:num="1">
            <w:col w:w="10080"/>
          </w:cols>
          <w:pgMar w:left="900" w:top="1272" w:right="900" w:bottom="763" w:gutter="0" w:footer="0" w:header="0"/>
        </w:sectPr>
      </w:pPr>
    </w:p>
    <w:p>
      <w:pPr>
        <w:spacing w:after="0" w:line="200" w:lineRule="exact"/>
        <w:rPr>
          <w:sz w:val="20"/>
          <w:szCs w:val="20"/>
          <w:color w:val="auto"/>
        </w:rPr>
      </w:pPr>
    </w:p>
    <w:p>
      <w:pPr>
        <w:spacing w:after="0" w:line="398" w:lineRule="exact"/>
        <w:rPr>
          <w:sz w:val="20"/>
          <w:szCs w:val="20"/>
          <w:color w:val="auto"/>
        </w:rPr>
      </w:pPr>
    </w:p>
    <w:p>
      <w:pPr>
        <w:jc w:val="center"/>
        <w:ind w:left="100"/>
        <w:spacing w:after="0"/>
        <w:rPr>
          <w:sz w:val="20"/>
          <w:szCs w:val="20"/>
          <w:color w:val="auto"/>
        </w:rPr>
      </w:pPr>
      <w:r>
        <w:rPr>
          <w:rFonts w:ascii="Arial" w:cs="Arial" w:eastAsia="Arial" w:hAnsi="Arial"/>
          <w:sz w:val="24"/>
          <w:szCs w:val="24"/>
          <w:b w:val="1"/>
          <w:bCs w:val="1"/>
          <w:color w:val="FFFFFF"/>
        </w:rPr>
        <w:t>Advance</w:t>
      </w:r>
    </w:p>
    <w:p>
      <w:pPr>
        <w:spacing w:after="0" w:line="4" w:lineRule="exact"/>
        <w:rPr>
          <w:sz w:val="20"/>
          <w:szCs w:val="20"/>
          <w:color w:val="auto"/>
        </w:rPr>
      </w:pPr>
    </w:p>
    <w:p>
      <w:pPr>
        <w:jc w:val="center"/>
        <w:ind w:left="100"/>
        <w:spacing w:after="0"/>
        <w:rPr>
          <w:sz w:val="20"/>
          <w:szCs w:val="20"/>
          <w:color w:val="auto"/>
        </w:rPr>
      </w:pPr>
      <w:r>
        <w:rPr>
          <w:rFonts w:ascii="Arial" w:cs="Arial" w:eastAsia="Arial" w:hAnsi="Arial"/>
          <w:sz w:val="24"/>
          <w:szCs w:val="24"/>
          <w:b w:val="1"/>
          <w:bCs w:val="1"/>
          <w:color w:val="FFFFFF"/>
        </w:rPr>
        <w:t>Decarbonization*</w:t>
      </w:r>
    </w:p>
    <w:p>
      <w:pPr>
        <w:spacing w:after="0" w:line="207" w:lineRule="exact"/>
        <w:rPr>
          <w:sz w:val="20"/>
          <w:szCs w:val="20"/>
          <w:color w:val="auto"/>
        </w:rPr>
      </w:pPr>
    </w:p>
    <w:p>
      <w:pPr>
        <w:jc w:val="center"/>
        <w:ind w:left="120"/>
        <w:spacing w:after="0" w:line="248" w:lineRule="auto"/>
        <w:rPr>
          <w:sz w:val="20"/>
          <w:szCs w:val="20"/>
          <w:color w:val="auto"/>
        </w:rPr>
      </w:pPr>
      <w:r>
        <w:rPr>
          <w:rFonts w:ascii="Arial" w:cs="Arial" w:eastAsia="Arial" w:hAnsi="Arial"/>
          <w:sz w:val="20"/>
          <w:szCs w:val="20"/>
          <w:color w:val="FFFFFF"/>
        </w:rPr>
        <w:t>Manage potential financial exposure of transitioning real estate assets to a low carbon economy by decarbonizing our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263525</wp:posOffset>
            </wp:positionV>
            <wp:extent cx="1828800" cy="16002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53">
                      <a:extLst>
                        <a:ext uri="{28A0092B-C50C-407E-A947-70E740481C1C}"/>
                      </a:extLst>
                    </a:blip>
                    <a:srcRect/>
                    <a:stretch>
                      <a:fillRect/>
                    </a:stretch>
                  </pic:blipFill>
                  <pic:spPr bwMode="auto">
                    <a:xfrm>
                      <a:off x="0" y="0"/>
                      <a:ext cx="1828800" cy="1600200"/>
                    </a:xfrm>
                    <a:prstGeom prst="rect">
                      <a:avLst/>
                    </a:prstGeom>
                    <a:noFill/>
                  </pic:spPr>
                </pic:pic>
              </a:graphicData>
            </a:graphic>
          </wp:anchor>
        </w:drawing>
      </w:r>
    </w:p>
    <w:p>
      <w:pPr>
        <w:spacing w:after="0" w:line="200" w:lineRule="exact"/>
        <w:rPr>
          <w:sz w:val="20"/>
          <w:szCs w:val="20"/>
          <w:color w:val="auto"/>
        </w:rPr>
      </w:pPr>
    </w:p>
    <w:p>
      <w:pPr>
        <w:spacing w:after="0" w:line="349" w:lineRule="exact"/>
        <w:rPr>
          <w:sz w:val="20"/>
          <w:szCs w:val="20"/>
          <w:color w:val="auto"/>
        </w:rPr>
      </w:pPr>
    </w:p>
    <w:p>
      <w:pPr>
        <w:ind w:left="780"/>
        <w:spacing w:after="0"/>
        <w:rPr>
          <w:sz w:val="20"/>
          <w:szCs w:val="20"/>
          <w:color w:val="auto"/>
        </w:rPr>
      </w:pPr>
      <w:r>
        <w:rPr>
          <w:rFonts w:ascii="Arial" w:cs="Arial" w:eastAsia="Arial" w:hAnsi="Arial"/>
          <w:sz w:val="24"/>
          <w:szCs w:val="24"/>
          <w:b w:val="1"/>
          <w:bCs w:val="1"/>
          <w:color w:val="FFFFFF"/>
        </w:rPr>
        <w:t>Strengthen</w:t>
      </w:r>
    </w:p>
    <w:p>
      <w:pPr>
        <w:spacing w:after="0" w:line="4" w:lineRule="exact"/>
        <w:rPr>
          <w:sz w:val="20"/>
          <w:szCs w:val="20"/>
          <w:color w:val="auto"/>
        </w:rPr>
      </w:pPr>
    </w:p>
    <w:p>
      <w:pPr>
        <w:ind w:left="760"/>
        <w:spacing w:after="0"/>
        <w:rPr>
          <w:sz w:val="20"/>
          <w:szCs w:val="20"/>
          <w:color w:val="auto"/>
        </w:rPr>
      </w:pPr>
      <w:r>
        <w:rPr>
          <w:rFonts w:ascii="Arial" w:cs="Arial" w:eastAsia="Arial" w:hAnsi="Arial"/>
          <w:sz w:val="24"/>
          <w:szCs w:val="24"/>
          <w:b w:val="1"/>
          <w:bCs w:val="1"/>
          <w:color w:val="FFFFFF"/>
        </w:rPr>
        <w:t>Resiliency*</w:t>
      </w:r>
    </w:p>
    <w:p>
      <w:pPr>
        <w:spacing w:after="0" w:line="207" w:lineRule="exact"/>
        <w:rPr>
          <w:sz w:val="20"/>
          <w:szCs w:val="20"/>
          <w:color w:val="auto"/>
        </w:rPr>
      </w:pPr>
    </w:p>
    <w:p>
      <w:pPr>
        <w:jc w:val="center"/>
        <w:ind w:left="100"/>
        <w:spacing w:after="0" w:line="249" w:lineRule="auto"/>
        <w:rPr>
          <w:sz w:val="20"/>
          <w:szCs w:val="20"/>
          <w:color w:val="auto"/>
        </w:rPr>
      </w:pPr>
      <w:r>
        <w:rPr>
          <w:rFonts w:ascii="Arial" w:cs="Arial" w:eastAsia="Arial" w:hAnsi="Arial"/>
          <w:sz w:val="20"/>
          <w:szCs w:val="20"/>
          <w:color w:val="FFFFFF"/>
        </w:rPr>
        <w:t>Minimize financial impact to our real estate assets from increased frequency and severity of weather events and depletion of natural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257810</wp:posOffset>
            </wp:positionV>
            <wp:extent cx="1828800" cy="15240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54">
                      <a:extLst>
                        <a:ext uri="{28A0092B-C50C-407E-A947-70E740481C1C}"/>
                      </a:extLst>
                    </a:blip>
                    <a:srcRect/>
                    <a:stretch>
                      <a:fillRect/>
                    </a:stretch>
                  </pic:blipFill>
                  <pic:spPr bwMode="auto">
                    <a:xfrm>
                      <a:off x="0" y="0"/>
                      <a:ext cx="1828800" cy="1524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left="100"/>
        <w:spacing w:after="0"/>
        <w:rPr>
          <w:sz w:val="20"/>
          <w:szCs w:val="20"/>
          <w:color w:val="auto"/>
        </w:rPr>
      </w:pPr>
      <w:r>
        <w:rPr>
          <w:rFonts w:ascii="Arial" w:cs="Arial" w:eastAsia="Arial" w:hAnsi="Arial"/>
          <w:sz w:val="24"/>
          <w:szCs w:val="24"/>
          <w:b w:val="1"/>
          <w:bCs w:val="1"/>
          <w:color w:val="FFFFFF"/>
        </w:rPr>
        <w:t>Connect</w:t>
      </w:r>
    </w:p>
    <w:p>
      <w:pPr>
        <w:spacing w:after="0" w:line="4" w:lineRule="exact"/>
        <w:rPr>
          <w:sz w:val="20"/>
          <w:szCs w:val="20"/>
          <w:color w:val="auto"/>
        </w:rPr>
      </w:pPr>
    </w:p>
    <w:p>
      <w:pPr>
        <w:jc w:val="center"/>
        <w:ind w:left="100"/>
        <w:spacing w:after="0"/>
        <w:rPr>
          <w:sz w:val="20"/>
          <w:szCs w:val="20"/>
          <w:color w:val="auto"/>
        </w:rPr>
      </w:pPr>
      <w:r>
        <w:rPr>
          <w:rFonts w:ascii="Arial" w:cs="Arial" w:eastAsia="Arial" w:hAnsi="Arial"/>
          <w:sz w:val="24"/>
          <w:szCs w:val="24"/>
          <w:b w:val="1"/>
          <w:bCs w:val="1"/>
          <w:color w:val="FFFFFF"/>
        </w:rPr>
        <w:t>Communities*</w:t>
      </w:r>
    </w:p>
    <w:p>
      <w:pPr>
        <w:spacing w:after="0" w:line="207" w:lineRule="exact"/>
        <w:rPr>
          <w:sz w:val="20"/>
          <w:szCs w:val="20"/>
          <w:color w:val="auto"/>
        </w:rPr>
      </w:pPr>
    </w:p>
    <w:p>
      <w:pPr>
        <w:jc w:val="center"/>
        <w:ind w:left="100"/>
        <w:spacing w:after="0" w:line="248" w:lineRule="auto"/>
        <w:rPr>
          <w:sz w:val="20"/>
          <w:szCs w:val="20"/>
          <w:color w:val="auto"/>
        </w:rPr>
      </w:pPr>
      <w:r>
        <w:rPr>
          <w:rFonts w:ascii="Arial" w:cs="Arial" w:eastAsia="Arial" w:hAnsi="Arial"/>
          <w:sz w:val="20"/>
          <w:szCs w:val="20"/>
          <w:color w:val="FFFFFF"/>
        </w:rPr>
        <w:t>Foster loyalty and connection to communities around our properties to drive long-term property and community success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201295</wp:posOffset>
            </wp:positionV>
            <wp:extent cx="1828800" cy="18288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55">
                      <a:extLst>
                        <a:ext uri="{28A0092B-C50C-407E-A947-70E740481C1C}"/>
                      </a:extLst>
                    </a:blip>
                    <a:srcRect/>
                    <a:stretch>
                      <a:fillRect/>
                    </a:stretch>
                  </pic:blipFill>
                  <pic:spPr bwMode="auto">
                    <a:xfrm>
                      <a:off x="0" y="0"/>
                      <a:ext cx="1828800" cy="18288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0" w:lineRule="exact"/>
        <w:rPr>
          <w:sz w:val="20"/>
          <w:szCs w:val="20"/>
          <w:color w:val="auto"/>
        </w:rPr>
      </w:pPr>
    </w:p>
    <w:p>
      <w:pPr>
        <w:ind w:left="320" w:right="380" w:hanging="311"/>
        <w:spacing w:after="0" w:line="233" w:lineRule="exact"/>
        <w:rPr>
          <w:sz w:val="20"/>
          <w:szCs w:val="20"/>
          <w:color w:val="auto"/>
        </w:rPr>
      </w:pPr>
      <w:r>
        <w:rPr>
          <w:rFonts w:ascii="Arial Unicode MS" w:cs="Arial Unicode MS" w:eastAsia="Arial Unicode MS" w:hAnsi="Arial Unicode MS"/>
          <w:sz w:val="20"/>
          <w:szCs w:val="20"/>
          <w:color w:val="231F20"/>
        </w:rPr>
        <w:t>✓</w:t>
      </w:r>
      <w:r>
        <w:rPr>
          <w:rFonts w:ascii="Arial" w:cs="Arial" w:eastAsia="Arial" w:hAnsi="Arial"/>
          <w:sz w:val="20"/>
          <w:szCs w:val="20"/>
          <w:color w:val="231F20"/>
        </w:rPr>
        <w:t xml:space="preserve"> Science Based Target to reduce Scope 1&amp;2 emissions by 46% by 2030 (2019 baseline)</w:t>
      </w:r>
    </w:p>
    <w:p>
      <w:pPr>
        <w:spacing w:after="0" w:line="15" w:lineRule="exact"/>
        <w:rPr>
          <w:sz w:val="20"/>
          <w:szCs w:val="20"/>
          <w:color w:val="auto"/>
        </w:rPr>
      </w:pPr>
    </w:p>
    <w:p>
      <w:pPr>
        <w:spacing w:after="0" w:line="268" w:lineRule="exact"/>
        <w:rPr>
          <w:sz w:val="20"/>
          <w:szCs w:val="20"/>
          <w:color w:val="auto"/>
        </w:rPr>
      </w:pPr>
      <w:r>
        <w:rPr>
          <w:rFonts w:ascii="Arial Unicode MS" w:cs="Arial Unicode MS" w:eastAsia="Arial Unicode MS" w:hAnsi="Arial Unicode MS"/>
          <w:sz w:val="20"/>
          <w:szCs w:val="20"/>
          <w:color w:val="231F20"/>
        </w:rPr>
        <w:t>✓</w:t>
      </w:r>
      <w:r>
        <w:rPr>
          <w:rFonts w:ascii="Arial" w:cs="Arial" w:eastAsia="Arial" w:hAnsi="Arial"/>
          <w:sz w:val="20"/>
          <w:szCs w:val="20"/>
          <w:color w:val="231F20"/>
        </w:rPr>
        <w:t xml:space="preserve"> </w:t>
      </w:r>
      <w:r>
        <w:rPr>
          <w:rFonts w:ascii="Symbol" w:cs="Symbol" w:eastAsia="Symbol" w:hAnsi="Symbol"/>
          <w:sz w:val="20"/>
          <w:szCs w:val="20"/>
          <w:color w:val="231F20"/>
        </w:rPr>
        <w:t>≈</w:t>
      </w:r>
      <w:r>
        <w:rPr>
          <w:rFonts w:ascii="Arial" w:cs="Arial" w:eastAsia="Arial" w:hAnsi="Arial"/>
          <w:sz w:val="20"/>
          <w:szCs w:val="20"/>
          <w:color w:val="231F20"/>
        </w:rPr>
        <w:t>35% Scope 1&amp;2 GHG emissions reduction from 2019 through 2024</w:t>
      </w:r>
    </w:p>
    <w:p>
      <w:pPr>
        <w:spacing w:after="0" w:line="59" w:lineRule="exact"/>
        <w:rPr>
          <w:sz w:val="20"/>
          <w:szCs w:val="20"/>
          <w:color w:val="auto"/>
        </w:rPr>
      </w:pPr>
    </w:p>
    <w:p>
      <w:pPr>
        <w:ind w:left="320" w:right="700" w:hanging="311"/>
        <w:spacing w:after="0" w:line="232" w:lineRule="exact"/>
        <w:rPr>
          <w:sz w:val="20"/>
          <w:szCs w:val="20"/>
          <w:color w:val="auto"/>
        </w:rPr>
      </w:pPr>
      <w:r>
        <w:rPr>
          <w:rFonts w:ascii="Arial Unicode MS" w:cs="Arial Unicode MS" w:eastAsia="Arial Unicode MS" w:hAnsi="Arial Unicode MS"/>
          <w:sz w:val="20"/>
          <w:szCs w:val="20"/>
          <w:color w:val="231F20"/>
        </w:rPr>
        <w:t>✓</w:t>
      </w:r>
      <w:r>
        <w:rPr>
          <w:rFonts w:ascii="Arial" w:cs="Arial" w:eastAsia="Arial" w:hAnsi="Arial"/>
          <w:sz w:val="20"/>
          <w:szCs w:val="20"/>
          <w:color w:val="231F20"/>
        </w:rPr>
        <w:t xml:space="preserve"> More than 5 million square feet of LEED certified buildings built or in process</w:t>
      </w:r>
    </w:p>
    <w:p>
      <w:pPr>
        <w:spacing w:after="0" w:line="61" w:lineRule="exact"/>
        <w:rPr>
          <w:sz w:val="20"/>
          <w:szCs w:val="20"/>
          <w:color w:val="auto"/>
        </w:rPr>
      </w:pPr>
    </w:p>
    <w:p>
      <w:pPr>
        <w:ind w:right="280"/>
        <w:spacing w:after="0" w:line="254" w:lineRule="exact"/>
        <w:rPr>
          <w:sz w:val="20"/>
          <w:szCs w:val="20"/>
          <w:color w:val="auto"/>
        </w:rPr>
      </w:pPr>
      <w:r>
        <w:rPr>
          <w:rFonts w:ascii="Arial Unicode MS" w:cs="Arial Unicode MS" w:eastAsia="Arial Unicode MS" w:hAnsi="Arial Unicode MS"/>
          <w:sz w:val="20"/>
          <w:szCs w:val="20"/>
          <w:color w:val="231F20"/>
        </w:rPr>
        <w:t>✓</w:t>
      </w:r>
      <w:r>
        <w:rPr>
          <w:rFonts w:ascii="Arial" w:cs="Arial" w:eastAsia="Arial" w:hAnsi="Arial"/>
          <w:sz w:val="20"/>
          <w:szCs w:val="20"/>
          <w:color w:val="231F20"/>
        </w:rPr>
        <w:t xml:space="preserve"> 51% of electric consumption in 2024 provided by zero carbon sources </w:t>
      </w:r>
      <w:r>
        <w:rPr>
          <w:rFonts w:ascii="Arial Unicode MS" w:cs="Arial Unicode MS" w:eastAsia="Arial Unicode MS" w:hAnsi="Arial Unicode MS"/>
          <w:sz w:val="20"/>
          <w:szCs w:val="20"/>
          <w:color w:val="231F20"/>
        </w:rPr>
        <w:t>✓</w:t>
      </w:r>
      <w:r>
        <w:rPr>
          <w:rFonts w:ascii="Arial" w:cs="Arial" w:eastAsia="Arial" w:hAnsi="Arial"/>
          <w:sz w:val="20"/>
          <w:szCs w:val="20"/>
          <w:color w:val="231F20"/>
        </w:rPr>
        <w:t xml:space="preserve"> 15.3 MW solar power generating capacity in solar arrays at 28 properties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320" w:right="860" w:hanging="311"/>
        <w:spacing w:after="0" w:line="233" w:lineRule="exact"/>
        <w:rPr>
          <w:sz w:val="20"/>
          <w:szCs w:val="20"/>
          <w:color w:val="auto"/>
        </w:rPr>
      </w:pPr>
      <w:r>
        <w:rPr>
          <w:rFonts w:ascii="Arial Unicode MS" w:cs="Arial Unicode MS" w:eastAsia="Arial Unicode MS" w:hAnsi="Arial Unicode MS"/>
          <w:sz w:val="20"/>
          <w:szCs w:val="20"/>
          <w:color w:val="231F20"/>
        </w:rPr>
        <w:t>✓</w:t>
      </w:r>
      <w:r>
        <w:rPr>
          <w:rFonts w:ascii="Arial" w:cs="Arial" w:eastAsia="Arial" w:hAnsi="Arial"/>
          <w:sz w:val="20"/>
          <w:szCs w:val="20"/>
          <w:color w:val="231F20"/>
        </w:rPr>
        <w:t xml:space="preserve"> Climate change scenario analysis using RCP 8.5 showing minimal financial risk over short-, medium- and long-term</w:t>
      </w:r>
    </w:p>
    <w:p>
      <w:pPr>
        <w:spacing w:after="0" w:line="59" w:lineRule="exact"/>
        <w:rPr>
          <w:sz w:val="20"/>
          <w:szCs w:val="20"/>
          <w:color w:val="auto"/>
        </w:rPr>
      </w:pPr>
    </w:p>
    <w:p>
      <w:pPr>
        <w:ind w:right="180"/>
        <w:spacing w:after="0" w:line="255" w:lineRule="exact"/>
        <w:rPr>
          <w:sz w:val="20"/>
          <w:szCs w:val="20"/>
          <w:color w:val="auto"/>
        </w:rPr>
      </w:pPr>
      <w:r>
        <w:rPr>
          <w:rFonts w:ascii="Arial Unicode MS" w:cs="Arial Unicode MS" w:eastAsia="Arial Unicode MS" w:hAnsi="Arial Unicode MS"/>
          <w:sz w:val="20"/>
          <w:szCs w:val="20"/>
          <w:color w:val="231F20"/>
        </w:rPr>
        <w:t>✓</w:t>
      </w:r>
      <w:r>
        <w:rPr>
          <w:rFonts w:ascii="Arial" w:cs="Arial" w:eastAsia="Arial" w:hAnsi="Arial"/>
          <w:sz w:val="20"/>
          <w:szCs w:val="20"/>
          <w:color w:val="231F20"/>
        </w:rPr>
        <w:t xml:space="preserve"> Management of water usage through technology and landscaping choices </w:t>
      </w:r>
      <w:r>
        <w:rPr>
          <w:rFonts w:ascii="Arial Unicode MS" w:cs="Arial Unicode MS" w:eastAsia="Arial Unicode MS" w:hAnsi="Arial Unicode MS"/>
          <w:sz w:val="20"/>
          <w:szCs w:val="20"/>
          <w:color w:val="231F20"/>
        </w:rPr>
        <w:t>✓</w:t>
      </w:r>
      <w:r>
        <w:rPr>
          <w:rFonts w:ascii="Arial" w:cs="Arial" w:eastAsia="Arial" w:hAnsi="Arial"/>
          <w:sz w:val="20"/>
          <w:szCs w:val="20"/>
          <w:color w:val="231F20"/>
        </w:rPr>
        <w:t xml:space="preserve"> Focus on increasing waste diverted to recycling</w:t>
      </w:r>
    </w:p>
    <w:p>
      <w:pPr>
        <w:spacing w:after="0" w:line="58" w:lineRule="exact"/>
        <w:rPr>
          <w:sz w:val="20"/>
          <w:szCs w:val="20"/>
          <w:color w:val="auto"/>
        </w:rPr>
      </w:pPr>
    </w:p>
    <w:p>
      <w:pPr>
        <w:ind w:left="320" w:right="380" w:hanging="311"/>
        <w:spacing w:after="0" w:line="232" w:lineRule="exact"/>
        <w:rPr>
          <w:sz w:val="20"/>
          <w:szCs w:val="20"/>
          <w:color w:val="auto"/>
        </w:rPr>
      </w:pPr>
      <w:r>
        <w:rPr>
          <w:rFonts w:ascii="Arial Unicode MS" w:cs="Arial Unicode MS" w:eastAsia="Arial Unicode MS" w:hAnsi="Arial Unicode MS"/>
          <w:sz w:val="20"/>
          <w:szCs w:val="20"/>
          <w:color w:val="231F20"/>
        </w:rPr>
        <w:t>✓</w:t>
      </w:r>
      <w:r>
        <w:rPr>
          <w:rFonts w:ascii="Arial" w:cs="Arial" w:eastAsia="Arial" w:hAnsi="Arial"/>
          <w:sz w:val="20"/>
          <w:szCs w:val="20"/>
          <w:color w:val="231F20"/>
        </w:rPr>
        <w:t xml:space="preserve"> Physical risk exposures incorporated into property level capital planning and investment decisions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r>
        <w:rPr>
          <w:rFonts w:ascii="Arial Unicode MS" w:cs="Arial Unicode MS" w:eastAsia="Arial Unicode MS" w:hAnsi="Arial Unicode MS"/>
          <w:sz w:val="20"/>
          <w:szCs w:val="20"/>
          <w:color w:val="231F20"/>
        </w:rPr>
        <w:t>✓</w:t>
      </w:r>
      <w:r>
        <w:rPr>
          <w:rFonts w:ascii="Arial" w:cs="Arial" w:eastAsia="Arial" w:hAnsi="Arial"/>
          <w:sz w:val="20"/>
          <w:szCs w:val="20"/>
          <w:color w:val="231F20"/>
        </w:rPr>
        <w:t xml:space="preserve"> Local cultural programming and events at properties</w:t>
      </w:r>
    </w:p>
    <w:p>
      <w:pPr>
        <w:spacing w:after="0" w:line="46" w:lineRule="exact"/>
        <w:rPr>
          <w:sz w:val="20"/>
          <w:szCs w:val="20"/>
          <w:color w:val="auto"/>
        </w:rPr>
      </w:pPr>
    </w:p>
    <w:p>
      <w:pPr>
        <w:spacing w:after="0" w:line="268" w:lineRule="exact"/>
        <w:rPr>
          <w:sz w:val="20"/>
          <w:szCs w:val="20"/>
          <w:color w:val="auto"/>
        </w:rPr>
      </w:pPr>
      <w:r>
        <w:rPr>
          <w:rFonts w:ascii="Arial Unicode MS" w:cs="Arial Unicode MS" w:eastAsia="Arial Unicode MS" w:hAnsi="Arial Unicode MS"/>
          <w:sz w:val="20"/>
          <w:szCs w:val="20"/>
          <w:color w:val="231F20"/>
        </w:rPr>
        <w:t>✓</w:t>
      </w:r>
      <w:r>
        <w:rPr>
          <w:rFonts w:ascii="Arial" w:cs="Arial" w:eastAsia="Arial" w:hAnsi="Arial"/>
          <w:sz w:val="20"/>
          <w:szCs w:val="20"/>
          <w:color w:val="231F20"/>
        </w:rPr>
        <w:t xml:space="preserve"> Support local philanthropic initiatives and tenants</w:t>
      </w:r>
    </w:p>
    <w:p>
      <w:pPr>
        <w:spacing w:after="0" w:line="16" w:lineRule="exact"/>
        <w:rPr>
          <w:sz w:val="20"/>
          <w:szCs w:val="20"/>
          <w:color w:val="auto"/>
        </w:rPr>
      </w:pPr>
    </w:p>
    <w:p>
      <w:pPr>
        <w:spacing w:after="0" w:line="268" w:lineRule="exact"/>
        <w:rPr>
          <w:sz w:val="20"/>
          <w:szCs w:val="20"/>
          <w:color w:val="auto"/>
        </w:rPr>
      </w:pPr>
      <w:r>
        <w:rPr>
          <w:rFonts w:ascii="Arial Unicode MS" w:cs="Arial Unicode MS" w:eastAsia="Arial Unicode MS" w:hAnsi="Arial Unicode MS"/>
          <w:sz w:val="20"/>
          <w:szCs w:val="20"/>
          <w:color w:val="231F20"/>
        </w:rPr>
        <w:t>✓</w:t>
      </w:r>
      <w:r>
        <w:rPr>
          <w:rFonts w:ascii="Arial" w:cs="Arial" w:eastAsia="Arial" w:hAnsi="Arial"/>
          <w:sz w:val="20"/>
          <w:szCs w:val="20"/>
          <w:color w:val="231F20"/>
        </w:rPr>
        <w:t xml:space="preserve"> Feature work of local artists in art installations at our properties</w:t>
      </w:r>
    </w:p>
    <w:p>
      <w:pPr>
        <w:spacing w:after="0" w:line="14" w:lineRule="exact"/>
        <w:rPr>
          <w:sz w:val="20"/>
          <w:szCs w:val="20"/>
          <w:color w:val="auto"/>
        </w:rPr>
      </w:pPr>
    </w:p>
    <w:p>
      <w:pPr>
        <w:spacing w:after="0" w:line="268" w:lineRule="exact"/>
        <w:rPr>
          <w:sz w:val="20"/>
          <w:szCs w:val="20"/>
          <w:color w:val="auto"/>
        </w:rPr>
      </w:pPr>
      <w:r>
        <w:rPr>
          <w:rFonts w:ascii="Arial Unicode MS" w:cs="Arial Unicode MS" w:eastAsia="Arial Unicode MS" w:hAnsi="Arial Unicode MS"/>
          <w:sz w:val="20"/>
          <w:szCs w:val="20"/>
          <w:color w:val="231F20"/>
        </w:rPr>
        <w:t>✓</w:t>
      </w:r>
      <w:r>
        <w:rPr>
          <w:rFonts w:ascii="Arial" w:cs="Arial" w:eastAsia="Arial" w:hAnsi="Arial"/>
          <w:sz w:val="20"/>
          <w:szCs w:val="20"/>
          <w:color w:val="231F20"/>
        </w:rPr>
        <w:t xml:space="preserve"> Significant contributions to tax base of communities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-101600</wp:posOffset>
                </wp:positionH>
                <wp:positionV relativeFrom="paragraph">
                  <wp:posOffset>-3936365</wp:posOffset>
                </wp:positionV>
                <wp:extent cx="0" cy="173990"/>
                <wp:wrapNone/>
                <wp:docPr id="81" name="Shape 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3990"/>
                        </a:xfrm>
                        <a:prstGeom prst="line">
                          <a:avLst/>
                        </a:prstGeom>
                        <a:solidFill>
                          <a:srgbClr val="FFFFFF"/>
                        </a:solidFill>
                        <a:ln w="6350">
                          <a:solidFill>
                            <a:srgbClr val="231F20"/>
                          </a:solidFill>
                          <a:miter lim="800000"/>
                          <a:headEnd/>
                          <a:tailEnd/>
                        </a:ln>
                      </wps:spPr>
                      <wps:bodyPr/>
                    </wps:wsp>
                  </a:graphicData>
                </a:graphic>
              </wp:anchor>
            </w:drawing>
          </mc:Choice>
          <mc:Fallback>
            <w:pict>
              <v:line id="Shape 81" o:spid="_x0000_s110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pt,-309.9499pt" to="-8pt,-296.2499pt" o:allowincell="f" strokecolor="#231F20" strokeweight="0.5pt"/>
            </w:pict>
          </mc:Fallback>
        </mc:AlternateContent>
        <mc:AlternateContent>
          <mc:Choice Requires="wps">
            <w:drawing>
              <wp:anchor simplePos="0" relativeHeight="251657728" behindDoc="1" locked="0" layoutInCell="0" allowOverlap="1">
                <wp:simplePos x="0" y="0"/>
                <wp:positionH relativeFrom="column">
                  <wp:posOffset>4457700</wp:posOffset>
                </wp:positionH>
                <wp:positionV relativeFrom="paragraph">
                  <wp:posOffset>-3936365</wp:posOffset>
                </wp:positionV>
                <wp:extent cx="0" cy="173990"/>
                <wp:wrapNone/>
                <wp:docPr id="82" name="Shape 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3990"/>
                        </a:xfrm>
                        <a:prstGeom prst="line">
                          <a:avLst/>
                        </a:prstGeom>
                        <a:solidFill>
                          <a:srgbClr val="FFFFFF"/>
                        </a:solidFill>
                        <a:ln w="6350">
                          <a:solidFill>
                            <a:srgbClr val="231F20"/>
                          </a:solidFill>
                          <a:miter lim="800000"/>
                          <a:headEnd/>
                          <a:tailEnd/>
                        </a:ln>
                      </wps:spPr>
                      <wps:bodyPr/>
                    </wps:wsp>
                  </a:graphicData>
                </a:graphic>
              </wp:anchor>
            </w:drawing>
          </mc:Choice>
          <mc:Fallback>
            <w:pict>
              <v:line id="Shape 82" o:spid="_x0000_s110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1pt,-309.9499pt" to="351pt,-296.2499pt" o:allowincell="f" strokecolor="#231F20" strokeweight="0.5pt"/>
            </w:pict>
          </mc:Fallback>
        </mc:AlternateContent>
        <mc:AlternateContent>
          <mc:Choice Requires="wps">
            <w:drawing>
              <wp:anchor simplePos="0" relativeHeight="251657728" behindDoc="1" locked="0" layoutInCell="0" allowOverlap="1">
                <wp:simplePos x="0" y="0"/>
                <wp:positionH relativeFrom="column">
                  <wp:posOffset>-101600</wp:posOffset>
                </wp:positionH>
                <wp:positionV relativeFrom="paragraph">
                  <wp:posOffset>-3756025</wp:posOffset>
                </wp:positionV>
                <wp:extent cx="0" cy="326390"/>
                <wp:wrapNone/>
                <wp:docPr id="83" name="Shape 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26390"/>
                        </a:xfrm>
                        <a:prstGeom prst="line">
                          <a:avLst/>
                        </a:prstGeom>
                        <a:solidFill>
                          <a:srgbClr val="FFFFFF"/>
                        </a:solidFill>
                        <a:ln w="6350">
                          <a:solidFill>
                            <a:srgbClr val="231F20"/>
                          </a:solidFill>
                          <a:miter lim="800000"/>
                          <a:headEnd/>
                          <a:tailEnd/>
                        </a:ln>
                      </wps:spPr>
                      <wps:bodyPr/>
                    </wps:wsp>
                  </a:graphicData>
                </a:graphic>
              </wp:anchor>
            </w:drawing>
          </mc:Choice>
          <mc:Fallback>
            <w:pict>
              <v:line id="Shape 83" o:spid="_x0000_s110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pt,-295.7499pt" to="-8pt,-270.0499pt" o:allowincell="f" strokecolor="#231F20" strokeweight="0.5pt"/>
            </w:pict>
          </mc:Fallback>
        </mc:AlternateContent>
        <mc:AlternateContent>
          <mc:Choice Requires="wps">
            <w:drawing>
              <wp:anchor simplePos="0" relativeHeight="251657728" behindDoc="1" locked="0" layoutInCell="0" allowOverlap="1">
                <wp:simplePos x="0" y="0"/>
                <wp:positionH relativeFrom="column">
                  <wp:posOffset>4457700</wp:posOffset>
                </wp:positionH>
                <wp:positionV relativeFrom="paragraph">
                  <wp:posOffset>-3756025</wp:posOffset>
                </wp:positionV>
                <wp:extent cx="0" cy="326390"/>
                <wp:wrapNone/>
                <wp:docPr id="84" name="Shape 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26390"/>
                        </a:xfrm>
                        <a:prstGeom prst="line">
                          <a:avLst/>
                        </a:prstGeom>
                        <a:solidFill>
                          <a:srgbClr val="FFFFFF"/>
                        </a:solidFill>
                        <a:ln w="6350">
                          <a:solidFill>
                            <a:srgbClr val="231F20"/>
                          </a:solidFill>
                          <a:miter lim="800000"/>
                          <a:headEnd/>
                          <a:tailEnd/>
                        </a:ln>
                      </wps:spPr>
                      <wps:bodyPr/>
                    </wps:wsp>
                  </a:graphicData>
                </a:graphic>
              </wp:anchor>
            </w:drawing>
          </mc:Choice>
          <mc:Fallback>
            <w:pict>
              <v:line id="Shape 84" o:spid="_x0000_s110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1pt,-295.7499pt" to="351pt,-270.0499pt" o:allowincell="f" strokecolor="#231F20" strokeweight="0.5pt"/>
            </w:pict>
          </mc:Fallback>
        </mc:AlternateContent>
        <mc:AlternateContent>
          <mc:Choice Requires="wps">
            <w:drawing>
              <wp:anchor simplePos="0" relativeHeight="251657728" behindDoc="1" locked="0" layoutInCell="0" allowOverlap="1">
                <wp:simplePos x="0" y="0"/>
                <wp:positionH relativeFrom="column">
                  <wp:posOffset>-101600</wp:posOffset>
                </wp:positionH>
                <wp:positionV relativeFrom="paragraph">
                  <wp:posOffset>-3423285</wp:posOffset>
                </wp:positionV>
                <wp:extent cx="0" cy="173990"/>
                <wp:wrapNone/>
                <wp:docPr id="85" name="Shape 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3990"/>
                        </a:xfrm>
                        <a:prstGeom prst="line">
                          <a:avLst/>
                        </a:prstGeom>
                        <a:solidFill>
                          <a:srgbClr val="FFFFFF"/>
                        </a:solidFill>
                        <a:ln w="6350">
                          <a:solidFill>
                            <a:srgbClr val="231F20"/>
                          </a:solidFill>
                          <a:miter lim="800000"/>
                          <a:headEnd/>
                          <a:tailEnd/>
                        </a:ln>
                      </wps:spPr>
                      <wps:bodyPr/>
                    </wps:wsp>
                  </a:graphicData>
                </a:graphic>
              </wp:anchor>
            </w:drawing>
          </mc:Choice>
          <mc:Fallback>
            <w:pict>
              <v:line id="Shape 85" o:spid="_x0000_s111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pt,-269.5499pt" to="-8pt,-255.8499pt" o:allowincell="f" strokecolor="#231F20" strokeweight="0.5pt"/>
            </w:pict>
          </mc:Fallback>
        </mc:AlternateContent>
        <mc:AlternateContent>
          <mc:Choice Requires="wps">
            <w:drawing>
              <wp:anchor simplePos="0" relativeHeight="251657728" behindDoc="1" locked="0" layoutInCell="0" allowOverlap="1">
                <wp:simplePos x="0" y="0"/>
                <wp:positionH relativeFrom="column">
                  <wp:posOffset>4457700</wp:posOffset>
                </wp:positionH>
                <wp:positionV relativeFrom="paragraph">
                  <wp:posOffset>-3423285</wp:posOffset>
                </wp:positionV>
                <wp:extent cx="0" cy="173990"/>
                <wp:wrapNone/>
                <wp:docPr id="86" name="Shape 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3990"/>
                        </a:xfrm>
                        <a:prstGeom prst="line">
                          <a:avLst/>
                        </a:prstGeom>
                        <a:solidFill>
                          <a:srgbClr val="FFFFFF"/>
                        </a:solidFill>
                        <a:ln w="6350">
                          <a:solidFill>
                            <a:srgbClr val="231F20"/>
                          </a:solidFill>
                          <a:miter lim="800000"/>
                          <a:headEnd/>
                          <a:tailEnd/>
                        </a:ln>
                      </wps:spPr>
                      <wps:bodyPr/>
                    </wps:wsp>
                  </a:graphicData>
                </a:graphic>
              </wp:anchor>
            </w:drawing>
          </mc:Choice>
          <mc:Fallback>
            <w:pict>
              <v:line id="Shape 86" o:spid="_x0000_s111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1pt,-269.5499pt" to="351pt,-255.8499pt" o:allowincell="f" strokecolor="#231F20" strokeweight="0.5pt"/>
            </w:pict>
          </mc:Fallback>
        </mc:AlternateContent>
        <mc:AlternateContent>
          <mc:Choice Requires="wps">
            <w:drawing>
              <wp:anchor simplePos="0" relativeHeight="251657728" behindDoc="1" locked="0" layoutInCell="0" allowOverlap="1">
                <wp:simplePos x="0" y="0"/>
                <wp:positionH relativeFrom="column">
                  <wp:posOffset>-101600</wp:posOffset>
                </wp:positionH>
                <wp:positionV relativeFrom="paragraph">
                  <wp:posOffset>-3242945</wp:posOffset>
                </wp:positionV>
                <wp:extent cx="0" cy="173990"/>
                <wp:wrapNone/>
                <wp:docPr id="87" name="Shape 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3990"/>
                        </a:xfrm>
                        <a:prstGeom prst="line">
                          <a:avLst/>
                        </a:prstGeom>
                        <a:solidFill>
                          <a:srgbClr val="FFFFFF"/>
                        </a:solidFill>
                        <a:ln w="6350">
                          <a:solidFill>
                            <a:srgbClr val="231F20"/>
                          </a:solidFill>
                          <a:miter lim="800000"/>
                          <a:headEnd/>
                          <a:tailEnd/>
                        </a:ln>
                      </wps:spPr>
                      <wps:bodyPr/>
                    </wps:wsp>
                  </a:graphicData>
                </a:graphic>
              </wp:anchor>
            </w:drawing>
          </mc:Choice>
          <mc:Fallback>
            <w:pict>
              <v:line id="Shape 87" o:spid="_x0000_s111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pt,-255.3499pt" to="-8pt,-241.6499pt" o:allowincell="f" strokecolor="#231F20" strokeweight="0.5pt"/>
            </w:pict>
          </mc:Fallback>
        </mc:AlternateContent>
        <mc:AlternateContent>
          <mc:Choice Requires="wps">
            <w:drawing>
              <wp:anchor simplePos="0" relativeHeight="251657728" behindDoc="1" locked="0" layoutInCell="0" allowOverlap="1">
                <wp:simplePos x="0" y="0"/>
                <wp:positionH relativeFrom="column">
                  <wp:posOffset>4457700</wp:posOffset>
                </wp:positionH>
                <wp:positionV relativeFrom="paragraph">
                  <wp:posOffset>-3242945</wp:posOffset>
                </wp:positionV>
                <wp:extent cx="0" cy="173990"/>
                <wp:wrapNone/>
                <wp:docPr id="88" name="Shape 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3990"/>
                        </a:xfrm>
                        <a:prstGeom prst="line">
                          <a:avLst/>
                        </a:prstGeom>
                        <a:solidFill>
                          <a:srgbClr val="FFFFFF"/>
                        </a:solidFill>
                        <a:ln w="6350">
                          <a:solidFill>
                            <a:srgbClr val="231F20"/>
                          </a:solidFill>
                          <a:miter lim="800000"/>
                          <a:headEnd/>
                          <a:tailEnd/>
                        </a:ln>
                      </wps:spPr>
                      <wps:bodyPr/>
                    </wps:wsp>
                  </a:graphicData>
                </a:graphic>
              </wp:anchor>
            </w:drawing>
          </mc:Choice>
          <mc:Fallback>
            <w:pict>
              <v:line id="Shape 88" o:spid="_x0000_s111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1pt,-255.3499pt" to="351pt,-241.6499pt" o:allowincell="f" strokecolor="#231F20" strokeweight="0.5pt"/>
            </w:pict>
          </mc:Fallback>
        </mc:AlternateContent>
        <mc:AlternateContent>
          <mc:Choice Requires="wps">
            <w:drawing>
              <wp:anchor simplePos="0" relativeHeight="251657728" behindDoc="1" locked="0" layoutInCell="0" allowOverlap="1">
                <wp:simplePos x="0" y="0"/>
                <wp:positionH relativeFrom="column">
                  <wp:posOffset>-104775</wp:posOffset>
                </wp:positionH>
                <wp:positionV relativeFrom="paragraph">
                  <wp:posOffset>-2837180</wp:posOffset>
                </wp:positionV>
                <wp:extent cx="197485" cy="0"/>
                <wp:wrapNone/>
                <wp:docPr id="89" name="Shape 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7485"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89" o:spid="_x0000_s111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2499pt,-223.3999pt" to="7.3pt,-223.3999pt" o:allowincell="f" strokecolor="#231F20" strokeweight="0.5pt"/>
            </w:pict>
          </mc:Fallback>
        </mc:AlternateContent>
        <mc:AlternateContent>
          <mc:Choice Requires="wps">
            <w:drawing>
              <wp:anchor simplePos="0" relativeHeight="251657728" behindDoc="1" locked="0" layoutInCell="0" allowOverlap="1">
                <wp:simplePos x="0" y="0"/>
                <wp:positionH relativeFrom="column">
                  <wp:posOffset>-101600</wp:posOffset>
                </wp:positionH>
                <wp:positionV relativeFrom="paragraph">
                  <wp:posOffset>-3062605</wp:posOffset>
                </wp:positionV>
                <wp:extent cx="0" cy="228600"/>
                <wp:wrapNone/>
                <wp:docPr id="90" name="Shape 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28600"/>
                        </a:xfrm>
                        <a:prstGeom prst="line">
                          <a:avLst/>
                        </a:prstGeom>
                        <a:solidFill>
                          <a:srgbClr val="FFFFFF"/>
                        </a:solidFill>
                        <a:ln w="6350">
                          <a:solidFill>
                            <a:srgbClr val="231F20"/>
                          </a:solidFill>
                          <a:miter lim="800000"/>
                          <a:headEnd/>
                          <a:tailEnd/>
                        </a:ln>
                      </wps:spPr>
                      <wps:bodyPr/>
                    </wps:wsp>
                  </a:graphicData>
                </a:graphic>
              </wp:anchor>
            </w:drawing>
          </mc:Choice>
          <mc:Fallback>
            <w:pict>
              <v:line id="Shape 90" o:spid="_x0000_s111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pt,-241.1499pt" to="-8pt,-223.1499pt" o:allowincell="f" strokecolor="#231F20" strokeweight="0.5pt"/>
            </w:pict>
          </mc:Fallback>
        </mc:AlternateContent>
        <mc:AlternateContent>
          <mc:Choice Requires="wps">
            <w:drawing>
              <wp:anchor simplePos="0" relativeHeight="251657728" behindDoc="1" locked="0" layoutInCell="0" allowOverlap="1">
                <wp:simplePos x="0" y="0"/>
                <wp:positionH relativeFrom="column">
                  <wp:posOffset>4457700</wp:posOffset>
                </wp:positionH>
                <wp:positionV relativeFrom="paragraph">
                  <wp:posOffset>-3062605</wp:posOffset>
                </wp:positionV>
                <wp:extent cx="0" cy="228600"/>
                <wp:wrapNone/>
                <wp:docPr id="91" name="Shape 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28600"/>
                        </a:xfrm>
                        <a:prstGeom prst="line">
                          <a:avLst/>
                        </a:prstGeom>
                        <a:solidFill>
                          <a:srgbClr val="FFFFFF"/>
                        </a:solidFill>
                        <a:ln w="6350">
                          <a:solidFill>
                            <a:srgbClr val="231F20"/>
                          </a:solidFill>
                          <a:miter lim="800000"/>
                          <a:headEnd/>
                          <a:tailEnd/>
                        </a:ln>
                      </wps:spPr>
                      <wps:bodyPr/>
                    </wps:wsp>
                  </a:graphicData>
                </a:graphic>
              </wp:anchor>
            </w:drawing>
          </mc:Choice>
          <mc:Fallback>
            <w:pict>
              <v:line id="Shape 91" o:spid="_x0000_s111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1pt,-241.1499pt" to="351pt,-223.1499pt" o:allowincell="f" strokecolor="#231F20" strokeweight="0.5pt"/>
            </w:pict>
          </mc:Fallback>
        </mc:AlternateContent>
        <mc:AlternateContent>
          <mc:Choice Requires="wps">
            <w:drawing>
              <wp:anchor simplePos="0" relativeHeight="251657728" behindDoc="1" locked="0" layoutInCell="0" allowOverlap="1">
                <wp:simplePos x="0" y="0"/>
                <wp:positionH relativeFrom="column">
                  <wp:posOffset>99060</wp:posOffset>
                </wp:positionH>
                <wp:positionV relativeFrom="paragraph">
                  <wp:posOffset>-2837180</wp:posOffset>
                </wp:positionV>
                <wp:extent cx="4361815" cy="0"/>
                <wp:wrapNone/>
                <wp:docPr id="92" name="Shape 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361815"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92" o:spid="_x0000_s111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8pt,-223.3999pt" to="351.25pt,-223.3999pt" o:allowincell="f" strokecolor="#231F20" strokeweight="0.5pt"/>
            </w:pict>
          </mc:Fallback>
        </mc:AlternateContent>
        <mc:AlternateContent>
          <mc:Choice Requires="wps">
            <w:drawing>
              <wp:anchor simplePos="0" relativeHeight="251657728" behindDoc="1" locked="0" layoutInCell="0" allowOverlap="1">
                <wp:simplePos x="0" y="0"/>
                <wp:positionH relativeFrom="column">
                  <wp:posOffset>99060</wp:posOffset>
                </wp:positionH>
                <wp:positionV relativeFrom="paragraph">
                  <wp:posOffset>-2722880</wp:posOffset>
                </wp:positionV>
                <wp:extent cx="4361815" cy="0"/>
                <wp:wrapNone/>
                <wp:docPr id="93" name="Shape 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361815"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93" o:spid="_x0000_s111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8pt,-214.3999pt" to="351.25pt,-214.3999pt" o:allowincell="f" strokecolor="#231F20" strokeweight="0.5pt"/>
            </w:pict>
          </mc:Fallback>
        </mc:AlternateContent>
        <mc:AlternateContent>
          <mc:Choice Requires="wps">
            <w:drawing>
              <wp:anchor simplePos="0" relativeHeight="251657728" behindDoc="1" locked="0" layoutInCell="0" allowOverlap="1">
                <wp:simplePos x="0" y="0"/>
                <wp:positionH relativeFrom="column">
                  <wp:posOffset>-104775</wp:posOffset>
                </wp:positionH>
                <wp:positionV relativeFrom="paragraph">
                  <wp:posOffset>-2722880</wp:posOffset>
                </wp:positionV>
                <wp:extent cx="197485" cy="0"/>
                <wp:wrapNone/>
                <wp:docPr id="94" name="Shape 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7485"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94" o:spid="_x0000_s111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2499pt,-214.3999pt" to="7.3pt,-214.3999pt" o:allowincell="f" strokecolor="#231F20" strokeweight="0.5pt"/>
            </w:pict>
          </mc:Fallback>
        </mc:AlternateContent>
        <mc:AlternateContent>
          <mc:Choice Requires="wps">
            <w:drawing>
              <wp:anchor simplePos="0" relativeHeight="251657728" behindDoc="1" locked="0" layoutInCell="0" allowOverlap="1">
                <wp:simplePos x="0" y="0"/>
                <wp:positionH relativeFrom="column">
                  <wp:posOffset>-101600</wp:posOffset>
                </wp:positionH>
                <wp:positionV relativeFrom="paragraph">
                  <wp:posOffset>-2726055</wp:posOffset>
                </wp:positionV>
                <wp:extent cx="0" cy="180340"/>
                <wp:wrapNone/>
                <wp:docPr id="95" name="Shape 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0340"/>
                        </a:xfrm>
                        <a:prstGeom prst="line">
                          <a:avLst/>
                        </a:prstGeom>
                        <a:solidFill>
                          <a:srgbClr val="FFFFFF"/>
                        </a:solidFill>
                        <a:ln w="6350">
                          <a:solidFill>
                            <a:srgbClr val="231F20"/>
                          </a:solidFill>
                          <a:miter lim="800000"/>
                          <a:headEnd/>
                          <a:tailEnd/>
                        </a:ln>
                      </wps:spPr>
                      <wps:bodyPr/>
                    </wps:wsp>
                  </a:graphicData>
                </a:graphic>
              </wp:anchor>
            </w:drawing>
          </mc:Choice>
          <mc:Fallback>
            <w:pict>
              <v:line id="Shape 95" o:spid="_x0000_s112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pt,-214.6499pt" to="-8pt,-200.4499pt" o:allowincell="f" strokecolor="#231F20" strokeweight="0.5pt"/>
            </w:pict>
          </mc:Fallback>
        </mc:AlternateContent>
        <mc:AlternateContent>
          <mc:Choice Requires="wps">
            <w:drawing>
              <wp:anchor simplePos="0" relativeHeight="251657728" behindDoc="1" locked="0" layoutInCell="0" allowOverlap="1">
                <wp:simplePos x="0" y="0"/>
                <wp:positionH relativeFrom="column">
                  <wp:posOffset>4457700</wp:posOffset>
                </wp:positionH>
                <wp:positionV relativeFrom="paragraph">
                  <wp:posOffset>-2726055</wp:posOffset>
                </wp:positionV>
                <wp:extent cx="0" cy="180340"/>
                <wp:wrapNone/>
                <wp:docPr id="96" name="Shape 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0340"/>
                        </a:xfrm>
                        <a:prstGeom prst="line">
                          <a:avLst/>
                        </a:prstGeom>
                        <a:solidFill>
                          <a:srgbClr val="FFFFFF"/>
                        </a:solidFill>
                        <a:ln w="6350">
                          <a:solidFill>
                            <a:srgbClr val="231F20"/>
                          </a:solidFill>
                          <a:miter lim="800000"/>
                          <a:headEnd/>
                          <a:tailEnd/>
                        </a:ln>
                      </wps:spPr>
                      <wps:bodyPr/>
                    </wps:wsp>
                  </a:graphicData>
                </a:graphic>
              </wp:anchor>
            </w:drawing>
          </mc:Choice>
          <mc:Fallback>
            <w:pict>
              <v:line id="Shape 96" o:spid="_x0000_s112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1pt,-214.6499pt" to="351pt,-200.4499pt" o:allowincell="f" strokecolor="#231F20" strokeweight="0.5pt"/>
            </w:pict>
          </mc:Fallback>
        </mc:AlternateContent>
        <mc:AlternateContent>
          <mc:Choice Requires="wps">
            <w:drawing>
              <wp:anchor simplePos="0" relativeHeight="251657728" behindDoc="1" locked="0" layoutInCell="0" allowOverlap="1">
                <wp:simplePos x="0" y="0"/>
                <wp:positionH relativeFrom="column">
                  <wp:posOffset>-101600</wp:posOffset>
                </wp:positionH>
                <wp:positionV relativeFrom="paragraph">
                  <wp:posOffset>-2539365</wp:posOffset>
                </wp:positionV>
                <wp:extent cx="0" cy="326390"/>
                <wp:wrapNone/>
                <wp:docPr id="97" name="Shape 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26390"/>
                        </a:xfrm>
                        <a:prstGeom prst="line">
                          <a:avLst/>
                        </a:prstGeom>
                        <a:solidFill>
                          <a:srgbClr val="FFFFFF"/>
                        </a:solidFill>
                        <a:ln w="6350">
                          <a:solidFill>
                            <a:srgbClr val="231F20"/>
                          </a:solidFill>
                          <a:miter lim="800000"/>
                          <a:headEnd/>
                          <a:tailEnd/>
                        </a:ln>
                      </wps:spPr>
                      <wps:bodyPr/>
                    </wps:wsp>
                  </a:graphicData>
                </a:graphic>
              </wp:anchor>
            </w:drawing>
          </mc:Choice>
          <mc:Fallback>
            <w:pict>
              <v:line id="Shape 97" o:spid="_x0000_s112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pt,-199.9499pt" to="-8pt,-174.2499pt" o:allowincell="f" strokecolor="#231F20" strokeweight="0.5pt"/>
            </w:pict>
          </mc:Fallback>
        </mc:AlternateContent>
        <mc:AlternateContent>
          <mc:Choice Requires="wps">
            <w:drawing>
              <wp:anchor simplePos="0" relativeHeight="251657728" behindDoc="1" locked="0" layoutInCell="0" allowOverlap="1">
                <wp:simplePos x="0" y="0"/>
                <wp:positionH relativeFrom="column">
                  <wp:posOffset>4457700</wp:posOffset>
                </wp:positionH>
                <wp:positionV relativeFrom="paragraph">
                  <wp:posOffset>-2539365</wp:posOffset>
                </wp:positionV>
                <wp:extent cx="0" cy="326390"/>
                <wp:wrapNone/>
                <wp:docPr id="98" name="Shape 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26390"/>
                        </a:xfrm>
                        <a:prstGeom prst="line">
                          <a:avLst/>
                        </a:prstGeom>
                        <a:solidFill>
                          <a:srgbClr val="FFFFFF"/>
                        </a:solidFill>
                        <a:ln w="6350">
                          <a:solidFill>
                            <a:srgbClr val="231F20"/>
                          </a:solidFill>
                          <a:miter lim="800000"/>
                          <a:headEnd/>
                          <a:tailEnd/>
                        </a:ln>
                      </wps:spPr>
                      <wps:bodyPr/>
                    </wps:wsp>
                  </a:graphicData>
                </a:graphic>
              </wp:anchor>
            </w:drawing>
          </mc:Choice>
          <mc:Fallback>
            <w:pict>
              <v:line id="Shape 98" o:spid="_x0000_s112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1pt,-199.9499pt" to="351pt,-174.2499pt" o:allowincell="f" strokecolor="#231F20" strokeweight="0.5pt"/>
            </w:pict>
          </mc:Fallback>
        </mc:AlternateContent>
        <mc:AlternateContent>
          <mc:Choice Requires="wps">
            <w:drawing>
              <wp:anchor simplePos="0" relativeHeight="251657728" behindDoc="1" locked="0" layoutInCell="0" allowOverlap="1">
                <wp:simplePos x="0" y="0"/>
                <wp:positionH relativeFrom="column">
                  <wp:posOffset>-101600</wp:posOffset>
                </wp:positionH>
                <wp:positionV relativeFrom="paragraph">
                  <wp:posOffset>-2206625</wp:posOffset>
                </wp:positionV>
                <wp:extent cx="0" cy="173990"/>
                <wp:wrapNone/>
                <wp:docPr id="99" name="Shape 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3990"/>
                        </a:xfrm>
                        <a:prstGeom prst="line">
                          <a:avLst/>
                        </a:prstGeom>
                        <a:solidFill>
                          <a:srgbClr val="FFFFFF"/>
                        </a:solidFill>
                        <a:ln w="6350">
                          <a:solidFill>
                            <a:srgbClr val="231F20"/>
                          </a:solidFill>
                          <a:miter lim="800000"/>
                          <a:headEnd/>
                          <a:tailEnd/>
                        </a:ln>
                      </wps:spPr>
                      <wps:bodyPr/>
                    </wps:wsp>
                  </a:graphicData>
                </a:graphic>
              </wp:anchor>
            </w:drawing>
          </mc:Choice>
          <mc:Fallback>
            <w:pict>
              <v:line id="Shape 99" o:spid="_x0000_s112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pt,-173.7499pt" to="-8pt,-160.0499pt" o:allowincell="f" strokecolor="#231F20" strokeweight="0.5pt"/>
            </w:pict>
          </mc:Fallback>
        </mc:AlternateContent>
        <mc:AlternateContent>
          <mc:Choice Requires="wps">
            <w:drawing>
              <wp:anchor simplePos="0" relativeHeight="251657728" behindDoc="1" locked="0" layoutInCell="0" allowOverlap="1">
                <wp:simplePos x="0" y="0"/>
                <wp:positionH relativeFrom="column">
                  <wp:posOffset>4457700</wp:posOffset>
                </wp:positionH>
                <wp:positionV relativeFrom="paragraph">
                  <wp:posOffset>-2206625</wp:posOffset>
                </wp:positionV>
                <wp:extent cx="0" cy="173990"/>
                <wp:wrapNone/>
                <wp:docPr id="100" name="Shape 1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3990"/>
                        </a:xfrm>
                        <a:prstGeom prst="line">
                          <a:avLst/>
                        </a:prstGeom>
                        <a:solidFill>
                          <a:srgbClr val="FFFFFF"/>
                        </a:solidFill>
                        <a:ln w="6350">
                          <a:solidFill>
                            <a:srgbClr val="231F20"/>
                          </a:solidFill>
                          <a:miter lim="800000"/>
                          <a:headEnd/>
                          <a:tailEnd/>
                        </a:ln>
                      </wps:spPr>
                      <wps:bodyPr/>
                    </wps:wsp>
                  </a:graphicData>
                </a:graphic>
              </wp:anchor>
            </w:drawing>
          </mc:Choice>
          <mc:Fallback>
            <w:pict>
              <v:line id="Shape 100" o:spid="_x0000_s112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1pt,-173.7499pt" to="351pt,-160.0499pt" o:allowincell="f" strokecolor="#231F20" strokeweight="0.5pt"/>
            </w:pict>
          </mc:Fallback>
        </mc:AlternateContent>
        <mc:AlternateContent>
          <mc:Choice Requires="wps">
            <w:drawing>
              <wp:anchor simplePos="0" relativeHeight="251657728" behindDoc="1" locked="0" layoutInCell="0" allowOverlap="1">
                <wp:simplePos x="0" y="0"/>
                <wp:positionH relativeFrom="column">
                  <wp:posOffset>-101600</wp:posOffset>
                </wp:positionH>
                <wp:positionV relativeFrom="paragraph">
                  <wp:posOffset>-2026285</wp:posOffset>
                </wp:positionV>
                <wp:extent cx="0" cy="173990"/>
                <wp:wrapNone/>
                <wp:docPr id="101" name="Shape 1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3990"/>
                        </a:xfrm>
                        <a:prstGeom prst="line">
                          <a:avLst/>
                        </a:prstGeom>
                        <a:solidFill>
                          <a:srgbClr val="FFFFFF"/>
                        </a:solidFill>
                        <a:ln w="6350">
                          <a:solidFill>
                            <a:srgbClr val="231F20"/>
                          </a:solidFill>
                          <a:miter lim="800000"/>
                          <a:headEnd/>
                          <a:tailEnd/>
                        </a:ln>
                      </wps:spPr>
                      <wps:bodyPr/>
                    </wps:wsp>
                  </a:graphicData>
                </a:graphic>
              </wp:anchor>
            </w:drawing>
          </mc:Choice>
          <mc:Fallback>
            <w:pict>
              <v:line id="Shape 101" o:spid="_x0000_s112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pt,-159.5499pt" to="-8pt,-145.8499pt" o:allowincell="f" strokecolor="#231F20" strokeweight="0.5pt"/>
            </w:pict>
          </mc:Fallback>
        </mc:AlternateContent>
        <mc:AlternateContent>
          <mc:Choice Requires="wps">
            <w:drawing>
              <wp:anchor simplePos="0" relativeHeight="251657728" behindDoc="1" locked="0" layoutInCell="0" allowOverlap="1">
                <wp:simplePos x="0" y="0"/>
                <wp:positionH relativeFrom="column">
                  <wp:posOffset>4457700</wp:posOffset>
                </wp:positionH>
                <wp:positionV relativeFrom="paragraph">
                  <wp:posOffset>-2026285</wp:posOffset>
                </wp:positionV>
                <wp:extent cx="0" cy="173990"/>
                <wp:wrapNone/>
                <wp:docPr id="102" name="Shape 1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3990"/>
                        </a:xfrm>
                        <a:prstGeom prst="line">
                          <a:avLst/>
                        </a:prstGeom>
                        <a:solidFill>
                          <a:srgbClr val="FFFFFF"/>
                        </a:solidFill>
                        <a:ln w="6350">
                          <a:solidFill>
                            <a:srgbClr val="231F20"/>
                          </a:solidFill>
                          <a:miter lim="800000"/>
                          <a:headEnd/>
                          <a:tailEnd/>
                        </a:ln>
                      </wps:spPr>
                      <wps:bodyPr/>
                    </wps:wsp>
                  </a:graphicData>
                </a:graphic>
              </wp:anchor>
            </w:drawing>
          </mc:Choice>
          <mc:Fallback>
            <w:pict>
              <v:line id="Shape 102" o:spid="_x0000_s11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1pt,-159.5499pt" to="351pt,-145.8499pt" o:allowincell="f" strokecolor="#231F20" strokeweight="0.5pt"/>
            </w:pict>
          </mc:Fallback>
        </mc:AlternateContent>
        <mc:AlternateContent>
          <mc:Choice Requires="wps">
            <w:drawing>
              <wp:anchor simplePos="0" relativeHeight="251657728" behindDoc="1" locked="0" layoutInCell="0" allowOverlap="1">
                <wp:simplePos x="0" y="0"/>
                <wp:positionH relativeFrom="column">
                  <wp:posOffset>-101600</wp:posOffset>
                </wp:positionH>
                <wp:positionV relativeFrom="paragraph">
                  <wp:posOffset>-1845945</wp:posOffset>
                </wp:positionV>
                <wp:extent cx="0" cy="326390"/>
                <wp:wrapNone/>
                <wp:docPr id="103" name="Shape 1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26390"/>
                        </a:xfrm>
                        <a:prstGeom prst="line">
                          <a:avLst/>
                        </a:prstGeom>
                        <a:solidFill>
                          <a:srgbClr val="FFFFFF"/>
                        </a:solidFill>
                        <a:ln w="6350">
                          <a:solidFill>
                            <a:srgbClr val="231F20"/>
                          </a:solidFill>
                          <a:miter lim="800000"/>
                          <a:headEnd/>
                          <a:tailEnd/>
                        </a:ln>
                      </wps:spPr>
                      <wps:bodyPr/>
                    </wps:wsp>
                  </a:graphicData>
                </a:graphic>
              </wp:anchor>
            </w:drawing>
          </mc:Choice>
          <mc:Fallback>
            <w:pict>
              <v:line id="Shape 103" o:spid="_x0000_s11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pt,-145.3499pt" to="-8pt,-119.6499pt" o:allowincell="f" strokecolor="#231F20" strokeweight="0.5pt"/>
            </w:pict>
          </mc:Fallback>
        </mc:AlternateContent>
        <mc:AlternateContent>
          <mc:Choice Requires="wps">
            <w:drawing>
              <wp:anchor simplePos="0" relativeHeight="251657728" behindDoc="1" locked="0" layoutInCell="0" allowOverlap="1">
                <wp:simplePos x="0" y="0"/>
                <wp:positionH relativeFrom="column">
                  <wp:posOffset>4457700</wp:posOffset>
                </wp:positionH>
                <wp:positionV relativeFrom="paragraph">
                  <wp:posOffset>-1845945</wp:posOffset>
                </wp:positionV>
                <wp:extent cx="0" cy="326390"/>
                <wp:wrapNone/>
                <wp:docPr id="104" name="Shape 1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26390"/>
                        </a:xfrm>
                        <a:prstGeom prst="line">
                          <a:avLst/>
                        </a:prstGeom>
                        <a:solidFill>
                          <a:srgbClr val="FFFFFF"/>
                        </a:solidFill>
                        <a:ln w="6350">
                          <a:solidFill>
                            <a:srgbClr val="231F20"/>
                          </a:solidFill>
                          <a:miter lim="800000"/>
                          <a:headEnd/>
                          <a:tailEnd/>
                        </a:ln>
                      </wps:spPr>
                      <wps:bodyPr/>
                    </wps:wsp>
                  </a:graphicData>
                </a:graphic>
              </wp:anchor>
            </w:drawing>
          </mc:Choice>
          <mc:Fallback>
            <w:pict>
              <v:line id="Shape 104" o:spid="_x0000_s11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1pt,-145.3499pt" to="351pt,-119.6499pt" o:allowincell="f" strokecolor="#231F20" strokeweight="0.5pt"/>
            </w:pict>
          </mc:Fallback>
        </mc:AlternateContent>
        <mc:AlternateContent>
          <mc:Choice Requires="wps">
            <w:drawing>
              <wp:anchor simplePos="0" relativeHeight="251657728" behindDoc="1" locked="0" layoutInCell="0" allowOverlap="1">
                <wp:simplePos x="0" y="0"/>
                <wp:positionH relativeFrom="column">
                  <wp:posOffset>-104775</wp:posOffset>
                </wp:positionH>
                <wp:positionV relativeFrom="paragraph">
                  <wp:posOffset>-1031240</wp:posOffset>
                </wp:positionV>
                <wp:extent cx="197485" cy="0"/>
                <wp:wrapNone/>
                <wp:docPr id="105" name="Shape 1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7485"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105" o:spid="_x0000_s11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2499pt,-81.1999pt" to="7.3pt,-81.1999pt" o:allowincell="f" strokecolor="#231F20" strokeweight="0.5pt"/>
            </w:pict>
          </mc:Fallback>
        </mc:AlternateContent>
        <mc:AlternateContent>
          <mc:Choice Requires="wps">
            <w:drawing>
              <wp:anchor simplePos="0" relativeHeight="251657728" behindDoc="1" locked="0" layoutInCell="0" allowOverlap="1">
                <wp:simplePos x="0" y="0"/>
                <wp:positionH relativeFrom="column">
                  <wp:posOffset>-101600</wp:posOffset>
                </wp:positionH>
                <wp:positionV relativeFrom="paragraph">
                  <wp:posOffset>-1513205</wp:posOffset>
                </wp:positionV>
                <wp:extent cx="0" cy="485140"/>
                <wp:wrapNone/>
                <wp:docPr id="106" name="Shape 1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85140"/>
                        </a:xfrm>
                        <a:prstGeom prst="line">
                          <a:avLst/>
                        </a:prstGeom>
                        <a:solidFill>
                          <a:srgbClr val="FFFFFF"/>
                        </a:solidFill>
                        <a:ln w="6350">
                          <a:solidFill>
                            <a:srgbClr val="231F20"/>
                          </a:solidFill>
                          <a:miter lim="800000"/>
                          <a:headEnd/>
                          <a:tailEnd/>
                        </a:ln>
                      </wps:spPr>
                      <wps:bodyPr/>
                    </wps:wsp>
                  </a:graphicData>
                </a:graphic>
              </wp:anchor>
            </w:drawing>
          </mc:Choice>
          <mc:Fallback>
            <w:pict>
              <v:line id="Shape 106" o:spid="_x0000_s11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pt,-119.1499pt" to="-8pt,-80.9499pt" o:allowincell="f" strokecolor="#231F20" strokeweight="0.5pt"/>
            </w:pict>
          </mc:Fallback>
        </mc:AlternateContent>
        <mc:AlternateContent>
          <mc:Choice Requires="wps">
            <w:drawing>
              <wp:anchor simplePos="0" relativeHeight="251657728" behindDoc="1" locked="0" layoutInCell="0" allowOverlap="1">
                <wp:simplePos x="0" y="0"/>
                <wp:positionH relativeFrom="column">
                  <wp:posOffset>4457700</wp:posOffset>
                </wp:positionH>
                <wp:positionV relativeFrom="paragraph">
                  <wp:posOffset>-1513205</wp:posOffset>
                </wp:positionV>
                <wp:extent cx="0" cy="485140"/>
                <wp:wrapNone/>
                <wp:docPr id="107" name="Shape 1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85140"/>
                        </a:xfrm>
                        <a:prstGeom prst="line">
                          <a:avLst/>
                        </a:prstGeom>
                        <a:solidFill>
                          <a:srgbClr val="FFFFFF"/>
                        </a:solidFill>
                        <a:ln w="6350">
                          <a:solidFill>
                            <a:srgbClr val="231F20"/>
                          </a:solidFill>
                          <a:miter lim="800000"/>
                          <a:headEnd/>
                          <a:tailEnd/>
                        </a:ln>
                      </wps:spPr>
                      <wps:bodyPr/>
                    </wps:wsp>
                  </a:graphicData>
                </a:graphic>
              </wp:anchor>
            </w:drawing>
          </mc:Choice>
          <mc:Fallback>
            <w:pict>
              <v:line id="Shape 107" o:spid="_x0000_s11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1pt,-119.1499pt" to="351pt,-80.9499pt" o:allowincell="f" strokecolor="#231F20" strokeweight="0.5pt"/>
            </w:pict>
          </mc:Fallback>
        </mc:AlternateContent>
        <mc:AlternateContent>
          <mc:Choice Requires="wps">
            <w:drawing>
              <wp:anchor simplePos="0" relativeHeight="251657728" behindDoc="1" locked="0" layoutInCell="0" allowOverlap="1">
                <wp:simplePos x="0" y="0"/>
                <wp:positionH relativeFrom="column">
                  <wp:posOffset>99060</wp:posOffset>
                </wp:positionH>
                <wp:positionV relativeFrom="paragraph">
                  <wp:posOffset>-1031240</wp:posOffset>
                </wp:positionV>
                <wp:extent cx="4361815" cy="0"/>
                <wp:wrapNone/>
                <wp:docPr id="108" name="Shape 1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361815"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108" o:spid="_x0000_s11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8pt,-81.1999pt" to="351.25pt,-81.1999pt" o:allowincell="f" strokecolor="#231F20" strokeweight="0.5pt"/>
            </w:pict>
          </mc:Fallback>
        </mc:AlternateContent>
        <mc:AlternateContent>
          <mc:Choice Requires="wps">
            <w:drawing>
              <wp:anchor simplePos="0" relativeHeight="251657728" behindDoc="1" locked="0" layoutInCell="0" allowOverlap="1">
                <wp:simplePos x="0" y="0"/>
                <wp:positionH relativeFrom="column">
                  <wp:posOffset>99060</wp:posOffset>
                </wp:positionH>
                <wp:positionV relativeFrom="paragraph">
                  <wp:posOffset>-916940</wp:posOffset>
                </wp:positionV>
                <wp:extent cx="4361815" cy="0"/>
                <wp:wrapNone/>
                <wp:docPr id="109" name="Shape 1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361815"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109" o:spid="_x0000_s11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8pt,-72.1999pt" to="351.25pt,-72.1999pt" o:allowincell="f" strokecolor="#231F20" strokeweight="0.5pt"/>
            </w:pict>
          </mc:Fallback>
        </mc:AlternateContent>
        <mc:AlternateContent>
          <mc:Choice Requires="wps">
            <w:drawing>
              <wp:anchor simplePos="0" relativeHeight="251657728" behindDoc="1" locked="0" layoutInCell="0" allowOverlap="1">
                <wp:simplePos x="0" y="0"/>
                <wp:positionH relativeFrom="column">
                  <wp:posOffset>-104775</wp:posOffset>
                </wp:positionH>
                <wp:positionV relativeFrom="paragraph">
                  <wp:posOffset>-916940</wp:posOffset>
                </wp:positionV>
                <wp:extent cx="197485" cy="0"/>
                <wp:wrapNone/>
                <wp:docPr id="110" name="Shape 1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7485"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110" o:spid="_x0000_s11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2499pt,-72.1999pt" to="7.3pt,-72.1999pt" o:allowincell="f" strokecolor="#231F20" strokeweight="0.5pt"/>
            </w:pict>
          </mc:Fallback>
        </mc:AlternateContent>
        <mc:AlternateContent>
          <mc:Choice Requires="wps">
            <w:drawing>
              <wp:anchor simplePos="0" relativeHeight="251657728" behindDoc="1" locked="0" layoutInCell="0" allowOverlap="1">
                <wp:simplePos x="0" y="0"/>
                <wp:positionH relativeFrom="column">
                  <wp:posOffset>-101600</wp:posOffset>
                </wp:positionH>
                <wp:positionV relativeFrom="paragraph">
                  <wp:posOffset>-920115</wp:posOffset>
                </wp:positionV>
                <wp:extent cx="0" cy="350520"/>
                <wp:wrapNone/>
                <wp:docPr id="111" name="Shape 1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50520"/>
                        </a:xfrm>
                        <a:prstGeom prst="line">
                          <a:avLst/>
                        </a:prstGeom>
                        <a:solidFill>
                          <a:srgbClr val="FFFFFF"/>
                        </a:solidFill>
                        <a:ln w="6350">
                          <a:solidFill>
                            <a:srgbClr val="231F20"/>
                          </a:solidFill>
                          <a:miter lim="800000"/>
                          <a:headEnd/>
                          <a:tailEnd/>
                        </a:ln>
                      </wps:spPr>
                      <wps:bodyPr/>
                    </wps:wsp>
                  </a:graphicData>
                </a:graphic>
              </wp:anchor>
            </w:drawing>
          </mc:Choice>
          <mc:Fallback>
            <w:pict>
              <v:line id="Shape 111" o:spid="_x0000_s11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pt,-72.4499pt" to="-8pt,-44.8499pt" o:allowincell="f" strokecolor="#231F20" strokeweight="0.5pt"/>
            </w:pict>
          </mc:Fallback>
        </mc:AlternateContent>
        <mc:AlternateContent>
          <mc:Choice Requires="wps">
            <w:drawing>
              <wp:anchor simplePos="0" relativeHeight="251657728" behindDoc="1" locked="0" layoutInCell="0" allowOverlap="1">
                <wp:simplePos x="0" y="0"/>
                <wp:positionH relativeFrom="column">
                  <wp:posOffset>4457700</wp:posOffset>
                </wp:positionH>
                <wp:positionV relativeFrom="paragraph">
                  <wp:posOffset>-920115</wp:posOffset>
                </wp:positionV>
                <wp:extent cx="0" cy="350520"/>
                <wp:wrapNone/>
                <wp:docPr id="112" name="Shape 1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50520"/>
                        </a:xfrm>
                        <a:prstGeom prst="line">
                          <a:avLst/>
                        </a:prstGeom>
                        <a:solidFill>
                          <a:srgbClr val="FFFFFF"/>
                        </a:solidFill>
                        <a:ln w="6350">
                          <a:solidFill>
                            <a:srgbClr val="231F20"/>
                          </a:solidFill>
                          <a:miter lim="800000"/>
                          <a:headEnd/>
                          <a:tailEnd/>
                        </a:ln>
                      </wps:spPr>
                      <wps:bodyPr/>
                    </wps:wsp>
                  </a:graphicData>
                </a:graphic>
              </wp:anchor>
            </w:drawing>
          </mc:Choice>
          <mc:Fallback>
            <w:pict>
              <v:line id="Shape 112" o:spid="_x0000_s11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1pt,-72.4499pt" to="351pt,-44.8499pt" o:allowincell="f" strokecolor="#231F20" strokeweight="0.5pt"/>
            </w:pict>
          </mc:Fallback>
        </mc:AlternateContent>
        <mc:AlternateContent>
          <mc:Choice Requires="wps">
            <w:drawing>
              <wp:anchor simplePos="0" relativeHeight="251657728" behindDoc="1" locked="0" layoutInCell="0" allowOverlap="1">
                <wp:simplePos x="0" y="0"/>
                <wp:positionH relativeFrom="column">
                  <wp:posOffset>-101600</wp:posOffset>
                </wp:positionH>
                <wp:positionV relativeFrom="paragraph">
                  <wp:posOffset>-563245</wp:posOffset>
                </wp:positionV>
                <wp:extent cx="0" cy="173990"/>
                <wp:wrapNone/>
                <wp:docPr id="113" name="Shape 1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3990"/>
                        </a:xfrm>
                        <a:prstGeom prst="line">
                          <a:avLst/>
                        </a:prstGeom>
                        <a:solidFill>
                          <a:srgbClr val="FFFFFF"/>
                        </a:solidFill>
                        <a:ln w="6350">
                          <a:solidFill>
                            <a:srgbClr val="231F20"/>
                          </a:solidFill>
                          <a:miter lim="800000"/>
                          <a:headEnd/>
                          <a:tailEnd/>
                        </a:ln>
                      </wps:spPr>
                      <wps:bodyPr/>
                    </wps:wsp>
                  </a:graphicData>
                </a:graphic>
              </wp:anchor>
            </w:drawing>
          </mc:Choice>
          <mc:Fallback>
            <w:pict>
              <v:line id="Shape 113" o:spid="_x0000_s11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pt,-44.3499pt" to="-8pt,-30.6499pt" o:allowincell="f" strokecolor="#231F20" strokeweight="0.5pt"/>
            </w:pict>
          </mc:Fallback>
        </mc:AlternateContent>
        <mc:AlternateContent>
          <mc:Choice Requires="wps">
            <w:drawing>
              <wp:anchor simplePos="0" relativeHeight="251657728" behindDoc="1" locked="0" layoutInCell="0" allowOverlap="1">
                <wp:simplePos x="0" y="0"/>
                <wp:positionH relativeFrom="column">
                  <wp:posOffset>4457700</wp:posOffset>
                </wp:positionH>
                <wp:positionV relativeFrom="paragraph">
                  <wp:posOffset>-563245</wp:posOffset>
                </wp:positionV>
                <wp:extent cx="0" cy="173990"/>
                <wp:wrapNone/>
                <wp:docPr id="114" name="Shape 1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3990"/>
                        </a:xfrm>
                        <a:prstGeom prst="line">
                          <a:avLst/>
                        </a:prstGeom>
                        <a:solidFill>
                          <a:srgbClr val="FFFFFF"/>
                        </a:solidFill>
                        <a:ln w="6350">
                          <a:solidFill>
                            <a:srgbClr val="231F20"/>
                          </a:solidFill>
                          <a:miter lim="800000"/>
                          <a:headEnd/>
                          <a:tailEnd/>
                        </a:ln>
                      </wps:spPr>
                      <wps:bodyPr/>
                    </wps:wsp>
                  </a:graphicData>
                </a:graphic>
              </wp:anchor>
            </w:drawing>
          </mc:Choice>
          <mc:Fallback>
            <w:pict>
              <v:line id="Shape 114" o:spid="_x0000_s11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1pt,-44.3499pt" to="351pt,-30.6499pt" o:allowincell="f" strokecolor="#231F20" strokeweight="0.5pt"/>
            </w:pict>
          </mc:Fallback>
        </mc:AlternateContent>
        <mc:AlternateContent>
          <mc:Choice Requires="wps">
            <w:drawing>
              <wp:anchor simplePos="0" relativeHeight="251657728" behindDoc="1" locked="0" layoutInCell="0" allowOverlap="1">
                <wp:simplePos x="0" y="0"/>
                <wp:positionH relativeFrom="column">
                  <wp:posOffset>-101600</wp:posOffset>
                </wp:positionH>
                <wp:positionV relativeFrom="paragraph">
                  <wp:posOffset>-382905</wp:posOffset>
                </wp:positionV>
                <wp:extent cx="0" cy="173990"/>
                <wp:wrapNone/>
                <wp:docPr id="115" name="Shape 1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3990"/>
                        </a:xfrm>
                        <a:prstGeom prst="line">
                          <a:avLst/>
                        </a:prstGeom>
                        <a:solidFill>
                          <a:srgbClr val="FFFFFF"/>
                        </a:solidFill>
                        <a:ln w="6350">
                          <a:solidFill>
                            <a:srgbClr val="231F20"/>
                          </a:solidFill>
                          <a:miter lim="800000"/>
                          <a:headEnd/>
                          <a:tailEnd/>
                        </a:ln>
                      </wps:spPr>
                      <wps:bodyPr/>
                    </wps:wsp>
                  </a:graphicData>
                </a:graphic>
              </wp:anchor>
            </w:drawing>
          </mc:Choice>
          <mc:Fallback>
            <w:pict>
              <v:line id="Shape 115" o:spid="_x0000_s11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pt,-30.1499pt" to="-8pt,-16.4499pt" o:allowincell="f" strokecolor="#231F20" strokeweight="0.5pt"/>
            </w:pict>
          </mc:Fallback>
        </mc:AlternateContent>
        <mc:AlternateContent>
          <mc:Choice Requires="wps">
            <w:drawing>
              <wp:anchor simplePos="0" relativeHeight="251657728" behindDoc="1" locked="0" layoutInCell="0" allowOverlap="1">
                <wp:simplePos x="0" y="0"/>
                <wp:positionH relativeFrom="column">
                  <wp:posOffset>4457700</wp:posOffset>
                </wp:positionH>
                <wp:positionV relativeFrom="paragraph">
                  <wp:posOffset>-382905</wp:posOffset>
                </wp:positionV>
                <wp:extent cx="0" cy="173990"/>
                <wp:wrapNone/>
                <wp:docPr id="116" name="Shape 1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3990"/>
                        </a:xfrm>
                        <a:prstGeom prst="line">
                          <a:avLst/>
                        </a:prstGeom>
                        <a:solidFill>
                          <a:srgbClr val="FFFFFF"/>
                        </a:solidFill>
                        <a:ln w="6350">
                          <a:solidFill>
                            <a:srgbClr val="231F20"/>
                          </a:solidFill>
                          <a:miter lim="800000"/>
                          <a:headEnd/>
                          <a:tailEnd/>
                        </a:ln>
                      </wps:spPr>
                      <wps:bodyPr/>
                    </wps:wsp>
                  </a:graphicData>
                </a:graphic>
              </wp:anchor>
            </w:drawing>
          </mc:Choice>
          <mc:Fallback>
            <w:pict>
              <v:line id="Shape 116" o:spid="_x0000_s11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1pt,-30.1499pt" to="351pt,-16.4499pt" o:allowincell="f" strokecolor="#231F20" strokeweight="0.5pt"/>
            </w:pict>
          </mc:Fallback>
        </mc:AlternateContent>
        <mc:AlternateContent>
          <mc:Choice Requires="wps">
            <w:drawing>
              <wp:anchor simplePos="0" relativeHeight="251657728" behindDoc="1" locked="0" layoutInCell="0" allowOverlap="1">
                <wp:simplePos x="0" y="0"/>
                <wp:positionH relativeFrom="column">
                  <wp:posOffset>-101600</wp:posOffset>
                </wp:positionH>
                <wp:positionV relativeFrom="paragraph">
                  <wp:posOffset>-202565</wp:posOffset>
                </wp:positionV>
                <wp:extent cx="0" cy="173990"/>
                <wp:wrapNone/>
                <wp:docPr id="117" name="Shape 1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3990"/>
                        </a:xfrm>
                        <a:prstGeom prst="line">
                          <a:avLst/>
                        </a:prstGeom>
                        <a:solidFill>
                          <a:srgbClr val="FFFFFF"/>
                        </a:solidFill>
                        <a:ln w="6350">
                          <a:solidFill>
                            <a:srgbClr val="231F20"/>
                          </a:solidFill>
                          <a:miter lim="800000"/>
                          <a:headEnd/>
                          <a:tailEnd/>
                        </a:ln>
                      </wps:spPr>
                      <wps:bodyPr/>
                    </wps:wsp>
                  </a:graphicData>
                </a:graphic>
              </wp:anchor>
            </w:drawing>
          </mc:Choice>
          <mc:Fallback>
            <w:pict>
              <v:line id="Shape 117" o:spid="_x0000_s11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pt,-15.9499pt" to="-8pt,-2.2499pt" o:allowincell="f" strokecolor="#231F20" strokeweight="0.5pt"/>
            </w:pict>
          </mc:Fallback>
        </mc:AlternateContent>
        <mc:AlternateContent>
          <mc:Choice Requires="wps">
            <w:drawing>
              <wp:anchor simplePos="0" relativeHeight="251657728" behindDoc="1" locked="0" layoutInCell="0" allowOverlap="1">
                <wp:simplePos x="0" y="0"/>
                <wp:positionH relativeFrom="column">
                  <wp:posOffset>4457700</wp:posOffset>
                </wp:positionH>
                <wp:positionV relativeFrom="paragraph">
                  <wp:posOffset>-202565</wp:posOffset>
                </wp:positionV>
                <wp:extent cx="0" cy="173990"/>
                <wp:wrapNone/>
                <wp:docPr id="118" name="Shape 1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3990"/>
                        </a:xfrm>
                        <a:prstGeom prst="line">
                          <a:avLst/>
                        </a:prstGeom>
                        <a:solidFill>
                          <a:srgbClr val="FFFFFF"/>
                        </a:solidFill>
                        <a:ln w="6350">
                          <a:solidFill>
                            <a:srgbClr val="231F20"/>
                          </a:solidFill>
                          <a:miter lim="800000"/>
                          <a:headEnd/>
                          <a:tailEnd/>
                        </a:ln>
                      </wps:spPr>
                      <wps:bodyPr/>
                    </wps:wsp>
                  </a:graphicData>
                </a:graphic>
              </wp:anchor>
            </w:drawing>
          </mc:Choice>
          <mc:Fallback>
            <w:pict>
              <v:line id="Shape 118" o:spid="_x0000_s11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1pt,-15.9499pt" to="351pt,-2.2499pt" o:allowincell="f" strokecolor="#231F20" strokeweight="0.5pt"/>
            </w:pict>
          </mc:Fallback>
        </mc:AlternateContent>
        <mc:AlternateContent>
          <mc:Choice Requires="wps">
            <w:drawing>
              <wp:anchor simplePos="0" relativeHeight="251657728" behindDoc="1" locked="0" layoutInCell="0" allowOverlap="1">
                <wp:simplePos x="0" y="0"/>
                <wp:positionH relativeFrom="column">
                  <wp:posOffset>-104775</wp:posOffset>
                </wp:positionH>
                <wp:positionV relativeFrom="paragraph">
                  <wp:posOffset>583565</wp:posOffset>
                </wp:positionV>
                <wp:extent cx="197485" cy="0"/>
                <wp:wrapNone/>
                <wp:docPr id="119" name="Shape 1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7485"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119" o:spid="_x0000_s11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2499pt,45.95pt" to="7.3pt,45.95pt" o:allowincell="f" strokecolor="#231F20" strokeweight="0.5pt"/>
            </w:pict>
          </mc:Fallback>
        </mc:AlternateContent>
        <mc:AlternateContent>
          <mc:Choice Requires="wps">
            <w:drawing>
              <wp:anchor simplePos="0" relativeHeight="251657728" behindDoc="1" locked="0" layoutInCell="0" allowOverlap="1">
                <wp:simplePos x="0" y="0"/>
                <wp:positionH relativeFrom="column">
                  <wp:posOffset>-101600</wp:posOffset>
                </wp:positionH>
                <wp:positionV relativeFrom="paragraph">
                  <wp:posOffset>-22225</wp:posOffset>
                </wp:positionV>
                <wp:extent cx="0" cy="608965"/>
                <wp:wrapNone/>
                <wp:docPr id="120" name="Shape 1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608965"/>
                        </a:xfrm>
                        <a:prstGeom prst="line">
                          <a:avLst/>
                        </a:prstGeom>
                        <a:solidFill>
                          <a:srgbClr val="FFFFFF"/>
                        </a:solidFill>
                        <a:ln w="6350">
                          <a:solidFill>
                            <a:srgbClr val="231F20"/>
                          </a:solidFill>
                          <a:miter lim="800000"/>
                          <a:headEnd/>
                          <a:tailEnd/>
                        </a:ln>
                      </wps:spPr>
                      <wps:bodyPr/>
                    </wps:wsp>
                  </a:graphicData>
                </a:graphic>
              </wp:anchor>
            </w:drawing>
          </mc:Choice>
          <mc:Fallback>
            <w:pict>
              <v:line id="Shape 120" o:spid="_x0000_s11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pt,-1.7499pt" to="-8pt,46.2pt" o:allowincell="f" strokecolor="#231F20" strokeweight="0.5pt"/>
            </w:pict>
          </mc:Fallback>
        </mc:AlternateContent>
        <mc:AlternateContent>
          <mc:Choice Requires="wps">
            <w:drawing>
              <wp:anchor simplePos="0" relativeHeight="251657728" behindDoc="1" locked="0" layoutInCell="0" allowOverlap="1">
                <wp:simplePos x="0" y="0"/>
                <wp:positionH relativeFrom="column">
                  <wp:posOffset>4457700</wp:posOffset>
                </wp:positionH>
                <wp:positionV relativeFrom="paragraph">
                  <wp:posOffset>-22225</wp:posOffset>
                </wp:positionV>
                <wp:extent cx="0" cy="608965"/>
                <wp:wrapNone/>
                <wp:docPr id="121" name="Shape 1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608965"/>
                        </a:xfrm>
                        <a:prstGeom prst="line">
                          <a:avLst/>
                        </a:prstGeom>
                        <a:solidFill>
                          <a:srgbClr val="FFFFFF"/>
                        </a:solidFill>
                        <a:ln w="6350">
                          <a:solidFill>
                            <a:srgbClr val="231F20"/>
                          </a:solidFill>
                          <a:miter lim="800000"/>
                          <a:headEnd/>
                          <a:tailEnd/>
                        </a:ln>
                      </wps:spPr>
                      <wps:bodyPr/>
                    </wps:wsp>
                  </a:graphicData>
                </a:graphic>
              </wp:anchor>
            </w:drawing>
          </mc:Choice>
          <mc:Fallback>
            <w:pict>
              <v:line id="Shape 121" o:spid="_x0000_s11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1pt,-1.7499pt" to="351pt,46.2pt" o:allowincell="f" strokecolor="#231F20" strokeweight="0.5pt"/>
            </w:pict>
          </mc:Fallback>
        </mc:AlternateContent>
        <mc:AlternateContent>
          <mc:Choice Requires="wps">
            <w:drawing>
              <wp:anchor simplePos="0" relativeHeight="251657728" behindDoc="1" locked="0" layoutInCell="0" allowOverlap="1">
                <wp:simplePos x="0" y="0"/>
                <wp:positionH relativeFrom="column">
                  <wp:posOffset>99060</wp:posOffset>
                </wp:positionH>
                <wp:positionV relativeFrom="paragraph">
                  <wp:posOffset>583565</wp:posOffset>
                </wp:positionV>
                <wp:extent cx="4361815" cy="0"/>
                <wp:wrapNone/>
                <wp:docPr id="122" name="Shape 1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361815"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122" o:spid="_x0000_s11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8pt,45.95pt" to="351.25pt,45.95pt" o:allowincell="f" strokecolor="#231F20" strokeweight="0.5pt"/>
            </w:pict>
          </mc:Fallback>
        </mc:AlternateContent>
        <mc:AlternateContent>
          <mc:Choice Requires="wps">
            <w:drawing>
              <wp:anchor simplePos="0" relativeHeight="251657728" behindDoc="1" locked="0" layoutInCell="0" allowOverlap="1">
                <wp:simplePos x="0" y="0"/>
                <wp:positionH relativeFrom="column">
                  <wp:posOffset>99060</wp:posOffset>
                </wp:positionH>
                <wp:positionV relativeFrom="paragraph">
                  <wp:posOffset>697865</wp:posOffset>
                </wp:positionV>
                <wp:extent cx="4361815" cy="0"/>
                <wp:wrapNone/>
                <wp:docPr id="123" name="Shape 1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361815"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123" o:spid="_x0000_s11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8pt,54.95pt" to="351.25pt,54.95pt" o:allowincell="f" strokecolor="#231F20" strokeweight="0.5pt"/>
            </w:pict>
          </mc:Fallback>
        </mc:AlternateContent>
        <mc:AlternateContent>
          <mc:Choice Requires="wps">
            <w:drawing>
              <wp:anchor simplePos="0" relativeHeight="251657728" behindDoc="1" locked="0" layoutInCell="0" allowOverlap="1">
                <wp:simplePos x="0" y="0"/>
                <wp:positionH relativeFrom="column">
                  <wp:posOffset>-104775</wp:posOffset>
                </wp:positionH>
                <wp:positionV relativeFrom="paragraph">
                  <wp:posOffset>697865</wp:posOffset>
                </wp:positionV>
                <wp:extent cx="197485" cy="0"/>
                <wp:wrapNone/>
                <wp:docPr id="124" name="Shape 1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7485"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124" o:spid="_x0000_s11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2499pt,54.95pt" to="7.3pt,54.95pt" o:allowincell="f" strokecolor="#231F20" strokeweight="0.5pt"/>
            </w:pict>
          </mc:Fallback>
        </mc:AlternateContent>
        <mc:AlternateContent>
          <mc:Choice Requires="wps">
            <w:drawing>
              <wp:anchor simplePos="0" relativeHeight="251657728" behindDoc="1" locked="0" layoutInCell="0" allowOverlap="1">
                <wp:simplePos x="0" y="0"/>
                <wp:positionH relativeFrom="column">
                  <wp:posOffset>-101600</wp:posOffset>
                </wp:positionH>
                <wp:positionV relativeFrom="paragraph">
                  <wp:posOffset>694690</wp:posOffset>
                </wp:positionV>
                <wp:extent cx="0" cy="292100"/>
                <wp:wrapNone/>
                <wp:docPr id="125" name="Shape 1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92100"/>
                        </a:xfrm>
                        <a:prstGeom prst="line">
                          <a:avLst/>
                        </a:prstGeom>
                        <a:solidFill>
                          <a:srgbClr val="FFFFFF"/>
                        </a:solidFill>
                        <a:ln w="6350">
                          <a:solidFill>
                            <a:srgbClr val="231F20"/>
                          </a:solidFill>
                          <a:miter lim="800000"/>
                          <a:headEnd/>
                          <a:tailEnd/>
                        </a:ln>
                      </wps:spPr>
                      <wps:bodyPr/>
                    </wps:wsp>
                  </a:graphicData>
                </a:graphic>
              </wp:anchor>
            </w:drawing>
          </mc:Choice>
          <mc:Fallback>
            <w:pict>
              <v:line id="Shape 125" o:spid="_x0000_s11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pt,54.7pt" to="-8pt,77.7pt" o:allowincell="f" strokecolor="#231F20" strokeweight="0.5pt"/>
            </w:pict>
          </mc:Fallback>
        </mc:AlternateContent>
        <mc:AlternateContent>
          <mc:Choice Requires="wps">
            <w:drawing>
              <wp:anchor simplePos="0" relativeHeight="251657728" behindDoc="1" locked="0" layoutInCell="0" allowOverlap="1">
                <wp:simplePos x="0" y="0"/>
                <wp:positionH relativeFrom="column">
                  <wp:posOffset>4457700</wp:posOffset>
                </wp:positionH>
                <wp:positionV relativeFrom="paragraph">
                  <wp:posOffset>694690</wp:posOffset>
                </wp:positionV>
                <wp:extent cx="0" cy="292100"/>
                <wp:wrapNone/>
                <wp:docPr id="126" name="Shape 1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92100"/>
                        </a:xfrm>
                        <a:prstGeom prst="line">
                          <a:avLst/>
                        </a:prstGeom>
                        <a:solidFill>
                          <a:srgbClr val="FFFFFF"/>
                        </a:solidFill>
                        <a:ln w="6350">
                          <a:solidFill>
                            <a:srgbClr val="231F20"/>
                          </a:solidFill>
                          <a:miter lim="800000"/>
                          <a:headEnd/>
                          <a:tailEnd/>
                        </a:ln>
                      </wps:spPr>
                      <wps:bodyPr/>
                    </wps:wsp>
                  </a:graphicData>
                </a:graphic>
              </wp:anchor>
            </w:drawing>
          </mc:Choice>
          <mc:Fallback>
            <w:pict>
              <v:line id="Shape 126" o:spid="_x0000_s11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1pt,54.7pt" to="351pt,77.7pt" o:allowincell="f" strokecolor="#231F20" strokeweight="0.5pt"/>
            </w:pict>
          </mc:Fallback>
        </mc:AlternateContent>
      </w:r>
    </w:p>
    <w:p>
      <w:pPr>
        <w:spacing w:after="0" w:line="955" w:lineRule="exact"/>
        <w:rPr>
          <w:sz w:val="20"/>
          <w:szCs w:val="20"/>
          <w:color w:val="auto"/>
        </w:rPr>
      </w:pPr>
    </w:p>
    <w:p>
      <w:pPr>
        <w:sectPr>
          <w:pgSz w:w="11880" w:h="15480" w:orient="portrait"/>
          <w:cols w:equalWidth="0" w:num="2">
            <w:col w:w="2700" w:space="360"/>
            <w:col w:w="7020"/>
          </w:cols>
          <w:pgMar w:left="900" w:top="1272" w:right="900" w:bottom="763" w:gutter="0" w:footer="0" w:header="0"/>
          <w:type w:val="continuous"/>
        </w:sectPr>
      </w:pPr>
    </w:p>
    <w:p>
      <w:pPr>
        <w:spacing w:after="0" w:line="200" w:lineRule="exact"/>
        <w:rPr>
          <w:sz w:val="20"/>
          <w:szCs w:val="20"/>
          <w:color w:val="auto"/>
        </w:rPr>
      </w:pPr>
    </w:p>
    <w:p>
      <w:pPr>
        <w:spacing w:after="0" w:line="251" w:lineRule="exact"/>
        <w:rPr>
          <w:sz w:val="20"/>
          <w:szCs w:val="20"/>
          <w:color w:val="auto"/>
        </w:rPr>
      </w:pPr>
    </w:p>
    <w:p>
      <w:pPr>
        <w:ind w:left="400"/>
        <w:spacing w:after="0"/>
        <w:rPr>
          <w:sz w:val="20"/>
          <w:szCs w:val="20"/>
          <w:color w:val="auto"/>
        </w:rPr>
      </w:pPr>
      <w:r>
        <w:rPr>
          <w:rFonts w:ascii="Arial" w:cs="Arial" w:eastAsia="Arial" w:hAnsi="Arial"/>
          <w:sz w:val="24"/>
          <w:szCs w:val="24"/>
          <w:b w:val="1"/>
          <w:bCs w:val="1"/>
          <w:color w:val="FFFFFF"/>
        </w:rPr>
        <w:t>Empower Teams*</w:t>
      </w:r>
    </w:p>
    <w:p>
      <w:pPr>
        <w:spacing w:after="0" w:line="207" w:lineRule="exact"/>
        <w:rPr>
          <w:sz w:val="20"/>
          <w:szCs w:val="20"/>
          <w:color w:val="auto"/>
        </w:rPr>
      </w:pPr>
    </w:p>
    <w:p>
      <w:pPr>
        <w:jc w:val="center"/>
        <w:ind w:left="120"/>
        <w:spacing w:after="0" w:line="249" w:lineRule="auto"/>
        <w:rPr>
          <w:sz w:val="20"/>
          <w:szCs w:val="20"/>
          <w:color w:val="auto"/>
        </w:rPr>
      </w:pPr>
      <w:r>
        <w:rPr>
          <w:rFonts w:ascii="Arial" w:cs="Arial" w:eastAsia="Arial" w:hAnsi="Arial"/>
          <w:sz w:val="20"/>
          <w:szCs w:val="20"/>
          <w:color w:val="FFFFFF"/>
        </w:rPr>
        <w:t>Attract, develop and retain the best talent with diverse perspectives to best position us to deliver strong long-term results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711200</wp:posOffset>
                </wp:positionV>
                <wp:extent cx="6400800" cy="177800"/>
                <wp:wrapNone/>
                <wp:docPr id="127" name="Shape 1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177800"/>
                        </a:xfrm>
                        <a:prstGeom prst="rect">
                          <a:avLst/>
                        </a:prstGeom>
                        <a:solidFill>
                          <a:srgbClr val="E8E7E5"/>
                        </a:solidFill>
                      </wps:spPr>
                      <wps:bodyPr/>
                    </wps:wsp>
                  </a:graphicData>
                </a:graphic>
              </wp:anchor>
            </w:drawing>
          </mc:Choice>
          <mc:Fallback>
            <w:pict>
              <v:rect id="Shape 127" o:spid="_x0000_s1152" style="position:absolute;margin-left:0pt;margin-top:56pt;width:504pt;height:1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8E7E5" stroked="f"/>
            </w:pict>
          </mc:Fallback>
        </mc:AlternateContent>
        <mc:AlternateContent>
          <mc:Choice Requires="wps">
            <w:drawing>
              <wp:anchor simplePos="0" relativeHeight="251657728" behindDoc="1" locked="0" layoutInCell="0" allowOverlap="1">
                <wp:simplePos x="0" y="0"/>
                <wp:positionH relativeFrom="column">
                  <wp:posOffset>6350</wp:posOffset>
                </wp:positionH>
                <wp:positionV relativeFrom="paragraph">
                  <wp:posOffset>710565</wp:posOffset>
                </wp:positionV>
                <wp:extent cx="0" cy="177800"/>
                <wp:wrapNone/>
                <wp:docPr id="128" name="Shape 1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128" o:spid="_x0000_s11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pt,55.95pt" to="0.5pt,69.95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882015</wp:posOffset>
                </wp:positionV>
                <wp:extent cx="6400800" cy="0"/>
                <wp:wrapNone/>
                <wp:docPr id="129" name="Shape 1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129" o:spid="_x0000_s11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69.45pt" to="504pt,69.45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716915</wp:posOffset>
                </wp:positionV>
                <wp:extent cx="6400800" cy="0"/>
                <wp:wrapNone/>
                <wp:docPr id="130" name="Shape 1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130" o:spid="_x0000_s11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6.45pt" to="504pt,56.45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6394450</wp:posOffset>
                </wp:positionH>
                <wp:positionV relativeFrom="paragraph">
                  <wp:posOffset>710565</wp:posOffset>
                </wp:positionV>
                <wp:extent cx="0" cy="177800"/>
                <wp:wrapNone/>
                <wp:docPr id="131" name="Shape 1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131" o:spid="_x0000_s11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3.5pt,55.95pt" to="503.5pt,69.95pt" o:allowincell="f" strokecolor="#231F20" strokeweight="1pt"/>
            </w:pict>
          </mc:Fallback>
        </mc:AlternateConten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jc w:val="both"/>
        <w:ind w:right="4140"/>
        <w:spacing w:after="0" w:line="367" w:lineRule="exact"/>
        <w:rPr>
          <w:sz w:val="20"/>
          <w:szCs w:val="20"/>
          <w:color w:val="auto"/>
        </w:rPr>
      </w:pPr>
      <w:r>
        <w:rPr>
          <w:rFonts w:ascii="Arial Unicode MS" w:cs="Arial Unicode MS" w:eastAsia="Arial Unicode MS" w:hAnsi="Arial Unicode MS"/>
          <w:sz w:val="40"/>
          <w:szCs w:val="40"/>
          <w:color w:val="231F20"/>
          <w:vertAlign w:val="subscript"/>
        </w:rPr>
        <w:t>✓</w:t>
      </w:r>
      <w:r>
        <w:rPr>
          <w:rFonts w:ascii="Arial" w:cs="Arial" w:eastAsia="Arial" w:hAnsi="Arial"/>
          <w:sz w:val="20"/>
          <w:szCs w:val="20"/>
          <w:color w:val="231F20"/>
        </w:rPr>
        <w:t xml:space="preserve"> Competitive pay and benefits </w:t>
      </w:r>
      <w:r>
        <w:rPr>
          <w:rFonts w:ascii="Arial Unicode MS" w:cs="Arial Unicode MS" w:eastAsia="Arial Unicode MS" w:hAnsi="Arial Unicode MS"/>
          <w:sz w:val="20"/>
          <w:szCs w:val="20"/>
          <w:color w:val="231F20"/>
        </w:rPr>
        <w:t>✓</w:t>
      </w:r>
      <w:r>
        <w:rPr>
          <w:rFonts w:ascii="Arial" w:cs="Arial" w:eastAsia="Arial" w:hAnsi="Arial"/>
          <w:sz w:val="20"/>
          <w:szCs w:val="20"/>
          <w:color w:val="231F20"/>
        </w:rPr>
        <w:t xml:space="preserve"> Average tenure of 9.4 years</w:t>
      </w:r>
    </w:p>
    <w:p>
      <w:pPr>
        <w:spacing w:after="0" w:line="18" w:lineRule="exact"/>
        <w:rPr>
          <w:sz w:val="20"/>
          <w:szCs w:val="20"/>
          <w:color w:val="auto"/>
        </w:rPr>
      </w:pPr>
    </w:p>
    <w:p>
      <w:pPr>
        <w:spacing w:after="0" w:line="268" w:lineRule="exact"/>
        <w:rPr>
          <w:sz w:val="20"/>
          <w:szCs w:val="20"/>
          <w:color w:val="auto"/>
        </w:rPr>
      </w:pPr>
      <w:r>
        <w:rPr>
          <w:rFonts w:ascii="Arial Unicode MS" w:cs="Arial Unicode MS" w:eastAsia="Arial Unicode MS" w:hAnsi="Arial Unicode MS"/>
          <w:sz w:val="20"/>
          <w:szCs w:val="20"/>
          <w:color w:val="231F20"/>
        </w:rPr>
        <w:t>✓</w:t>
      </w:r>
      <w:r>
        <w:rPr>
          <w:rFonts w:ascii="Arial" w:cs="Arial" w:eastAsia="Arial" w:hAnsi="Arial"/>
          <w:sz w:val="20"/>
          <w:szCs w:val="20"/>
          <w:color w:val="231F20"/>
        </w:rPr>
        <w:t xml:space="preserve"> Pay equity analysis shows no pay anomalies based on race or gender</w:t>
      </w:r>
    </w:p>
    <w:p>
      <w:pPr>
        <w:spacing w:after="0" w:line="58" w:lineRule="exact"/>
        <w:rPr>
          <w:sz w:val="20"/>
          <w:szCs w:val="20"/>
          <w:color w:val="auto"/>
        </w:rPr>
      </w:pPr>
    </w:p>
    <w:p>
      <w:pPr>
        <w:jc w:val="both"/>
        <w:ind w:right="2180"/>
        <w:spacing w:after="0" w:line="254" w:lineRule="exact"/>
        <w:rPr>
          <w:sz w:val="20"/>
          <w:szCs w:val="20"/>
          <w:color w:val="auto"/>
        </w:rPr>
      </w:pPr>
      <w:r>
        <w:rPr>
          <w:rFonts w:ascii="Arial Unicode MS" w:cs="Arial Unicode MS" w:eastAsia="Arial Unicode MS" w:hAnsi="Arial Unicode MS"/>
          <w:sz w:val="20"/>
          <w:szCs w:val="20"/>
          <w:color w:val="231F20"/>
        </w:rPr>
        <w:t>✓</w:t>
      </w:r>
      <w:r>
        <w:rPr>
          <w:rFonts w:ascii="Arial" w:cs="Arial" w:eastAsia="Arial" w:hAnsi="Arial"/>
          <w:sz w:val="20"/>
          <w:szCs w:val="20"/>
          <w:color w:val="231F20"/>
        </w:rPr>
        <w:t xml:space="preserve"> Women represented 54% of our workforce in 2025 </w:t>
      </w:r>
      <w:r>
        <w:rPr>
          <w:rFonts w:ascii="Arial Unicode MS" w:cs="Arial Unicode MS" w:eastAsia="Arial Unicode MS" w:hAnsi="Arial Unicode MS"/>
          <w:sz w:val="20"/>
          <w:szCs w:val="20"/>
          <w:color w:val="231F20"/>
        </w:rPr>
        <w:t>✓</w:t>
      </w:r>
      <w:r>
        <w:rPr>
          <w:rFonts w:ascii="Arial" w:cs="Arial" w:eastAsia="Arial" w:hAnsi="Arial"/>
          <w:sz w:val="20"/>
          <w:szCs w:val="20"/>
          <w:color w:val="231F20"/>
        </w:rPr>
        <w:t xml:space="preserve"> Minorities represented 48% of all new hires in 2025</w:t>
      </w:r>
    </w:p>
    <w:p>
      <w:pPr>
        <w:spacing w:after="0" w:line="61" w:lineRule="exact"/>
        <w:rPr>
          <w:sz w:val="20"/>
          <w:szCs w:val="20"/>
          <w:color w:val="auto"/>
        </w:rPr>
      </w:pPr>
    </w:p>
    <w:p>
      <w:pPr>
        <w:ind w:left="320" w:right="560" w:hanging="311"/>
        <w:spacing w:after="0" w:line="232" w:lineRule="exact"/>
        <w:rPr>
          <w:sz w:val="20"/>
          <w:szCs w:val="20"/>
          <w:color w:val="auto"/>
        </w:rPr>
      </w:pPr>
      <w:r>
        <w:rPr>
          <w:rFonts w:ascii="Arial Unicode MS" w:cs="Arial Unicode MS" w:eastAsia="Arial Unicode MS" w:hAnsi="Arial Unicode MS"/>
          <w:sz w:val="20"/>
          <w:szCs w:val="20"/>
          <w:color w:val="231F20"/>
        </w:rPr>
        <w:t>✓</w:t>
      </w:r>
      <w:r>
        <w:rPr>
          <w:rFonts w:ascii="Arial" w:cs="Arial" w:eastAsia="Arial" w:hAnsi="Arial"/>
          <w:sz w:val="20"/>
          <w:szCs w:val="20"/>
          <w:color w:val="231F20"/>
        </w:rPr>
        <w:t xml:space="preserve"> Comprehensive health and wellness programs through our Be Well at Federal program</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-101600</wp:posOffset>
                </wp:positionH>
                <wp:positionV relativeFrom="paragraph">
                  <wp:posOffset>-1075690</wp:posOffset>
                </wp:positionV>
                <wp:extent cx="0" cy="173990"/>
                <wp:wrapNone/>
                <wp:docPr id="132" name="Shape 1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3990"/>
                        </a:xfrm>
                        <a:prstGeom prst="line">
                          <a:avLst/>
                        </a:prstGeom>
                        <a:solidFill>
                          <a:srgbClr val="FFFFFF"/>
                        </a:solidFill>
                        <a:ln w="6350">
                          <a:solidFill>
                            <a:srgbClr val="231F20"/>
                          </a:solidFill>
                          <a:miter lim="800000"/>
                          <a:headEnd/>
                          <a:tailEnd/>
                        </a:ln>
                      </wps:spPr>
                      <wps:bodyPr/>
                    </wps:wsp>
                  </a:graphicData>
                </a:graphic>
              </wp:anchor>
            </w:drawing>
          </mc:Choice>
          <mc:Fallback>
            <w:pict>
              <v:line id="Shape 132" o:spid="_x0000_s11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pt,-84.6999pt" to="-8pt,-71pt" o:allowincell="f" strokecolor="#231F20" strokeweight="0.5pt"/>
            </w:pict>
          </mc:Fallback>
        </mc:AlternateContent>
        <mc:AlternateContent>
          <mc:Choice Requires="wps">
            <w:drawing>
              <wp:anchor simplePos="0" relativeHeight="251657728" behindDoc="1" locked="0" layoutInCell="0" allowOverlap="1">
                <wp:simplePos x="0" y="0"/>
                <wp:positionH relativeFrom="column">
                  <wp:posOffset>4457700</wp:posOffset>
                </wp:positionH>
                <wp:positionV relativeFrom="paragraph">
                  <wp:posOffset>-1075690</wp:posOffset>
                </wp:positionV>
                <wp:extent cx="0" cy="173990"/>
                <wp:wrapNone/>
                <wp:docPr id="133" name="Shape 1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3990"/>
                        </a:xfrm>
                        <a:prstGeom prst="line">
                          <a:avLst/>
                        </a:prstGeom>
                        <a:solidFill>
                          <a:srgbClr val="FFFFFF"/>
                        </a:solidFill>
                        <a:ln w="6350">
                          <a:solidFill>
                            <a:srgbClr val="231F20"/>
                          </a:solidFill>
                          <a:miter lim="800000"/>
                          <a:headEnd/>
                          <a:tailEnd/>
                        </a:ln>
                      </wps:spPr>
                      <wps:bodyPr/>
                    </wps:wsp>
                  </a:graphicData>
                </a:graphic>
              </wp:anchor>
            </w:drawing>
          </mc:Choice>
          <mc:Fallback>
            <w:pict>
              <v:line id="Shape 133" o:spid="_x0000_s11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1pt,-84.6999pt" to="351pt,-71pt" o:allowincell="f" strokecolor="#231F20" strokeweight="0.5pt"/>
            </w:pict>
          </mc:Fallback>
        </mc:AlternateContent>
        <mc:AlternateContent>
          <mc:Choice Requires="wps">
            <w:drawing>
              <wp:anchor simplePos="0" relativeHeight="251657728" behindDoc="1" locked="0" layoutInCell="0" allowOverlap="1">
                <wp:simplePos x="0" y="0"/>
                <wp:positionH relativeFrom="column">
                  <wp:posOffset>-101600</wp:posOffset>
                </wp:positionH>
                <wp:positionV relativeFrom="paragraph">
                  <wp:posOffset>-895350</wp:posOffset>
                </wp:positionV>
                <wp:extent cx="0" cy="173990"/>
                <wp:wrapNone/>
                <wp:docPr id="134" name="Shape 1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3990"/>
                        </a:xfrm>
                        <a:prstGeom prst="line">
                          <a:avLst/>
                        </a:prstGeom>
                        <a:solidFill>
                          <a:srgbClr val="FFFFFF"/>
                        </a:solidFill>
                        <a:ln w="6350">
                          <a:solidFill>
                            <a:srgbClr val="231F20"/>
                          </a:solidFill>
                          <a:miter lim="800000"/>
                          <a:headEnd/>
                          <a:tailEnd/>
                        </a:ln>
                      </wps:spPr>
                      <wps:bodyPr/>
                    </wps:wsp>
                  </a:graphicData>
                </a:graphic>
              </wp:anchor>
            </w:drawing>
          </mc:Choice>
          <mc:Fallback>
            <w:pict>
              <v:line id="Shape 134" o:spid="_x0000_s11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pt,-70.4999pt" to="-8pt,-56.7999pt" o:allowincell="f" strokecolor="#231F20" strokeweight="0.5pt"/>
            </w:pict>
          </mc:Fallback>
        </mc:AlternateContent>
        <mc:AlternateContent>
          <mc:Choice Requires="wps">
            <w:drawing>
              <wp:anchor simplePos="0" relativeHeight="251657728" behindDoc="1" locked="0" layoutInCell="0" allowOverlap="1">
                <wp:simplePos x="0" y="0"/>
                <wp:positionH relativeFrom="column">
                  <wp:posOffset>4457700</wp:posOffset>
                </wp:positionH>
                <wp:positionV relativeFrom="paragraph">
                  <wp:posOffset>-895350</wp:posOffset>
                </wp:positionV>
                <wp:extent cx="0" cy="173990"/>
                <wp:wrapNone/>
                <wp:docPr id="135" name="Shape 1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3990"/>
                        </a:xfrm>
                        <a:prstGeom prst="line">
                          <a:avLst/>
                        </a:prstGeom>
                        <a:solidFill>
                          <a:srgbClr val="FFFFFF"/>
                        </a:solidFill>
                        <a:ln w="6350">
                          <a:solidFill>
                            <a:srgbClr val="231F20"/>
                          </a:solidFill>
                          <a:miter lim="800000"/>
                          <a:headEnd/>
                          <a:tailEnd/>
                        </a:ln>
                      </wps:spPr>
                      <wps:bodyPr/>
                    </wps:wsp>
                  </a:graphicData>
                </a:graphic>
              </wp:anchor>
            </w:drawing>
          </mc:Choice>
          <mc:Fallback>
            <w:pict>
              <v:line id="Shape 135" o:spid="_x0000_s11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1pt,-70.4999pt" to="351pt,-56.7999pt" o:allowincell="f" strokecolor="#231F20" strokeweight="0.5pt"/>
            </w:pict>
          </mc:Fallback>
        </mc:AlternateContent>
        <mc:AlternateContent>
          <mc:Choice Requires="wps">
            <w:drawing>
              <wp:anchor simplePos="0" relativeHeight="251657728" behindDoc="1" locked="0" layoutInCell="0" allowOverlap="1">
                <wp:simplePos x="0" y="0"/>
                <wp:positionH relativeFrom="column">
                  <wp:posOffset>-101600</wp:posOffset>
                </wp:positionH>
                <wp:positionV relativeFrom="paragraph">
                  <wp:posOffset>-715010</wp:posOffset>
                </wp:positionV>
                <wp:extent cx="0" cy="173990"/>
                <wp:wrapNone/>
                <wp:docPr id="136" name="Shape 1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3990"/>
                        </a:xfrm>
                        <a:prstGeom prst="line">
                          <a:avLst/>
                        </a:prstGeom>
                        <a:solidFill>
                          <a:srgbClr val="FFFFFF"/>
                        </a:solidFill>
                        <a:ln w="6350">
                          <a:solidFill>
                            <a:srgbClr val="231F20"/>
                          </a:solidFill>
                          <a:miter lim="800000"/>
                          <a:headEnd/>
                          <a:tailEnd/>
                        </a:ln>
                      </wps:spPr>
                      <wps:bodyPr/>
                    </wps:wsp>
                  </a:graphicData>
                </a:graphic>
              </wp:anchor>
            </w:drawing>
          </mc:Choice>
          <mc:Fallback>
            <w:pict>
              <v:line id="Shape 136" o:spid="_x0000_s11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pt,-56.2999pt" to="-8pt,-42.5999pt" o:allowincell="f" strokecolor="#231F20" strokeweight="0.5pt"/>
            </w:pict>
          </mc:Fallback>
        </mc:AlternateContent>
        <mc:AlternateContent>
          <mc:Choice Requires="wps">
            <w:drawing>
              <wp:anchor simplePos="0" relativeHeight="251657728" behindDoc="1" locked="0" layoutInCell="0" allowOverlap="1">
                <wp:simplePos x="0" y="0"/>
                <wp:positionH relativeFrom="column">
                  <wp:posOffset>4457700</wp:posOffset>
                </wp:positionH>
                <wp:positionV relativeFrom="paragraph">
                  <wp:posOffset>-715010</wp:posOffset>
                </wp:positionV>
                <wp:extent cx="0" cy="173990"/>
                <wp:wrapNone/>
                <wp:docPr id="137" name="Shape 1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3990"/>
                        </a:xfrm>
                        <a:prstGeom prst="line">
                          <a:avLst/>
                        </a:prstGeom>
                        <a:solidFill>
                          <a:srgbClr val="FFFFFF"/>
                        </a:solidFill>
                        <a:ln w="6350">
                          <a:solidFill>
                            <a:srgbClr val="231F20"/>
                          </a:solidFill>
                          <a:miter lim="800000"/>
                          <a:headEnd/>
                          <a:tailEnd/>
                        </a:ln>
                      </wps:spPr>
                      <wps:bodyPr/>
                    </wps:wsp>
                  </a:graphicData>
                </a:graphic>
              </wp:anchor>
            </w:drawing>
          </mc:Choice>
          <mc:Fallback>
            <w:pict>
              <v:line id="Shape 137" o:spid="_x0000_s11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1pt,-56.2999pt" to="351pt,-42.5999pt" o:allowincell="f" strokecolor="#231F20" strokeweight="0.5pt"/>
            </w:pict>
          </mc:Fallback>
        </mc:AlternateContent>
        <mc:AlternateContent>
          <mc:Choice Requires="wps">
            <w:drawing>
              <wp:anchor simplePos="0" relativeHeight="251657728" behindDoc="1" locked="0" layoutInCell="0" allowOverlap="1">
                <wp:simplePos x="0" y="0"/>
                <wp:positionH relativeFrom="column">
                  <wp:posOffset>-101600</wp:posOffset>
                </wp:positionH>
                <wp:positionV relativeFrom="paragraph">
                  <wp:posOffset>-534670</wp:posOffset>
                </wp:positionV>
                <wp:extent cx="0" cy="173990"/>
                <wp:wrapNone/>
                <wp:docPr id="138" name="Shape 1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3990"/>
                        </a:xfrm>
                        <a:prstGeom prst="line">
                          <a:avLst/>
                        </a:prstGeom>
                        <a:solidFill>
                          <a:srgbClr val="FFFFFF"/>
                        </a:solidFill>
                        <a:ln w="6350">
                          <a:solidFill>
                            <a:srgbClr val="231F20"/>
                          </a:solidFill>
                          <a:miter lim="800000"/>
                          <a:headEnd/>
                          <a:tailEnd/>
                        </a:ln>
                      </wps:spPr>
                      <wps:bodyPr/>
                    </wps:wsp>
                  </a:graphicData>
                </a:graphic>
              </wp:anchor>
            </w:drawing>
          </mc:Choice>
          <mc:Fallback>
            <w:pict>
              <v:line id="Shape 138" o:spid="_x0000_s11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pt,-42.0999pt" to="-8pt,-28.3999pt" o:allowincell="f" strokecolor="#231F20" strokeweight="0.5pt"/>
            </w:pict>
          </mc:Fallback>
        </mc:AlternateContent>
        <mc:AlternateContent>
          <mc:Choice Requires="wps">
            <w:drawing>
              <wp:anchor simplePos="0" relativeHeight="251657728" behindDoc="1" locked="0" layoutInCell="0" allowOverlap="1">
                <wp:simplePos x="0" y="0"/>
                <wp:positionH relativeFrom="column">
                  <wp:posOffset>4457700</wp:posOffset>
                </wp:positionH>
                <wp:positionV relativeFrom="paragraph">
                  <wp:posOffset>-534670</wp:posOffset>
                </wp:positionV>
                <wp:extent cx="0" cy="173990"/>
                <wp:wrapNone/>
                <wp:docPr id="139" name="Shape 1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3990"/>
                        </a:xfrm>
                        <a:prstGeom prst="line">
                          <a:avLst/>
                        </a:prstGeom>
                        <a:solidFill>
                          <a:srgbClr val="FFFFFF"/>
                        </a:solidFill>
                        <a:ln w="6350">
                          <a:solidFill>
                            <a:srgbClr val="231F20"/>
                          </a:solidFill>
                          <a:miter lim="800000"/>
                          <a:headEnd/>
                          <a:tailEnd/>
                        </a:ln>
                      </wps:spPr>
                      <wps:bodyPr/>
                    </wps:wsp>
                  </a:graphicData>
                </a:graphic>
              </wp:anchor>
            </w:drawing>
          </mc:Choice>
          <mc:Fallback>
            <w:pict>
              <v:line id="Shape 139" o:spid="_x0000_s11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1pt,-42.0999pt" to="351pt,-28.3999pt" o:allowincell="f" strokecolor="#231F20" strokeweight="0.5pt"/>
            </w:pict>
          </mc:Fallback>
        </mc:AlternateContent>
        <mc:AlternateContent>
          <mc:Choice Requires="wps">
            <w:drawing>
              <wp:anchor simplePos="0" relativeHeight="251657728" behindDoc="1" locked="0" layoutInCell="0" allowOverlap="1">
                <wp:simplePos x="0" y="0"/>
                <wp:positionH relativeFrom="column">
                  <wp:posOffset>-104775</wp:posOffset>
                </wp:positionH>
                <wp:positionV relativeFrom="paragraph">
                  <wp:posOffset>431800</wp:posOffset>
                </wp:positionV>
                <wp:extent cx="197485" cy="0"/>
                <wp:wrapNone/>
                <wp:docPr id="140" name="Shape 1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7485"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140" o:spid="_x0000_s11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2499pt,34pt" to="7.3pt,34pt" o:allowincell="f" strokecolor="#231F20" strokeweight="0.5pt"/>
            </w:pict>
          </mc:Fallback>
        </mc:AlternateContent>
        <mc:AlternateContent>
          <mc:Choice Requires="wps">
            <w:drawing>
              <wp:anchor simplePos="0" relativeHeight="251657728" behindDoc="1" locked="0" layoutInCell="0" allowOverlap="1">
                <wp:simplePos x="0" y="0"/>
                <wp:positionH relativeFrom="column">
                  <wp:posOffset>-101600</wp:posOffset>
                </wp:positionH>
                <wp:positionV relativeFrom="paragraph">
                  <wp:posOffset>-354330</wp:posOffset>
                </wp:positionV>
                <wp:extent cx="0" cy="789305"/>
                <wp:wrapNone/>
                <wp:docPr id="141" name="Shape 1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789305"/>
                        </a:xfrm>
                        <a:prstGeom prst="line">
                          <a:avLst/>
                        </a:prstGeom>
                        <a:solidFill>
                          <a:srgbClr val="FFFFFF"/>
                        </a:solidFill>
                        <a:ln w="6350">
                          <a:solidFill>
                            <a:srgbClr val="231F20"/>
                          </a:solidFill>
                          <a:miter lim="800000"/>
                          <a:headEnd/>
                          <a:tailEnd/>
                        </a:ln>
                      </wps:spPr>
                      <wps:bodyPr/>
                    </wps:wsp>
                  </a:graphicData>
                </a:graphic>
              </wp:anchor>
            </w:drawing>
          </mc:Choice>
          <mc:Fallback>
            <w:pict>
              <v:line id="Shape 141" o:spid="_x0000_s11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pt,-27.8999pt" to="-8pt,34.25pt" o:allowincell="f" strokecolor="#231F20" strokeweight="0.5pt"/>
            </w:pict>
          </mc:Fallback>
        </mc:AlternateContent>
        <mc:AlternateContent>
          <mc:Choice Requires="wps">
            <w:drawing>
              <wp:anchor simplePos="0" relativeHeight="251657728" behindDoc="1" locked="0" layoutInCell="0" allowOverlap="1">
                <wp:simplePos x="0" y="0"/>
                <wp:positionH relativeFrom="column">
                  <wp:posOffset>4457700</wp:posOffset>
                </wp:positionH>
                <wp:positionV relativeFrom="paragraph">
                  <wp:posOffset>-354330</wp:posOffset>
                </wp:positionV>
                <wp:extent cx="0" cy="789305"/>
                <wp:wrapNone/>
                <wp:docPr id="142" name="Shape 1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789305"/>
                        </a:xfrm>
                        <a:prstGeom prst="line">
                          <a:avLst/>
                        </a:prstGeom>
                        <a:solidFill>
                          <a:srgbClr val="FFFFFF"/>
                        </a:solidFill>
                        <a:ln w="6350">
                          <a:solidFill>
                            <a:srgbClr val="231F20"/>
                          </a:solidFill>
                          <a:miter lim="800000"/>
                          <a:headEnd/>
                          <a:tailEnd/>
                        </a:ln>
                      </wps:spPr>
                      <wps:bodyPr/>
                    </wps:wsp>
                  </a:graphicData>
                </a:graphic>
              </wp:anchor>
            </w:drawing>
          </mc:Choice>
          <mc:Fallback>
            <w:pict>
              <v:line id="Shape 142" o:spid="_x0000_s11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1pt,-27.8999pt" to="351pt,34.25pt" o:allowincell="f" strokecolor="#231F20" strokeweight="0.5pt"/>
            </w:pict>
          </mc:Fallback>
        </mc:AlternateContent>
        <mc:AlternateContent>
          <mc:Choice Requires="wps">
            <w:drawing>
              <wp:anchor simplePos="0" relativeHeight="251657728" behindDoc="1" locked="0" layoutInCell="0" allowOverlap="1">
                <wp:simplePos x="0" y="0"/>
                <wp:positionH relativeFrom="column">
                  <wp:posOffset>99060</wp:posOffset>
                </wp:positionH>
                <wp:positionV relativeFrom="paragraph">
                  <wp:posOffset>431800</wp:posOffset>
                </wp:positionV>
                <wp:extent cx="4361815" cy="0"/>
                <wp:wrapNone/>
                <wp:docPr id="143" name="Shape 1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361815"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143" o:spid="_x0000_s11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8pt,34pt" to="351.25pt,34pt" o:allowincell="f" strokecolor="#231F20" strokeweight="0.5pt"/>
            </w:pict>
          </mc:Fallback>
        </mc:AlternateContent>
      </w:r>
    </w:p>
    <w:p>
      <w:pPr>
        <w:spacing w:after="0" w:line="200" w:lineRule="exact"/>
        <w:rPr>
          <w:sz w:val="20"/>
          <w:szCs w:val="20"/>
          <w:color w:val="auto"/>
        </w:rPr>
      </w:pPr>
    </w:p>
    <w:p>
      <w:pPr>
        <w:sectPr>
          <w:pgSz w:w="11880" w:h="15480" w:orient="portrait"/>
          <w:cols w:equalWidth="0" w:num="2">
            <w:col w:w="2700" w:space="360"/>
            <w:col w:w="7020"/>
          </w:cols>
          <w:pgMar w:left="900" w:top="1272" w:right="900" w:bottom="763"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6800"/>
        <w:spacing w:after="0"/>
        <w:tabs>
          <w:tab w:leader="none" w:pos="8160" w:val="left"/>
          <w:tab w:leader="none" w:pos="9900" w:val="left"/>
        </w:tabs>
        <w:rPr>
          <w:sz w:val="20"/>
          <w:szCs w:val="20"/>
          <w:color w:val="auto"/>
        </w:rPr>
      </w:pPr>
      <w:r>
        <w:rPr>
          <w:rFonts w:ascii="Arial" w:cs="Arial" w:eastAsia="Arial" w:hAnsi="Arial"/>
          <w:sz w:val="16"/>
          <w:szCs w:val="16"/>
          <w:color w:val="EF3E2A"/>
        </w:rPr>
        <w:t>Federal Realty</w:t>
      </w:r>
      <w:r>
        <w:rPr>
          <w:sz w:val="20"/>
          <w:szCs w:val="20"/>
          <w:color w:val="auto"/>
        </w:rPr>
        <w:tab/>
      </w:r>
      <w:r>
        <w:rPr>
          <w:rFonts w:ascii="Arial" w:cs="Arial" w:eastAsia="Arial" w:hAnsi="Arial"/>
          <w:sz w:val="16"/>
          <w:szCs w:val="16"/>
          <w:color w:val="231F20"/>
        </w:rPr>
        <w:t>2026 Proxy Statement</w:t>
      </w:r>
      <w:r>
        <w:rPr>
          <w:sz w:val="20"/>
          <w:szCs w:val="20"/>
          <w:color w:val="auto"/>
        </w:rPr>
        <w:tab/>
      </w:r>
      <w:r>
        <w:rPr>
          <w:rFonts w:ascii="Arial" w:cs="Arial" w:eastAsia="Arial" w:hAnsi="Arial"/>
          <w:sz w:val="14"/>
          <w:szCs w:val="14"/>
          <w:color w:val="231F20"/>
        </w:rPr>
        <w:t>3</w:t>
      </w:r>
    </w:p>
    <w:p>
      <w:pPr>
        <w:sectPr>
          <w:pgSz w:w="11880" w:h="15480" w:orient="portrait"/>
          <w:cols w:equalWidth="0" w:num="1">
            <w:col w:w="10080"/>
          </w:cols>
          <w:pgMar w:left="900" w:top="1272" w:right="900" w:bottom="763" w:gutter="0" w:footer="0" w:header="0"/>
          <w:type w:val="continuous"/>
        </w:sectPr>
      </w:pPr>
    </w:p>
    <w:bookmarkStart w:id="123" w:name="page124"/>
    <w:bookmarkEnd w:id="123"/>
    <w:tbl>
      <w:tblPr>
        <w:tblLayout w:type="fixed"/>
        <w:tblInd w:w="60" w:type="dxa"/>
        <w:tblCellMar>
          <w:top w:w="0" w:type="dxa"/>
          <w:left w:w="0" w:type="dxa"/>
          <w:bottom w:w="0" w:type="dxa"/>
          <w:right w:w="0" w:type="dxa"/>
        </w:tblCellMar>
      </w:tblPr>
      <w:tr>
        <w:trPr>
          <w:trHeight w:val="20"/>
        </w:trPr>
        <w:tc>
          <w:tcPr>
            <w:tcW w:w="2840" w:type="dxa"/>
            <w:vAlign w:val="bottom"/>
          </w:tcPr>
          <w:p>
            <w:pPr>
              <w:spacing w:after="0" w:line="20" w:lineRule="exact"/>
              <w:rPr>
                <w:sz w:val="1"/>
                <w:szCs w:val="1"/>
                <w:color w:val="auto"/>
              </w:rPr>
            </w:pPr>
          </w:p>
        </w:tc>
        <w:tc>
          <w:tcPr>
            <w:tcW w:w="300" w:type="dxa"/>
            <w:vAlign w:val="bottom"/>
            <w:tcBorders>
              <w:left w:val="single" w:sz="8" w:color="231F20"/>
            </w:tcBorders>
            <w:shd w:val="clear" w:color="auto" w:fill="231F2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80" w:type="dxa"/>
            <w:vAlign w:val="bottom"/>
            <w:tcBorders>
              <w:right w:val="single" w:sz="8" w:color="231F20"/>
            </w:tcBorders>
            <w:shd w:val="clear" w:color="auto" w:fill="231F2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7"/>
        </w:trPr>
        <w:tc>
          <w:tcPr>
            <w:tcW w:w="2840" w:type="dxa"/>
            <w:vAlign w:val="bottom"/>
            <w:vMerge w:val="restart"/>
          </w:tcPr>
          <w:p>
            <w:pPr>
              <w:jc w:val="center"/>
              <w:ind w:right="36"/>
              <w:spacing w:after="0"/>
              <w:rPr>
                <w:sz w:val="20"/>
                <w:szCs w:val="20"/>
                <w:color w:val="auto"/>
              </w:rPr>
            </w:pPr>
            <w:r>
              <w:rPr>
                <w:rFonts w:ascii="Arial" w:cs="Arial" w:eastAsia="Arial" w:hAnsi="Arial"/>
                <w:sz w:val="24"/>
                <w:szCs w:val="24"/>
                <w:b w:val="1"/>
                <w:bCs w:val="1"/>
                <w:color w:val="FFFFFF"/>
                <w:w w:val="99"/>
              </w:rPr>
              <w:t>Govern Responsibly*</w:t>
            </w:r>
          </w:p>
        </w:tc>
        <w:tc>
          <w:tcPr>
            <w:tcW w:w="7200" w:type="dxa"/>
            <w:vAlign w:val="bottom"/>
            <w:tcBorders>
              <w:left w:val="single" w:sz="8" w:color="231F20"/>
              <w:right w:val="single" w:sz="8" w:color="231F20"/>
            </w:tcBorders>
            <w:gridSpan w:val="3"/>
          </w:tcPr>
          <w:p>
            <w:pPr>
              <w:ind w:left="160"/>
              <w:spacing w:after="0" w:line="268" w:lineRule="exact"/>
              <w:rPr>
                <w:sz w:val="20"/>
                <w:szCs w:val="20"/>
                <w:color w:val="auto"/>
              </w:rPr>
            </w:pPr>
            <w:r>
              <w:rPr>
                <w:rFonts w:ascii="Arial Unicode MS" w:cs="Arial Unicode MS" w:eastAsia="Arial Unicode MS" w:hAnsi="Arial Unicode MS"/>
                <w:sz w:val="20"/>
                <w:szCs w:val="20"/>
                <w:color w:val="231F20"/>
              </w:rPr>
              <w:t>✓</w:t>
            </w:r>
            <w:r>
              <w:rPr>
                <w:rFonts w:ascii="Arial" w:cs="Arial" w:eastAsia="Arial" w:hAnsi="Arial"/>
                <w:sz w:val="20"/>
                <w:szCs w:val="20"/>
                <w:color w:val="231F20"/>
              </w:rPr>
              <w:t xml:space="preserve"> Annual election of all trustees</w:t>
            </w:r>
          </w:p>
        </w:tc>
        <w:tc>
          <w:tcPr>
            <w:tcW w:w="0" w:type="dxa"/>
            <w:vAlign w:val="bottom"/>
          </w:tcPr>
          <w:p>
            <w:pPr>
              <w:spacing w:after="0"/>
              <w:rPr>
                <w:sz w:val="1"/>
                <w:szCs w:val="1"/>
                <w:color w:val="auto"/>
              </w:rPr>
            </w:pPr>
          </w:p>
        </w:tc>
      </w:tr>
      <w:tr>
        <w:trPr>
          <w:trHeight w:val="23"/>
        </w:trPr>
        <w:tc>
          <w:tcPr>
            <w:tcW w:w="2840" w:type="dxa"/>
            <w:vAlign w:val="bottom"/>
            <w:vMerge w:val="continue"/>
          </w:tcPr>
          <w:p>
            <w:pPr>
              <w:spacing w:after="0" w:line="20" w:lineRule="exact"/>
              <w:rPr>
                <w:sz w:val="1"/>
                <w:szCs w:val="1"/>
                <w:color w:val="auto"/>
              </w:rPr>
            </w:pPr>
          </w:p>
        </w:tc>
        <w:tc>
          <w:tcPr>
            <w:tcW w:w="7200" w:type="dxa"/>
            <w:vAlign w:val="bottom"/>
            <w:tcBorders>
              <w:left w:val="single" w:sz="8" w:color="231F20"/>
              <w:right w:val="single" w:sz="8" w:color="231F20"/>
            </w:tcBorders>
            <w:gridSpan w:val="3"/>
            <w:vMerge w:val="restart"/>
          </w:tcPr>
          <w:p>
            <w:pPr>
              <w:ind w:left="160"/>
              <w:spacing w:after="0" w:line="268" w:lineRule="exact"/>
              <w:rPr>
                <w:sz w:val="20"/>
                <w:szCs w:val="20"/>
                <w:color w:val="auto"/>
              </w:rPr>
            </w:pPr>
            <w:r>
              <w:rPr>
                <w:rFonts w:ascii="Arial Unicode MS" w:cs="Arial Unicode MS" w:eastAsia="Arial Unicode MS" w:hAnsi="Arial Unicode MS"/>
                <w:sz w:val="20"/>
                <w:szCs w:val="20"/>
                <w:color w:val="231F20"/>
              </w:rPr>
              <w:t>✓</w:t>
            </w:r>
            <w:r>
              <w:rPr>
                <w:rFonts w:ascii="Arial" w:cs="Arial" w:eastAsia="Arial" w:hAnsi="Arial"/>
                <w:sz w:val="20"/>
                <w:szCs w:val="20"/>
                <w:color w:val="231F20"/>
              </w:rPr>
              <w:t xml:space="preserve"> Independent Non-Executive Chairman</w:t>
            </w:r>
          </w:p>
        </w:tc>
        <w:tc>
          <w:tcPr>
            <w:tcW w:w="0" w:type="dxa"/>
            <w:vAlign w:val="bottom"/>
          </w:tcPr>
          <w:p>
            <w:pPr>
              <w:spacing w:after="0" w:line="20" w:lineRule="exact"/>
              <w:rPr>
                <w:sz w:val="1"/>
                <w:szCs w:val="1"/>
                <w:color w:val="auto"/>
              </w:rPr>
            </w:pPr>
          </w:p>
        </w:tc>
      </w:tr>
      <w:tr>
        <w:trPr>
          <w:trHeight w:val="178"/>
        </w:trPr>
        <w:tc>
          <w:tcPr>
            <w:tcW w:w="2840" w:type="dxa"/>
            <w:vAlign w:val="bottom"/>
            <w:vMerge w:val="continue"/>
          </w:tcPr>
          <w:p>
            <w:pPr>
              <w:spacing w:after="0"/>
              <w:rPr>
                <w:sz w:val="15"/>
                <w:szCs w:val="15"/>
                <w:color w:val="auto"/>
              </w:rPr>
            </w:pPr>
          </w:p>
        </w:tc>
        <w:tc>
          <w:tcPr>
            <w:tcW w:w="7200" w:type="dxa"/>
            <w:vAlign w:val="bottom"/>
            <w:tcBorders>
              <w:left w:val="single" w:sz="8" w:color="231F20"/>
              <w:right w:val="single" w:sz="8" w:color="231F20"/>
            </w:tcBorders>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840" w:type="dxa"/>
            <w:vAlign w:val="bottom"/>
          </w:tcPr>
          <w:p>
            <w:pPr>
              <w:spacing w:after="0"/>
              <w:rPr>
                <w:sz w:val="12"/>
                <w:szCs w:val="12"/>
                <w:color w:val="auto"/>
              </w:rPr>
            </w:pPr>
          </w:p>
        </w:tc>
        <w:tc>
          <w:tcPr>
            <w:tcW w:w="7200" w:type="dxa"/>
            <w:vAlign w:val="bottom"/>
            <w:tcBorders>
              <w:left w:val="single" w:sz="8" w:color="231F20"/>
              <w:right w:val="single" w:sz="8" w:color="231F20"/>
            </w:tcBorders>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3"/>
        </w:trPr>
        <w:tc>
          <w:tcPr>
            <w:tcW w:w="2840" w:type="dxa"/>
            <w:vAlign w:val="bottom"/>
            <w:vMerge w:val="restart"/>
          </w:tcPr>
          <w:p>
            <w:pPr>
              <w:jc w:val="center"/>
              <w:ind w:right="36"/>
              <w:spacing w:after="0"/>
              <w:rPr>
                <w:sz w:val="20"/>
                <w:szCs w:val="20"/>
                <w:color w:val="auto"/>
              </w:rPr>
            </w:pPr>
            <w:r>
              <w:rPr>
                <w:rFonts w:ascii="Arial" w:cs="Arial" w:eastAsia="Arial" w:hAnsi="Arial"/>
                <w:sz w:val="20"/>
                <w:szCs w:val="20"/>
                <w:color w:val="FFFFFF"/>
                <w:w w:val="99"/>
              </w:rPr>
              <w:t>Implement and maintain a</w:t>
            </w:r>
          </w:p>
        </w:tc>
        <w:tc>
          <w:tcPr>
            <w:tcW w:w="7200" w:type="dxa"/>
            <w:vAlign w:val="bottom"/>
            <w:tcBorders>
              <w:left w:val="single" w:sz="8" w:color="231F20"/>
              <w:right w:val="single" w:sz="8" w:color="231F20"/>
            </w:tcBorders>
            <w:gridSpan w:val="3"/>
            <w:vMerge w:val="restart"/>
          </w:tcPr>
          <w:p>
            <w:pPr>
              <w:ind w:left="160"/>
              <w:spacing w:after="0" w:line="268" w:lineRule="exact"/>
              <w:rPr>
                <w:sz w:val="20"/>
                <w:szCs w:val="20"/>
                <w:color w:val="auto"/>
              </w:rPr>
            </w:pPr>
            <w:r>
              <w:rPr>
                <w:rFonts w:ascii="Arial Unicode MS" w:cs="Arial Unicode MS" w:eastAsia="Arial Unicode MS" w:hAnsi="Arial Unicode MS"/>
                <w:sz w:val="20"/>
                <w:szCs w:val="20"/>
                <w:color w:val="231F20"/>
              </w:rPr>
              <w:t>✓</w:t>
            </w:r>
            <w:r>
              <w:rPr>
                <w:rFonts w:ascii="Arial" w:cs="Arial" w:eastAsia="Arial" w:hAnsi="Arial"/>
                <w:sz w:val="20"/>
                <w:szCs w:val="20"/>
                <w:color w:val="231F20"/>
              </w:rPr>
              <w:t xml:space="preserve"> Majority voting and proxy access for trustee elections</w:t>
            </w:r>
          </w:p>
        </w:tc>
        <w:tc>
          <w:tcPr>
            <w:tcW w:w="0" w:type="dxa"/>
            <w:vAlign w:val="bottom"/>
          </w:tcPr>
          <w:p>
            <w:pPr>
              <w:spacing w:after="0" w:line="20" w:lineRule="exact"/>
              <w:rPr>
                <w:sz w:val="1"/>
                <w:szCs w:val="1"/>
                <w:color w:val="auto"/>
              </w:rPr>
            </w:pPr>
          </w:p>
        </w:tc>
      </w:tr>
      <w:tr>
        <w:trPr>
          <w:trHeight w:val="284"/>
        </w:trPr>
        <w:tc>
          <w:tcPr>
            <w:tcW w:w="2840" w:type="dxa"/>
            <w:vAlign w:val="bottom"/>
            <w:vMerge w:val="continue"/>
          </w:tcPr>
          <w:p>
            <w:pPr>
              <w:spacing w:after="0"/>
              <w:rPr>
                <w:sz w:val="24"/>
                <w:szCs w:val="24"/>
                <w:color w:val="auto"/>
              </w:rPr>
            </w:pPr>
          </w:p>
        </w:tc>
        <w:tc>
          <w:tcPr>
            <w:tcW w:w="7200" w:type="dxa"/>
            <w:vAlign w:val="bottom"/>
            <w:tcBorders>
              <w:left w:val="single" w:sz="8" w:color="231F20"/>
              <w:right w:val="single" w:sz="8" w:color="231F20"/>
            </w:tcBorders>
            <w:gridSpan w:val="3"/>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51"/>
        </w:trPr>
        <w:tc>
          <w:tcPr>
            <w:tcW w:w="2840" w:type="dxa"/>
            <w:vAlign w:val="bottom"/>
            <w:vMerge w:val="restart"/>
          </w:tcPr>
          <w:p>
            <w:pPr>
              <w:jc w:val="center"/>
              <w:ind w:right="36"/>
              <w:spacing w:after="0" w:line="226" w:lineRule="exact"/>
              <w:rPr>
                <w:sz w:val="20"/>
                <w:szCs w:val="20"/>
                <w:color w:val="auto"/>
              </w:rPr>
            </w:pPr>
            <w:r>
              <w:rPr>
                <w:rFonts w:ascii="Arial" w:cs="Arial" w:eastAsia="Arial" w:hAnsi="Arial"/>
                <w:sz w:val="20"/>
                <w:szCs w:val="20"/>
                <w:color w:val="FFFFFF"/>
                <w:w w:val="99"/>
              </w:rPr>
              <w:t>framework of controls to grow</w:t>
            </w:r>
          </w:p>
        </w:tc>
        <w:tc>
          <w:tcPr>
            <w:tcW w:w="7200" w:type="dxa"/>
            <w:vAlign w:val="bottom"/>
            <w:tcBorders>
              <w:left w:val="single" w:sz="8" w:color="231F20"/>
              <w:right w:val="single" w:sz="8" w:color="231F20"/>
            </w:tcBorders>
            <w:gridSpan w:val="3"/>
            <w:vMerge w:val="restart"/>
          </w:tcPr>
          <w:p>
            <w:pPr>
              <w:ind w:left="160"/>
              <w:spacing w:after="0" w:line="268" w:lineRule="exact"/>
              <w:rPr>
                <w:sz w:val="20"/>
                <w:szCs w:val="20"/>
                <w:color w:val="auto"/>
              </w:rPr>
            </w:pPr>
            <w:r>
              <w:rPr>
                <w:rFonts w:ascii="Arial Unicode MS" w:cs="Arial Unicode MS" w:eastAsia="Arial Unicode MS" w:hAnsi="Arial Unicode MS"/>
                <w:sz w:val="20"/>
                <w:szCs w:val="20"/>
                <w:color w:val="231F20"/>
              </w:rPr>
              <w:t>✓</w:t>
            </w:r>
            <w:r>
              <w:rPr>
                <w:rFonts w:ascii="Arial" w:cs="Arial" w:eastAsia="Arial" w:hAnsi="Arial"/>
                <w:sz w:val="20"/>
                <w:szCs w:val="20"/>
                <w:color w:val="231F20"/>
              </w:rPr>
              <w:t xml:space="preserve"> Prohibition on hedging and pledging our shares combined with clawback</w:t>
            </w:r>
          </w:p>
        </w:tc>
        <w:tc>
          <w:tcPr>
            <w:tcW w:w="0" w:type="dxa"/>
            <w:vAlign w:val="bottom"/>
          </w:tcPr>
          <w:p>
            <w:pPr>
              <w:spacing w:after="0"/>
              <w:rPr>
                <w:sz w:val="1"/>
                <w:szCs w:val="1"/>
                <w:color w:val="auto"/>
              </w:rPr>
            </w:pPr>
          </w:p>
        </w:tc>
      </w:tr>
      <w:tr>
        <w:trPr>
          <w:trHeight w:val="175"/>
        </w:trPr>
        <w:tc>
          <w:tcPr>
            <w:tcW w:w="2840" w:type="dxa"/>
            <w:vAlign w:val="bottom"/>
            <w:vMerge w:val="continue"/>
          </w:tcPr>
          <w:p>
            <w:pPr>
              <w:spacing w:after="0"/>
              <w:rPr>
                <w:sz w:val="15"/>
                <w:szCs w:val="15"/>
                <w:color w:val="auto"/>
              </w:rPr>
            </w:pPr>
          </w:p>
        </w:tc>
        <w:tc>
          <w:tcPr>
            <w:tcW w:w="7200" w:type="dxa"/>
            <w:vAlign w:val="bottom"/>
            <w:tcBorders>
              <w:left w:val="single" w:sz="8" w:color="231F20"/>
              <w:right w:val="single" w:sz="8" w:color="231F20"/>
            </w:tcBorders>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840" w:type="dxa"/>
            <w:vAlign w:val="bottom"/>
          </w:tcPr>
          <w:p>
            <w:pPr>
              <w:jc w:val="center"/>
              <w:ind w:right="36"/>
              <w:spacing w:after="0" w:line="198" w:lineRule="exact"/>
              <w:rPr>
                <w:sz w:val="20"/>
                <w:szCs w:val="20"/>
                <w:color w:val="auto"/>
              </w:rPr>
            </w:pPr>
            <w:r>
              <w:rPr>
                <w:rFonts w:ascii="Arial" w:cs="Arial" w:eastAsia="Arial" w:hAnsi="Arial"/>
                <w:sz w:val="20"/>
                <w:szCs w:val="20"/>
                <w:color w:val="FFFFFF"/>
              </w:rPr>
              <w:t>portfolio value while managing</w:t>
            </w:r>
          </w:p>
        </w:tc>
        <w:tc>
          <w:tcPr>
            <w:tcW w:w="7200" w:type="dxa"/>
            <w:vAlign w:val="bottom"/>
            <w:tcBorders>
              <w:left w:val="single" w:sz="8" w:color="231F20"/>
              <w:right w:val="single" w:sz="8" w:color="231F20"/>
            </w:tcBorders>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840" w:type="dxa"/>
            <w:vAlign w:val="bottom"/>
            <w:vMerge w:val="restart"/>
          </w:tcPr>
          <w:p>
            <w:pPr>
              <w:jc w:val="center"/>
              <w:ind w:right="36"/>
              <w:spacing w:after="0"/>
              <w:rPr>
                <w:sz w:val="20"/>
                <w:szCs w:val="20"/>
                <w:color w:val="auto"/>
              </w:rPr>
            </w:pPr>
            <w:r>
              <w:rPr>
                <w:rFonts w:ascii="Arial" w:cs="Arial" w:eastAsia="Arial" w:hAnsi="Arial"/>
                <w:sz w:val="20"/>
                <w:szCs w:val="20"/>
                <w:color w:val="FFFFFF"/>
                <w:w w:val="96"/>
              </w:rPr>
              <w:t>risk</w:t>
            </w:r>
          </w:p>
        </w:tc>
        <w:tc>
          <w:tcPr>
            <w:tcW w:w="300" w:type="dxa"/>
            <w:vAlign w:val="bottom"/>
            <w:tcBorders>
              <w:left w:val="single" w:sz="8" w:color="231F20"/>
            </w:tcBorders>
          </w:tcPr>
          <w:p>
            <w:pPr>
              <w:spacing w:after="0"/>
              <w:rPr>
                <w:sz w:val="17"/>
                <w:szCs w:val="17"/>
                <w:color w:val="auto"/>
              </w:rPr>
            </w:pPr>
          </w:p>
        </w:tc>
        <w:tc>
          <w:tcPr>
            <w:tcW w:w="20" w:type="dxa"/>
            <w:vAlign w:val="bottom"/>
          </w:tcPr>
          <w:p>
            <w:pPr>
              <w:spacing w:after="0"/>
              <w:rPr>
                <w:sz w:val="17"/>
                <w:szCs w:val="17"/>
                <w:color w:val="auto"/>
              </w:rPr>
            </w:pPr>
          </w:p>
        </w:tc>
        <w:tc>
          <w:tcPr>
            <w:tcW w:w="6880" w:type="dxa"/>
            <w:vAlign w:val="bottom"/>
            <w:tcBorders>
              <w:right w:val="single" w:sz="8" w:color="231F20"/>
            </w:tcBorders>
          </w:tcPr>
          <w:p>
            <w:pPr>
              <w:ind w:left="160"/>
              <w:spacing w:after="0" w:line="203" w:lineRule="exact"/>
              <w:rPr>
                <w:sz w:val="20"/>
                <w:szCs w:val="20"/>
                <w:color w:val="auto"/>
              </w:rPr>
            </w:pPr>
            <w:r>
              <w:rPr>
                <w:rFonts w:ascii="Arial" w:cs="Arial" w:eastAsia="Arial" w:hAnsi="Arial"/>
                <w:sz w:val="20"/>
                <w:szCs w:val="20"/>
                <w:color w:val="231F20"/>
              </w:rPr>
              <w:t>policy and equity hold requirements</w:t>
            </w:r>
          </w:p>
        </w:tc>
        <w:tc>
          <w:tcPr>
            <w:tcW w:w="0" w:type="dxa"/>
            <w:vAlign w:val="bottom"/>
          </w:tcPr>
          <w:p>
            <w:pPr>
              <w:spacing w:after="0"/>
              <w:rPr>
                <w:sz w:val="1"/>
                <w:szCs w:val="1"/>
                <w:color w:val="auto"/>
              </w:rPr>
            </w:pPr>
          </w:p>
        </w:tc>
      </w:tr>
      <w:tr>
        <w:trPr>
          <w:trHeight w:val="80"/>
        </w:trPr>
        <w:tc>
          <w:tcPr>
            <w:tcW w:w="284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68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-1054735</wp:posOffset>
            </wp:positionV>
            <wp:extent cx="6412230" cy="13163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56">
                      <a:extLst>
                        <a:ext uri="{28A0092B-C50C-407E-A947-70E740481C1C}"/>
                      </a:extLst>
                    </a:blip>
                    <a:srcRect/>
                    <a:stretch>
                      <a:fillRect/>
                    </a:stretch>
                  </pic:blipFill>
                  <pic:spPr bwMode="auto">
                    <a:xfrm>
                      <a:off x="0" y="0"/>
                      <a:ext cx="6412230" cy="1316355"/>
                    </a:xfrm>
                    <a:prstGeom prst="rect">
                      <a:avLst/>
                    </a:prstGeom>
                    <a:noFill/>
                  </pic:spPr>
                </pic:pic>
              </a:graphicData>
            </a:graphic>
          </wp:anchor>
        </w:drawing>
      </w:r>
    </w:p>
    <w:p>
      <w:pPr>
        <w:ind w:left="3060"/>
        <w:spacing w:after="0" w:line="247" w:lineRule="exact"/>
        <w:rPr>
          <w:sz w:val="20"/>
          <w:szCs w:val="20"/>
          <w:color w:val="auto"/>
        </w:rPr>
      </w:pPr>
      <w:r>
        <w:rPr>
          <w:rFonts w:ascii="Arial Unicode MS" w:cs="Arial Unicode MS" w:eastAsia="Arial Unicode MS" w:hAnsi="Arial Unicode MS"/>
          <w:sz w:val="20"/>
          <w:szCs w:val="20"/>
          <w:color w:val="231F20"/>
        </w:rPr>
        <w:t>✓</w:t>
      </w:r>
      <w:r>
        <w:rPr>
          <w:rFonts w:ascii="Arial" w:cs="Arial" w:eastAsia="Arial" w:hAnsi="Arial"/>
          <w:sz w:val="20"/>
          <w:szCs w:val="20"/>
          <w:color w:val="231F20"/>
        </w:rPr>
        <w:t xml:space="preserve"> Maintain a policy addressing the use of artificial intelligence</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color w:val="231F20"/>
        </w:rPr>
        <w:t>* All information provided is as of December 31, 2025 unless otherwise indicated.</w:t>
      </w:r>
    </w:p>
    <w:p>
      <w:pPr>
        <w:spacing w:after="0" w:line="265"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231F20"/>
        </w:rPr>
        <w:t xml:space="preserve">More information about our sustainability initiatives can be found in our 2024 Sustainability Report which is available under the Sustainability tab on our website and can be accessed by using this link </w:t>
      </w:r>
      <w:r>
        <w:rPr>
          <w:rFonts w:ascii="Arial" w:cs="Arial" w:eastAsia="Arial" w:hAnsi="Arial"/>
          <w:sz w:val="20"/>
          <w:szCs w:val="20"/>
          <w:b w:val="1"/>
          <w:bCs w:val="1"/>
          <w:color w:val="EF3E2A"/>
        </w:rPr>
        <w:t>frt-2024-sustainability-report.pdf</w:t>
      </w:r>
      <w:r>
        <w:rPr>
          <w:rFonts w:ascii="Arial" w:cs="Arial" w:eastAsia="Arial" w:hAnsi="Arial"/>
          <w:sz w:val="20"/>
          <w:szCs w:val="20"/>
          <w:b w:val="1"/>
          <w:bCs w:val="1"/>
          <w:color w:val="231F20"/>
        </w:rPr>
        <w:t>.</w:t>
      </w:r>
      <w:r>
        <w:rPr>
          <w:rFonts w:ascii="Arial" w:cs="Arial" w:eastAsia="Arial" w:hAnsi="Arial"/>
          <w:sz w:val="20"/>
          <w:szCs w:val="20"/>
          <w:b w:val="1"/>
          <w:bCs w:val="1"/>
          <w:color w:val="EF3E2A"/>
        </w:rPr>
        <w:t xml:space="preserve"> </w:t>
      </w:r>
      <w:r>
        <w:rPr>
          <w:rFonts w:ascii="Arial" w:cs="Arial" w:eastAsia="Arial" w:hAnsi="Arial"/>
          <w:sz w:val="20"/>
          <w:szCs w:val="20"/>
          <w:color w:val="231F20"/>
        </w:rPr>
        <w:t>The report provides additional, detailed information in alignment with the frameworks</w:t>
      </w:r>
      <w:r>
        <w:rPr>
          <w:rFonts w:ascii="Arial" w:cs="Arial" w:eastAsia="Arial" w:hAnsi="Arial"/>
          <w:sz w:val="20"/>
          <w:szCs w:val="20"/>
          <w:b w:val="1"/>
          <w:bCs w:val="1"/>
          <w:color w:val="EF3E2A"/>
        </w:rPr>
        <w:t xml:space="preserve"> </w:t>
      </w:r>
      <w:r>
        <w:rPr>
          <w:rFonts w:ascii="Arial" w:cs="Arial" w:eastAsia="Arial" w:hAnsi="Arial"/>
          <w:sz w:val="20"/>
          <w:szCs w:val="20"/>
          <w:color w:val="231F20"/>
        </w:rPr>
        <w:t>established by the Global Reporting Initiative, Task Force for Climate Related Financial Disclosures and Sustainability Accounting Standards Board.</w:t>
      </w:r>
    </w:p>
    <w:p>
      <w:pPr>
        <w:spacing w:after="0" w:line="252"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231F20"/>
        </w:rPr>
        <w:t>Our overall efforts on these 5 initiatives have earned us an AA rating from MSCI ESG ratings, best workplaces awards for our corporate headquarters and regional offices in San Jose, Northern Virginia and Philadelphia and wellness awards from the American Heart Association and Aetna.</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141605</wp:posOffset>
                </wp:positionV>
                <wp:extent cx="6400800" cy="0"/>
                <wp:wrapNone/>
                <wp:docPr id="145" name="Shape 1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38100">
                          <a:solidFill>
                            <a:srgbClr val="EF3E2A"/>
                          </a:solidFill>
                          <a:miter lim="800000"/>
                          <a:headEnd/>
                          <a:tailEnd/>
                        </a:ln>
                      </wps:spPr>
                      <wps:bodyPr/>
                    </wps:wsp>
                  </a:graphicData>
                </a:graphic>
              </wp:anchor>
            </w:drawing>
          </mc:Choice>
          <mc:Fallback>
            <w:pict>
              <v:line id="Shape 145" o:spid="_x0000_s11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15pt" to="504pt,11.15pt" o:allowincell="f" strokecolor="#EF3E2A" strokeweight="3pt"/>
            </w:pict>
          </mc:Fallback>
        </mc:AlternateContent>
      </w:r>
    </w:p>
    <w:p>
      <w:pPr>
        <w:spacing w:after="0" w:line="253" w:lineRule="exact"/>
        <w:rPr>
          <w:sz w:val="20"/>
          <w:szCs w:val="20"/>
          <w:color w:val="auto"/>
        </w:rPr>
      </w:pPr>
    </w:p>
    <w:p>
      <w:pPr>
        <w:ind w:left="140"/>
        <w:spacing w:after="0"/>
        <w:rPr>
          <w:sz w:val="20"/>
          <w:szCs w:val="20"/>
          <w:color w:val="auto"/>
        </w:rPr>
      </w:pPr>
      <w:r>
        <w:rPr>
          <w:rFonts w:ascii="Arial" w:cs="Arial" w:eastAsia="Arial" w:hAnsi="Arial"/>
          <w:sz w:val="36"/>
          <w:szCs w:val="36"/>
          <w:b w:val="1"/>
          <w:bCs w:val="1"/>
          <w:color w:val="231F20"/>
        </w:rPr>
        <w:t>Governing the Company</w:t>
      </w:r>
    </w:p>
    <w:p>
      <w:pPr>
        <w:spacing w:after="0" w:line="180" w:lineRule="exact"/>
        <w:rPr>
          <w:sz w:val="20"/>
          <w:szCs w:val="20"/>
          <w:color w:val="auto"/>
        </w:rPr>
      </w:pPr>
    </w:p>
    <w:p>
      <w:pPr>
        <w:spacing w:after="0" w:line="268" w:lineRule="exact"/>
        <w:rPr>
          <w:sz w:val="20"/>
          <w:szCs w:val="20"/>
          <w:color w:val="auto"/>
        </w:rPr>
      </w:pPr>
      <w:r>
        <w:rPr>
          <w:rFonts w:ascii="Arial Unicode MS" w:cs="Arial Unicode MS" w:eastAsia="Arial Unicode MS" w:hAnsi="Arial Unicode MS"/>
          <w:sz w:val="20"/>
          <w:szCs w:val="20"/>
          <w:color w:val="EF3E2A"/>
        </w:rPr>
        <w:t>➣</w:t>
      </w:r>
      <w:r>
        <w:rPr>
          <w:rFonts w:ascii="Arial" w:cs="Arial" w:eastAsia="Arial" w:hAnsi="Arial"/>
          <w:sz w:val="20"/>
          <w:szCs w:val="20"/>
          <w:b w:val="1"/>
          <w:bCs w:val="1"/>
          <w:color w:val="231F20"/>
        </w:rPr>
        <w:t xml:space="preserve"> GOVERNANCE DOCUMENTS</w:t>
      </w:r>
    </w:p>
    <w:p>
      <w:pPr>
        <w:spacing w:after="0" w:line="255"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231F20"/>
        </w:rPr>
        <w:t>The Board is responsible for providing governance and oversight of the strategy, operations and management of the Company and has delegated to our senior management the authority to manage the day-to-day operations of the Company. The Board has adopted the following policies:</w:t>
      </w:r>
    </w:p>
    <w:p>
      <w:pPr>
        <w:spacing w:after="0" w:line="125" w:lineRule="exact"/>
        <w:rPr>
          <w:sz w:val="20"/>
          <w:szCs w:val="20"/>
          <w:color w:val="auto"/>
        </w:rPr>
      </w:pPr>
    </w:p>
    <w:p>
      <w:pPr>
        <w:ind w:left="800" w:hanging="400"/>
        <w:spacing w:after="0"/>
        <w:tabs>
          <w:tab w:leader="none" w:pos="800" w:val="left"/>
        </w:tabs>
        <w:numPr>
          <w:ilvl w:val="0"/>
          <w:numId w:val="85"/>
        </w:numPr>
        <w:rPr>
          <w:rFonts w:ascii="Arial" w:cs="Arial" w:eastAsia="Arial" w:hAnsi="Arial"/>
          <w:sz w:val="20"/>
          <w:szCs w:val="20"/>
          <w:color w:val="EF3E2A"/>
        </w:rPr>
      </w:pPr>
      <w:r>
        <w:rPr>
          <w:rFonts w:ascii="Arial" w:cs="Arial" w:eastAsia="Arial" w:hAnsi="Arial"/>
          <w:sz w:val="20"/>
          <w:szCs w:val="20"/>
          <w:color w:val="231F20"/>
        </w:rPr>
        <w:t>Corporate Governance Guidelines</w:t>
      </w:r>
    </w:p>
    <w:p>
      <w:pPr>
        <w:spacing w:after="0" w:line="10" w:lineRule="exact"/>
        <w:rPr>
          <w:rFonts w:ascii="Arial" w:cs="Arial" w:eastAsia="Arial" w:hAnsi="Arial"/>
          <w:sz w:val="20"/>
          <w:szCs w:val="20"/>
          <w:color w:val="EF3E2A"/>
        </w:rPr>
      </w:pPr>
    </w:p>
    <w:p>
      <w:pPr>
        <w:ind w:left="800" w:hanging="400"/>
        <w:spacing w:after="0"/>
        <w:tabs>
          <w:tab w:leader="none" w:pos="800" w:val="left"/>
        </w:tabs>
        <w:numPr>
          <w:ilvl w:val="0"/>
          <w:numId w:val="85"/>
        </w:numPr>
        <w:rPr>
          <w:rFonts w:ascii="Arial" w:cs="Arial" w:eastAsia="Arial" w:hAnsi="Arial"/>
          <w:sz w:val="20"/>
          <w:szCs w:val="20"/>
          <w:color w:val="EF3E2A"/>
        </w:rPr>
      </w:pPr>
      <w:r>
        <w:rPr>
          <w:rFonts w:ascii="Arial" w:cs="Arial" w:eastAsia="Arial" w:hAnsi="Arial"/>
          <w:sz w:val="20"/>
          <w:szCs w:val="20"/>
          <w:color w:val="231F20"/>
        </w:rPr>
        <w:t>Code of Business Conduct</w:t>
      </w:r>
    </w:p>
    <w:p>
      <w:pPr>
        <w:spacing w:after="0" w:line="10" w:lineRule="exact"/>
        <w:rPr>
          <w:rFonts w:ascii="Arial" w:cs="Arial" w:eastAsia="Arial" w:hAnsi="Arial"/>
          <w:sz w:val="20"/>
          <w:szCs w:val="20"/>
          <w:color w:val="EF3E2A"/>
        </w:rPr>
      </w:pPr>
    </w:p>
    <w:p>
      <w:pPr>
        <w:ind w:left="800" w:hanging="400"/>
        <w:spacing w:after="0"/>
        <w:tabs>
          <w:tab w:leader="none" w:pos="800" w:val="left"/>
        </w:tabs>
        <w:numPr>
          <w:ilvl w:val="0"/>
          <w:numId w:val="85"/>
        </w:numPr>
        <w:rPr>
          <w:rFonts w:ascii="Arial" w:cs="Arial" w:eastAsia="Arial" w:hAnsi="Arial"/>
          <w:sz w:val="20"/>
          <w:szCs w:val="20"/>
          <w:color w:val="EF3E2A"/>
        </w:rPr>
      </w:pPr>
      <w:r>
        <w:rPr>
          <w:rFonts w:ascii="Arial" w:cs="Arial" w:eastAsia="Arial" w:hAnsi="Arial"/>
          <w:sz w:val="20"/>
          <w:szCs w:val="20"/>
          <w:color w:val="231F20"/>
        </w:rPr>
        <w:t>Code of Ethics for our Senior Financial Officers</w:t>
      </w:r>
    </w:p>
    <w:p>
      <w:pPr>
        <w:spacing w:after="0" w:line="255"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231F20"/>
        </w:rPr>
        <w:t xml:space="preserve">These documents are reviewed periodically and revised when needed to reflect changing regulatory and governmental requirements and best practices. Complete copies of these documents are available in the Investor/ Corporate Governance section of our website at </w:t>
      </w:r>
      <w:r>
        <w:rPr>
          <w:rFonts w:ascii="Arial" w:cs="Arial" w:eastAsia="Arial" w:hAnsi="Arial"/>
          <w:sz w:val="20"/>
          <w:szCs w:val="20"/>
          <w:i w:val="1"/>
          <w:iCs w:val="1"/>
          <w:u w:val="single" w:color="auto"/>
          <w:color w:val="231F20"/>
        </w:rPr>
        <w:t>www.federalrealty.com</w:t>
      </w:r>
      <w:r>
        <w:rPr>
          <w:rFonts w:ascii="Arial" w:cs="Arial" w:eastAsia="Arial" w:hAnsi="Arial"/>
          <w:sz w:val="20"/>
          <w:szCs w:val="20"/>
          <w:color w:val="231F20"/>
        </w:rPr>
        <w:t>. Printed copies of these documents are available upon written request to our Investor Relations department at 909 Rose Avenue, Suite 200, North Bethesda, Maryland 20852.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2219325</wp:posOffset>
                </wp:positionV>
                <wp:extent cx="6400800" cy="177800"/>
                <wp:wrapNone/>
                <wp:docPr id="146" name="Shape 1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177800"/>
                        </a:xfrm>
                        <a:prstGeom prst="rect">
                          <a:avLst/>
                        </a:prstGeom>
                        <a:solidFill>
                          <a:srgbClr val="E8E7E5"/>
                        </a:solidFill>
                      </wps:spPr>
                      <wps:bodyPr/>
                    </wps:wsp>
                  </a:graphicData>
                </a:graphic>
              </wp:anchor>
            </w:drawing>
          </mc:Choice>
          <mc:Fallback>
            <w:pict>
              <v:rect id="Shape 146" o:spid="_x0000_s1171" style="position:absolute;margin-left:0pt;margin-top:174.75pt;width:504pt;height:1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8E7E5" stroked="f"/>
            </w:pict>
          </mc:Fallback>
        </mc:AlternateContent>
        <mc:AlternateContent>
          <mc:Choice Requires="wps">
            <w:drawing>
              <wp:anchor simplePos="0" relativeHeight="251657728" behindDoc="1" locked="0" layoutInCell="0" allowOverlap="1">
                <wp:simplePos x="0" y="0"/>
                <wp:positionH relativeFrom="column">
                  <wp:posOffset>6350</wp:posOffset>
                </wp:positionH>
                <wp:positionV relativeFrom="paragraph">
                  <wp:posOffset>2218690</wp:posOffset>
                </wp:positionV>
                <wp:extent cx="0" cy="177800"/>
                <wp:wrapNone/>
                <wp:docPr id="147" name="Shape 1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147" o:spid="_x0000_s11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pt,174.7pt" to="0.5pt,188.7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2225040</wp:posOffset>
                </wp:positionV>
                <wp:extent cx="6400800" cy="0"/>
                <wp:wrapNone/>
                <wp:docPr id="148" name="Shape 1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148" o:spid="_x0000_s11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75.2pt" to="504pt,175.2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6394450</wp:posOffset>
                </wp:positionH>
                <wp:positionV relativeFrom="paragraph">
                  <wp:posOffset>2218690</wp:posOffset>
                </wp:positionV>
                <wp:extent cx="0" cy="177800"/>
                <wp:wrapNone/>
                <wp:docPr id="149" name="Shape 1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149" o:spid="_x0000_s11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3.5pt,174.7pt" to="503.5pt,188.7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2390140</wp:posOffset>
                </wp:positionV>
                <wp:extent cx="6400800" cy="0"/>
                <wp:wrapNone/>
                <wp:docPr id="150" name="Shape 1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150" o:spid="_x0000_s11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88.2pt" to="504pt,188.2pt" o:allowincell="f" strokecolor="#231F20" strokeweight="1pt"/>
            </w:pict>
          </mc:Fallback>
        </mc:AlternateContent>
      </w:r>
    </w:p>
    <w:p>
      <w:pPr>
        <w:sectPr>
          <w:pgSz w:w="11880" w:h="15480" w:orient="portrait"/>
          <w:cols w:equalWidth="0" w:num="1">
            <w:col w:w="10080"/>
          </w:cols>
          <w:pgMar w:left="900" w:top="1275" w:right="900" w:bottom="76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80"/>
        <w:spacing w:after="0"/>
        <w:tabs>
          <w:tab w:leader="none" w:pos="1420" w:val="left"/>
          <w:tab w:leader="none" w:pos="3160" w:val="left"/>
        </w:tabs>
        <w:rPr>
          <w:sz w:val="20"/>
          <w:szCs w:val="20"/>
          <w:color w:val="auto"/>
        </w:rPr>
      </w:pPr>
      <w:r>
        <w:rPr>
          <w:rFonts w:ascii="Arial" w:cs="Arial" w:eastAsia="Arial" w:hAnsi="Arial"/>
          <w:sz w:val="16"/>
          <w:szCs w:val="16"/>
          <w:color w:val="EF3E2A"/>
        </w:rPr>
        <w:t>Federal Realty</w:t>
      </w:r>
      <w:r>
        <w:rPr>
          <w:sz w:val="20"/>
          <w:szCs w:val="20"/>
          <w:color w:val="auto"/>
        </w:rPr>
        <w:tab/>
      </w:r>
      <w:r>
        <w:rPr>
          <w:rFonts w:ascii="Arial" w:cs="Arial" w:eastAsia="Arial" w:hAnsi="Arial"/>
          <w:sz w:val="16"/>
          <w:szCs w:val="16"/>
          <w:color w:val="231F20"/>
        </w:rPr>
        <w:t>2026 Proxy Statement</w:t>
        <w:tab/>
        <w:t>4</w:t>
      </w:r>
    </w:p>
    <w:p>
      <w:pPr>
        <w:sectPr>
          <w:pgSz w:w="11880" w:h="15480" w:orient="portrait"/>
          <w:cols w:equalWidth="0" w:num="1">
            <w:col w:w="10080"/>
          </w:cols>
          <w:pgMar w:left="900" w:top="1275" w:right="900" w:bottom="763" w:gutter="0" w:footer="0" w:header="0"/>
          <w:type w:val="continuous"/>
        </w:sectPr>
      </w:pPr>
    </w:p>
    <w:bookmarkStart w:id="124" w:name="page125"/>
    <w:bookmarkEnd w:id="124"/>
    <w:p>
      <w:pPr>
        <w:spacing w:after="0" w:line="268" w:lineRule="exact"/>
        <w:rPr>
          <w:sz w:val="20"/>
          <w:szCs w:val="20"/>
          <w:color w:val="auto"/>
        </w:rPr>
      </w:pPr>
      <w:r>
        <w:rPr>
          <w:rFonts w:ascii="Arial Unicode MS" w:cs="Arial Unicode MS" w:eastAsia="Arial Unicode MS" w:hAnsi="Arial Unicode MS"/>
          <w:sz w:val="20"/>
          <w:szCs w:val="20"/>
          <w:color w:val="EF3E2A"/>
        </w:rPr>
        <w:t>➣</w:t>
      </w:r>
      <w:r>
        <w:rPr>
          <w:rFonts w:ascii="Arial" w:cs="Arial" w:eastAsia="Arial" w:hAnsi="Arial"/>
          <w:sz w:val="20"/>
          <w:szCs w:val="20"/>
          <w:b w:val="1"/>
          <w:bCs w:val="1"/>
          <w:color w:val="231F20"/>
        </w:rPr>
        <w:t xml:space="preserve"> GOVERNANCE POLICIES AND PROCEDURES</w:t>
      </w:r>
    </w:p>
    <w:p>
      <w:pPr>
        <w:spacing w:after="0" w:line="257"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231F20"/>
        </w:rPr>
        <w:t>Our commitment to good governance is an integral part of our business. Highlights of our corporate governance practices include:</w:t>
      </w:r>
    </w:p>
    <w:p>
      <w:pPr>
        <w:spacing w:after="0" w:line="177" w:lineRule="exact"/>
        <w:rPr>
          <w:sz w:val="20"/>
          <w:szCs w:val="20"/>
          <w:color w:val="auto"/>
        </w:rPr>
      </w:pPr>
    </w:p>
    <w:tbl>
      <w:tblPr>
        <w:tblLayout w:type="fixed"/>
        <w:tblInd w:w="10" w:type="dxa"/>
        <w:tblCellMar>
          <w:top w:w="0" w:type="dxa"/>
          <w:left w:w="0" w:type="dxa"/>
          <w:bottom w:w="0" w:type="dxa"/>
          <w:right w:w="0" w:type="dxa"/>
        </w:tblCellMar>
      </w:tblPr>
      <w:tr>
        <w:trPr>
          <w:trHeight w:val="280"/>
        </w:trPr>
        <w:tc>
          <w:tcPr>
            <w:tcW w:w="340" w:type="dxa"/>
            <w:vAlign w:val="bottom"/>
            <w:tcBorders>
              <w:top w:val="single" w:sz="8" w:color="231F20"/>
              <w:left w:val="single" w:sz="8" w:color="231F20"/>
            </w:tcBorders>
            <w:shd w:val="clear" w:color="auto" w:fill="DCDDDE"/>
          </w:tcPr>
          <w:p>
            <w:pPr>
              <w:ind w:left="120"/>
              <w:spacing w:after="0" w:line="268" w:lineRule="exact"/>
              <w:rPr>
                <w:sz w:val="20"/>
                <w:szCs w:val="20"/>
                <w:color w:val="auto"/>
              </w:rPr>
            </w:pPr>
            <w:r>
              <w:rPr>
                <w:rFonts w:ascii="Arial Unicode MS" w:cs="Arial Unicode MS" w:eastAsia="Arial Unicode MS" w:hAnsi="Arial Unicode MS"/>
                <w:sz w:val="20"/>
                <w:szCs w:val="20"/>
                <w:color w:val="EF3E2A"/>
              </w:rPr>
              <w:t>✓</w:t>
            </w:r>
          </w:p>
        </w:tc>
        <w:tc>
          <w:tcPr>
            <w:tcW w:w="3020" w:type="dxa"/>
            <w:vAlign w:val="bottom"/>
            <w:tcBorders>
              <w:top w:val="single" w:sz="8" w:color="231F20"/>
            </w:tcBorders>
            <w:shd w:val="clear" w:color="auto" w:fill="DCDDDE"/>
          </w:tcPr>
          <w:p>
            <w:pPr>
              <w:ind w:left="180"/>
              <w:spacing w:after="0"/>
              <w:rPr>
                <w:sz w:val="20"/>
                <w:szCs w:val="20"/>
                <w:color w:val="auto"/>
              </w:rPr>
            </w:pPr>
            <w:r>
              <w:rPr>
                <w:rFonts w:ascii="Arial" w:cs="Arial" w:eastAsia="Arial" w:hAnsi="Arial"/>
                <w:sz w:val="20"/>
                <w:szCs w:val="20"/>
                <w:color w:val="231F20"/>
              </w:rPr>
              <w:t>Annual election of Trustees and</w:t>
            </w:r>
          </w:p>
        </w:tc>
        <w:tc>
          <w:tcPr>
            <w:tcW w:w="400" w:type="dxa"/>
            <w:vAlign w:val="bottom"/>
            <w:tcBorders>
              <w:top w:val="single" w:sz="8" w:color="231F20"/>
            </w:tcBorders>
          </w:tcPr>
          <w:p>
            <w:pPr>
              <w:ind w:left="120"/>
              <w:spacing w:after="0" w:line="268" w:lineRule="exact"/>
              <w:rPr>
                <w:sz w:val="20"/>
                <w:szCs w:val="20"/>
                <w:color w:val="auto"/>
              </w:rPr>
            </w:pPr>
            <w:r>
              <w:rPr>
                <w:rFonts w:ascii="Arial Unicode MS" w:cs="Arial Unicode MS" w:eastAsia="Arial Unicode MS" w:hAnsi="Arial Unicode MS"/>
                <w:sz w:val="20"/>
                <w:szCs w:val="20"/>
                <w:color w:val="EF3E2A"/>
              </w:rPr>
              <w:t>✓</w:t>
            </w:r>
          </w:p>
        </w:tc>
        <w:tc>
          <w:tcPr>
            <w:tcW w:w="2960" w:type="dxa"/>
            <w:vAlign w:val="bottom"/>
            <w:tcBorders>
              <w:top w:val="single" w:sz="8" w:color="231F20"/>
            </w:tcBorders>
          </w:tcPr>
          <w:p>
            <w:pPr>
              <w:ind w:left="120"/>
              <w:spacing w:after="0"/>
              <w:rPr>
                <w:sz w:val="20"/>
                <w:szCs w:val="20"/>
                <w:color w:val="auto"/>
              </w:rPr>
            </w:pPr>
            <w:r>
              <w:rPr>
                <w:rFonts w:ascii="Arial" w:cs="Arial" w:eastAsia="Arial" w:hAnsi="Arial"/>
                <w:sz w:val="20"/>
                <w:szCs w:val="20"/>
                <w:color w:val="231F20"/>
              </w:rPr>
              <w:t>Independent non-executive</w:t>
            </w:r>
          </w:p>
        </w:tc>
        <w:tc>
          <w:tcPr>
            <w:tcW w:w="400" w:type="dxa"/>
            <w:vAlign w:val="bottom"/>
            <w:tcBorders>
              <w:top w:val="single" w:sz="8" w:color="231F20"/>
            </w:tcBorders>
            <w:shd w:val="clear" w:color="auto" w:fill="DCDDDE"/>
          </w:tcPr>
          <w:p>
            <w:pPr>
              <w:ind w:left="120"/>
              <w:spacing w:after="0" w:line="268" w:lineRule="exact"/>
              <w:rPr>
                <w:sz w:val="20"/>
                <w:szCs w:val="20"/>
                <w:color w:val="auto"/>
              </w:rPr>
            </w:pPr>
            <w:r>
              <w:rPr>
                <w:rFonts w:ascii="Arial Unicode MS" w:cs="Arial Unicode MS" w:eastAsia="Arial Unicode MS" w:hAnsi="Arial Unicode MS"/>
                <w:sz w:val="20"/>
                <w:szCs w:val="20"/>
                <w:color w:val="EF3E2A"/>
              </w:rPr>
              <w:t>✓</w:t>
            </w:r>
          </w:p>
        </w:tc>
        <w:tc>
          <w:tcPr>
            <w:tcW w:w="2980" w:type="dxa"/>
            <w:vAlign w:val="bottom"/>
            <w:tcBorders>
              <w:top w:val="single" w:sz="8" w:color="231F20"/>
              <w:right w:val="single" w:sz="8" w:color="231F20"/>
            </w:tcBorders>
            <w:shd w:val="clear" w:color="auto" w:fill="DCDDDE"/>
          </w:tcPr>
          <w:p>
            <w:pPr>
              <w:ind w:left="120"/>
              <w:spacing w:after="0"/>
              <w:rPr>
                <w:sz w:val="20"/>
                <w:szCs w:val="20"/>
                <w:color w:val="auto"/>
              </w:rPr>
            </w:pPr>
            <w:r>
              <w:rPr>
                <w:rFonts w:ascii="Arial" w:cs="Arial" w:eastAsia="Arial" w:hAnsi="Arial"/>
                <w:sz w:val="20"/>
                <w:szCs w:val="20"/>
                <w:color w:val="231F20"/>
              </w:rPr>
              <w:t>Board oversight of</w:t>
            </w:r>
          </w:p>
        </w:tc>
      </w:tr>
      <w:tr>
        <w:trPr>
          <w:trHeight w:val="240"/>
        </w:trPr>
        <w:tc>
          <w:tcPr>
            <w:tcW w:w="340" w:type="dxa"/>
            <w:vAlign w:val="bottom"/>
            <w:tcBorders>
              <w:left w:val="single" w:sz="8" w:color="231F20"/>
            </w:tcBorders>
            <w:shd w:val="clear" w:color="auto" w:fill="DCDDDE"/>
          </w:tcPr>
          <w:p>
            <w:pPr>
              <w:spacing w:after="0"/>
              <w:rPr>
                <w:sz w:val="20"/>
                <w:szCs w:val="20"/>
                <w:color w:val="auto"/>
              </w:rPr>
            </w:pPr>
          </w:p>
        </w:tc>
        <w:tc>
          <w:tcPr>
            <w:tcW w:w="3020" w:type="dxa"/>
            <w:vAlign w:val="bottom"/>
            <w:shd w:val="clear" w:color="auto" w:fill="DCDDDE"/>
          </w:tcPr>
          <w:p>
            <w:pPr>
              <w:ind w:left="180"/>
              <w:spacing w:after="0"/>
              <w:rPr>
                <w:sz w:val="20"/>
                <w:szCs w:val="20"/>
                <w:color w:val="auto"/>
              </w:rPr>
            </w:pPr>
            <w:r>
              <w:rPr>
                <w:rFonts w:ascii="Arial" w:cs="Arial" w:eastAsia="Arial" w:hAnsi="Arial"/>
                <w:sz w:val="20"/>
                <w:szCs w:val="20"/>
                <w:color w:val="231F20"/>
              </w:rPr>
              <w:t>annual Board and Trustee</w:t>
            </w:r>
          </w:p>
        </w:tc>
        <w:tc>
          <w:tcPr>
            <w:tcW w:w="400" w:type="dxa"/>
            <w:vAlign w:val="bottom"/>
          </w:tcPr>
          <w:p>
            <w:pPr>
              <w:spacing w:after="0"/>
              <w:rPr>
                <w:sz w:val="20"/>
                <w:szCs w:val="20"/>
                <w:color w:val="auto"/>
              </w:rPr>
            </w:pPr>
          </w:p>
        </w:tc>
        <w:tc>
          <w:tcPr>
            <w:tcW w:w="2960" w:type="dxa"/>
            <w:vAlign w:val="bottom"/>
          </w:tcPr>
          <w:p>
            <w:pPr>
              <w:ind w:left="120"/>
              <w:spacing w:after="0"/>
              <w:rPr>
                <w:sz w:val="20"/>
                <w:szCs w:val="20"/>
                <w:color w:val="auto"/>
              </w:rPr>
            </w:pPr>
            <w:r>
              <w:rPr>
                <w:rFonts w:ascii="Arial" w:cs="Arial" w:eastAsia="Arial" w:hAnsi="Arial"/>
                <w:sz w:val="20"/>
                <w:szCs w:val="20"/>
                <w:color w:val="231F20"/>
              </w:rPr>
              <w:t>chairman since 2003</w:t>
            </w:r>
          </w:p>
        </w:tc>
        <w:tc>
          <w:tcPr>
            <w:tcW w:w="400" w:type="dxa"/>
            <w:vAlign w:val="bottom"/>
            <w:shd w:val="clear" w:color="auto" w:fill="DCDDDE"/>
          </w:tcPr>
          <w:p>
            <w:pPr>
              <w:spacing w:after="0"/>
              <w:rPr>
                <w:sz w:val="20"/>
                <w:szCs w:val="20"/>
                <w:color w:val="auto"/>
              </w:rPr>
            </w:pPr>
          </w:p>
        </w:tc>
        <w:tc>
          <w:tcPr>
            <w:tcW w:w="2980" w:type="dxa"/>
            <w:vAlign w:val="bottom"/>
            <w:tcBorders>
              <w:right w:val="single" w:sz="8" w:color="231F20"/>
            </w:tcBorders>
            <w:shd w:val="clear" w:color="auto" w:fill="DCDDDE"/>
          </w:tcPr>
          <w:p>
            <w:pPr>
              <w:ind w:left="120"/>
              <w:spacing w:after="0"/>
              <w:rPr>
                <w:sz w:val="20"/>
                <w:szCs w:val="20"/>
                <w:color w:val="auto"/>
              </w:rPr>
            </w:pPr>
            <w:r>
              <w:rPr>
                <w:rFonts w:ascii="Arial" w:cs="Arial" w:eastAsia="Arial" w:hAnsi="Arial"/>
                <w:sz w:val="20"/>
                <w:szCs w:val="20"/>
                <w:color w:val="231F20"/>
              </w:rPr>
              <w:t>sustainability, cyber security,</w:t>
            </w:r>
          </w:p>
        </w:tc>
      </w:tr>
      <w:tr>
        <w:trPr>
          <w:trHeight w:val="240"/>
        </w:trPr>
        <w:tc>
          <w:tcPr>
            <w:tcW w:w="340" w:type="dxa"/>
            <w:vAlign w:val="bottom"/>
            <w:tcBorders>
              <w:left w:val="single" w:sz="8" w:color="231F20"/>
            </w:tcBorders>
            <w:shd w:val="clear" w:color="auto" w:fill="DCDDDE"/>
          </w:tcPr>
          <w:p>
            <w:pPr>
              <w:spacing w:after="0"/>
              <w:rPr>
                <w:sz w:val="20"/>
                <w:szCs w:val="20"/>
                <w:color w:val="auto"/>
              </w:rPr>
            </w:pPr>
          </w:p>
        </w:tc>
        <w:tc>
          <w:tcPr>
            <w:tcW w:w="3020" w:type="dxa"/>
            <w:vAlign w:val="bottom"/>
            <w:shd w:val="clear" w:color="auto" w:fill="DCDDDE"/>
          </w:tcPr>
          <w:p>
            <w:pPr>
              <w:ind w:left="180"/>
              <w:spacing w:after="0"/>
              <w:rPr>
                <w:sz w:val="20"/>
                <w:szCs w:val="20"/>
                <w:color w:val="auto"/>
              </w:rPr>
            </w:pPr>
            <w:r>
              <w:rPr>
                <w:rFonts w:ascii="Arial" w:cs="Arial" w:eastAsia="Arial" w:hAnsi="Arial"/>
                <w:sz w:val="20"/>
                <w:szCs w:val="20"/>
                <w:color w:val="231F20"/>
              </w:rPr>
              <w:t>evaluations</w:t>
            </w:r>
          </w:p>
        </w:tc>
        <w:tc>
          <w:tcPr>
            <w:tcW w:w="40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400" w:type="dxa"/>
            <w:vAlign w:val="bottom"/>
            <w:shd w:val="clear" w:color="auto" w:fill="DCDDDE"/>
          </w:tcPr>
          <w:p>
            <w:pPr>
              <w:spacing w:after="0"/>
              <w:rPr>
                <w:sz w:val="20"/>
                <w:szCs w:val="20"/>
                <w:color w:val="auto"/>
              </w:rPr>
            </w:pPr>
          </w:p>
        </w:tc>
        <w:tc>
          <w:tcPr>
            <w:tcW w:w="2980" w:type="dxa"/>
            <w:vAlign w:val="bottom"/>
            <w:tcBorders>
              <w:right w:val="single" w:sz="8" w:color="231F20"/>
            </w:tcBorders>
            <w:shd w:val="clear" w:color="auto" w:fill="DCDDDE"/>
          </w:tcPr>
          <w:p>
            <w:pPr>
              <w:ind w:left="120"/>
              <w:spacing w:after="0"/>
              <w:rPr>
                <w:sz w:val="20"/>
                <w:szCs w:val="20"/>
                <w:color w:val="auto"/>
              </w:rPr>
            </w:pPr>
            <w:r>
              <w:rPr>
                <w:rFonts w:ascii="Arial" w:cs="Arial" w:eastAsia="Arial" w:hAnsi="Arial"/>
                <w:sz w:val="20"/>
                <w:szCs w:val="20"/>
                <w:color w:val="231F20"/>
              </w:rPr>
              <w:t>data protection, artificial</w:t>
            </w:r>
          </w:p>
        </w:tc>
      </w:tr>
      <w:tr>
        <w:trPr>
          <w:trHeight w:val="240"/>
        </w:trPr>
        <w:tc>
          <w:tcPr>
            <w:tcW w:w="340" w:type="dxa"/>
            <w:vAlign w:val="bottom"/>
            <w:tcBorders>
              <w:left w:val="single" w:sz="8" w:color="231F20"/>
            </w:tcBorders>
            <w:shd w:val="clear" w:color="auto" w:fill="DCDDDE"/>
          </w:tcPr>
          <w:p>
            <w:pPr>
              <w:spacing w:after="0"/>
              <w:rPr>
                <w:sz w:val="20"/>
                <w:szCs w:val="20"/>
                <w:color w:val="auto"/>
              </w:rPr>
            </w:pPr>
          </w:p>
        </w:tc>
        <w:tc>
          <w:tcPr>
            <w:tcW w:w="3020" w:type="dxa"/>
            <w:vAlign w:val="bottom"/>
            <w:shd w:val="clear" w:color="auto" w:fill="DCDDDE"/>
          </w:tcPr>
          <w:p>
            <w:pPr>
              <w:spacing w:after="0"/>
              <w:rPr>
                <w:sz w:val="20"/>
                <w:szCs w:val="20"/>
                <w:color w:val="auto"/>
              </w:rPr>
            </w:pPr>
          </w:p>
        </w:tc>
        <w:tc>
          <w:tcPr>
            <w:tcW w:w="40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400" w:type="dxa"/>
            <w:vAlign w:val="bottom"/>
            <w:shd w:val="clear" w:color="auto" w:fill="DCDDDE"/>
          </w:tcPr>
          <w:p>
            <w:pPr>
              <w:spacing w:after="0"/>
              <w:rPr>
                <w:sz w:val="20"/>
                <w:szCs w:val="20"/>
                <w:color w:val="auto"/>
              </w:rPr>
            </w:pPr>
          </w:p>
        </w:tc>
        <w:tc>
          <w:tcPr>
            <w:tcW w:w="2980" w:type="dxa"/>
            <w:vAlign w:val="bottom"/>
            <w:tcBorders>
              <w:right w:val="single" w:sz="8" w:color="231F20"/>
            </w:tcBorders>
            <w:shd w:val="clear" w:color="auto" w:fill="DCDDDE"/>
          </w:tcPr>
          <w:p>
            <w:pPr>
              <w:ind w:left="120"/>
              <w:spacing w:after="0"/>
              <w:rPr>
                <w:sz w:val="20"/>
                <w:szCs w:val="20"/>
                <w:color w:val="auto"/>
              </w:rPr>
            </w:pPr>
            <w:r>
              <w:rPr>
                <w:rFonts w:ascii="Arial" w:cs="Arial" w:eastAsia="Arial" w:hAnsi="Arial"/>
                <w:sz w:val="20"/>
                <w:szCs w:val="20"/>
                <w:color w:val="231F20"/>
              </w:rPr>
              <w:t>intelligence practices and</w:t>
            </w:r>
          </w:p>
        </w:tc>
      </w:tr>
      <w:tr>
        <w:trPr>
          <w:trHeight w:val="240"/>
        </w:trPr>
        <w:tc>
          <w:tcPr>
            <w:tcW w:w="340" w:type="dxa"/>
            <w:vAlign w:val="bottom"/>
            <w:tcBorders>
              <w:left w:val="single" w:sz="8" w:color="231F20"/>
            </w:tcBorders>
            <w:shd w:val="clear" w:color="auto" w:fill="DCDDDE"/>
          </w:tcPr>
          <w:p>
            <w:pPr>
              <w:spacing w:after="0"/>
              <w:rPr>
                <w:sz w:val="20"/>
                <w:szCs w:val="20"/>
                <w:color w:val="auto"/>
              </w:rPr>
            </w:pPr>
          </w:p>
        </w:tc>
        <w:tc>
          <w:tcPr>
            <w:tcW w:w="3020" w:type="dxa"/>
            <w:vAlign w:val="bottom"/>
            <w:shd w:val="clear" w:color="auto" w:fill="DCDDDE"/>
          </w:tcPr>
          <w:p>
            <w:pPr>
              <w:spacing w:after="0"/>
              <w:rPr>
                <w:sz w:val="20"/>
                <w:szCs w:val="20"/>
                <w:color w:val="auto"/>
              </w:rPr>
            </w:pPr>
          </w:p>
        </w:tc>
        <w:tc>
          <w:tcPr>
            <w:tcW w:w="40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400" w:type="dxa"/>
            <w:vAlign w:val="bottom"/>
            <w:shd w:val="clear" w:color="auto" w:fill="DCDDDE"/>
          </w:tcPr>
          <w:p>
            <w:pPr>
              <w:spacing w:after="0"/>
              <w:rPr>
                <w:sz w:val="20"/>
                <w:szCs w:val="20"/>
                <w:color w:val="auto"/>
              </w:rPr>
            </w:pPr>
          </w:p>
        </w:tc>
        <w:tc>
          <w:tcPr>
            <w:tcW w:w="2980" w:type="dxa"/>
            <w:vAlign w:val="bottom"/>
            <w:tcBorders>
              <w:right w:val="single" w:sz="8" w:color="231F20"/>
            </w:tcBorders>
            <w:shd w:val="clear" w:color="auto" w:fill="DCDDDE"/>
          </w:tcPr>
          <w:p>
            <w:pPr>
              <w:ind w:left="120"/>
              <w:spacing w:after="0"/>
              <w:rPr>
                <w:sz w:val="20"/>
                <w:szCs w:val="20"/>
                <w:color w:val="auto"/>
              </w:rPr>
            </w:pPr>
            <w:r>
              <w:rPr>
                <w:rFonts w:ascii="Arial" w:cs="Arial" w:eastAsia="Arial" w:hAnsi="Arial"/>
                <w:sz w:val="20"/>
                <w:szCs w:val="20"/>
                <w:color w:val="231F20"/>
              </w:rPr>
              <w:t>human resources</w:t>
            </w:r>
          </w:p>
        </w:tc>
      </w:tr>
      <w:tr>
        <w:trPr>
          <w:trHeight w:val="160"/>
        </w:trPr>
        <w:tc>
          <w:tcPr>
            <w:tcW w:w="340" w:type="dxa"/>
            <w:vAlign w:val="bottom"/>
            <w:tcBorders>
              <w:left w:val="single" w:sz="8" w:color="231F20"/>
            </w:tcBorders>
            <w:shd w:val="clear" w:color="auto" w:fill="DCDDDE"/>
          </w:tcPr>
          <w:p>
            <w:pPr>
              <w:spacing w:after="0"/>
              <w:rPr>
                <w:sz w:val="13"/>
                <w:szCs w:val="13"/>
                <w:color w:val="auto"/>
              </w:rPr>
            </w:pPr>
          </w:p>
        </w:tc>
        <w:tc>
          <w:tcPr>
            <w:tcW w:w="3020" w:type="dxa"/>
            <w:vAlign w:val="bottom"/>
            <w:shd w:val="clear" w:color="auto" w:fill="DCDDDE"/>
          </w:tcPr>
          <w:p>
            <w:pPr>
              <w:spacing w:after="0"/>
              <w:rPr>
                <w:sz w:val="13"/>
                <w:szCs w:val="13"/>
                <w:color w:val="auto"/>
              </w:rPr>
            </w:pPr>
          </w:p>
        </w:tc>
        <w:tc>
          <w:tcPr>
            <w:tcW w:w="40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3380" w:type="dxa"/>
            <w:vAlign w:val="bottom"/>
            <w:tcBorders>
              <w:right w:val="single" w:sz="8" w:color="231F20"/>
            </w:tcBorders>
            <w:gridSpan w:val="2"/>
            <w:shd w:val="clear" w:color="auto" w:fill="DCDDDE"/>
          </w:tcPr>
          <w:p>
            <w:pPr>
              <w:spacing w:after="0"/>
              <w:rPr>
                <w:sz w:val="13"/>
                <w:szCs w:val="13"/>
                <w:color w:val="auto"/>
              </w:rPr>
            </w:pPr>
          </w:p>
        </w:tc>
      </w:tr>
      <w:tr>
        <w:trPr>
          <w:trHeight w:val="280"/>
        </w:trPr>
        <w:tc>
          <w:tcPr>
            <w:tcW w:w="340" w:type="dxa"/>
            <w:vAlign w:val="bottom"/>
            <w:tcBorders>
              <w:left w:val="single" w:sz="8" w:color="231F20"/>
            </w:tcBorders>
          </w:tcPr>
          <w:p>
            <w:pPr>
              <w:ind w:left="120"/>
              <w:spacing w:after="0" w:line="268" w:lineRule="exact"/>
              <w:rPr>
                <w:sz w:val="20"/>
                <w:szCs w:val="20"/>
                <w:color w:val="auto"/>
              </w:rPr>
            </w:pPr>
            <w:r>
              <w:rPr>
                <w:rFonts w:ascii="Arial Unicode MS" w:cs="Arial Unicode MS" w:eastAsia="Arial Unicode MS" w:hAnsi="Arial Unicode MS"/>
                <w:sz w:val="20"/>
                <w:szCs w:val="20"/>
                <w:color w:val="EF3E2A"/>
              </w:rPr>
              <w:t>✓</w:t>
            </w:r>
          </w:p>
        </w:tc>
        <w:tc>
          <w:tcPr>
            <w:tcW w:w="3020" w:type="dxa"/>
            <w:vAlign w:val="bottom"/>
          </w:tcPr>
          <w:p>
            <w:pPr>
              <w:ind w:left="180"/>
              <w:spacing w:after="0"/>
              <w:rPr>
                <w:sz w:val="20"/>
                <w:szCs w:val="20"/>
                <w:color w:val="auto"/>
              </w:rPr>
            </w:pPr>
            <w:r>
              <w:rPr>
                <w:rFonts w:ascii="Arial" w:cs="Arial" w:eastAsia="Arial" w:hAnsi="Arial"/>
                <w:sz w:val="20"/>
                <w:szCs w:val="20"/>
                <w:color w:val="231F20"/>
              </w:rPr>
              <w:t>Prohibition on Trustees serving</w:t>
            </w:r>
          </w:p>
        </w:tc>
        <w:tc>
          <w:tcPr>
            <w:tcW w:w="400" w:type="dxa"/>
            <w:vAlign w:val="bottom"/>
            <w:shd w:val="clear" w:color="auto" w:fill="DCDDDE"/>
          </w:tcPr>
          <w:p>
            <w:pPr>
              <w:ind w:left="120"/>
              <w:spacing w:after="0" w:line="268" w:lineRule="exact"/>
              <w:rPr>
                <w:sz w:val="20"/>
                <w:szCs w:val="20"/>
                <w:color w:val="auto"/>
              </w:rPr>
            </w:pPr>
            <w:r>
              <w:rPr>
                <w:rFonts w:ascii="Arial Unicode MS" w:cs="Arial Unicode MS" w:eastAsia="Arial Unicode MS" w:hAnsi="Arial Unicode MS"/>
                <w:sz w:val="20"/>
                <w:szCs w:val="20"/>
                <w:color w:val="EF3E2A"/>
              </w:rPr>
              <w:t>✓</w:t>
            </w:r>
          </w:p>
        </w:tc>
        <w:tc>
          <w:tcPr>
            <w:tcW w:w="2960" w:type="dxa"/>
            <w:vAlign w:val="bottom"/>
            <w:shd w:val="clear" w:color="auto" w:fill="DCDDDE"/>
          </w:tcPr>
          <w:p>
            <w:pPr>
              <w:ind w:left="120"/>
              <w:spacing w:after="0"/>
              <w:rPr>
                <w:sz w:val="20"/>
                <w:szCs w:val="20"/>
                <w:color w:val="auto"/>
              </w:rPr>
            </w:pPr>
            <w:r>
              <w:rPr>
                <w:rFonts w:ascii="Arial" w:cs="Arial" w:eastAsia="Arial" w:hAnsi="Arial"/>
                <w:sz w:val="20"/>
                <w:szCs w:val="20"/>
                <w:color w:val="231F20"/>
              </w:rPr>
              <w:t>Majority voting in uncontested</w:t>
            </w:r>
          </w:p>
        </w:tc>
        <w:tc>
          <w:tcPr>
            <w:tcW w:w="3380" w:type="dxa"/>
            <w:vAlign w:val="bottom"/>
            <w:tcBorders>
              <w:right w:val="single" w:sz="8" w:color="231F20"/>
            </w:tcBorders>
            <w:gridSpan w:val="2"/>
          </w:tcPr>
          <w:p>
            <w:pPr>
              <w:ind w:left="120"/>
              <w:spacing w:after="0" w:line="268" w:lineRule="exact"/>
              <w:rPr>
                <w:sz w:val="20"/>
                <w:szCs w:val="20"/>
                <w:color w:val="auto"/>
              </w:rPr>
            </w:pPr>
            <w:r>
              <w:rPr>
                <w:rFonts w:ascii="Arial Unicode MS" w:cs="Arial Unicode MS" w:eastAsia="Arial Unicode MS" w:hAnsi="Arial Unicode MS"/>
                <w:sz w:val="20"/>
                <w:szCs w:val="20"/>
                <w:color w:val="EF3E2A"/>
              </w:rPr>
              <w:t>✓</w:t>
            </w:r>
            <w:r>
              <w:rPr>
                <w:rFonts w:ascii="Arial" w:cs="Arial" w:eastAsia="Arial" w:hAnsi="Arial"/>
                <w:sz w:val="20"/>
                <w:szCs w:val="20"/>
                <w:color w:val="231F20"/>
              </w:rPr>
              <w:t xml:space="preserve">  Proxy access for all</w:t>
            </w:r>
          </w:p>
        </w:tc>
      </w:tr>
      <w:tr>
        <w:trPr>
          <w:trHeight w:val="240"/>
        </w:trPr>
        <w:tc>
          <w:tcPr>
            <w:tcW w:w="340" w:type="dxa"/>
            <w:vAlign w:val="bottom"/>
            <w:tcBorders>
              <w:left w:val="single" w:sz="8" w:color="231F20"/>
            </w:tcBorders>
          </w:tcPr>
          <w:p>
            <w:pPr>
              <w:spacing w:after="0"/>
              <w:rPr>
                <w:sz w:val="20"/>
                <w:szCs w:val="20"/>
                <w:color w:val="auto"/>
              </w:rPr>
            </w:pPr>
          </w:p>
        </w:tc>
        <w:tc>
          <w:tcPr>
            <w:tcW w:w="3020" w:type="dxa"/>
            <w:vAlign w:val="bottom"/>
          </w:tcPr>
          <w:p>
            <w:pPr>
              <w:ind w:left="180"/>
              <w:spacing w:after="0"/>
              <w:rPr>
                <w:sz w:val="20"/>
                <w:szCs w:val="20"/>
                <w:color w:val="auto"/>
              </w:rPr>
            </w:pPr>
            <w:r>
              <w:rPr>
                <w:rFonts w:ascii="Arial" w:cs="Arial" w:eastAsia="Arial" w:hAnsi="Arial"/>
                <w:sz w:val="20"/>
                <w:szCs w:val="20"/>
                <w:color w:val="231F20"/>
              </w:rPr>
              <w:t>on excessive numbers of other</w:t>
            </w:r>
          </w:p>
        </w:tc>
        <w:tc>
          <w:tcPr>
            <w:tcW w:w="400" w:type="dxa"/>
            <w:vAlign w:val="bottom"/>
            <w:shd w:val="clear" w:color="auto" w:fill="DCDDDE"/>
          </w:tcPr>
          <w:p>
            <w:pPr>
              <w:spacing w:after="0"/>
              <w:rPr>
                <w:sz w:val="20"/>
                <w:szCs w:val="20"/>
                <w:color w:val="auto"/>
              </w:rPr>
            </w:pPr>
          </w:p>
        </w:tc>
        <w:tc>
          <w:tcPr>
            <w:tcW w:w="2960" w:type="dxa"/>
            <w:vAlign w:val="bottom"/>
            <w:shd w:val="clear" w:color="auto" w:fill="DCDDDE"/>
          </w:tcPr>
          <w:p>
            <w:pPr>
              <w:ind w:left="120"/>
              <w:spacing w:after="0"/>
              <w:rPr>
                <w:sz w:val="20"/>
                <w:szCs w:val="20"/>
                <w:color w:val="auto"/>
              </w:rPr>
            </w:pPr>
            <w:r>
              <w:rPr>
                <w:rFonts w:ascii="Arial" w:cs="Arial" w:eastAsia="Arial" w:hAnsi="Arial"/>
                <w:sz w:val="20"/>
                <w:szCs w:val="20"/>
                <w:color w:val="231F20"/>
              </w:rPr>
              <w:t>elections</w:t>
            </w:r>
          </w:p>
        </w:tc>
        <w:tc>
          <w:tcPr>
            <w:tcW w:w="400" w:type="dxa"/>
            <w:vAlign w:val="bottom"/>
          </w:tcPr>
          <w:p>
            <w:pPr>
              <w:spacing w:after="0"/>
              <w:rPr>
                <w:sz w:val="20"/>
                <w:szCs w:val="20"/>
                <w:color w:val="auto"/>
              </w:rPr>
            </w:pPr>
          </w:p>
        </w:tc>
        <w:tc>
          <w:tcPr>
            <w:tcW w:w="2980" w:type="dxa"/>
            <w:vAlign w:val="bottom"/>
            <w:tcBorders>
              <w:right w:val="single" w:sz="8" w:color="231F20"/>
            </w:tcBorders>
          </w:tcPr>
          <w:p>
            <w:pPr>
              <w:ind w:left="120"/>
              <w:spacing w:after="0"/>
              <w:rPr>
                <w:sz w:val="20"/>
                <w:szCs w:val="20"/>
                <w:color w:val="auto"/>
              </w:rPr>
            </w:pPr>
            <w:r>
              <w:rPr>
                <w:rFonts w:ascii="Arial" w:cs="Arial" w:eastAsia="Arial" w:hAnsi="Arial"/>
                <w:sz w:val="20"/>
                <w:szCs w:val="20"/>
                <w:color w:val="231F20"/>
              </w:rPr>
              <w:t>shareholders</w:t>
            </w:r>
          </w:p>
        </w:tc>
      </w:tr>
      <w:tr>
        <w:trPr>
          <w:trHeight w:val="240"/>
        </w:trPr>
        <w:tc>
          <w:tcPr>
            <w:tcW w:w="340" w:type="dxa"/>
            <w:vAlign w:val="bottom"/>
            <w:tcBorders>
              <w:left w:val="single" w:sz="8" w:color="231F20"/>
            </w:tcBorders>
          </w:tcPr>
          <w:p>
            <w:pPr>
              <w:spacing w:after="0"/>
              <w:rPr>
                <w:sz w:val="20"/>
                <w:szCs w:val="20"/>
                <w:color w:val="auto"/>
              </w:rPr>
            </w:pPr>
          </w:p>
        </w:tc>
        <w:tc>
          <w:tcPr>
            <w:tcW w:w="3020" w:type="dxa"/>
            <w:vAlign w:val="bottom"/>
          </w:tcPr>
          <w:p>
            <w:pPr>
              <w:ind w:left="180"/>
              <w:spacing w:after="0"/>
              <w:rPr>
                <w:sz w:val="20"/>
                <w:szCs w:val="20"/>
                <w:color w:val="auto"/>
              </w:rPr>
            </w:pPr>
            <w:r>
              <w:rPr>
                <w:rFonts w:ascii="Arial" w:cs="Arial" w:eastAsia="Arial" w:hAnsi="Arial"/>
                <w:sz w:val="20"/>
                <w:szCs w:val="20"/>
                <w:color w:val="231F20"/>
              </w:rPr>
              <w:t>boards</w:t>
            </w:r>
          </w:p>
        </w:tc>
        <w:tc>
          <w:tcPr>
            <w:tcW w:w="400" w:type="dxa"/>
            <w:vAlign w:val="bottom"/>
            <w:shd w:val="clear" w:color="auto" w:fill="DCDDDE"/>
          </w:tcPr>
          <w:p>
            <w:pPr>
              <w:spacing w:after="0"/>
              <w:rPr>
                <w:sz w:val="20"/>
                <w:szCs w:val="20"/>
                <w:color w:val="auto"/>
              </w:rPr>
            </w:pPr>
          </w:p>
        </w:tc>
        <w:tc>
          <w:tcPr>
            <w:tcW w:w="2960" w:type="dxa"/>
            <w:vAlign w:val="bottom"/>
            <w:shd w:val="clear" w:color="auto" w:fill="DCDDDE"/>
          </w:tcPr>
          <w:p>
            <w:pPr>
              <w:spacing w:after="0"/>
              <w:rPr>
                <w:sz w:val="20"/>
                <w:szCs w:val="20"/>
                <w:color w:val="auto"/>
              </w:rPr>
            </w:pPr>
          </w:p>
        </w:tc>
        <w:tc>
          <w:tcPr>
            <w:tcW w:w="400" w:type="dxa"/>
            <w:vAlign w:val="bottom"/>
          </w:tcPr>
          <w:p>
            <w:pPr>
              <w:spacing w:after="0"/>
              <w:rPr>
                <w:sz w:val="20"/>
                <w:szCs w:val="20"/>
                <w:color w:val="auto"/>
              </w:rPr>
            </w:pPr>
          </w:p>
        </w:tc>
        <w:tc>
          <w:tcPr>
            <w:tcW w:w="2980" w:type="dxa"/>
            <w:vAlign w:val="bottom"/>
            <w:tcBorders>
              <w:right w:val="single" w:sz="8" w:color="231F20"/>
            </w:tcBorders>
          </w:tcPr>
          <w:p>
            <w:pPr>
              <w:spacing w:after="0"/>
              <w:rPr>
                <w:sz w:val="20"/>
                <w:szCs w:val="20"/>
                <w:color w:val="auto"/>
              </w:rPr>
            </w:pPr>
          </w:p>
        </w:tc>
      </w:tr>
      <w:tr>
        <w:trPr>
          <w:trHeight w:val="160"/>
        </w:trPr>
        <w:tc>
          <w:tcPr>
            <w:tcW w:w="340" w:type="dxa"/>
            <w:vAlign w:val="bottom"/>
            <w:tcBorders>
              <w:left w:val="single" w:sz="8" w:color="231F20"/>
            </w:tcBorders>
          </w:tcPr>
          <w:p>
            <w:pPr>
              <w:spacing w:after="0"/>
              <w:rPr>
                <w:sz w:val="13"/>
                <w:szCs w:val="13"/>
                <w:color w:val="auto"/>
              </w:rPr>
            </w:pPr>
          </w:p>
        </w:tc>
        <w:tc>
          <w:tcPr>
            <w:tcW w:w="3020" w:type="dxa"/>
            <w:vAlign w:val="bottom"/>
          </w:tcPr>
          <w:p>
            <w:pPr>
              <w:spacing w:after="0"/>
              <w:rPr>
                <w:sz w:val="13"/>
                <w:szCs w:val="13"/>
                <w:color w:val="auto"/>
              </w:rPr>
            </w:pPr>
          </w:p>
        </w:tc>
        <w:tc>
          <w:tcPr>
            <w:tcW w:w="400" w:type="dxa"/>
            <w:vAlign w:val="bottom"/>
            <w:shd w:val="clear" w:color="auto" w:fill="DCDDDE"/>
          </w:tcPr>
          <w:p>
            <w:pPr>
              <w:spacing w:after="0"/>
              <w:rPr>
                <w:sz w:val="13"/>
                <w:szCs w:val="13"/>
                <w:color w:val="auto"/>
              </w:rPr>
            </w:pPr>
          </w:p>
        </w:tc>
        <w:tc>
          <w:tcPr>
            <w:tcW w:w="2960" w:type="dxa"/>
            <w:vAlign w:val="bottom"/>
            <w:shd w:val="clear" w:color="auto" w:fill="DCDDDE"/>
          </w:tcPr>
          <w:p>
            <w:pPr>
              <w:spacing w:after="0"/>
              <w:rPr>
                <w:sz w:val="13"/>
                <w:szCs w:val="13"/>
                <w:color w:val="auto"/>
              </w:rPr>
            </w:pPr>
          </w:p>
        </w:tc>
        <w:tc>
          <w:tcPr>
            <w:tcW w:w="400" w:type="dxa"/>
            <w:vAlign w:val="bottom"/>
          </w:tcPr>
          <w:p>
            <w:pPr>
              <w:spacing w:after="0"/>
              <w:rPr>
                <w:sz w:val="13"/>
                <w:szCs w:val="13"/>
                <w:color w:val="auto"/>
              </w:rPr>
            </w:pPr>
          </w:p>
        </w:tc>
        <w:tc>
          <w:tcPr>
            <w:tcW w:w="2980" w:type="dxa"/>
            <w:vAlign w:val="bottom"/>
            <w:tcBorders>
              <w:right w:val="single" w:sz="8" w:color="231F20"/>
            </w:tcBorders>
          </w:tcPr>
          <w:p>
            <w:pPr>
              <w:spacing w:after="0"/>
              <w:rPr>
                <w:sz w:val="13"/>
                <w:szCs w:val="13"/>
                <w:color w:val="auto"/>
              </w:rPr>
            </w:pPr>
          </w:p>
        </w:tc>
      </w:tr>
      <w:tr>
        <w:trPr>
          <w:trHeight w:val="280"/>
        </w:trPr>
        <w:tc>
          <w:tcPr>
            <w:tcW w:w="340" w:type="dxa"/>
            <w:vAlign w:val="bottom"/>
            <w:tcBorders>
              <w:left w:val="single" w:sz="8" w:color="231F20"/>
            </w:tcBorders>
            <w:shd w:val="clear" w:color="auto" w:fill="DCDDDE"/>
          </w:tcPr>
          <w:p>
            <w:pPr>
              <w:ind w:left="120"/>
              <w:spacing w:after="0" w:line="268" w:lineRule="exact"/>
              <w:rPr>
                <w:sz w:val="20"/>
                <w:szCs w:val="20"/>
                <w:color w:val="auto"/>
              </w:rPr>
            </w:pPr>
            <w:r>
              <w:rPr>
                <w:rFonts w:ascii="Arial Unicode MS" w:cs="Arial Unicode MS" w:eastAsia="Arial Unicode MS" w:hAnsi="Arial Unicode MS"/>
                <w:sz w:val="20"/>
                <w:szCs w:val="20"/>
                <w:color w:val="EF3E2A"/>
              </w:rPr>
              <w:t>✓</w:t>
            </w:r>
          </w:p>
        </w:tc>
        <w:tc>
          <w:tcPr>
            <w:tcW w:w="3020" w:type="dxa"/>
            <w:vAlign w:val="bottom"/>
            <w:shd w:val="clear" w:color="auto" w:fill="DCDDDE"/>
          </w:tcPr>
          <w:p>
            <w:pPr>
              <w:ind w:left="180"/>
              <w:spacing w:after="0"/>
              <w:rPr>
                <w:sz w:val="20"/>
                <w:szCs w:val="20"/>
                <w:color w:val="auto"/>
              </w:rPr>
            </w:pPr>
            <w:r>
              <w:rPr>
                <w:rFonts w:ascii="Arial" w:cs="Arial" w:eastAsia="Arial" w:hAnsi="Arial"/>
                <w:sz w:val="20"/>
                <w:szCs w:val="20"/>
                <w:color w:val="231F20"/>
              </w:rPr>
              <w:t>Prohibition on Trustees and</w:t>
            </w:r>
          </w:p>
        </w:tc>
        <w:tc>
          <w:tcPr>
            <w:tcW w:w="400" w:type="dxa"/>
            <w:vAlign w:val="bottom"/>
          </w:tcPr>
          <w:p>
            <w:pPr>
              <w:ind w:left="120"/>
              <w:spacing w:after="0" w:line="268" w:lineRule="exact"/>
              <w:rPr>
                <w:sz w:val="20"/>
                <w:szCs w:val="20"/>
                <w:color w:val="auto"/>
              </w:rPr>
            </w:pPr>
            <w:r>
              <w:rPr>
                <w:rFonts w:ascii="Arial Unicode MS" w:cs="Arial Unicode MS" w:eastAsia="Arial Unicode MS" w:hAnsi="Arial Unicode MS"/>
                <w:sz w:val="20"/>
                <w:szCs w:val="20"/>
                <w:color w:val="EF3E2A"/>
              </w:rPr>
              <w:t>✓</w:t>
            </w:r>
          </w:p>
        </w:tc>
        <w:tc>
          <w:tcPr>
            <w:tcW w:w="2960" w:type="dxa"/>
            <w:vAlign w:val="bottom"/>
          </w:tcPr>
          <w:p>
            <w:pPr>
              <w:ind w:left="120"/>
              <w:spacing w:after="0"/>
              <w:rPr>
                <w:sz w:val="20"/>
                <w:szCs w:val="20"/>
                <w:color w:val="auto"/>
              </w:rPr>
            </w:pPr>
            <w:r>
              <w:rPr>
                <w:rFonts w:ascii="Arial" w:cs="Arial" w:eastAsia="Arial" w:hAnsi="Arial"/>
                <w:sz w:val="20"/>
                <w:szCs w:val="20"/>
                <w:color w:val="231F20"/>
              </w:rPr>
              <w:t>Shareholder approval required</w:t>
            </w:r>
          </w:p>
        </w:tc>
        <w:tc>
          <w:tcPr>
            <w:tcW w:w="400" w:type="dxa"/>
            <w:vAlign w:val="bottom"/>
            <w:shd w:val="clear" w:color="auto" w:fill="DCDDDE"/>
          </w:tcPr>
          <w:p>
            <w:pPr>
              <w:ind w:left="120"/>
              <w:spacing w:after="0" w:line="268" w:lineRule="exact"/>
              <w:rPr>
                <w:sz w:val="20"/>
                <w:szCs w:val="20"/>
                <w:color w:val="auto"/>
              </w:rPr>
            </w:pPr>
            <w:r>
              <w:rPr>
                <w:rFonts w:ascii="Arial Unicode MS" w:cs="Arial Unicode MS" w:eastAsia="Arial Unicode MS" w:hAnsi="Arial Unicode MS"/>
                <w:sz w:val="20"/>
                <w:szCs w:val="20"/>
                <w:color w:val="EF3E2A"/>
              </w:rPr>
              <w:t>✓</w:t>
            </w:r>
          </w:p>
        </w:tc>
        <w:tc>
          <w:tcPr>
            <w:tcW w:w="2980" w:type="dxa"/>
            <w:vAlign w:val="bottom"/>
            <w:tcBorders>
              <w:right w:val="single" w:sz="8" w:color="231F20"/>
            </w:tcBorders>
            <w:shd w:val="clear" w:color="auto" w:fill="DCDDDE"/>
          </w:tcPr>
          <w:p>
            <w:pPr>
              <w:ind w:left="120"/>
              <w:spacing w:after="0"/>
              <w:rPr>
                <w:sz w:val="20"/>
                <w:szCs w:val="20"/>
                <w:color w:val="auto"/>
              </w:rPr>
            </w:pPr>
            <w:r>
              <w:rPr>
                <w:rFonts w:ascii="Arial" w:cs="Arial" w:eastAsia="Arial" w:hAnsi="Arial"/>
                <w:sz w:val="20"/>
                <w:szCs w:val="20"/>
                <w:color w:val="231F20"/>
              </w:rPr>
              <w:t>Robust share ownership</w:t>
            </w:r>
          </w:p>
        </w:tc>
      </w:tr>
      <w:tr>
        <w:trPr>
          <w:trHeight w:val="242"/>
        </w:trPr>
        <w:tc>
          <w:tcPr>
            <w:tcW w:w="340" w:type="dxa"/>
            <w:vAlign w:val="bottom"/>
            <w:tcBorders>
              <w:left w:val="single" w:sz="8" w:color="231F20"/>
            </w:tcBorders>
            <w:shd w:val="clear" w:color="auto" w:fill="DCDDDE"/>
          </w:tcPr>
          <w:p>
            <w:pPr>
              <w:spacing w:after="0"/>
              <w:rPr>
                <w:sz w:val="21"/>
                <w:szCs w:val="21"/>
                <w:color w:val="auto"/>
              </w:rPr>
            </w:pPr>
          </w:p>
        </w:tc>
        <w:tc>
          <w:tcPr>
            <w:tcW w:w="3020" w:type="dxa"/>
            <w:vAlign w:val="bottom"/>
            <w:shd w:val="clear" w:color="auto" w:fill="DCDDDE"/>
          </w:tcPr>
          <w:p>
            <w:pPr>
              <w:ind w:left="180"/>
              <w:spacing w:after="0"/>
              <w:rPr>
                <w:sz w:val="20"/>
                <w:szCs w:val="20"/>
                <w:color w:val="auto"/>
              </w:rPr>
            </w:pPr>
            <w:r>
              <w:rPr>
                <w:rFonts w:ascii="Arial" w:cs="Arial" w:eastAsia="Arial" w:hAnsi="Arial"/>
                <w:sz w:val="20"/>
                <w:szCs w:val="20"/>
                <w:color w:val="231F20"/>
              </w:rPr>
              <w:t>management hedging and</w:t>
            </w:r>
          </w:p>
        </w:tc>
        <w:tc>
          <w:tcPr>
            <w:tcW w:w="400" w:type="dxa"/>
            <w:vAlign w:val="bottom"/>
          </w:tcPr>
          <w:p>
            <w:pPr>
              <w:spacing w:after="0"/>
              <w:rPr>
                <w:sz w:val="21"/>
                <w:szCs w:val="21"/>
                <w:color w:val="auto"/>
              </w:rPr>
            </w:pPr>
          </w:p>
        </w:tc>
        <w:tc>
          <w:tcPr>
            <w:tcW w:w="2960" w:type="dxa"/>
            <w:vAlign w:val="bottom"/>
          </w:tcPr>
          <w:p>
            <w:pPr>
              <w:ind w:left="120"/>
              <w:spacing w:after="0"/>
              <w:rPr>
                <w:sz w:val="20"/>
                <w:szCs w:val="20"/>
                <w:color w:val="auto"/>
              </w:rPr>
            </w:pPr>
            <w:r>
              <w:rPr>
                <w:rFonts w:ascii="Arial" w:cs="Arial" w:eastAsia="Arial" w:hAnsi="Arial"/>
                <w:sz w:val="20"/>
                <w:szCs w:val="20"/>
                <w:color w:val="231F20"/>
              </w:rPr>
              <w:t>to classify our Board</w:t>
            </w:r>
          </w:p>
        </w:tc>
        <w:tc>
          <w:tcPr>
            <w:tcW w:w="400" w:type="dxa"/>
            <w:vAlign w:val="bottom"/>
            <w:shd w:val="clear" w:color="auto" w:fill="DCDDDE"/>
          </w:tcPr>
          <w:p>
            <w:pPr>
              <w:spacing w:after="0"/>
              <w:rPr>
                <w:sz w:val="21"/>
                <w:szCs w:val="21"/>
                <w:color w:val="auto"/>
              </w:rPr>
            </w:pPr>
          </w:p>
        </w:tc>
        <w:tc>
          <w:tcPr>
            <w:tcW w:w="2980" w:type="dxa"/>
            <w:vAlign w:val="bottom"/>
            <w:tcBorders>
              <w:right w:val="single" w:sz="8" w:color="231F20"/>
            </w:tcBorders>
            <w:shd w:val="clear" w:color="auto" w:fill="DCDDDE"/>
          </w:tcPr>
          <w:p>
            <w:pPr>
              <w:ind w:left="120"/>
              <w:spacing w:after="0"/>
              <w:rPr>
                <w:sz w:val="20"/>
                <w:szCs w:val="20"/>
                <w:color w:val="auto"/>
              </w:rPr>
            </w:pPr>
            <w:r>
              <w:rPr>
                <w:rFonts w:ascii="Arial" w:cs="Arial" w:eastAsia="Arial" w:hAnsi="Arial"/>
                <w:sz w:val="20"/>
                <w:szCs w:val="20"/>
                <w:color w:val="231F20"/>
              </w:rPr>
              <w:t>guidelines in place for Trustees</w:t>
            </w:r>
          </w:p>
        </w:tc>
      </w:tr>
      <w:tr>
        <w:trPr>
          <w:trHeight w:val="268"/>
        </w:trPr>
        <w:tc>
          <w:tcPr>
            <w:tcW w:w="340" w:type="dxa"/>
            <w:vAlign w:val="bottom"/>
            <w:tcBorders>
              <w:left w:val="single" w:sz="8" w:color="231F20"/>
              <w:bottom w:val="single" w:sz="8" w:color="DCDDDE"/>
            </w:tcBorders>
            <w:shd w:val="clear" w:color="auto" w:fill="DCDDDE"/>
          </w:tcPr>
          <w:p>
            <w:pPr>
              <w:spacing w:after="0"/>
              <w:rPr>
                <w:sz w:val="23"/>
                <w:szCs w:val="23"/>
                <w:color w:val="auto"/>
              </w:rPr>
            </w:pPr>
          </w:p>
        </w:tc>
        <w:tc>
          <w:tcPr>
            <w:tcW w:w="3020" w:type="dxa"/>
            <w:vAlign w:val="bottom"/>
            <w:tcBorders>
              <w:bottom w:val="single" w:sz="8" w:color="DCDDDE"/>
            </w:tcBorders>
            <w:shd w:val="clear" w:color="auto" w:fill="DCDDDE"/>
          </w:tcPr>
          <w:p>
            <w:pPr>
              <w:ind w:left="180"/>
              <w:spacing w:after="0"/>
              <w:rPr>
                <w:sz w:val="20"/>
                <w:szCs w:val="20"/>
                <w:color w:val="auto"/>
              </w:rPr>
            </w:pPr>
            <w:r>
              <w:rPr>
                <w:rFonts w:ascii="Arial" w:cs="Arial" w:eastAsia="Arial" w:hAnsi="Arial"/>
                <w:sz w:val="20"/>
                <w:szCs w:val="20"/>
                <w:color w:val="231F20"/>
              </w:rPr>
              <w:t>pledging our shares</w:t>
            </w:r>
          </w:p>
        </w:tc>
        <w:tc>
          <w:tcPr>
            <w:tcW w:w="400" w:type="dxa"/>
            <w:vAlign w:val="bottom"/>
          </w:tcPr>
          <w:p>
            <w:pPr>
              <w:spacing w:after="0"/>
              <w:rPr>
                <w:sz w:val="23"/>
                <w:szCs w:val="23"/>
                <w:color w:val="auto"/>
              </w:rPr>
            </w:pPr>
          </w:p>
        </w:tc>
        <w:tc>
          <w:tcPr>
            <w:tcW w:w="2960" w:type="dxa"/>
            <w:vAlign w:val="bottom"/>
          </w:tcPr>
          <w:p>
            <w:pPr>
              <w:spacing w:after="0"/>
              <w:rPr>
                <w:sz w:val="23"/>
                <w:szCs w:val="23"/>
                <w:color w:val="auto"/>
              </w:rPr>
            </w:pPr>
          </w:p>
        </w:tc>
        <w:tc>
          <w:tcPr>
            <w:tcW w:w="400" w:type="dxa"/>
            <w:vAlign w:val="bottom"/>
            <w:tcBorders>
              <w:bottom w:val="single" w:sz="8" w:color="DCDDDE"/>
            </w:tcBorders>
            <w:shd w:val="clear" w:color="auto" w:fill="DCDDDE"/>
          </w:tcPr>
          <w:p>
            <w:pPr>
              <w:spacing w:after="0"/>
              <w:rPr>
                <w:sz w:val="23"/>
                <w:szCs w:val="23"/>
                <w:color w:val="auto"/>
              </w:rPr>
            </w:pPr>
          </w:p>
        </w:tc>
        <w:tc>
          <w:tcPr>
            <w:tcW w:w="2980" w:type="dxa"/>
            <w:vAlign w:val="bottom"/>
            <w:tcBorders>
              <w:bottom w:val="single" w:sz="8" w:color="DCDDDE"/>
              <w:right w:val="single" w:sz="8" w:color="231F20"/>
            </w:tcBorders>
            <w:shd w:val="clear" w:color="auto" w:fill="DCDDDE"/>
          </w:tcPr>
          <w:p>
            <w:pPr>
              <w:ind w:left="120"/>
              <w:spacing w:after="0"/>
              <w:rPr>
                <w:sz w:val="20"/>
                <w:szCs w:val="20"/>
                <w:color w:val="auto"/>
              </w:rPr>
            </w:pPr>
            <w:r>
              <w:rPr>
                <w:rFonts w:ascii="Arial" w:cs="Arial" w:eastAsia="Arial" w:hAnsi="Arial"/>
                <w:sz w:val="20"/>
                <w:szCs w:val="20"/>
                <w:color w:val="231F20"/>
              </w:rPr>
              <w:t>and senior management</w:t>
            </w:r>
          </w:p>
        </w:tc>
      </w:tr>
      <w:tr>
        <w:trPr>
          <w:trHeight w:val="512"/>
        </w:trPr>
        <w:tc>
          <w:tcPr>
            <w:tcW w:w="340" w:type="dxa"/>
            <w:vAlign w:val="bottom"/>
            <w:tcBorders>
              <w:top w:val="single" w:sz="8" w:color="231F20"/>
            </w:tcBorders>
          </w:tcPr>
          <w:p>
            <w:pPr>
              <w:spacing w:after="0" w:line="268" w:lineRule="exact"/>
              <w:rPr>
                <w:sz w:val="20"/>
                <w:szCs w:val="20"/>
                <w:color w:val="auto"/>
              </w:rPr>
            </w:pPr>
            <w:r>
              <w:rPr>
                <w:rFonts w:ascii="Arial Unicode MS" w:cs="Arial Unicode MS" w:eastAsia="Arial Unicode MS" w:hAnsi="Arial Unicode MS"/>
                <w:sz w:val="20"/>
                <w:szCs w:val="20"/>
                <w:color w:val="EF3E2A"/>
              </w:rPr>
              <w:t>➢</w:t>
            </w:r>
          </w:p>
        </w:tc>
        <w:tc>
          <w:tcPr>
            <w:tcW w:w="3020" w:type="dxa"/>
            <w:vAlign w:val="bottom"/>
            <w:tcBorders>
              <w:top w:val="single" w:sz="8" w:color="231F20"/>
            </w:tcBorders>
          </w:tcPr>
          <w:p>
            <w:pPr>
              <w:ind w:left="60"/>
              <w:spacing w:after="0"/>
              <w:rPr>
                <w:sz w:val="20"/>
                <w:szCs w:val="20"/>
                <w:color w:val="auto"/>
              </w:rPr>
            </w:pPr>
            <w:r>
              <w:rPr>
                <w:rFonts w:ascii="Arial" w:cs="Arial" w:eastAsia="Arial" w:hAnsi="Arial"/>
                <w:sz w:val="20"/>
                <w:szCs w:val="20"/>
                <w:b w:val="1"/>
                <w:bCs w:val="1"/>
                <w:color w:val="231F20"/>
              </w:rPr>
              <w:t>BOARD LEADERSHIP</w:t>
            </w:r>
          </w:p>
        </w:tc>
        <w:tc>
          <w:tcPr>
            <w:tcW w:w="400" w:type="dxa"/>
            <w:vAlign w:val="bottom"/>
            <w:tcBorders>
              <w:top w:val="single" w:sz="8" w:color="231F20"/>
            </w:tcBorders>
          </w:tcPr>
          <w:p>
            <w:pPr>
              <w:spacing w:after="0"/>
              <w:rPr>
                <w:sz w:val="24"/>
                <w:szCs w:val="24"/>
                <w:color w:val="auto"/>
              </w:rPr>
            </w:pPr>
          </w:p>
        </w:tc>
        <w:tc>
          <w:tcPr>
            <w:tcW w:w="2960" w:type="dxa"/>
            <w:vAlign w:val="bottom"/>
            <w:tcBorders>
              <w:top w:val="single" w:sz="8" w:color="231F20"/>
            </w:tcBorders>
          </w:tcPr>
          <w:p>
            <w:pPr>
              <w:spacing w:after="0"/>
              <w:rPr>
                <w:sz w:val="24"/>
                <w:szCs w:val="24"/>
                <w:color w:val="auto"/>
              </w:rPr>
            </w:pPr>
          </w:p>
        </w:tc>
        <w:tc>
          <w:tcPr>
            <w:tcW w:w="400" w:type="dxa"/>
            <w:vAlign w:val="bottom"/>
            <w:tcBorders>
              <w:top w:val="single" w:sz="8" w:color="231F20"/>
            </w:tcBorders>
          </w:tcPr>
          <w:p>
            <w:pPr>
              <w:spacing w:after="0"/>
              <w:rPr>
                <w:sz w:val="24"/>
                <w:szCs w:val="24"/>
                <w:color w:val="auto"/>
              </w:rPr>
            </w:pPr>
          </w:p>
        </w:tc>
        <w:tc>
          <w:tcPr>
            <w:tcW w:w="2980" w:type="dxa"/>
            <w:vAlign w:val="bottom"/>
            <w:tcBorders>
              <w:top w:val="single" w:sz="8" w:color="231F20"/>
            </w:tcBorders>
          </w:tcPr>
          <w:p>
            <w:pPr>
              <w:spacing w:after="0"/>
              <w:rPr>
                <w:sz w:val="24"/>
                <w:szCs w:val="24"/>
                <w:color w:val="auto"/>
              </w:rPr>
            </w:pPr>
          </w:p>
        </w:tc>
      </w:tr>
    </w:tbl>
    <w:p>
      <w:pPr>
        <w:spacing w:after="0" w:line="255"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231F20"/>
        </w:rPr>
        <w:t>Our Board has been led by an independent, Non-Executive Chairman for more than 20 years. Mr. Faeder has filled that role since May 2021. The Board determined and continues to believe that separating the roles of Board chairman and CEO is the most effective way to govern the Company. The separation allows our Chairman to focus on Board administration, to facilitate communication among Trustees and to serve as a liaison to our CEO while allowing our chief executive to focus on the day-to-day management and implementation of long-term strategy of the Company.</w:t>
      </w:r>
    </w:p>
    <w:p>
      <w:pPr>
        <w:spacing w:after="0" w:line="206" w:lineRule="exact"/>
        <w:rPr>
          <w:sz w:val="20"/>
          <w:szCs w:val="20"/>
          <w:color w:val="auto"/>
        </w:rPr>
      </w:pPr>
    </w:p>
    <w:p>
      <w:pPr>
        <w:spacing w:after="0" w:line="268" w:lineRule="exact"/>
        <w:rPr>
          <w:sz w:val="20"/>
          <w:szCs w:val="20"/>
          <w:color w:val="auto"/>
        </w:rPr>
      </w:pPr>
      <w:r>
        <w:rPr>
          <w:rFonts w:ascii="Arial Unicode MS" w:cs="Arial Unicode MS" w:eastAsia="Arial Unicode MS" w:hAnsi="Arial Unicode MS"/>
          <w:sz w:val="20"/>
          <w:szCs w:val="20"/>
          <w:color w:val="EF3E2A"/>
        </w:rPr>
        <w:t>➢</w:t>
      </w:r>
      <w:r>
        <w:rPr>
          <w:rFonts w:ascii="Arial" w:cs="Arial" w:eastAsia="Arial" w:hAnsi="Arial"/>
          <w:sz w:val="20"/>
          <w:szCs w:val="20"/>
          <w:b w:val="1"/>
          <w:bCs w:val="1"/>
          <w:color w:val="231F20"/>
        </w:rPr>
        <w:t xml:space="preserve"> BOARD AND COMMITTEE MEETINGS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4229100</wp:posOffset>
                </wp:positionH>
                <wp:positionV relativeFrom="paragraph">
                  <wp:posOffset>138430</wp:posOffset>
                </wp:positionV>
                <wp:extent cx="0" cy="1803400"/>
                <wp:wrapNone/>
                <wp:docPr id="151" name="Shape 1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03400"/>
                        </a:xfrm>
                        <a:prstGeom prst="line">
                          <a:avLst/>
                        </a:prstGeom>
                        <a:solidFill>
                          <a:srgbClr val="FFFFFF"/>
                        </a:solidFill>
                        <a:ln w="25400">
                          <a:solidFill>
                            <a:srgbClr val="EF3E2A"/>
                          </a:solidFill>
                          <a:miter lim="800000"/>
                          <a:headEnd/>
                          <a:tailEnd/>
                        </a:ln>
                      </wps:spPr>
                      <wps:bodyPr/>
                    </wps:wsp>
                  </a:graphicData>
                </a:graphic>
              </wp:anchor>
            </w:drawing>
          </mc:Choice>
          <mc:Fallback>
            <w:pict>
              <v:line id="Shape 151" o:spid="_x0000_s11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3pt,10.9pt" to="333pt,152.9pt" o:allowincell="f" strokecolor="#EF3E2A" strokeweight="2pt"/>
            </w:pict>
          </mc:Fallback>
        </mc:AlternateContent>
      </w:r>
    </w:p>
    <w:p>
      <w:pPr>
        <w:sectPr>
          <w:pgSz w:w="11880" w:h="15480" w:orient="portrait"/>
          <w:cols w:equalWidth="0" w:num="1">
            <w:col w:w="10080"/>
          </w:cols>
          <w:pgMar w:left="900" w:top="1272" w:right="900" w:bottom="763" w:gutter="0" w:footer="0" w:header="0"/>
        </w:sectPr>
      </w:pPr>
    </w:p>
    <w:p>
      <w:pPr>
        <w:spacing w:after="0" w:line="255" w:lineRule="exact"/>
        <w:rPr>
          <w:sz w:val="20"/>
          <w:szCs w:val="20"/>
          <w:color w:val="auto"/>
        </w:rPr>
      </w:pPr>
    </w:p>
    <w:p>
      <w:pPr>
        <w:jc w:val="both"/>
        <w:ind w:right="20"/>
        <w:spacing w:after="0" w:line="250" w:lineRule="auto"/>
        <w:rPr>
          <w:sz w:val="20"/>
          <w:szCs w:val="20"/>
          <w:color w:val="auto"/>
        </w:rPr>
      </w:pPr>
      <w:r>
        <w:rPr>
          <w:rFonts w:ascii="Arial" w:cs="Arial" w:eastAsia="Arial" w:hAnsi="Arial"/>
          <w:sz w:val="20"/>
          <w:szCs w:val="20"/>
          <w:color w:val="231F20"/>
        </w:rPr>
        <w:t>The Board met five (5) times in 2025 and our trustees collectively attended 99% of all of the meetings of the Board and the committees on which they serve. Our policy is for all trustees to attend all meetings of each of the Board’s standing committees to ensure that each Trustee is fully informed on all issues facing the Company and has the opportunity to participate in discussions surrounding those issues. Only trustees who are members of the specific committee are entitled to vote on matters presented to that committee. At each quarterly meeting, the Trustees met in executive session with all Trustees and then with just non-management Trustees, all of whom are independent. All Trustees are also expected to attend our annual shareholder meeting and all Trustees attended the 2025 annual shareholder meeting.</w:t>
      </w:r>
    </w:p>
    <w:p>
      <w:pPr>
        <w:spacing w:after="0" w:line="203" w:lineRule="exact"/>
        <w:rPr>
          <w:sz w:val="20"/>
          <w:szCs w:val="20"/>
          <w:color w:val="auto"/>
        </w:rPr>
      </w:pPr>
    </w:p>
    <w:p>
      <w:pPr>
        <w:spacing w:after="0" w:line="268" w:lineRule="exact"/>
        <w:rPr>
          <w:sz w:val="20"/>
          <w:szCs w:val="20"/>
          <w:color w:val="auto"/>
        </w:rPr>
      </w:pPr>
      <w:r>
        <w:rPr>
          <w:rFonts w:ascii="Arial Unicode MS" w:cs="Arial Unicode MS" w:eastAsia="Arial Unicode MS" w:hAnsi="Arial Unicode MS"/>
          <w:sz w:val="20"/>
          <w:szCs w:val="20"/>
          <w:color w:val="EF3E2A"/>
        </w:rPr>
        <w:t>➢</w:t>
      </w:r>
      <w:r>
        <w:rPr>
          <w:rFonts w:ascii="Arial" w:cs="Arial" w:eastAsia="Arial" w:hAnsi="Arial"/>
          <w:sz w:val="20"/>
          <w:szCs w:val="20"/>
          <w:b w:val="1"/>
          <w:bCs w:val="1"/>
          <w:color w:val="231F20"/>
        </w:rPr>
        <w:t xml:space="preserve"> BOARD COMMITTEES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2" w:lineRule="exact"/>
        <w:rPr>
          <w:sz w:val="20"/>
          <w:szCs w:val="20"/>
          <w:color w:val="auto"/>
        </w:rPr>
      </w:pPr>
    </w:p>
    <w:p>
      <w:pPr>
        <w:jc w:val="center"/>
        <w:ind w:right="220"/>
        <w:spacing w:after="0"/>
        <w:rPr>
          <w:sz w:val="20"/>
          <w:szCs w:val="20"/>
          <w:color w:val="auto"/>
        </w:rPr>
      </w:pPr>
      <w:r>
        <w:rPr>
          <w:rFonts w:ascii="Arial" w:cs="Arial" w:eastAsia="Arial" w:hAnsi="Arial"/>
          <w:sz w:val="24"/>
          <w:szCs w:val="24"/>
          <w:b w:val="1"/>
          <w:bCs w:val="1"/>
          <w:color w:val="EF3E2A"/>
        </w:rPr>
        <w:t>100%</w:t>
      </w:r>
    </w:p>
    <w:p>
      <w:pPr>
        <w:jc w:val="center"/>
        <w:ind w:right="220"/>
        <w:spacing w:after="0"/>
        <w:rPr>
          <w:sz w:val="20"/>
          <w:szCs w:val="20"/>
          <w:color w:val="auto"/>
        </w:rPr>
      </w:pPr>
      <w:r>
        <w:rPr>
          <w:rFonts w:ascii="Arial" w:cs="Arial" w:eastAsia="Arial" w:hAnsi="Arial"/>
          <w:sz w:val="19"/>
          <w:szCs w:val="19"/>
          <w:color w:val="231F20"/>
        </w:rPr>
        <w:t>Attendance at the annual</w:t>
      </w:r>
    </w:p>
    <w:p>
      <w:pPr>
        <w:spacing w:after="0" w:line="11" w:lineRule="exact"/>
        <w:rPr>
          <w:sz w:val="20"/>
          <w:szCs w:val="20"/>
          <w:color w:val="auto"/>
        </w:rPr>
      </w:pPr>
    </w:p>
    <w:p>
      <w:pPr>
        <w:jc w:val="center"/>
        <w:ind w:right="220"/>
        <w:spacing w:after="0"/>
        <w:rPr>
          <w:sz w:val="20"/>
          <w:szCs w:val="20"/>
          <w:color w:val="auto"/>
        </w:rPr>
      </w:pPr>
      <w:r>
        <w:rPr>
          <w:rFonts w:ascii="Arial" w:cs="Arial" w:eastAsia="Arial" w:hAnsi="Arial"/>
          <w:sz w:val="19"/>
          <w:szCs w:val="19"/>
          <w:color w:val="231F20"/>
        </w:rPr>
        <w:t>shareholder meeting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-139065</wp:posOffset>
                </wp:positionH>
                <wp:positionV relativeFrom="paragraph">
                  <wp:posOffset>140970</wp:posOffset>
                </wp:positionV>
                <wp:extent cx="2005965" cy="0"/>
                <wp:wrapNone/>
                <wp:docPr id="152" name="Shape 1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05965" cy="4763"/>
                        </a:xfrm>
                        <a:prstGeom prst="line">
                          <a:avLst/>
                        </a:prstGeom>
                        <a:solidFill>
                          <a:srgbClr val="FFFFFF"/>
                        </a:solidFill>
                        <a:ln w="25400">
                          <a:solidFill>
                            <a:srgbClr val="231F20"/>
                          </a:solidFill>
                          <a:miter lim="800000"/>
                          <a:headEnd/>
                          <a:tailEnd/>
                        </a:ln>
                      </wps:spPr>
                      <wps:bodyPr/>
                    </wps:wsp>
                  </a:graphicData>
                </a:graphic>
              </wp:anchor>
            </w:drawing>
          </mc:Choice>
          <mc:Fallback>
            <w:pict>
              <v:line id="Shape 152" o:spid="_x0000_s11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9499pt,11.1pt" to="147pt,11.1pt" o:allowincell="f" strokecolor="#231F20" strokeweight="2pt"/>
            </w:pict>
          </mc:Fallback>
        </mc:AlternateContent>
      </w:r>
    </w:p>
    <w:p>
      <w:pPr>
        <w:spacing w:after="0" w:line="200" w:lineRule="exact"/>
        <w:rPr>
          <w:sz w:val="20"/>
          <w:szCs w:val="20"/>
          <w:color w:val="auto"/>
        </w:rPr>
      </w:pPr>
    </w:p>
    <w:p>
      <w:pPr>
        <w:spacing w:after="0" w:line="316" w:lineRule="exact"/>
        <w:rPr>
          <w:sz w:val="20"/>
          <w:szCs w:val="20"/>
          <w:color w:val="auto"/>
        </w:rPr>
      </w:pPr>
    </w:p>
    <w:p>
      <w:pPr>
        <w:jc w:val="center"/>
        <w:ind w:right="220"/>
        <w:spacing w:after="0"/>
        <w:rPr>
          <w:sz w:val="20"/>
          <w:szCs w:val="20"/>
          <w:color w:val="auto"/>
        </w:rPr>
      </w:pPr>
      <w:r>
        <w:rPr>
          <w:rFonts w:ascii="Arial" w:cs="Arial" w:eastAsia="Arial" w:hAnsi="Arial"/>
          <w:sz w:val="24"/>
          <w:szCs w:val="24"/>
          <w:b w:val="1"/>
          <w:bCs w:val="1"/>
          <w:color w:val="EF3E2A"/>
        </w:rPr>
        <w:t>99%</w:t>
      </w:r>
    </w:p>
    <w:p>
      <w:pPr>
        <w:spacing w:after="0" w:line="15" w:lineRule="exact"/>
        <w:rPr>
          <w:sz w:val="20"/>
          <w:szCs w:val="20"/>
          <w:color w:val="auto"/>
        </w:rPr>
      </w:pPr>
    </w:p>
    <w:p>
      <w:pPr>
        <w:jc w:val="center"/>
        <w:ind w:right="220"/>
        <w:spacing w:after="0" w:line="285" w:lineRule="auto"/>
        <w:rPr>
          <w:sz w:val="20"/>
          <w:szCs w:val="20"/>
          <w:color w:val="auto"/>
        </w:rPr>
      </w:pPr>
      <w:r>
        <w:rPr>
          <w:rFonts w:ascii="Arial" w:cs="Arial" w:eastAsia="Arial" w:hAnsi="Arial"/>
          <w:sz w:val="17"/>
          <w:szCs w:val="17"/>
          <w:color w:val="231F20"/>
        </w:rPr>
        <w:t>Attendance by all Trustees of total Board meetings and meetings of Committees on which they serve</w:t>
      </w:r>
    </w:p>
    <w:p>
      <w:pPr>
        <w:spacing w:after="0" w:line="1060" w:lineRule="exact"/>
        <w:rPr>
          <w:sz w:val="20"/>
          <w:szCs w:val="20"/>
          <w:color w:val="auto"/>
        </w:rPr>
      </w:pPr>
    </w:p>
    <w:p>
      <w:pPr>
        <w:sectPr>
          <w:pgSz w:w="11880" w:h="15480" w:orient="portrait"/>
          <w:cols w:equalWidth="0" w:num="2">
            <w:col w:w="6420" w:space="720"/>
            <w:col w:w="2940"/>
          </w:cols>
          <w:pgMar w:left="900" w:top="1272" w:right="900" w:bottom="763" w:gutter="0" w:footer="0" w:header="0"/>
          <w:type w:val="continuous"/>
        </w:sectPr>
      </w:pPr>
    </w:p>
    <w:p>
      <w:pPr>
        <w:spacing w:after="0" w:line="55"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231F20"/>
        </w:rPr>
        <w:t xml:space="preserve">The Board has three standing committees – the Audit Committee, the Compensation and Human Capital Management Committee (“Compensation Committee”) and the Nominating and Corporate Governance Committee (“Nominating Committee”). Each committee operates under a written charter that is available in the Investors/Corporate Governance section of our website at </w:t>
      </w:r>
      <w:r>
        <w:rPr>
          <w:rFonts w:ascii="Arial" w:cs="Arial" w:eastAsia="Arial" w:hAnsi="Arial"/>
          <w:sz w:val="20"/>
          <w:szCs w:val="20"/>
          <w:i w:val="1"/>
          <w:iCs w:val="1"/>
          <w:u w:val="single" w:color="auto"/>
          <w:color w:val="231F20"/>
        </w:rPr>
        <w:t>www.federalrealty.com</w:t>
      </w:r>
      <w:r>
        <w:rPr>
          <w:rFonts w:ascii="Arial" w:cs="Arial" w:eastAsia="Arial" w:hAnsi="Arial"/>
          <w:sz w:val="20"/>
          <w:szCs w:val="20"/>
          <w:color w:val="231F20"/>
        </w:rPr>
        <w:t>. Each committee consists entirely of independent, non-employee trustees.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387350</wp:posOffset>
                </wp:positionV>
                <wp:extent cx="6400800" cy="177800"/>
                <wp:wrapNone/>
                <wp:docPr id="153" name="Shape 1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177800"/>
                        </a:xfrm>
                        <a:prstGeom prst="rect">
                          <a:avLst/>
                        </a:prstGeom>
                        <a:solidFill>
                          <a:srgbClr val="E8E7E5"/>
                        </a:solidFill>
                      </wps:spPr>
                      <wps:bodyPr/>
                    </wps:wsp>
                  </a:graphicData>
                </a:graphic>
              </wp:anchor>
            </w:drawing>
          </mc:Choice>
          <mc:Fallback>
            <w:pict>
              <v:rect id="Shape 153" o:spid="_x0000_s1178" style="position:absolute;margin-left:0pt;margin-top:30.5pt;width:504pt;height:1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8E7E5" stroked="f"/>
            </w:pict>
          </mc:Fallback>
        </mc:AlternateContent>
        <mc:AlternateContent>
          <mc:Choice Requires="wps">
            <w:drawing>
              <wp:anchor simplePos="0" relativeHeight="251657728" behindDoc="1" locked="0" layoutInCell="0" allowOverlap="1">
                <wp:simplePos x="0" y="0"/>
                <wp:positionH relativeFrom="column">
                  <wp:posOffset>6350</wp:posOffset>
                </wp:positionH>
                <wp:positionV relativeFrom="paragraph">
                  <wp:posOffset>387350</wp:posOffset>
                </wp:positionV>
                <wp:extent cx="0" cy="177800"/>
                <wp:wrapNone/>
                <wp:docPr id="154" name="Shape 1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154" o:spid="_x0000_s11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pt,30.5pt" to="0.5pt,44.5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393700</wp:posOffset>
                </wp:positionV>
                <wp:extent cx="6400800" cy="0"/>
                <wp:wrapNone/>
                <wp:docPr id="155" name="Shape 1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155" o:spid="_x0000_s11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1pt" to="504pt,31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6394450</wp:posOffset>
                </wp:positionH>
                <wp:positionV relativeFrom="paragraph">
                  <wp:posOffset>387350</wp:posOffset>
                </wp:positionV>
                <wp:extent cx="0" cy="177800"/>
                <wp:wrapNone/>
                <wp:docPr id="156" name="Shape 1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156" o:spid="_x0000_s11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3.5pt,30.5pt" to="503.5pt,44.5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558800</wp:posOffset>
                </wp:positionV>
                <wp:extent cx="6400800" cy="0"/>
                <wp:wrapNone/>
                <wp:docPr id="157" name="Shape 1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157" o:spid="_x0000_s11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44pt" to="504pt,44pt" o:allowincell="f" strokecolor="#231F20" strokeweight="1pt"/>
            </w:pict>
          </mc:Fallback>
        </mc:AlternateContent>
      </w:r>
    </w:p>
    <w:p>
      <w:pPr>
        <w:sectPr>
          <w:pgSz w:w="11880" w:h="15480" w:orient="portrait"/>
          <w:cols w:equalWidth="0" w:num="1">
            <w:col w:w="10080"/>
          </w:cols>
          <w:pgMar w:left="900" w:top="1272" w:right="900" w:bottom="763"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6800"/>
        <w:spacing w:after="0"/>
        <w:tabs>
          <w:tab w:leader="none" w:pos="8160" w:val="left"/>
          <w:tab w:leader="none" w:pos="9900" w:val="left"/>
        </w:tabs>
        <w:rPr>
          <w:sz w:val="20"/>
          <w:szCs w:val="20"/>
          <w:color w:val="auto"/>
        </w:rPr>
      </w:pPr>
      <w:r>
        <w:rPr>
          <w:rFonts w:ascii="Arial" w:cs="Arial" w:eastAsia="Arial" w:hAnsi="Arial"/>
          <w:sz w:val="16"/>
          <w:szCs w:val="16"/>
          <w:color w:val="EF3E2A"/>
        </w:rPr>
        <w:t>Federal Realty</w:t>
      </w:r>
      <w:r>
        <w:rPr>
          <w:sz w:val="20"/>
          <w:szCs w:val="20"/>
          <w:color w:val="auto"/>
        </w:rPr>
        <w:tab/>
      </w:r>
      <w:r>
        <w:rPr>
          <w:rFonts w:ascii="Arial" w:cs="Arial" w:eastAsia="Arial" w:hAnsi="Arial"/>
          <w:sz w:val="16"/>
          <w:szCs w:val="16"/>
          <w:color w:val="231F20"/>
        </w:rPr>
        <w:t>2026 Proxy Statement</w:t>
      </w:r>
      <w:r>
        <w:rPr>
          <w:sz w:val="20"/>
          <w:szCs w:val="20"/>
          <w:color w:val="auto"/>
        </w:rPr>
        <w:tab/>
      </w:r>
      <w:r>
        <w:rPr>
          <w:rFonts w:ascii="Arial" w:cs="Arial" w:eastAsia="Arial" w:hAnsi="Arial"/>
          <w:sz w:val="14"/>
          <w:szCs w:val="14"/>
          <w:color w:val="231F20"/>
        </w:rPr>
        <w:t>5</w:t>
      </w:r>
    </w:p>
    <w:p>
      <w:pPr>
        <w:sectPr>
          <w:pgSz w:w="11880" w:h="15480" w:orient="portrait"/>
          <w:cols w:equalWidth="0" w:num="1">
            <w:col w:w="10080"/>
          </w:cols>
          <w:pgMar w:left="900" w:top="1272" w:right="900" w:bottom="763" w:gutter="0" w:footer="0" w:header="0"/>
          <w:type w:val="continuous"/>
        </w:sectPr>
      </w:pPr>
    </w:p>
    <w:bookmarkStart w:id="125" w:name="page126"/>
    <w:bookmarkEnd w:id="125"/>
    <w:p>
      <w:pPr>
        <w:ind w:left="40"/>
        <w:spacing w:after="0"/>
        <w:rPr>
          <w:sz w:val="20"/>
          <w:szCs w:val="20"/>
          <w:color w:val="auto"/>
        </w:rPr>
      </w:pPr>
      <w:r>
        <w:rPr>
          <w:rFonts w:ascii="Arial" w:cs="Arial" w:eastAsia="Arial" w:hAnsi="Arial"/>
          <w:sz w:val="20"/>
          <w:szCs w:val="20"/>
          <w:b w:val="1"/>
          <w:bCs w:val="1"/>
          <w:color w:val="FFFFFF"/>
        </w:rPr>
        <w:t>A</w:t>
      </w:r>
      <w:r>
        <w:rPr>
          <w:rFonts w:ascii="Arial" w:cs="Arial" w:eastAsia="Arial" w:hAnsi="Arial"/>
          <w:sz w:val="15"/>
          <w:szCs w:val="15"/>
          <w:b w:val="1"/>
          <w:bCs w:val="1"/>
          <w:color w:val="FFFFFF"/>
        </w:rPr>
        <w:t>UDIT</w:t>
      </w:r>
      <w:r>
        <w:rPr>
          <w:rFonts w:ascii="Arial" w:cs="Arial" w:eastAsia="Arial" w:hAnsi="Arial"/>
          <w:sz w:val="20"/>
          <w:szCs w:val="20"/>
          <w:b w:val="1"/>
          <w:bCs w:val="1"/>
          <w:color w:val="FFFFFF"/>
        </w:rPr>
        <w:t xml:space="preserve"> C</w:t>
      </w:r>
      <w:r>
        <w:rPr>
          <w:rFonts w:ascii="Arial" w:cs="Arial" w:eastAsia="Arial" w:hAnsi="Arial"/>
          <w:sz w:val="15"/>
          <w:szCs w:val="15"/>
          <w:b w:val="1"/>
          <w:bCs w:val="1"/>
          <w:color w:val="FFFFFF"/>
        </w:rPr>
        <w:t>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143510</wp:posOffset>
            </wp:positionV>
            <wp:extent cx="713105" cy="7835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57">
                      <a:extLst>
                        <a:ext uri="{28A0092B-C50C-407E-A947-70E740481C1C}"/>
                      </a:extLst>
                    </a:blip>
                    <a:srcRect/>
                    <a:stretch>
                      <a:fillRect/>
                    </a:stretch>
                  </pic:blipFill>
                  <pic:spPr bwMode="auto">
                    <a:xfrm>
                      <a:off x="0" y="0"/>
                      <a:ext cx="713105" cy="783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231F20"/>
        </w:rPr>
        <w:t>Members</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20"/>
          <w:szCs w:val="20"/>
          <w:color w:val="EF3E2A"/>
        </w:rPr>
        <w:t>Gail P. Steinel (Chair)*</w:t>
      </w:r>
    </w:p>
    <w:p>
      <w:pPr>
        <w:spacing w:after="0" w:line="17" w:lineRule="exact"/>
        <w:rPr>
          <w:sz w:val="20"/>
          <w:szCs w:val="20"/>
          <w:color w:val="auto"/>
        </w:rPr>
      </w:pPr>
    </w:p>
    <w:p>
      <w:pPr>
        <w:ind w:left="40" w:right="960"/>
        <w:spacing w:after="0" w:line="248" w:lineRule="auto"/>
        <w:rPr>
          <w:sz w:val="20"/>
          <w:szCs w:val="20"/>
          <w:color w:val="auto"/>
        </w:rPr>
      </w:pPr>
      <w:r>
        <w:rPr>
          <w:rFonts w:ascii="Arial" w:cs="Arial" w:eastAsia="Arial" w:hAnsi="Arial"/>
          <w:sz w:val="20"/>
          <w:szCs w:val="20"/>
          <w:color w:val="231F20"/>
        </w:rPr>
        <w:t>David W. Faeder* Joseph D. Fisher*† Elizabeth I. Holland Anthony P. Nader, III*</w:t>
      </w:r>
    </w:p>
    <w:p>
      <w:pPr>
        <w:spacing w:after="0" w:line="243"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231F20"/>
        </w:rPr>
        <w:t xml:space="preserve">Number of Meetings in 2025: </w:t>
      </w:r>
      <w:r>
        <w:rPr>
          <w:rFonts w:ascii="Arial" w:cs="Arial" w:eastAsia="Arial" w:hAnsi="Arial"/>
          <w:sz w:val="20"/>
          <w:szCs w:val="20"/>
          <w:b w:val="1"/>
          <w:bCs w:val="1"/>
          <w:color w:val="EF3E2A"/>
        </w:rPr>
        <w:t>4</w:t>
      </w:r>
    </w:p>
    <w:p>
      <w:pPr>
        <w:spacing w:after="0" w:line="213" w:lineRule="exact"/>
        <w:rPr>
          <w:sz w:val="20"/>
          <w:szCs w:val="20"/>
          <w:color w:val="auto"/>
        </w:rPr>
      </w:pPr>
    </w:p>
    <w:p>
      <w:pPr>
        <w:ind w:left="40" w:right="320"/>
        <w:spacing w:after="0" w:line="253" w:lineRule="auto"/>
        <w:tabs>
          <w:tab w:leader="none" w:pos="146" w:val="left"/>
        </w:tabs>
        <w:numPr>
          <w:ilvl w:val="0"/>
          <w:numId w:val="89"/>
        </w:numPr>
        <w:rPr>
          <w:rFonts w:ascii="Arial" w:cs="Arial" w:eastAsia="Arial" w:hAnsi="Arial"/>
          <w:sz w:val="16"/>
          <w:szCs w:val="16"/>
          <w:color w:val="231F20"/>
        </w:rPr>
      </w:pPr>
      <w:r>
        <w:rPr>
          <w:rFonts w:ascii="Arial" w:cs="Arial" w:eastAsia="Arial" w:hAnsi="Arial"/>
          <w:sz w:val="16"/>
          <w:szCs w:val="16"/>
          <w:color w:val="231F20"/>
        </w:rPr>
        <w:t>Audit committee financial expert as defined by the SEC.</w:t>
      </w:r>
    </w:p>
    <w:p>
      <w:pPr>
        <w:spacing w:after="0" w:line="6" w:lineRule="exact"/>
        <w:rPr>
          <w:rFonts w:ascii="Arial" w:cs="Arial" w:eastAsia="Arial" w:hAnsi="Arial"/>
          <w:sz w:val="16"/>
          <w:szCs w:val="16"/>
          <w:color w:val="231F20"/>
        </w:rPr>
      </w:pPr>
    </w:p>
    <w:p>
      <w:pPr>
        <w:ind w:left="40"/>
        <w:spacing w:after="0"/>
        <w:rPr>
          <w:rFonts w:ascii="Arial" w:cs="Arial" w:eastAsia="Arial" w:hAnsi="Arial"/>
          <w:sz w:val="16"/>
          <w:szCs w:val="16"/>
          <w:color w:val="231F20"/>
        </w:rPr>
      </w:pPr>
      <w:r>
        <w:rPr>
          <w:rFonts w:ascii="Arial" w:cs="Arial" w:eastAsia="Arial" w:hAnsi="Arial"/>
          <w:sz w:val="16"/>
          <w:szCs w:val="16"/>
          <w:color w:val="231F20"/>
        </w:rPr>
        <w:t>† Effective January 1, 2026</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FFFFFF"/>
        </w:rPr>
        <w:t>C</w:t>
      </w:r>
      <w:r>
        <w:rPr>
          <w:rFonts w:ascii="Arial" w:cs="Arial" w:eastAsia="Arial" w:hAnsi="Arial"/>
          <w:sz w:val="15"/>
          <w:szCs w:val="15"/>
          <w:b w:val="1"/>
          <w:bCs w:val="1"/>
          <w:color w:val="FFFFFF"/>
        </w:rPr>
        <w:t>OMPENSATION</w:t>
      </w:r>
      <w:r>
        <w:rPr>
          <w:rFonts w:ascii="Arial" w:cs="Arial" w:eastAsia="Arial" w:hAnsi="Arial"/>
          <w:sz w:val="20"/>
          <w:szCs w:val="20"/>
          <w:b w:val="1"/>
          <w:bCs w:val="1"/>
          <w:color w:val="FFFFFF"/>
        </w:rPr>
        <w:t xml:space="preserve"> C</w:t>
      </w:r>
      <w:r>
        <w:rPr>
          <w:rFonts w:ascii="Arial" w:cs="Arial" w:eastAsia="Arial" w:hAnsi="Arial"/>
          <w:sz w:val="15"/>
          <w:szCs w:val="15"/>
          <w:b w:val="1"/>
          <w:bCs w:val="1"/>
          <w:color w:val="FFFFFF"/>
        </w:rPr>
        <w:t>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143510</wp:posOffset>
            </wp:positionV>
            <wp:extent cx="740410" cy="80772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58">
                      <a:extLst>
                        <a:ext uri="{28A0092B-C50C-407E-A947-70E740481C1C}"/>
                      </a:extLst>
                    </a:blip>
                    <a:srcRect/>
                    <a:stretch>
                      <a:fillRect/>
                    </a:stretch>
                  </pic:blipFill>
                  <pic:spPr bwMode="auto">
                    <a:xfrm>
                      <a:off x="0" y="0"/>
                      <a:ext cx="740410" cy="807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231F20"/>
        </w:rPr>
        <w:t>Members</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20"/>
          <w:szCs w:val="20"/>
          <w:color w:val="EF3E2A"/>
        </w:rPr>
        <w:t>Elizabeth I. Holland (Chair)</w:t>
      </w:r>
    </w:p>
    <w:p>
      <w:pPr>
        <w:spacing w:after="0" w:line="15" w:lineRule="exact"/>
        <w:rPr>
          <w:sz w:val="20"/>
          <w:szCs w:val="20"/>
          <w:color w:val="auto"/>
        </w:rPr>
      </w:pPr>
    </w:p>
    <w:p>
      <w:pPr>
        <w:ind w:left="40" w:right="1000"/>
        <w:spacing w:after="0" w:line="266" w:lineRule="auto"/>
        <w:rPr>
          <w:sz w:val="20"/>
          <w:szCs w:val="20"/>
          <w:color w:val="auto"/>
        </w:rPr>
      </w:pPr>
      <w:r>
        <w:rPr>
          <w:rFonts w:ascii="Arial" w:cs="Arial" w:eastAsia="Arial" w:hAnsi="Arial"/>
          <w:sz w:val="19"/>
          <w:szCs w:val="19"/>
          <w:color w:val="231F20"/>
        </w:rPr>
        <w:t>Joseph D. Fisher† Nicole Y. Lamb-Hale Thomas A. McEachin Gail P. Steinel</w:t>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231F20"/>
        </w:rPr>
        <w:t xml:space="preserve">Number of Meetings in 2025: </w:t>
      </w:r>
      <w:r>
        <w:rPr>
          <w:rFonts w:ascii="Arial" w:cs="Arial" w:eastAsia="Arial" w:hAnsi="Arial"/>
          <w:sz w:val="20"/>
          <w:szCs w:val="20"/>
          <w:b w:val="1"/>
          <w:bCs w:val="1"/>
          <w:color w:val="EF3E2A"/>
        </w:rPr>
        <w:t>2</w:t>
      </w:r>
    </w:p>
    <w:p>
      <w:pPr>
        <w:spacing w:after="0" w:line="206" w:lineRule="exact"/>
        <w:rPr>
          <w:sz w:val="20"/>
          <w:szCs w:val="20"/>
          <w:color w:val="auto"/>
        </w:rPr>
      </w:pPr>
    </w:p>
    <w:p>
      <w:pPr>
        <w:ind w:left="40"/>
        <w:spacing w:after="0"/>
        <w:rPr>
          <w:sz w:val="20"/>
          <w:szCs w:val="20"/>
          <w:color w:val="auto"/>
        </w:rPr>
      </w:pPr>
      <w:r>
        <w:rPr>
          <w:rFonts w:ascii="Arial" w:cs="Arial" w:eastAsia="Arial" w:hAnsi="Arial"/>
          <w:sz w:val="16"/>
          <w:szCs w:val="16"/>
          <w:color w:val="231F20"/>
        </w:rPr>
        <w:t>† Effective January 1, 2026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-50165</wp:posOffset>
                </wp:positionH>
                <wp:positionV relativeFrom="paragraph">
                  <wp:posOffset>1935480</wp:posOffset>
                </wp:positionV>
                <wp:extent cx="6400165" cy="177800"/>
                <wp:wrapNone/>
                <wp:docPr id="160" name="Shape 1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165" cy="177800"/>
                        </a:xfrm>
                        <a:prstGeom prst="rect">
                          <a:avLst/>
                        </a:prstGeom>
                        <a:solidFill>
                          <a:srgbClr val="E8E7E5"/>
                        </a:solidFill>
                      </wps:spPr>
                      <wps:bodyPr/>
                    </wps:wsp>
                  </a:graphicData>
                </a:graphic>
              </wp:anchor>
            </w:drawing>
          </mc:Choice>
          <mc:Fallback>
            <w:pict>
              <v:rect id="Shape 160" o:spid="_x0000_s1185" style="position:absolute;margin-left:-3.9499pt;margin-top:152.4pt;width:503.95pt;height:1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8E7E5" stroked="f"/>
            </w:pict>
          </mc:Fallback>
        </mc:AlternateContent>
        <mc:AlternateContent>
          <mc:Choice Requires="wps">
            <w:drawing>
              <wp:anchor simplePos="0" relativeHeight="251657728" behindDoc="1" locked="0" layoutInCell="0" allowOverlap="1">
                <wp:simplePos x="0" y="0"/>
                <wp:positionH relativeFrom="column">
                  <wp:posOffset>-44450</wp:posOffset>
                </wp:positionH>
                <wp:positionV relativeFrom="paragraph">
                  <wp:posOffset>1934845</wp:posOffset>
                </wp:positionV>
                <wp:extent cx="0" cy="177800"/>
                <wp:wrapNone/>
                <wp:docPr id="161" name="Shape 1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161" o:spid="_x0000_s11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999pt,152.35pt" to="-3.4999pt,166.35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-50800</wp:posOffset>
                </wp:positionH>
                <wp:positionV relativeFrom="paragraph">
                  <wp:posOffset>2106295</wp:posOffset>
                </wp:positionV>
                <wp:extent cx="6400800" cy="0"/>
                <wp:wrapNone/>
                <wp:docPr id="162" name="Shape 1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162" o:spid="_x0000_s11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pt,165.85pt" to="500pt,165.85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-50800</wp:posOffset>
                </wp:positionH>
                <wp:positionV relativeFrom="paragraph">
                  <wp:posOffset>1941195</wp:posOffset>
                </wp:positionV>
                <wp:extent cx="6400800" cy="0"/>
                <wp:wrapNone/>
                <wp:docPr id="163" name="Shape 1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163" o:spid="_x0000_s11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pt,152.85pt" to="500pt,152.85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6343650</wp:posOffset>
                </wp:positionH>
                <wp:positionV relativeFrom="paragraph">
                  <wp:posOffset>1934845</wp:posOffset>
                </wp:positionV>
                <wp:extent cx="0" cy="177800"/>
                <wp:wrapNone/>
                <wp:docPr id="164" name="Shape 1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164" o:spid="_x0000_s11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9.5pt,152.35pt" to="499.5pt,166.35pt" o:allowincell="f" strokecolor="#231F20" strokeweight="1pt"/>
            </w:pict>
          </mc:Fallback>
        </mc:AlternateContent>
      </w:r>
    </w:p>
    <w:p>
      <w:pPr>
        <w:spacing w:after="0" w:line="20" w:lineRule="exact"/>
        <w:rPr>
          <w:sz w:val="20"/>
          <w:szCs w:val="20"/>
          <w:color w:val="auto"/>
        </w:rPr>
      </w:pPr>
      <w:r>
        <w:rPr>
          <w:sz w:val="20"/>
          <w:szCs w:val="20"/>
          <w:color w:val="auto"/>
        </w:rPr>
        <w:br w:type="column"/>
      </w:r>
    </w:p>
    <w:p>
      <w:pPr>
        <w:spacing w:after="0" w:line="302" w:lineRule="exact"/>
        <w:rPr>
          <w:sz w:val="20"/>
          <w:szCs w:val="20"/>
          <w:color w:val="auto"/>
        </w:rPr>
      </w:pPr>
    </w:p>
    <w:p>
      <w:pPr>
        <w:spacing w:after="0"/>
        <w:rPr>
          <w:sz w:val="20"/>
          <w:szCs w:val="20"/>
          <w:color w:val="auto"/>
        </w:rPr>
      </w:pPr>
      <w:r>
        <w:rPr>
          <w:rFonts w:ascii="Arial" w:cs="Arial" w:eastAsia="Arial" w:hAnsi="Arial"/>
          <w:sz w:val="20"/>
          <w:szCs w:val="20"/>
          <w:color w:val="231F20"/>
        </w:rPr>
        <w:t>The Audit Committee’s responsibilities include: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-2158365</wp:posOffset>
                </wp:positionH>
                <wp:positionV relativeFrom="paragraph">
                  <wp:posOffset>-381635</wp:posOffset>
                </wp:positionV>
                <wp:extent cx="6400165" cy="203200"/>
                <wp:wrapNone/>
                <wp:docPr id="165" name="Shape 1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165" cy="203200"/>
                        </a:xfrm>
                        <a:prstGeom prst="rect">
                          <a:avLst/>
                        </a:prstGeom>
                        <a:solidFill>
                          <a:srgbClr val="EF3E2A"/>
                        </a:solidFill>
                      </wps:spPr>
                      <wps:bodyPr/>
                    </wps:wsp>
                  </a:graphicData>
                </a:graphic>
              </wp:anchor>
            </w:drawing>
          </mc:Choice>
          <mc:Fallback>
            <w:pict>
              <v:rect id="Shape 165" o:spid="_x0000_s1190" style="position:absolute;margin-left:-169.9499pt;margin-top:-30.0499pt;width:503.95pt;height:16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F3E2A" stroked="f"/>
            </w:pict>
          </mc:Fallback>
        </mc:AlternateContent>
      </w:r>
    </w:p>
    <w:p>
      <w:pPr>
        <w:spacing w:after="0" w:line="192" w:lineRule="exact"/>
        <w:rPr>
          <w:sz w:val="20"/>
          <w:szCs w:val="20"/>
          <w:color w:val="auto"/>
        </w:rPr>
      </w:pPr>
    </w:p>
    <w:p>
      <w:pPr>
        <w:spacing w:after="0" w:line="268" w:lineRule="exact"/>
        <w:rPr>
          <w:sz w:val="20"/>
          <w:szCs w:val="20"/>
          <w:color w:val="auto"/>
        </w:rPr>
      </w:pPr>
      <w:r>
        <w:rPr>
          <w:rFonts w:ascii="Arial Unicode MS" w:cs="Arial Unicode MS" w:eastAsia="Arial Unicode MS" w:hAnsi="Arial Unicode MS"/>
          <w:sz w:val="20"/>
          <w:szCs w:val="20"/>
          <w:color w:val="EF3E2A"/>
        </w:rPr>
        <w:t>✓</w:t>
      </w:r>
      <w:r>
        <w:rPr>
          <w:rFonts w:ascii="Arial" w:cs="Arial" w:eastAsia="Arial" w:hAnsi="Arial"/>
          <w:sz w:val="20"/>
          <w:szCs w:val="20"/>
          <w:color w:val="231F20"/>
        </w:rPr>
        <w:t xml:space="preserve">  Select and oversee our independent auditor</w:t>
      </w:r>
    </w:p>
    <w:p>
      <w:pPr>
        <w:spacing w:after="0" w:line="254" w:lineRule="exact"/>
        <w:rPr>
          <w:sz w:val="20"/>
          <w:szCs w:val="20"/>
          <w:color w:val="auto"/>
        </w:rPr>
      </w:pPr>
    </w:p>
    <w:p>
      <w:pPr>
        <w:ind w:left="400" w:right="760" w:hanging="391"/>
        <w:spacing w:after="0" w:line="233" w:lineRule="exact"/>
        <w:rPr>
          <w:sz w:val="20"/>
          <w:szCs w:val="20"/>
          <w:color w:val="auto"/>
        </w:rPr>
      </w:pPr>
      <w:r>
        <w:rPr>
          <w:rFonts w:ascii="Arial Unicode MS" w:cs="Arial Unicode MS" w:eastAsia="Arial Unicode MS" w:hAnsi="Arial Unicode MS"/>
          <w:sz w:val="20"/>
          <w:szCs w:val="20"/>
          <w:color w:val="EF3E2A"/>
        </w:rPr>
        <w:t>✓</w:t>
      </w:r>
      <w:r>
        <w:rPr>
          <w:rFonts w:ascii="Arial" w:cs="Arial" w:eastAsia="Arial" w:hAnsi="Arial"/>
          <w:sz w:val="20"/>
          <w:szCs w:val="20"/>
          <w:color w:val="231F20"/>
        </w:rPr>
        <w:t xml:space="preserve"> Oversee our financial reporting including reviewing results with management and independent auditors</w:t>
      </w:r>
    </w:p>
    <w:p>
      <w:pPr>
        <w:spacing w:after="0" w:line="212" w:lineRule="exact"/>
        <w:rPr>
          <w:sz w:val="20"/>
          <w:szCs w:val="20"/>
          <w:color w:val="auto"/>
        </w:rPr>
      </w:pPr>
    </w:p>
    <w:p>
      <w:pPr>
        <w:spacing w:after="0" w:line="268" w:lineRule="exact"/>
        <w:rPr>
          <w:sz w:val="20"/>
          <w:szCs w:val="20"/>
          <w:color w:val="auto"/>
        </w:rPr>
      </w:pPr>
      <w:r>
        <w:rPr>
          <w:rFonts w:ascii="Arial Unicode MS" w:cs="Arial Unicode MS" w:eastAsia="Arial Unicode MS" w:hAnsi="Arial Unicode MS"/>
          <w:sz w:val="20"/>
          <w:szCs w:val="20"/>
          <w:color w:val="EF3E2A"/>
        </w:rPr>
        <w:t>✓</w:t>
      </w:r>
      <w:r>
        <w:rPr>
          <w:rFonts w:ascii="Arial" w:cs="Arial" w:eastAsia="Arial" w:hAnsi="Arial"/>
          <w:sz w:val="20"/>
          <w:szCs w:val="20"/>
          <w:color w:val="231F20"/>
        </w:rPr>
        <w:t xml:space="preserve">  Oversee internal audit function</w:t>
      </w:r>
    </w:p>
    <w:p>
      <w:pPr>
        <w:spacing w:after="0" w:line="254" w:lineRule="exact"/>
        <w:rPr>
          <w:sz w:val="20"/>
          <w:szCs w:val="20"/>
          <w:color w:val="auto"/>
        </w:rPr>
      </w:pPr>
    </w:p>
    <w:p>
      <w:pPr>
        <w:ind w:left="400" w:right="580" w:hanging="391"/>
        <w:spacing w:after="0" w:line="233" w:lineRule="exact"/>
        <w:rPr>
          <w:sz w:val="20"/>
          <w:szCs w:val="20"/>
          <w:color w:val="auto"/>
        </w:rPr>
      </w:pPr>
      <w:r>
        <w:rPr>
          <w:rFonts w:ascii="Arial Unicode MS" w:cs="Arial Unicode MS" w:eastAsia="Arial Unicode MS" w:hAnsi="Arial Unicode MS"/>
          <w:sz w:val="20"/>
          <w:szCs w:val="20"/>
          <w:color w:val="EF3E2A"/>
        </w:rPr>
        <w:t>✓</w:t>
      </w:r>
      <w:r>
        <w:rPr>
          <w:rFonts w:ascii="Arial" w:cs="Arial" w:eastAsia="Arial" w:hAnsi="Arial"/>
          <w:sz w:val="20"/>
          <w:szCs w:val="20"/>
          <w:color w:val="231F20"/>
        </w:rPr>
        <w:t xml:space="preserve"> Oversee adequacy and integrity of financial statements, financial reporting and disclosures</w:t>
      </w:r>
    </w:p>
    <w:p>
      <w:pPr>
        <w:spacing w:after="0" w:line="255" w:lineRule="exact"/>
        <w:rPr>
          <w:sz w:val="20"/>
          <w:szCs w:val="20"/>
          <w:color w:val="auto"/>
        </w:rPr>
      </w:pPr>
    </w:p>
    <w:p>
      <w:pPr>
        <w:ind w:left="400" w:right="800" w:hanging="391"/>
        <w:spacing w:after="0" w:line="233" w:lineRule="exact"/>
        <w:rPr>
          <w:sz w:val="20"/>
          <w:szCs w:val="20"/>
          <w:color w:val="auto"/>
        </w:rPr>
      </w:pPr>
      <w:r>
        <w:rPr>
          <w:rFonts w:ascii="Arial Unicode MS" w:cs="Arial Unicode MS" w:eastAsia="Arial Unicode MS" w:hAnsi="Arial Unicode MS"/>
          <w:sz w:val="20"/>
          <w:szCs w:val="20"/>
          <w:color w:val="EF3E2A"/>
        </w:rPr>
        <w:t>✓</w:t>
      </w:r>
      <w:r>
        <w:rPr>
          <w:rFonts w:ascii="Arial" w:cs="Arial" w:eastAsia="Arial" w:hAnsi="Arial"/>
          <w:sz w:val="20"/>
          <w:szCs w:val="20"/>
          <w:color w:val="231F20"/>
        </w:rPr>
        <w:t xml:space="preserve"> Oversee financial risks and risks related to cybersecurity, data security, artificial intelligence and information protection</w:t>
      </w:r>
    </w:p>
    <w:p>
      <w:pPr>
        <w:spacing w:after="0" w:line="210" w:lineRule="exact"/>
        <w:rPr>
          <w:sz w:val="20"/>
          <w:szCs w:val="20"/>
          <w:color w:val="auto"/>
        </w:rPr>
      </w:pPr>
    </w:p>
    <w:p>
      <w:pPr>
        <w:spacing w:after="0" w:line="268" w:lineRule="exact"/>
        <w:rPr>
          <w:sz w:val="20"/>
          <w:szCs w:val="20"/>
          <w:color w:val="auto"/>
        </w:rPr>
      </w:pPr>
      <w:r>
        <w:rPr>
          <w:rFonts w:ascii="Arial Unicode MS" w:cs="Arial Unicode MS" w:eastAsia="Arial Unicode MS" w:hAnsi="Arial Unicode MS"/>
          <w:sz w:val="20"/>
          <w:szCs w:val="20"/>
          <w:color w:val="EF3E2A"/>
        </w:rPr>
        <w:t>✓</w:t>
      </w:r>
      <w:r>
        <w:rPr>
          <w:rFonts w:ascii="Arial" w:cs="Arial" w:eastAsia="Arial" w:hAnsi="Arial"/>
          <w:sz w:val="20"/>
          <w:szCs w:val="20"/>
          <w:color w:val="231F20"/>
        </w:rPr>
        <w:t xml:space="preserve">  Review and approve any related party transactions requiring disclosure</w:t>
      </w:r>
    </w:p>
    <w:p>
      <w:pPr>
        <w:spacing w:after="0" w:line="257" w:lineRule="exact"/>
        <w:rPr>
          <w:sz w:val="20"/>
          <w:szCs w:val="20"/>
          <w:color w:val="auto"/>
        </w:rPr>
      </w:pPr>
    </w:p>
    <w:p>
      <w:pPr>
        <w:ind w:right="260"/>
        <w:spacing w:after="0" w:line="246" w:lineRule="auto"/>
        <w:rPr>
          <w:sz w:val="20"/>
          <w:szCs w:val="20"/>
          <w:color w:val="auto"/>
        </w:rPr>
      </w:pPr>
      <w:r>
        <w:rPr>
          <w:rFonts w:ascii="Arial" w:cs="Arial" w:eastAsia="Arial" w:hAnsi="Arial"/>
          <w:sz w:val="20"/>
          <w:szCs w:val="20"/>
          <w:color w:val="231F20"/>
        </w:rPr>
        <w:t>Additional information on the Audit Committee is included in “Proposal 3: Ratification of Independent Registered Public Accounting Firm” and the Audit Committee Report.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-2158365</wp:posOffset>
                </wp:positionH>
                <wp:positionV relativeFrom="paragraph">
                  <wp:posOffset>124460</wp:posOffset>
                </wp:positionV>
                <wp:extent cx="6400165" cy="203200"/>
                <wp:wrapNone/>
                <wp:docPr id="166" name="Shape 1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165" cy="203200"/>
                        </a:xfrm>
                        <a:prstGeom prst="rect">
                          <a:avLst/>
                        </a:prstGeom>
                        <a:solidFill>
                          <a:srgbClr val="EF3E2A"/>
                        </a:solidFill>
                      </wps:spPr>
                      <wps:bodyPr/>
                    </wps:wsp>
                  </a:graphicData>
                </a:graphic>
              </wp:anchor>
            </w:drawing>
          </mc:Choice>
          <mc:Fallback>
            <w:pict>
              <v:rect id="Shape 166" o:spid="_x0000_s1191" style="position:absolute;margin-left:-169.9499pt;margin-top:9.8pt;width:503.95pt;height:16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F3E2A" stroked="f"/>
            </w:pict>
          </mc:Fallback>
        </mc:AlternateConten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20"/>
          <w:szCs w:val="20"/>
          <w:color w:val="231F20"/>
        </w:rPr>
        <w:t>The Compensation Committee’s responsibilities include:</w:t>
      </w:r>
    </w:p>
    <w:p>
      <w:pPr>
        <w:spacing w:after="0" w:line="255" w:lineRule="exact"/>
        <w:rPr>
          <w:sz w:val="20"/>
          <w:szCs w:val="20"/>
          <w:color w:val="auto"/>
        </w:rPr>
      </w:pPr>
    </w:p>
    <w:p>
      <w:pPr>
        <w:ind w:left="400" w:right="1120" w:hanging="391"/>
        <w:spacing w:after="0" w:line="233" w:lineRule="exact"/>
        <w:rPr>
          <w:sz w:val="20"/>
          <w:szCs w:val="20"/>
          <w:color w:val="auto"/>
        </w:rPr>
      </w:pPr>
      <w:r>
        <w:rPr>
          <w:rFonts w:ascii="Arial Unicode MS" w:cs="Arial Unicode MS" w:eastAsia="Arial Unicode MS" w:hAnsi="Arial Unicode MS"/>
          <w:sz w:val="20"/>
          <w:szCs w:val="20"/>
          <w:color w:val="EF3E2A"/>
        </w:rPr>
        <w:t>✓</w:t>
      </w:r>
      <w:r>
        <w:rPr>
          <w:rFonts w:ascii="Arial" w:cs="Arial" w:eastAsia="Arial" w:hAnsi="Arial"/>
          <w:sz w:val="20"/>
          <w:szCs w:val="20"/>
          <w:color w:val="231F20"/>
        </w:rPr>
        <w:t xml:space="preserve"> Evaluate performance of our CEO and recommend annual compensation and benefits for our CEO</w:t>
      </w:r>
    </w:p>
    <w:p>
      <w:pPr>
        <w:spacing w:after="0" w:line="255" w:lineRule="exact"/>
        <w:rPr>
          <w:sz w:val="20"/>
          <w:szCs w:val="20"/>
          <w:color w:val="auto"/>
        </w:rPr>
      </w:pPr>
    </w:p>
    <w:p>
      <w:pPr>
        <w:ind w:left="400" w:right="40" w:hanging="391"/>
        <w:spacing w:after="0" w:line="233" w:lineRule="exact"/>
        <w:rPr>
          <w:sz w:val="20"/>
          <w:szCs w:val="20"/>
          <w:color w:val="auto"/>
        </w:rPr>
      </w:pPr>
      <w:r>
        <w:rPr>
          <w:rFonts w:ascii="Arial Unicode MS" w:cs="Arial Unicode MS" w:eastAsia="Arial Unicode MS" w:hAnsi="Arial Unicode MS"/>
          <w:sz w:val="20"/>
          <w:szCs w:val="20"/>
          <w:color w:val="EF3E2A"/>
        </w:rPr>
        <w:t>✓</w:t>
      </w:r>
      <w:r>
        <w:rPr>
          <w:rFonts w:ascii="Arial" w:cs="Arial" w:eastAsia="Arial" w:hAnsi="Arial"/>
          <w:sz w:val="20"/>
          <w:szCs w:val="20"/>
          <w:color w:val="231F20"/>
        </w:rPr>
        <w:t xml:space="preserve"> Review and approve compensation and benefits for our senior officers, including our NEOs</w:t>
      </w:r>
    </w:p>
    <w:p>
      <w:pPr>
        <w:spacing w:after="0" w:line="212" w:lineRule="exact"/>
        <w:rPr>
          <w:sz w:val="20"/>
          <w:szCs w:val="20"/>
          <w:color w:val="auto"/>
        </w:rPr>
      </w:pPr>
    </w:p>
    <w:p>
      <w:pPr>
        <w:spacing w:after="0" w:line="268" w:lineRule="exact"/>
        <w:rPr>
          <w:sz w:val="20"/>
          <w:szCs w:val="20"/>
          <w:color w:val="auto"/>
        </w:rPr>
      </w:pPr>
      <w:r>
        <w:rPr>
          <w:rFonts w:ascii="Arial Unicode MS" w:cs="Arial Unicode MS" w:eastAsia="Arial Unicode MS" w:hAnsi="Arial Unicode MS"/>
          <w:sz w:val="20"/>
          <w:szCs w:val="20"/>
          <w:color w:val="EF3E2A"/>
        </w:rPr>
        <w:t>✓</w:t>
      </w:r>
      <w:r>
        <w:rPr>
          <w:rFonts w:ascii="Arial" w:cs="Arial" w:eastAsia="Arial" w:hAnsi="Arial"/>
          <w:sz w:val="20"/>
          <w:szCs w:val="20"/>
          <w:color w:val="231F20"/>
        </w:rPr>
        <w:t xml:space="preserve">  Administer certain other benefit plans of the Company</w:t>
      </w:r>
    </w:p>
    <w:p>
      <w:pPr>
        <w:spacing w:after="0" w:line="254" w:lineRule="exact"/>
        <w:rPr>
          <w:sz w:val="20"/>
          <w:szCs w:val="20"/>
          <w:color w:val="auto"/>
        </w:rPr>
      </w:pPr>
    </w:p>
    <w:p>
      <w:pPr>
        <w:ind w:left="400" w:right="660" w:hanging="391"/>
        <w:spacing w:after="0" w:line="233" w:lineRule="exact"/>
        <w:rPr>
          <w:sz w:val="20"/>
          <w:szCs w:val="20"/>
          <w:color w:val="auto"/>
        </w:rPr>
      </w:pPr>
      <w:r>
        <w:rPr>
          <w:rFonts w:ascii="Arial Unicode MS" w:cs="Arial Unicode MS" w:eastAsia="Arial Unicode MS" w:hAnsi="Arial Unicode MS"/>
          <w:sz w:val="20"/>
          <w:szCs w:val="20"/>
          <w:color w:val="EF3E2A"/>
        </w:rPr>
        <w:t>✓</w:t>
      </w:r>
      <w:r>
        <w:rPr>
          <w:rFonts w:ascii="Arial" w:cs="Arial" w:eastAsia="Arial" w:hAnsi="Arial"/>
          <w:sz w:val="20"/>
          <w:szCs w:val="20"/>
          <w:color w:val="231F20"/>
        </w:rPr>
        <w:t xml:space="preserve"> Review and approve employment related agreements for senior officers, including our NEOs</w:t>
      </w:r>
    </w:p>
    <w:p>
      <w:pPr>
        <w:spacing w:after="0" w:line="212" w:lineRule="exact"/>
        <w:rPr>
          <w:sz w:val="20"/>
          <w:szCs w:val="20"/>
          <w:color w:val="auto"/>
        </w:rPr>
      </w:pPr>
    </w:p>
    <w:p>
      <w:pPr>
        <w:spacing w:after="0" w:line="268" w:lineRule="exact"/>
        <w:rPr>
          <w:sz w:val="20"/>
          <w:szCs w:val="20"/>
          <w:color w:val="auto"/>
        </w:rPr>
      </w:pPr>
      <w:r>
        <w:rPr>
          <w:rFonts w:ascii="Arial Unicode MS" w:cs="Arial Unicode MS" w:eastAsia="Arial Unicode MS" w:hAnsi="Arial Unicode MS"/>
          <w:sz w:val="20"/>
          <w:szCs w:val="20"/>
          <w:color w:val="EF3E2A"/>
        </w:rPr>
        <w:t>✓</w:t>
      </w:r>
      <w:r>
        <w:rPr>
          <w:rFonts w:ascii="Arial" w:cs="Arial" w:eastAsia="Arial" w:hAnsi="Arial"/>
          <w:sz w:val="20"/>
          <w:szCs w:val="20"/>
          <w:color w:val="231F20"/>
        </w:rPr>
        <w:t xml:space="preserve">  Administer and make equity awards under our long-term plan</w:t>
      </w:r>
    </w:p>
    <w:p>
      <w:pPr>
        <w:spacing w:after="0" w:line="254" w:lineRule="exact"/>
        <w:rPr>
          <w:sz w:val="20"/>
          <w:szCs w:val="20"/>
          <w:color w:val="auto"/>
        </w:rPr>
      </w:pPr>
    </w:p>
    <w:p>
      <w:pPr>
        <w:ind w:left="400" w:right="100" w:hanging="391"/>
        <w:spacing w:after="0" w:line="232" w:lineRule="exact"/>
        <w:rPr>
          <w:sz w:val="20"/>
          <w:szCs w:val="20"/>
          <w:color w:val="auto"/>
        </w:rPr>
      </w:pPr>
      <w:r>
        <w:rPr>
          <w:rFonts w:ascii="Arial Unicode MS" w:cs="Arial Unicode MS" w:eastAsia="Arial Unicode MS" w:hAnsi="Arial Unicode MS"/>
          <w:sz w:val="20"/>
          <w:szCs w:val="20"/>
          <w:color w:val="EF3E2A"/>
        </w:rPr>
        <w:t>✓</w:t>
      </w:r>
      <w:r>
        <w:rPr>
          <w:rFonts w:ascii="Arial" w:cs="Arial" w:eastAsia="Arial" w:hAnsi="Arial"/>
          <w:sz w:val="20"/>
          <w:szCs w:val="20"/>
          <w:color w:val="231F20"/>
        </w:rPr>
        <w:t xml:space="preserve"> Oversee key strategies and human resource policies and practices for all employees</w:t>
      </w:r>
    </w:p>
    <w:p>
      <w:pPr>
        <w:spacing w:after="0" w:line="257" w:lineRule="exact"/>
        <w:rPr>
          <w:sz w:val="20"/>
          <w:szCs w:val="20"/>
          <w:color w:val="auto"/>
        </w:rPr>
      </w:pPr>
    </w:p>
    <w:p>
      <w:pPr>
        <w:jc w:val="both"/>
        <w:ind w:right="40"/>
        <w:spacing w:after="0" w:line="246" w:lineRule="auto"/>
        <w:rPr>
          <w:sz w:val="20"/>
          <w:szCs w:val="20"/>
          <w:color w:val="auto"/>
        </w:rPr>
      </w:pPr>
      <w:r>
        <w:rPr>
          <w:rFonts w:ascii="Arial" w:cs="Arial" w:eastAsia="Arial" w:hAnsi="Arial"/>
          <w:sz w:val="20"/>
          <w:szCs w:val="20"/>
          <w:color w:val="231F20"/>
        </w:rPr>
        <w:t>The Compensation Committee report is included below and more detail on the work of the Compensation Committee is included in the “Compensation Discussion and Analysis”.</w:t>
      </w:r>
    </w:p>
    <w:p>
      <w:pPr>
        <w:spacing w:after="0" w:line="200" w:lineRule="exact"/>
        <w:rPr>
          <w:sz w:val="20"/>
          <w:szCs w:val="20"/>
          <w:color w:val="auto"/>
        </w:rPr>
      </w:pPr>
    </w:p>
    <w:p>
      <w:pPr>
        <w:sectPr>
          <w:pgSz w:w="11880" w:h="15480" w:orient="portrait"/>
          <w:cols w:equalWidth="0" w:num="2">
            <w:col w:w="2940" w:space="380"/>
            <w:col w:w="6680"/>
          </w:cols>
          <w:pgMar w:left="980" w:top="1310" w:right="900" w:bottom="76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tabs>
          <w:tab w:leader="none" w:pos="1340" w:val="left"/>
          <w:tab w:leader="none" w:pos="3080" w:val="left"/>
        </w:tabs>
        <w:rPr>
          <w:sz w:val="20"/>
          <w:szCs w:val="20"/>
          <w:color w:val="auto"/>
        </w:rPr>
      </w:pPr>
      <w:r>
        <w:rPr>
          <w:rFonts w:ascii="Arial" w:cs="Arial" w:eastAsia="Arial" w:hAnsi="Arial"/>
          <w:sz w:val="16"/>
          <w:szCs w:val="16"/>
          <w:color w:val="EF3E2A"/>
        </w:rPr>
        <w:t>Federal Realty</w:t>
      </w:r>
      <w:r>
        <w:rPr>
          <w:sz w:val="20"/>
          <w:szCs w:val="20"/>
          <w:color w:val="auto"/>
        </w:rPr>
        <w:tab/>
      </w:r>
      <w:r>
        <w:rPr>
          <w:rFonts w:ascii="Arial" w:cs="Arial" w:eastAsia="Arial" w:hAnsi="Arial"/>
          <w:sz w:val="16"/>
          <w:szCs w:val="16"/>
          <w:color w:val="231F20"/>
        </w:rPr>
        <w:t>2026 Proxy Statement</w:t>
        <w:tab/>
        <w:t>6</w:t>
      </w:r>
    </w:p>
    <w:p>
      <w:pPr>
        <w:sectPr>
          <w:pgSz w:w="11880" w:h="15480" w:orient="portrait"/>
          <w:cols w:equalWidth="0" w:num="1">
            <w:col w:w="10000"/>
          </w:cols>
          <w:pgMar w:left="980" w:top="1310" w:right="900" w:bottom="763" w:gutter="0" w:footer="0" w:header="0"/>
          <w:type w:val="continuous"/>
        </w:sectPr>
      </w:pPr>
    </w:p>
    <w:bookmarkStart w:id="126" w:name="page127"/>
    <w:bookmarkEnd w:id="126"/>
    <w:p>
      <w:pPr>
        <w:ind w:left="120"/>
        <w:spacing w:after="0"/>
        <w:rPr>
          <w:sz w:val="20"/>
          <w:szCs w:val="20"/>
          <w:color w:val="auto"/>
        </w:rPr>
      </w:pPr>
      <w:r>
        <w:rPr>
          <w:rFonts w:ascii="Arial" w:cs="Arial" w:eastAsia="Arial" w:hAnsi="Arial"/>
          <w:sz w:val="20"/>
          <w:szCs w:val="20"/>
          <w:b w:val="1"/>
          <w:bCs w:val="1"/>
          <w:color w:val="FFFFFF"/>
        </w:rPr>
        <w:t>N</w:t>
      </w:r>
      <w:r>
        <w:rPr>
          <w:rFonts w:ascii="Arial" w:cs="Arial" w:eastAsia="Arial" w:hAnsi="Arial"/>
          <w:sz w:val="15"/>
          <w:szCs w:val="15"/>
          <w:b w:val="1"/>
          <w:bCs w:val="1"/>
          <w:color w:val="FFFFFF"/>
        </w:rPr>
        <w:t>OMINATING</w:t>
      </w:r>
      <w:r>
        <w:rPr>
          <w:rFonts w:ascii="Arial" w:cs="Arial" w:eastAsia="Arial" w:hAnsi="Arial"/>
          <w:sz w:val="20"/>
          <w:szCs w:val="20"/>
          <w:b w:val="1"/>
          <w:bCs w:val="1"/>
          <w:color w:val="FFFFFF"/>
        </w:rPr>
        <w:t xml:space="preserve"> C</w:t>
      </w:r>
      <w:r>
        <w:rPr>
          <w:rFonts w:ascii="Arial" w:cs="Arial" w:eastAsia="Arial" w:hAnsi="Arial"/>
          <w:sz w:val="15"/>
          <w:szCs w:val="15"/>
          <w:b w:val="1"/>
          <w:bCs w:val="1"/>
          <w:color w:val="FFFFFF"/>
        </w:rPr>
        <w:t>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wp:posOffset>
            </wp:positionH>
            <wp:positionV relativeFrom="paragraph">
              <wp:posOffset>144780</wp:posOffset>
            </wp:positionV>
            <wp:extent cx="740410" cy="80772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59">
                      <a:extLst>
                        <a:ext uri="{28A0092B-C50C-407E-A947-70E740481C1C}"/>
                      </a:extLst>
                    </a:blip>
                    <a:srcRect/>
                    <a:stretch>
                      <a:fillRect/>
                    </a:stretch>
                  </pic:blipFill>
                  <pic:spPr bwMode="auto">
                    <a:xfrm>
                      <a:off x="0" y="0"/>
                      <a:ext cx="740410" cy="807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31F20"/>
        </w:rPr>
        <w:t>Members</w:t>
      </w:r>
    </w:p>
    <w:p>
      <w:pPr>
        <w:spacing w:after="0" w:line="10" w:lineRule="exact"/>
        <w:rPr>
          <w:sz w:val="20"/>
          <w:szCs w:val="20"/>
          <w:color w:val="auto"/>
        </w:rPr>
      </w:pPr>
    </w:p>
    <w:p>
      <w:pPr>
        <w:ind w:left="120"/>
        <w:spacing w:after="0"/>
        <w:rPr>
          <w:sz w:val="20"/>
          <w:szCs w:val="20"/>
          <w:color w:val="auto"/>
        </w:rPr>
      </w:pPr>
      <w:r>
        <w:rPr>
          <w:rFonts w:ascii="Arial" w:cs="Arial" w:eastAsia="Arial" w:hAnsi="Arial"/>
          <w:sz w:val="20"/>
          <w:szCs w:val="20"/>
          <w:color w:val="EF3E2A"/>
        </w:rPr>
        <w:t>Anthony P. Nader, III (Chair)</w:t>
      </w:r>
    </w:p>
    <w:p>
      <w:pPr>
        <w:spacing w:after="0" w:line="17" w:lineRule="exact"/>
        <w:rPr>
          <w:sz w:val="20"/>
          <w:szCs w:val="20"/>
          <w:color w:val="auto"/>
        </w:rPr>
      </w:pPr>
    </w:p>
    <w:p>
      <w:pPr>
        <w:ind w:left="120" w:right="1000"/>
        <w:spacing w:after="0" w:line="266" w:lineRule="auto"/>
        <w:rPr>
          <w:sz w:val="20"/>
          <w:szCs w:val="20"/>
          <w:color w:val="auto"/>
        </w:rPr>
      </w:pPr>
      <w:r>
        <w:rPr>
          <w:rFonts w:ascii="Arial" w:cs="Arial" w:eastAsia="Arial" w:hAnsi="Arial"/>
          <w:sz w:val="19"/>
          <w:szCs w:val="19"/>
          <w:color w:val="231F20"/>
        </w:rPr>
        <w:t>David W. Faeder Nicole Y. Lamb-Hale Thomas A. McEachin</w:t>
      </w:r>
    </w:p>
    <w:p>
      <w:pPr>
        <w:spacing w:after="0" w:line="227"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231F20"/>
        </w:rPr>
        <w:t xml:space="preserve">Number of Meetings in 2025: </w:t>
      </w:r>
      <w:r>
        <w:rPr>
          <w:rFonts w:ascii="Arial" w:cs="Arial" w:eastAsia="Arial" w:hAnsi="Arial"/>
          <w:sz w:val="20"/>
          <w:szCs w:val="20"/>
          <w:b w:val="1"/>
          <w:bCs w:val="1"/>
          <w:color w:val="EF3E2A"/>
        </w:rPr>
        <w:t>2</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spacing w:after="0"/>
        <w:rPr>
          <w:sz w:val="20"/>
          <w:szCs w:val="20"/>
          <w:color w:val="auto"/>
        </w:rPr>
      </w:pPr>
      <w:r>
        <w:rPr>
          <w:rFonts w:ascii="Arial" w:cs="Arial" w:eastAsia="Arial" w:hAnsi="Arial"/>
          <w:sz w:val="20"/>
          <w:szCs w:val="20"/>
          <w:color w:val="231F20"/>
        </w:rPr>
        <w:t>The Nominating Committee’s responsibilities include: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-2158365</wp:posOffset>
                </wp:positionH>
                <wp:positionV relativeFrom="paragraph">
                  <wp:posOffset>-380365</wp:posOffset>
                </wp:positionV>
                <wp:extent cx="6400165" cy="203200"/>
                <wp:wrapNone/>
                <wp:docPr id="168" name="Shape 1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165" cy="203200"/>
                        </a:xfrm>
                        <a:prstGeom prst="rect">
                          <a:avLst/>
                        </a:prstGeom>
                        <a:solidFill>
                          <a:srgbClr val="EF3E2A"/>
                        </a:solidFill>
                      </wps:spPr>
                      <wps:bodyPr/>
                    </wps:wsp>
                  </a:graphicData>
                </a:graphic>
              </wp:anchor>
            </w:drawing>
          </mc:Choice>
          <mc:Fallback>
            <w:pict>
              <v:rect id="Shape 168" o:spid="_x0000_s1193" style="position:absolute;margin-left:-169.9499pt;margin-top:-29.9499pt;width:503.95pt;height:16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F3E2A" stroked="f"/>
            </w:pict>
          </mc:Fallback>
        </mc:AlternateContent>
      </w:r>
    </w:p>
    <w:p>
      <w:pPr>
        <w:spacing w:after="0" w:line="192" w:lineRule="exact"/>
        <w:rPr>
          <w:sz w:val="20"/>
          <w:szCs w:val="20"/>
          <w:color w:val="auto"/>
        </w:rPr>
      </w:pPr>
    </w:p>
    <w:p>
      <w:pPr>
        <w:spacing w:after="0" w:line="268" w:lineRule="exact"/>
        <w:rPr>
          <w:sz w:val="20"/>
          <w:szCs w:val="20"/>
          <w:color w:val="auto"/>
        </w:rPr>
      </w:pPr>
      <w:r>
        <w:rPr>
          <w:rFonts w:ascii="Arial Unicode MS" w:cs="Arial Unicode MS" w:eastAsia="Arial Unicode MS" w:hAnsi="Arial Unicode MS"/>
          <w:sz w:val="20"/>
          <w:szCs w:val="20"/>
          <w:color w:val="EF3E2A"/>
        </w:rPr>
        <w:t>✓</w:t>
      </w:r>
      <w:r>
        <w:rPr>
          <w:rFonts w:ascii="Arial" w:cs="Arial" w:eastAsia="Arial" w:hAnsi="Arial"/>
          <w:sz w:val="20"/>
          <w:szCs w:val="20"/>
          <w:color w:val="231F20"/>
        </w:rPr>
        <w:t xml:space="preserve">  Identify and recommend individuals to stand for election to the Board</w:t>
      </w:r>
    </w:p>
    <w:p>
      <w:pPr>
        <w:spacing w:after="0" w:line="212" w:lineRule="exact"/>
        <w:rPr>
          <w:sz w:val="20"/>
          <w:szCs w:val="20"/>
          <w:color w:val="auto"/>
        </w:rPr>
      </w:pPr>
    </w:p>
    <w:p>
      <w:pPr>
        <w:spacing w:after="0" w:line="268" w:lineRule="exact"/>
        <w:rPr>
          <w:sz w:val="20"/>
          <w:szCs w:val="20"/>
          <w:color w:val="auto"/>
        </w:rPr>
      </w:pPr>
      <w:r>
        <w:rPr>
          <w:rFonts w:ascii="Arial Unicode MS" w:cs="Arial Unicode MS" w:eastAsia="Arial Unicode MS" w:hAnsi="Arial Unicode MS"/>
          <w:sz w:val="20"/>
          <w:szCs w:val="20"/>
          <w:color w:val="EF3E2A"/>
        </w:rPr>
        <w:t>✓</w:t>
      </w:r>
      <w:r>
        <w:rPr>
          <w:rFonts w:ascii="Arial" w:cs="Arial" w:eastAsia="Arial" w:hAnsi="Arial"/>
          <w:sz w:val="20"/>
          <w:szCs w:val="20"/>
          <w:color w:val="231F20"/>
        </w:rPr>
        <w:t xml:space="preserve">  Develop and oversee corporate governance policies and procedures</w:t>
      </w:r>
    </w:p>
    <w:p>
      <w:pPr>
        <w:spacing w:after="0" w:line="212" w:lineRule="exact"/>
        <w:rPr>
          <w:sz w:val="20"/>
          <w:szCs w:val="20"/>
          <w:color w:val="auto"/>
        </w:rPr>
      </w:pPr>
    </w:p>
    <w:p>
      <w:pPr>
        <w:spacing w:after="0" w:line="268" w:lineRule="exact"/>
        <w:rPr>
          <w:sz w:val="20"/>
          <w:szCs w:val="20"/>
          <w:color w:val="auto"/>
        </w:rPr>
      </w:pPr>
      <w:r>
        <w:rPr>
          <w:rFonts w:ascii="Arial Unicode MS" w:cs="Arial Unicode MS" w:eastAsia="Arial Unicode MS" w:hAnsi="Arial Unicode MS"/>
          <w:sz w:val="20"/>
          <w:szCs w:val="20"/>
          <w:color w:val="EF3E2A"/>
        </w:rPr>
        <w:t>✓</w:t>
      </w:r>
      <w:r>
        <w:rPr>
          <w:rFonts w:ascii="Arial" w:cs="Arial" w:eastAsia="Arial" w:hAnsi="Arial"/>
          <w:sz w:val="20"/>
          <w:szCs w:val="20"/>
          <w:color w:val="231F20"/>
        </w:rPr>
        <w:t xml:space="preserve">  Oversee annual trustee evaluation process</w:t>
      </w:r>
    </w:p>
    <w:p>
      <w:pPr>
        <w:spacing w:after="0" w:line="256" w:lineRule="exact"/>
        <w:rPr>
          <w:sz w:val="20"/>
          <w:szCs w:val="20"/>
          <w:color w:val="auto"/>
        </w:rPr>
      </w:pPr>
    </w:p>
    <w:p>
      <w:pPr>
        <w:ind w:left="400" w:right="140" w:hanging="391"/>
        <w:spacing w:after="0" w:line="232" w:lineRule="exact"/>
        <w:rPr>
          <w:sz w:val="20"/>
          <w:szCs w:val="20"/>
          <w:color w:val="auto"/>
        </w:rPr>
      </w:pPr>
      <w:r>
        <w:rPr>
          <w:rFonts w:ascii="Arial Unicode MS" w:cs="Arial Unicode MS" w:eastAsia="Arial Unicode MS" w:hAnsi="Arial Unicode MS"/>
          <w:sz w:val="20"/>
          <w:szCs w:val="20"/>
          <w:color w:val="EF3E2A"/>
        </w:rPr>
        <w:t>✓</w:t>
      </w:r>
      <w:r>
        <w:rPr>
          <w:rFonts w:ascii="Arial" w:cs="Arial" w:eastAsia="Arial" w:hAnsi="Arial"/>
          <w:sz w:val="20"/>
          <w:szCs w:val="20"/>
          <w:color w:val="231F20"/>
        </w:rPr>
        <w:t xml:space="preserve"> Recommend members of the Board to serve on its committees and in leadership roles</w:t>
      </w:r>
    </w:p>
    <w:p>
      <w:pPr>
        <w:spacing w:after="0" w:line="257" w:lineRule="exact"/>
        <w:rPr>
          <w:sz w:val="20"/>
          <w:szCs w:val="20"/>
          <w:color w:val="auto"/>
        </w:rPr>
      </w:pPr>
    </w:p>
    <w:p>
      <w:pPr>
        <w:ind w:left="400" w:right="100" w:hanging="391"/>
        <w:spacing w:after="0" w:line="232" w:lineRule="exact"/>
        <w:rPr>
          <w:sz w:val="20"/>
          <w:szCs w:val="20"/>
          <w:color w:val="auto"/>
        </w:rPr>
      </w:pPr>
      <w:r>
        <w:rPr>
          <w:rFonts w:ascii="Arial Unicode MS" w:cs="Arial Unicode MS" w:eastAsia="Arial Unicode MS" w:hAnsi="Arial Unicode MS"/>
          <w:sz w:val="20"/>
          <w:szCs w:val="20"/>
          <w:color w:val="EF3E2A"/>
        </w:rPr>
        <w:t>✓</w:t>
      </w:r>
      <w:r>
        <w:rPr>
          <w:rFonts w:ascii="Arial" w:cs="Arial" w:eastAsia="Arial" w:hAnsi="Arial"/>
          <w:sz w:val="20"/>
          <w:szCs w:val="20"/>
          <w:color w:val="231F20"/>
        </w:rPr>
        <w:t xml:space="preserve"> Oversee corporate responsibility and sustainability efforts and monitor priorities and progress on goals</w:t>
      </w:r>
    </w:p>
    <w:p>
      <w:pPr>
        <w:spacing w:after="0" w:line="340" w:lineRule="exact"/>
        <w:rPr>
          <w:sz w:val="20"/>
          <w:szCs w:val="20"/>
          <w:color w:val="auto"/>
        </w:rPr>
      </w:pPr>
    </w:p>
    <w:p>
      <w:pPr>
        <w:sectPr>
          <w:pgSz w:w="11880" w:h="15480" w:orient="portrait"/>
          <w:cols w:equalWidth="0" w:num="2">
            <w:col w:w="3020" w:space="380"/>
            <w:col w:w="6680"/>
          </w:cols>
          <w:pgMar w:left="900" w:top="1310" w:right="900" w:bottom="763" w:gutter="0" w:footer="0" w:header="0"/>
        </w:sectPr>
      </w:pPr>
    </w:p>
    <w:p>
      <w:pPr>
        <w:spacing w:after="0" w:line="200" w:lineRule="exact"/>
        <w:rPr>
          <w:sz w:val="20"/>
          <w:szCs w:val="20"/>
          <w:color w:val="auto"/>
        </w:rPr>
      </w:pPr>
    </w:p>
    <w:p>
      <w:pPr>
        <w:spacing w:after="0" w:line="394" w:lineRule="exact"/>
        <w:rPr>
          <w:sz w:val="20"/>
          <w:szCs w:val="20"/>
          <w:color w:val="auto"/>
        </w:rPr>
      </w:pPr>
    </w:p>
    <w:p>
      <w:pPr>
        <w:spacing w:after="0" w:line="268" w:lineRule="exact"/>
        <w:rPr>
          <w:sz w:val="20"/>
          <w:szCs w:val="20"/>
          <w:color w:val="auto"/>
        </w:rPr>
      </w:pPr>
      <w:r>
        <w:rPr>
          <w:rFonts w:ascii="Arial Unicode MS" w:cs="Arial Unicode MS" w:eastAsia="Arial Unicode MS" w:hAnsi="Arial Unicode MS"/>
          <w:sz w:val="20"/>
          <w:szCs w:val="20"/>
          <w:color w:val="EF3E2A"/>
        </w:rPr>
        <w:t>➢</w:t>
      </w:r>
      <w:r>
        <w:rPr>
          <w:rFonts w:ascii="Arial" w:cs="Arial" w:eastAsia="Arial" w:hAnsi="Arial"/>
          <w:sz w:val="20"/>
          <w:szCs w:val="20"/>
          <w:b w:val="1"/>
          <w:bCs w:val="1"/>
          <w:color w:val="231F20"/>
        </w:rPr>
        <w:t xml:space="preserve"> BOARD’S ROLE IN RISK OVERSIGHT</w:t>
      </w:r>
    </w:p>
    <w:p>
      <w:pPr>
        <w:spacing w:after="0" w:line="255"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231F20"/>
        </w:rPr>
        <w:t>The full Board has overall responsibility for risk oversight which it accomplishes directly and through its committees. The Board’s committees are primarily responsible for certain matters relating to the risks inherent in the committees’ respective areas of oversight as set forth in the committee charters. One of the primary ways the Board and its committees discharge their risk oversight responsibilities is through regular reporting from management which identifies key risks to enable the Board and management to identify and implement appropriate measures to manage and mitigate those risks. The chart below provides more detail on how the Board oversees risk management for the Company. The Board believes that this structure and division of responsibility is the most effective way to monitor and manage the Company’s risk.</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3691890</wp:posOffset>
                </wp:positionV>
                <wp:extent cx="6400800" cy="177800"/>
                <wp:wrapNone/>
                <wp:docPr id="169" name="Shape 1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177800"/>
                        </a:xfrm>
                        <a:prstGeom prst="rect">
                          <a:avLst/>
                        </a:prstGeom>
                        <a:solidFill>
                          <a:srgbClr val="E8E7E5"/>
                        </a:solidFill>
                      </wps:spPr>
                      <wps:bodyPr/>
                    </wps:wsp>
                  </a:graphicData>
                </a:graphic>
              </wp:anchor>
            </w:drawing>
          </mc:Choice>
          <mc:Fallback>
            <w:pict>
              <v:rect id="Shape 169" o:spid="_x0000_s1194" style="position:absolute;margin-left:0pt;margin-top:290.7pt;width:504pt;height:1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8E7E5" stroked="f"/>
            </w:pict>
          </mc:Fallback>
        </mc:AlternateContent>
        <mc:AlternateContent>
          <mc:Choice Requires="wps">
            <w:drawing>
              <wp:anchor simplePos="0" relativeHeight="251657728" behindDoc="1" locked="0" layoutInCell="0" allowOverlap="1">
                <wp:simplePos x="0" y="0"/>
                <wp:positionH relativeFrom="column">
                  <wp:posOffset>6350</wp:posOffset>
                </wp:positionH>
                <wp:positionV relativeFrom="paragraph">
                  <wp:posOffset>3691890</wp:posOffset>
                </wp:positionV>
                <wp:extent cx="0" cy="177800"/>
                <wp:wrapNone/>
                <wp:docPr id="170" name="Shape 1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170" o:spid="_x0000_s11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pt,290.7pt" to="0.5pt,304.7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3698240</wp:posOffset>
                </wp:positionV>
                <wp:extent cx="6400800" cy="0"/>
                <wp:wrapNone/>
                <wp:docPr id="171" name="Shape 1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171" o:spid="_x0000_s11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91.2pt" to="504pt,291.2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6394450</wp:posOffset>
                </wp:positionH>
                <wp:positionV relativeFrom="paragraph">
                  <wp:posOffset>3691890</wp:posOffset>
                </wp:positionV>
                <wp:extent cx="0" cy="177800"/>
                <wp:wrapNone/>
                <wp:docPr id="172" name="Shape 1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172" o:spid="_x0000_s11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3.5pt,290.7pt" to="503.5pt,304.7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3863340</wp:posOffset>
                </wp:positionV>
                <wp:extent cx="6400800" cy="0"/>
                <wp:wrapNone/>
                <wp:docPr id="173" name="Shape 1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173" o:spid="_x0000_s119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04.2pt" to="504pt,304.2pt" o:allowincell="f" strokecolor="#231F20" strokeweight="1pt"/>
            </w:pict>
          </mc:Fallback>
        </mc:AlternateContent>
      </w:r>
    </w:p>
    <w:p>
      <w:pPr>
        <w:sectPr>
          <w:pgSz w:w="11880" w:h="15480" w:orient="portrait"/>
          <w:cols w:equalWidth="0" w:num="1">
            <w:col w:w="10080"/>
          </w:cols>
          <w:pgMar w:left="900" w:top="1310" w:right="900" w:bottom="763"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800"/>
        <w:spacing w:after="0"/>
        <w:tabs>
          <w:tab w:leader="none" w:pos="8160" w:val="left"/>
          <w:tab w:leader="none" w:pos="9900" w:val="left"/>
        </w:tabs>
        <w:rPr>
          <w:sz w:val="20"/>
          <w:szCs w:val="20"/>
          <w:color w:val="auto"/>
        </w:rPr>
      </w:pPr>
      <w:r>
        <w:rPr>
          <w:rFonts w:ascii="Arial" w:cs="Arial" w:eastAsia="Arial" w:hAnsi="Arial"/>
          <w:sz w:val="16"/>
          <w:szCs w:val="16"/>
          <w:color w:val="EF3E2A"/>
        </w:rPr>
        <w:t>Federal Realty</w:t>
      </w:r>
      <w:r>
        <w:rPr>
          <w:sz w:val="20"/>
          <w:szCs w:val="20"/>
          <w:color w:val="auto"/>
        </w:rPr>
        <w:tab/>
      </w:r>
      <w:r>
        <w:rPr>
          <w:rFonts w:ascii="Arial" w:cs="Arial" w:eastAsia="Arial" w:hAnsi="Arial"/>
          <w:sz w:val="16"/>
          <w:szCs w:val="16"/>
          <w:color w:val="231F20"/>
        </w:rPr>
        <w:t>2026 Proxy Statement</w:t>
      </w:r>
      <w:r>
        <w:rPr>
          <w:sz w:val="20"/>
          <w:szCs w:val="20"/>
          <w:color w:val="auto"/>
        </w:rPr>
        <w:tab/>
      </w:r>
      <w:r>
        <w:rPr>
          <w:rFonts w:ascii="Arial" w:cs="Arial" w:eastAsia="Arial" w:hAnsi="Arial"/>
          <w:sz w:val="14"/>
          <w:szCs w:val="14"/>
          <w:color w:val="231F20"/>
        </w:rPr>
        <w:t>7</w:t>
      </w:r>
    </w:p>
    <w:p>
      <w:pPr>
        <w:sectPr>
          <w:pgSz w:w="11880" w:h="15480" w:orient="portrait"/>
          <w:cols w:equalWidth="0" w:num="1">
            <w:col w:w="10080"/>
          </w:cols>
          <w:pgMar w:left="900" w:top="1310" w:right="900" w:bottom="763" w:gutter="0" w:footer="0" w:header="0"/>
          <w:type w:val="continuous"/>
        </w:sectPr>
      </w:pPr>
    </w:p>
    <w:bookmarkStart w:id="127" w:name="page128"/>
    <w:bookmarkEnd w:id="127"/>
    <w:p>
      <w:pPr>
        <w:jc w:val="center"/>
        <w:ind w:right="-379"/>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880110</wp:posOffset>
            </wp:positionH>
            <wp:positionV relativeFrom="page">
              <wp:posOffset>800100</wp:posOffset>
            </wp:positionV>
            <wp:extent cx="5770245" cy="503237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60">
                      <a:extLst>
                        <a:ext uri="{28A0092B-C50C-407E-A947-70E740481C1C}"/>
                      </a:extLst>
                    </a:blip>
                    <a:srcRect/>
                    <a:stretch>
                      <a:fillRect/>
                    </a:stretch>
                  </pic:blipFill>
                  <pic:spPr bwMode="auto">
                    <a:xfrm>
                      <a:off x="0" y="0"/>
                      <a:ext cx="5770245" cy="5032375"/>
                    </a:xfrm>
                    <a:prstGeom prst="rect">
                      <a:avLst/>
                    </a:prstGeom>
                    <a:noFill/>
                  </pic:spPr>
                </pic:pic>
              </a:graphicData>
            </a:graphic>
          </wp:anchor>
        </w:drawing>
        <w:t>BOARD OF TRUSTEES</w:t>
      </w:r>
    </w:p>
    <w:p>
      <w:pPr>
        <w:sectPr>
          <w:pgSz w:w="11880" w:h="15480" w:orient="portrait"/>
          <w:cols w:equalWidth="0" w:num="1">
            <w:col w:w="10080"/>
          </w:cols>
          <w:pgMar w:left="900" w:top="1373" w:right="900" w:bottom="76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680"/>
        <w:spacing w:after="0"/>
        <w:rPr>
          <w:sz w:val="20"/>
          <w:szCs w:val="20"/>
          <w:color w:val="auto"/>
        </w:rPr>
      </w:pPr>
      <w:r>
        <w:rPr>
          <w:rFonts w:ascii="Arial" w:cs="Arial" w:eastAsia="Arial" w:hAnsi="Arial"/>
          <w:sz w:val="16"/>
          <w:szCs w:val="16"/>
          <w:b w:val="1"/>
          <w:bCs w:val="1"/>
          <w:color w:val="231F20"/>
        </w:rPr>
        <w:t>Audit Committee</w:t>
      </w:r>
    </w:p>
    <w:p>
      <w:pPr>
        <w:spacing w:after="0" w:line="152" w:lineRule="exact"/>
        <w:rPr>
          <w:sz w:val="20"/>
          <w:szCs w:val="20"/>
          <w:color w:val="auto"/>
        </w:rPr>
      </w:pPr>
    </w:p>
    <w:p>
      <w:pPr>
        <w:ind w:left="1160" w:right="140" w:hanging="174"/>
        <w:spacing w:after="0" w:line="352" w:lineRule="auto"/>
        <w:tabs>
          <w:tab w:leader="none" w:pos="1160" w:val="left"/>
        </w:tabs>
        <w:numPr>
          <w:ilvl w:val="0"/>
          <w:numId w:val="94"/>
        </w:numPr>
        <w:rPr>
          <w:rFonts w:ascii="Arial" w:cs="Arial" w:eastAsia="Arial" w:hAnsi="Arial"/>
          <w:sz w:val="13"/>
          <w:szCs w:val="13"/>
          <w:color w:val="231F20"/>
        </w:rPr>
      </w:pPr>
      <w:r>
        <w:rPr>
          <w:rFonts w:ascii="Arial" w:cs="Arial" w:eastAsia="Arial" w:hAnsi="Arial"/>
          <w:sz w:val="14"/>
          <w:szCs w:val="14"/>
          <w:color w:val="231F20"/>
        </w:rPr>
        <w:t>Integrity of financial reporting and controls over financial reporting</w:t>
      </w:r>
    </w:p>
    <w:p>
      <w:pPr>
        <w:spacing w:after="0" w:line="220" w:lineRule="exact"/>
        <w:rPr>
          <w:rFonts w:ascii="Arial" w:cs="Arial" w:eastAsia="Arial" w:hAnsi="Arial"/>
          <w:sz w:val="13"/>
          <w:szCs w:val="13"/>
          <w:color w:val="231F20"/>
        </w:rPr>
      </w:pPr>
    </w:p>
    <w:p>
      <w:pPr>
        <w:ind w:left="1160" w:right="40" w:hanging="174"/>
        <w:spacing w:after="0" w:line="278" w:lineRule="auto"/>
        <w:tabs>
          <w:tab w:leader="none" w:pos="1160" w:val="left"/>
        </w:tabs>
        <w:numPr>
          <w:ilvl w:val="0"/>
          <w:numId w:val="94"/>
        </w:numPr>
        <w:rPr>
          <w:rFonts w:ascii="Arial" w:cs="Arial" w:eastAsia="Arial" w:hAnsi="Arial"/>
          <w:sz w:val="14"/>
          <w:szCs w:val="14"/>
          <w:color w:val="231F20"/>
        </w:rPr>
      </w:pPr>
      <w:r>
        <w:rPr>
          <w:rFonts w:ascii="Arial" w:cs="Arial" w:eastAsia="Arial" w:hAnsi="Arial"/>
          <w:sz w:val="16"/>
          <w:szCs w:val="16"/>
          <w:color w:val="231F20"/>
        </w:rPr>
        <w:t>Performance and independence of our independent auditors</w:t>
      </w:r>
    </w:p>
    <w:p>
      <w:pPr>
        <w:spacing w:after="0" w:line="266" w:lineRule="exact"/>
        <w:rPr>
          <w:rFonts w:ascii="Arial" w:cs="Arial" w:eastAsia="Arial" w:hAnsi="Arial"/>
          <w:sz w:val="14"/>
          <w:szCs w:val="14"/>
          <w:color w:val="231F20"/>
        </w:rPr>
      </w:pPr>
    </w:p>
    <w:p>
      <w:pPr>
        <w:ind w:left="1160" w:right="160" w:hanging="174"/>
        <w:spacing w:after="0" w:line="278" w:lineRule="auto"/>
        <w:tabs>
          <w:tab w:leader="none" w:pos="1160" w:val="left"/>
        </w:tabs>
        <w:numPr>
          <w:ilvl w:val="0"/>
          <w:numId w:val="94"/>
        </w:numPr>
        <w:rPr>
          <w:rFonts w:ascii="Arial" w:cs="Arial" w:eastAsia="Arial" w:hAnsi="Arial"/>
          <w:sz w:val="14"/>
          <w:szCs w:val="14"/>
          <w:color w:val="231F20"/>
        </w:rPr>
      </w:pPr>
      <w:r>
        <w:rPr>
          <w:rFonts w:ascii="Arial" w:cs="Arial" w:eastAsia="Arial" w:hAnsi="Arial"/>
          <w:sz w:val="16"/>
          <w:szCs w:val="16"/>
          <w:color w:val="231F20"/>
        </w:rPr>
        <w:t>Performance of our internal audit function</w:t>
      </w:r>
    </w:p>
    <w:p>
      <w:pPr>
        <w:spacing w:after="0" w:line="266" w:lineRule="exact"/>
        <w:rPr>
          <w:rFonts w:ascii="Arial" w:cs="Arial" w:eastAsia="Arial" w:hAnsi="Arial"/>
          <w:sz w:val="14"/>
          <w:szCs w:val="14"/>
          <w:color w:val="231F20"/>
        </w:rPr>
      </w:pPr>
    </w:p>
    <w:p>
      <w:pPr>
        <w:ind w:left="1160" w:hanging="174"/>
        <w:spacing w:after="0" w:line="278" w:lineRule="auto"/>
        <w:tabs>
          <w:tab w:leader="none" w:pos="1160" w:val="left"/>
        </w:tabs>
        <w:numPr>
          <w:ilvl w:val="0"/>
          <w:numId w:val="94"/>
        </w:numPr>
        <w:rPr>
          <w:rFonts w:ascii="Arial" w:cs="Arial" w:eastAsia="Arial" w:hAnsi="Arial"/>
          <w:sz w:val="14"/>
          <w:szCs w:val="14"/>
          <w:color w:val="231F20"/>
        </w:rPr>
      </w:pPr>
      <w:r>
        <w:rPr>
          <w:rFonts w:ascii="Arial" w:cs="Arial" w:eastAsia="Arial" w:hAnsi="Arial"/>
          <w:sz w:val="16"/>
          <w:szCs w:val="16"/>
          <w:color w:val="231F20"/>
        </w:rPr>
        <w:t>Cyber security, artificial intelligence and data privacy risks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4"/>
        <w:spacing w:after="0"/>
        <w:rPr>
          <w:sz w:val="20"/>
          <w:szCs w:val="20"/>
          <w:color w:val="auto"/>
        </w:rPr>
      </w:pPr>
      <w:r>
        <w:rPr>
          <w:rFonts w:ascii="Arial" w:cs="Arial" w:eastAsia="Arial" w:hAnsi="Arial"/>
          <w:sz w:val="16"/>
          <w:szCs w:val="16"/>
          <w:b w:val="1"/>
          <w:bCs w:val="1"/>
          <w:color w:val="231F20"/>
        </w:rPr>
        <w:t>Compensation and Human Capital</w:t>
      </w:r>
    </w:p>
    <w:p>
      <w:pPr>
        <w:spacing w:after="0" w:line="37" w:lineRule="exact"/>
        <w:rPr>
          <w:sz w:val="20"/>
          <w:szCs w:val="20"/>
          <w:color w:val="auto"/>
        </w:rPr>
      </w:pPr>
    </w:p>
    <w:p>
      <w:pPr>
        <w:jc w:val="center"/>
        <w:ind w:right="34"/>
        <w:spacing w:after="0"/>
        <w:rPr>
          <w:sz w:val="20"/>
          <w:szCs w:val="20"/>
          <w:color w:val="auto"/>
        </w:rPr>
      </w:pPr>
      <w:r>
        <w:rPr>
          <w:rFonts w:ascii="Arial" w:cs="Arial" w:eastAsia="Arial" w:hAnsi="Arial"/>
          <w:sz w:val="16"/>
          <w:szCs w:val="16"/>
          <w:b w:val="1"/>
          <w:bCs w:val="1"/>
          <w:color w:val="231F20"/>
        </w:rPr>
        <w:t>Management Committee</w:t>
      </w:r>
    </w:p>
    <w:p>
      <w:pPr>
        <w:spacing w:after="0" w:line="118" w:lineRule="exact"/>
        <w:rPr>
          <w:sz w:val="20"/>
          <w:szCs w:val="20"/>
          <w:color w:val="auto"/>
        </w:rPr>
      </w:pPr>
    </w:p>
    <w:p>
      <w:pPr>
        <w:ind w:left="186" w:right="40" w:hanging="186"/>
        <w:spacing w:after="0" w:line="260" w:lineRule="auto"/>
        <w:tabs>
          <w:tab w:leader="none" w:pos="186" w:val="left"/>
        </w:tabs>
        <w:numPr>
          <w:ilvl w:val="0"/>
          <w:numId w:val="95"/>
        </w:numPr>
        <w:rPr>
          <w:rFonts w:ascii="Arial" w:cs="Arial" w:eastAsia="Arial" w:hAnsi="Arial"/>
          <w:sz w:val="14"/>
          <w:szCs w:val="14"/>
          <w:color w:val="231F20"/>
        </w:rPr>
      </w:pPr>
      <w:r>
        <w:rPr>
          <w:rFonts w:ascii="Arial" w:cs="Arial" w:eastAsia="Arial" w:hAnsi="Arial"/>
          <w:sz w:val="16"/>
          <w:szCs w:val="16"/>
          <w:color w:val="231F20"/>
        </w:rPr>
        <w:t>Ability to attract, retain and motivate talent needed to achieve business objectives</w:t>
      </w:r>
    </w:p>
    <w:p>
      <w:pPr>
        <w:spacing w:after="0" w:line="157" w:lineRule="exact"/>
        <w:rPr>
          <w:rFonts w:ascii="Arial" w:cs="Arial" w:eastAsia="Arial" w:hAnsi="Arial"/>
          <w:sz w:val="14"/>
          <w:szCs w:val="14"/>
          <w:color w:val="231F20"/>
        </w:rPr>
      </w:pPr>
    </w:p>
    <w:p>
      <w:pPr>
        <w:ind w:left="186" w:hanging="186"/>
        <w:spacing w:after="0" w:line="260" w:lineRule="auto"/>
        <w:tabs>
          <w:tab w:leader="none" w:pos="186" w:val="left"/>
        </w:tabs>
        <w:numPr>
          <w:ilvl w:val="0"/>
          <w:numId w:val="95"/>
        </w:numPr>
        <w:rPr>
          <w:rFonts w:ascii="Arial" w:cs="Arial" w:eastAsia="Arial" w:hAnsi="Arial"/>
          <w:sz w:val="14"/>
          <w:szCs w:val="14"/>
          <w:color w:val="231F20"/>
        </w:rPr>
      </w:pPr>
      <w:r>
        <w:rPr>
          <w:rFonts w:ascii="Arial" w:cs="Arial" w:eastAsia="Arial" w:hAnsi="Arial"/>
          <w:sz w:val="16"/>
          <w:szCs w:val="16"/>
          <w:color w:val="231F20"/>
        </w:rPr>
        <w:t>Use of our compensation plans to align interests of our executives with our shareholders</w:t>
      </w:r>
    </w:p>
    <w:p>
      <w:pPr>
        <w:spacing w:after="0" w:line="157" w:lineRule="exact"/>
        <w:rPr>
          <w:rFonts w:ascii="Arial" w:cs="Arial" w:eastAsia="Arial" w:hAnsi="Arial"/>
          <w:sz w:val="14"/>
          <w:szCs w:val="14"/>
          <w:color w:val="231F20"/>
        </w:rPr>
      </w:pPr>
    </w:p>
    <w:p>
      <w:pPr>
        <w:ind w:left="186" w:right="40" w:hanging="186"/>
        <w:spacing w:after="0" w:line="352" w:lineRule="auto"/>
        <w:tabs>
          <w:tab w:leader="none" w:pos="186" w:val="left"/>
        </w:tabs>
        <w:numPr>
          <w:ilvl w:val="0"/>
          <w:numId w:val="95"/>
        </w:numPr>
        <w:rPr>
          <w:rFonts w:ascii="Arial" w:cs="Arial" w:eastAsia="Arial" w:hAnsi="Arial"/>
          <w:sz w:val="13"/>
          <w:szCs w:val="13"/>
          <w:color w:val="231F20"/>
        </w:rPr>
      </w:pPr>
      <w:r>
        <w:rPr>
          <w:rFonts w:ascii="Arial" w:cs="Arial" w:eastAsia="Arial" w:hAnsi="Arial"/>
          <w:sz w:val="14"/>
          <w:szCs w:val="14"/>
          <w:color w:val="231F20"/>
        </w:rPr>
        <w:t>Influence of incentive compensation programs on excessive risk taking</w:t>
      </w:r>
    </w:p>
    <w:p>
      <w:pPr>
        <w:spacing w:after="0" w:line="96" w:lineRule="exact"/>
        <w:rPr>
          <w:rFonts w:ascii="Arial" w:cs="Arial" w:eastAsia="Arial" w:hAnsi="Arial"/>
          <w:sz w:val="13"/>
          <w:szCs w:val="13"/>
          <w:color w:val="231F20"/>
        </w:rPr>
      </w:pPr>
    </w:p>
    <w:p>
      <w:pPr>
        <w:ind w:left="186" w:hanging="186"/>
        <w:spacing w:after="0"/>
        <w:tabs>
          <w:tab w:leader="none" w:pos="186" w:val="left"/>
        </w:tabs>
        <w:numPr>
          <w:ilvl w:val="0"/>
          <w:numId w:val="95"/>
        </w:numPr>
        <w:rPr>
          <w:rFonts w:ascii="Arial" w:cs="Arial" w:eastAsia="Arial" w:hAnsi="Arial"/>
          <w:sz w:val="14"/>
          <w:szCs w:val="14"/>
          <w:color w:val="231F20"/>
        </w:rPr>
      </w:pPr>
      <w:r>
        <w:rPr>
          <w:rFonts w:ascii="Arial" w:cs="Arial" w:eastAsia="Arial" w:hAnsi="Arial"/>
          <w:sz w:val="16"/>
          <w:szCs w:val="16"/>
          <w:color w:val="231F20"/>
        </w:rPr>
        <w:t>Succession planning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580"/>
        <w:spacing w:after="0"/>
        <w:rPr>
          <w:sz w:val="20"/>
          <w:szCs w:val="20"/>
          <w:color w:val="auto"/>
        </w:rPr>
      </w:pPr>
      <w:r>
        <w:rPr>
          <w:rFonts w:ascii="Arial" w:cs="Arial" w:eastAsia="Arial" w:hAnsi="Arial"/>
          <w:sz w:val="16"/>
          <w:szCs w:val="16"/>
          <w:b w:val="1"/>
          <w:bCs w:val="1"/>
          <w:color w:val="231F20"/>
        </w:rPr>
        <w:t>Nominating and Corporate</w:t>
      </w:r>
    </w:p>
    <w:p>
      <w:pPr>
        <w:spacing w:after="0" w:line="37" w:lineRule="exact"/>
        <w:rPr>
          <w:sz w:val="20"/>
          <w:szCs w:val="20"/>
          <w:color w:val="auto"/>
        </w:rPr>
      </w:pPr>
    </w:p>
    <w:p>
      <w:pPr>
        <w:jc w:val="center"/>
        <w:ind w:right="580"/>
        <w:spacing w:after="0"/>
        <w:rPr>
          <w:sz w:val="20"/>
          <w:szCs w:val="20"/>
          <w:color w:val="auto"/>
        </w:rPr>
      </w:pPr>
      <w:r>
        <w:rPr>
          <w:rFonts w:ascii="Arial" w:cs="Arial" w:eastAsia="Arial" w:hAnsi="Arial"/>
          <w:sz w:val="16"/>
          <w:szCs w:val="16"/>
          <w:b w:val="1"/>
          <w:bCs w:val="1"/>
          <w:color w:val="231F20"/>
        </w:rPr>
        <w:t>Governance Committee</w:t>
      </w:r>
    </w:p>
    <w:p>
      <w:pPr>
        <w:spacing w:after="0" w:line="118" w:lineRule="exact"/>
        <w:rPr>
          <w:sz w:val="20"/>
          <w:szCs w:val="20"/>
          <w:color w:val="auto"/>
        </w:rPr>
      </w:pPr>
    </w:p>
    <w:p>
      <w:pPr>
        <w:ind w:left="180" w:right="920" w:hanging="177"/>
        <w:spacing w:after="0" w:line="260" w:lineRule="auto"/>
        <w:tabs>
          <w:tab w:leader="none" w:pos="180" w:val="left"/>
        </w:tabs>
        <w:numPr>
          <w:ilvl w:val="0"/>
          <w:numId w:val="96"/>
        </w:numPr>
        <w:rPr>
          <w:rFonts w:ascii="Arial" w:cs="Arial" w:eastAsia="Arial" w:hAnsi="Arial"/>
          <w:sz w:val="14"/>
          <w:szCs w:val="14"/>
          <w:color w:val="231F20"/>
        </w:rPr>
      </w:pPr>
      <w:r>
        <w:rPr>
          <w:rFonts w:ascii="Arial" w:cs="Arial" w:eastAsia="Arial" w:hAnsi="Arial"/>
          <w:sz w:val="16"/>
          <w:szCs w:val="16"/>
          <w:color w:val="231F20"/>
        </w:rPr>
        <w:t>Composition, leadership, independence and operation of Board and committees</w:t>
      </w:r>
    </w:p>
    <w:p>
      <w:pPr>
        <w:spacing w:after="0" w:line="157" w:lineRule="exact"/>
        <w:rPr>
          <w:rFonts w:ascii="Arial" w:cs="Arial" w:eastAsia="Arial" w:hAnsi="Arial"/>
          <w:sz w:val="14"/>
          <w:szCs w:val="14"/>
          <w:color w:val="231F20"/>
        </w:rPr>
      </w:pPr>
    </w:p>
    <w:p>
      <w:pPr>
        <w:ind w:left="180" w:right="760" w:hanging="177"/>
        <w:spacing w:after="0" w:line="278" w:lineRule="auto"/>
        <w:tabs>
          <w:tab w:leader="none" w:pos="180" w:val="left"/>
        </w:tabs>
        <w:numPr>
          <w:ilvl w:val="0"/>
          <w:numId w:val="96"/>
        </w:numPr>
        <w:rPr>
          <w:rFonts w:ascii="Arial" w:cs="Arial" w:eastAsia="Arial" w:hAnsi="Arial"/>
          <w:sz w:val="14"/>
          <w:szCs w:val="14"/>
          <w:color w:val="231F20"/>
        </w:rPr>
      </w:pPr>
      <w:r>
        <w:rPr>
          <w:rFonts w:ascii="Arial" w:cs="Arial" w:eastAsia="Arial" w:hAnsi="Arial"/>
          <w:sz w:val="16"/>
          <w:szCs w:val="16"/>
          <w:color w:val="231F20"/>
        </w:rPr>
        <w:t>Conducting annual evaluations of Board and Trustees</w:t>
      </w:r>
    </w:p>
    <w:p>
      <w:pPr>
        <w:spacing w:after="0" w:line="142" w:lineRule="exact"/>
        <w:rPr>
          <w:rFonts w:ascii="Arial" w:cs="Arial" w:eastAsia="Arial" w:hAnsi="Arial"/>
          <w:sz w:val="14"/>
          <w:szCs w:val="14"/>
          <w:color w:val="231F20"/>
        </w:rPr>
      </w:pPr>
    </w:p>
    <w:p>
      <w:pPr>
        <w:ind w:left="180" w:right="900" w:hanging="177"/>
        <w:spacing w:after="0" w:line="315" w:lineRule="auto"/>
        <w:tabs>
          <w:tab w:leader="none" w:pos="180" w:val="left"/>
        </w:tabs>
        <w:numPr>
          <w:ilvl w:val="0"/>
          <w:numId w:val="96"/>
        </w:numPr>
        <w:rPr>
          <w:rFonts w:ascii="Arial" w:cs="Arial" w:eastAsia="Arial" w:hAnsi="Arial"/>
          <w:sz w:val="13"/>
          <w:szCs w:val="13"/>
          <w:color w:val="231F20"/>
        </w:rPr>
      </w:pPr>
      <w:r>
        <w:rPr>
          <w:rFonts w:ascii="Arial" w:cs="Arial" w:eastAsia="Arial" w:hAnsi="Arial"/>
          <w:sz w:val="14"/>
          <w:szCs w:val="14"/>
          <w:color w:val="231F20"/>
        </w:rPr>
        <w:t>Compliance with our corporate governance documents and applicable laws and regulations</w:t>
      </w:r>
    </w:p>
    <w:p>
      <w:pPr>
        <w:spacing w:after="0" w:line="121" w:lineRule="exact"/>
        <w:rPr>
          <w:rFonts w:ascii="Arial" w:cs="Arial" w:eastAsia="Arial" w:hAnsi="Arial"/>
          <w:sz w:val="13"/>
          <w:szCs w:val="13"/>
          <w:color w:val="231F20"/>
        </w:rPr>
      </w:pPr>
    </w:p>
    <w:p>
      <w:pPr>
        <w:jc w:val="both"/>
        <w:ind w:left="180" w:right="580" w:hanging="177"/>
        <w:spacing w:after="0" w:line="302" w:lineRule="auto"/>
        <w:tabs>
          <w:tab w:leader="none" w:pos="180" w:val="left"/>
        </w:tabs>
        <w:numPr>
          <w:ilvl w:val="0"/>
          <w:numId w:val="96"/>
        </w:numPr>
        <w:rPr>
          <w:rFonts w:ascii="Arial" w:cs="Arial" w:eastAsia="Arial" w:hAnsi="Arial"/>
          <w:sz w:val="13"/>
          <w:szCs w:val="13"/>
          <w:color w:val="231F20"/>
        </w:rPr>
      </w:pPr>
      <w:r>
        <w:rPr>
          <w:rFonts w:ascii="Arial" w:cs="Arial" w:eastAsia="Arial" w:hAnsi="Arial"/>
          <w:sz w:val="14"/>
          <w:szCs w:val="14"/>
          <w:color w:val="231F20"/>
        </w:rPr>
        <w:t>Sustainability risks and issues that could affect Company performance or reputation and progress made on Sustainability goals</w:t>
      </w:r>
    </w:p>
    <w:p>
      <w:pPr>
        <w:spacing w:after="0" w:line="200" w:lineRule="exact"/>
        <w:rPr>
          <w:sz w:val="20"/>
          <w:szCs w:val="20"/>
          <w:color w:val="auto"/>
        </w:rPr>
      </w:pPr>
    </w:p>
    <w:p>
      <w:pPr>
        <w:sectPr>
          <w:pgSz w:w="11880" w:h="15480" w:orient="portrait"/>
          <w:cols w:equalWidth="0" w:num="3">
            <w:col w:w="3600" w:space="314"/>
            <w:col w:w="2686" w:space="240"/>
            <w:col w:w="3240"/>
          </w:cols>
          <w:pgMar w:left="900" w:top="1373" w:right="900" w:bottom="763" w:gutter="0" w:footer="0" w:header="0"/>
          <w:type w:val="continuous"/>
        </w:sectPr>
      </w:pPr>
    </w:p>
    <w:p>
      <w:pPr>
        <w:spacing w:after="0" w:line="268" w:lineRule="exact"/>
        <w:rPr>
          <w:sz w:val="20"/>
          <w:szCs w:val="20"/>
          <w:color w:val="auto"/>
        </w:rPr>
      </w:pPr>
    </w:p>
    <w:tbl>
      <w:tblPr>
        <w:tblLayout w:type="fixed"/>
        <w:tblInd w:w="900" w:type="dxa"/>
        <w:tblCellMar>
          <w:top w:w="0" w:type="dxa"/>
          <w:left w:w="0" w:type="dxa"/>
          <w:bottom w:w="0" w:type="dxa"/>
          <w:right w:w="0" w:type="dxa"/>
        </w:tblCellMar>
      </w:tblPr>
      <w:tr>
        <w:trPr>
          <w:trHeight w:val="341"/>
        </w:trPr>
        <w:tc>
          <w:tcPr>
            <w:tcW w:w="200" w:type="dxa"/>
            <w:vAlign w:val="bottom"/>
            <w:shd w:val="clear" w:color="auto" w:fill="F1F1F2"/>
          </w:tcPr>
          <w:p>
            <w:pPr>
              <w:spacing w:after="0"/>
              <w:rPr>
                <w:sz w:val="24"/>
                <w:szCs w:val="24"/>
                <w:color w:val="auto"/>
              </w:rPr>
            </w:pPr>
          </w:p>
        </w:tc>
        <w:tc>
          <w:tcPr>
            <w:tcW w:w="2680" w:type="dxa"/>
            <w:vAlign w:val="bottom"/>
            <w:shd w:val="clear" w:color="auto" w:fill="F1F1F2"/>
          </w:tcPr>
          <w:p>
            <w:pPr>
              <w:spacing w:after="0"/>
              <w:rPr>
                <w:sz w:val="24"/>
                <w:szCs w:val="24"/>
                <w:color w:val="auto"/>
              </w:rPr>
            </w:pPr>
          </w:p>
        </w:tc>
        <w:tc>
          <w:tcPr>
            <w:tcW w:w="5800" w:type="dxa"/>
            <w:vAlign w:val="bottom"/>
            <w:shd w:val="clear" w:color="auto" w:fill="F1F1F2"/>
          </w:tcPr>
          <w:p>
            <w:pPr>
              <w:ind w:left="480"/>
              <w:spacing w:after="0"/>
              <w:rPr>
                <w:sz w:val="20"/>
                <w:szCs w:val="20"/>
                <w:color w:val="auto"/>
              </w:rPr>
            </w:pPr>
            <w:r>
              <w:rPr>
                <w:rFonts w:ascii="Arial" w:cs="Arial" w:eastAsia="Arial" w:hAnsi="Arial"/>
                <w:sz w:val="16"/>
                <w:szCs w:val="16"/>
                <w:b w:val="1"/>
                <w:bCs w:val="1"/>
                <w:color w:val="231F20"/>
              </w:rPr>
              <w:t>COMPANY MANAGEMENT</w:t>
            </w:r>
          </w:p>
        </w:tc>
      </w:tr>
      <w:tr>
        <w:trPr>
          <w:trHeight w:val="138"/>
        </w:trPr>
        <w:tc>
          <w:tcPr>
            <w:tcW w:w="2880" w:type="dxa"/>
            <w:vAlign w:val="bottom"/>
            <w:tcBorders>
              <w:bottom w:val="single" w:sz="8" w:color="231F20"/>
            </w:tcBorders>
            <w:gridSpan w:val="2"/>
            <w:shd w:val="clear" w:color="auto" w:fill="F1F1F2"/>
          </w:tcPr>
          <w:p>
            <w:pPr>
              <w:spacing w:after="0"/>
              <w:rPr>
                <w:sz w:val="11"/>
                <w:szCs w:val="11"/>
                <w:color w:val="auto"/>
              </w:rPr>
            </w:pPr>
          </w:p>
        </w:tc>
        <w:tc>
          <w:tcPr>
            <w:tcW w:w="5800" w:type="dxa"/>
            <w:vAlign w:val="bottom"/>
            <w:tcBorders>
              <w:bottom w:val="single" w:sz="8" w:color="231F20"/>
            </w:tcBorders>
            <w:shd w:val="clear" w:color="auto" w:fill="F1F1F2"/>
          </w:tcPr>
          <w:p>
            <w:pPr>
              <w:spacing w:after="0"/>
              <w:rPr>
                <w:sz w:val="11"/>
                <w:szCs w:val="11"/>
                <w:color w:val="auto"/>
              </w:rPr>
            </w:pPr>
          </w:p>
        </w:tc>
      </w:tr>
      <w:tr>
        <w:trPr>
          <w:trHeight w:val="227"/>
        </w:trPr>
        <w:tc>
          <w:tcPr>
            <w:tcW w:w="2880" w:type="dxa"/>
            <w:vAlign w:val="bottom"/>
            <w:gridSpan w:val="2"/>
          </w:tcPr>
          <w:p>
            <w:pPr>
              <w:ind w:left="40"/>
              <w:spacing w:after="0"/>
              <w:rPr>
                <w:sz w:val="20"/>
                <w:szCs w:val="20"/>
                <w:color w:val="auto"/>
              </w:rPr>
            </w:pPr>
            <w:r>
              <w:rPr>
                <w:rFonts w:ascii="Arial" w:cs="Arial" w:eastAsia="Arial" w:hAnsi="Arial"/>
                <w:sz w:val="16"/>
                <w:szCs w:val="16"/>
                <w:color w:val="231F20"/>
              </w:rPr>
              <w:t>Regular reporting on material risks</w:t>
            </w:r>
          </w:p>
        </w:tc>
        <w:tc>
          <w:tcPr>
            <w:tcW w:w="5800" w:type="dxa"/>
            <w:vAlign w:val="bottom"/>
          </w:tcPr>
          <w:p>
            <w:pPr>
              <w:ind w:left="100"/>
              <w:spacing w:after="0"/>
              <w:rPr>
                <w:sz w:val="20"/>
                <w:szCs w:val="20"/>
                <w:color w:val="auto"/>
              </w:rPr>
            </w:pPr>
            <w:r>
              <w:rPr>
                <w:rFonts w:ascii="Arial" w:cs="Arial" w:eastAsia="Arial" w:hAnsi="Arial"/>
                <w:sz w:val="16"/>
                <w:szCs w:val="16"/>
                <w:color w:val="231F20"/>
              </w:rPr>
              <w:t>Presentation for approval by the Board of significant transactions and other</w:t>
            </w:r>
          </w:p>
        </w:tc>
      </w:tr>
      <w:tr>
        <w:trPr>
          <w:trHeight w:val="211"/>
        </w:trPr>
        <w:tc>
          <w:tcPr>
            <w:tcW w:w="2880" w:type="dxa"/>
            <w:vAlign w:val="bottom"/>
            <w:gridSpan w:val="2"/>
          </w:tcPr>
          <w:p>
            <w:pPr>
              <w:ind w:left="40"/>
              <w:spacing w:after="0"/>
              <w:rPr>
                <w:sz w:val="20"/>
                <w:szCs w:val="20"/>
                <w:color w:val="auto"/>
              </w:rPr>
            </w:pPr>
            <w:r>
              <w:rPr>
                <w:rFonts w:ascii="Arial" w:cs="Arial" w:eastAsia="Arial" w:hAnsi="Arial"/>
                <w:sz w:val="16"/>
                <w:szCs w:val="16"/>
                <w:color w:val="231F20"/>
              </w:rPr>
              <w:t>including:</w:t>
            </w:r>
          </w:p>
        </w:tc>
        <w:tc>
          <w:tcPr>
            <w:tcW w:w="5800" w:type="dxa"/>
            <w:vAlign w:val="bottom"/>
          </w:tcPr>
          <w:p>
            <w:pPr>
              <w:ind w:left="100"/>
              <w:spacing w:after="0"/>
              <w:rPr>
                <w:sz w:val="20"/>
                <w:szCs w:val="20"/>
                <w:color w:val="auto"/>
              </w:rPr>
            </w:pPr>
            <w:r>
              <w:rPr>
                <w:rFonts w:ascii="Arial" w:cs="Arial" w:eastAsia="Arial" w:hAnsi="Arial"/>
                <w:sz w:val="16"/>
                <w:szCs w:val="16"/>
                <w:color w:val="231F20"/>
              </w:rPr>
              <w:t>matters including:</w:t>
            </w:r>
          </w:p>
        </w:tc>
      </w:tr>
      <w:tr>
        <w:trPr>
          <w:trHeight w:val="256"/>
        </w:trPr>
        <w:tc>
          <w:tcPr>
            <w:tcW w:w="200" w:type="dxa"/>
            <w:vAlign w:val="bottom"/>
          </w:tcPr>
          <w:p>
            <w:pPr>
              <w:ind w:left="80"/>
              <w:spacing w:after="0"/>
              <w:rPr>
                <w:sz w:val="20"/>
                <w:szCs w:val="20"/>
                <w:color w:val="auto"/>
              </w:rPr>
            </w:pPr>
            <w:r>
              <w:rPr>
                <w:rFonts w:ascii="Arial" w:cs="Arial" w:eastAsia="Arial" w:hAnsi="Arial"/>
                <w:sz w:val="14"/>
                <w:szCs w:val="14"/>
                <w:color w:val="231F20"/>
              </w:rPr>
              <w:t>•</w:t>
            </w:r>
          </w:p>
        </w:tc>
        <w:tc>
          <w:tcPr>
            <w:tcW w:w="2680" w:type="dxa"/>
            <w:vAlign w:val="bottom"/>
          </w:tcPr>
          <w:p>
            <w:pPr>
              <w:ind w:left="60"/>
              <w:spacing w:after="0"/>
              <w:rPr>
                <w:sz w:val="20"/>
                <w:szCs w:val="20"/>
                <w:color w:val="auto"/>
              </w:rPr>
            </w:pPr>
            <w:r>
              <w:rPr>
                <w:rFonts w:ascii="Arial" w:cs="Arial" w:eastAsia="Arial" w:hAnsi="Arial"/>
                <w:sz w:val="16"/>
                <w:szCs w:val="16"/>
                <w:color w:val="231F20"/>
              </w:rPr>
              <w:t>Market Conditions</w:t>
            </w:r>
          </w:p>
        </w:tc>
        <w:tc>
          <w:tcPr>
            <w:tcW w:w="5800" w:type="dxa"/>
            <w:vAlign w:val="bottom"/>
          </w:tcPr>
          <w:p>
            <w:pPr>
              <w:ind w:left="140"/>
              <w:spacing w:after="0"/>
              <w:rPr>
                <w:sz w:val="20"/>
                <w:szCs w:val="20"/>
                <w:color w:val="auto"/>
              </w:rPr>
            </w:pPr>
            <w:r>
              <w:rPr>
                <w:rFonts w:ascii="Arial" w:cs="Arial" w:eastAsia="Arial" w:hAnsi="Arial"/>
                <w:sz w:val="14"/>
                <w:szCs w:val="14"/>
                <w:color w:val="231F20"/>
              </w:rPr>
              <w:t xml:space="preserve">•  </w:t>
            </w:r>
            <w:r>
              <w:rPr>
                <w:rFonts w:ascii="Arial" w:cs="Arial" w:eastAsia="Arial" w:hAnsi="Arial"/>
                <w:sz w:val="15"/>
                <w:szCs w:val="15"/>
                <w:color w:val="231F20"/>
              </w:rPr>
              <w:t>Acquisition/disposition of properties above a specified dollar value</w:t>
            </w:r>
          </w:p>
        </w:tc>
      </w:tr>
      <w:tr>
        <w:trPr>
          <w:trHeight w:val="239"/>
        </w:trPr>
        <w:tc>
          <w:tcPr>
            <w:tcW w:w="200" w:type="dxa"/>
            <w:vAlign w:val="bottom"/>
          </w:tcPr>
          <w:p>
            <w:pPr>
              <w:ind w:left="80"/>
              <w:spacing w:after="0"/>
              <w:rPr>
                <w:sz w:val="20"/>
                <w:szCs w:val="20"/>
                <w:color w:val="auto"/>
              </w:rPr>
            </w:pPr>
            <w:r>
              <w:rPr>
                <w:rFonts w:ascii="Arial" w:cs="Arial" w:eastAsia="Arial" w:hAnsi="Arial"/>
                <w:sz w:val="14"/>
                <w:szCs w:val="14"/>
                <w:color w:val="231F20"/>
              </w:rPr>
              <w:t>•</w:t>
            </w:r>
          </w:p>
        </w:tc>
        <w:tc>
          <w:tcPr>
            <w:tcW w:w="2680" w:type="dxa"/>
            <w:vAlign w:val="bottom"/>
          </w:tcPr>
          <w:p>
            <w:pPr>
              <w:ind w:left="60"/>
              <w:spacing w:after="0"/>
              <w:rPr>
                <w:sz w:val="20"/>
                <w:szCs w:val="20"/>
                <w:color w:val="auto"/>
              </w:rPr>
            </w:pPr>
            <w:r>
              <w:rPr>
                <w:rFonts w:ascii="Arial" w:cs="Arial" w:eastAsia="Arial" w:hAnsi="Arial"/>
                <w:sz w:val="16"/>
                <w:szCs w:val="16"/>
                <w:color w:val="231F20"/>
              </w:rPr>
              <w:t>Tenant credit risk</w:t>
            </w:r>
          </w:p>
        </w:tc>
        <w:tc>
          <w:tcPr>
            <w:tcW w:w="5800" w:type="dxa"/>
            <w:vAlign w:val="bottom"/>
          </w:tcPr>
          <w:p>
            <w:pPr>
              <w:ind w:left="140"/>
              <w:spacing w:after="0"/>
              <w:rPr>
                <w:sz w:val="20"/>
                <w:szCs w:val="20"/>
                <w:color w:val="auto"/>
              </w:rPr>
            </w:pPr>
            <w:r>
              <w:rPr>
                <w:rFonts w:ascii="Arial" w:cs="Arial" w:eastAsia="Arial" w:hAnsi="Arial"/>
                <w:sz w:val="14"/>
                <w:szCs w:val="14"/>
                <w:color w:val="231F20"/>
              </w:rPr>
              <w:t xml:space="preserve">•  </w:t>
            </w:r>
            <w:r>
              <w:rPr>
                <w:rFonts w:ascii="Arial" w:cs="Arial" w:eastAsia="Arial" w:hAnsi="Arial"/>
                <w:sz w:val="15"/>
                <w:szCs w:val="15"/>
                <w:color w:val="231F20"/>
              </w:rPr>
              <w:t>Development/redevelopment projects above a specified dollar value</w:t>
            </w:r>
          </w:p>
        </w:tc>
      </w:tr>
      <w:tr>
        <w:trPr>
          <w:trHeight w:val="239"/>
        </w:trPr>
        <w:tc>
          <w:tcPr>
            <w:tcW w:w="200" w:type="dxa"/>
            <w:vAlign w:val="bottom"/>
          </w:tcPr>
          <w:p>
            <w:pPr>
              <w:ind w:left="80"/>
              <w:spacing w:after="0"/>
              <w:rPr>
                <w:sz w:val="20"/>
                <w:szCs w:val="20"/>
                <w:color w:val="auto"/>
              </w:rPr>
            </w:pPr>
            <w:r>
              <w:rPr>
                <w:rFonts w:ascii="Arial" w:cs="Arial" w:eastAsia="Arial" w:hAnsi="Arial"/>
                <w:sz w:val="14"/>
                <w:szCs w:val="14"/>
                <w:color w:val="231F20"/>
              </w:rPr>
              <w:t>•</w:t>
            </w:r>
          </w:p>
        </w:tc>
        <w:tc>
          <w:tcPr>
            <w:tcW w:w="2680" w:type="dxa"/>
            <w:vAlign w:val="bottom"/>
          </w:tcPr>
          <w:p>
            <w:pPr>
              <w:ind w:left="60"/>
              <w:spacing w:after="0"/>
              <w:rPr>
                <w:sz w:val="20"/>
                <w:szCs w:val="20"/>
                <w:color w:val="auto"/>
              </w:rPr>
            </w:pPr>
            <w:r>
              <w:rPr>
                <w:rFonts w:ascii="Arial" w:cs="Arial" w:eastAsia="Arial" w:hAnsi="Arial"/>
                <w:sz w:val="16"/>
                <w:szCs w:val="16"/>
                <w:color w:val="231F20"/>
              </w:rPr>
              <w:t>Leasing activity/occupancy levels</w:t>
            </w:r>
          </w:p>
        </w:tc>
        <w:tc>
          <w:tcPr>
            <w:tcW w:w="5800" w:type="dxa"/>
            <w:vAlign w:val="bottom"/>
          </w:tcPr>
          <w:p>
            <w:pPr>
              <w:ind w:left="140"/>
              <w:spacing w:after="0"/>
              <w:rPr>
                <w:sz w:val="20"/>
                <w:szCs w:val="20"/>
                <w:color w:val="auto"/>
              </w:rPr>
            </w:pPr>
            <w:r>
              <w:rPr>
                <w:rFonts w:ascii="Arial" w:cs="Arial" w:eastAsia="Arial" w:hAnsi="Arial"/>
                <w:sz w:val="14"/>
                <w:szCs w:val="14"/>
                <w:color w:val="231F20"/>
              </w:rPr>
              <w:t xml:space="preserve">•  </w:t>
            </w:r>
            <w:r>
              <w:rPr>
                <w:rFonts w:ascii="Arial" w:cs="Arial" w:eastAsia="Arial" w:hAnsi="Arial"/>
                <w:sz w:val="15"/>
                <w:szCs w:val="15"/>
                <w:color w:val="231F20"/>
              </w:rPr>
              <w:t>Capital market activities including debt and equity issuances</w:t>
            </w:r>
          </w:p>
        </w:tc>
      </w:tr>
      <w:tr>
        <w:trPr>
          <w:trHeight w:val="239"/>
        </w:trPr>
        <w:tc>
          <w:tcPr>
            <w:tcW w:w="2880" w:type="dxa"/>
            <w:vAlign w:val="bottom"/>
            <w:gridSpan w:val="2"/>
          </w:tcPr>
          <w:p>
            <w:pPr>
              <w:ind w:left="80"/>
              <w:spacing w:after="0"/>
              <w:rPr>
                <w:sz w:val="20"/>
                <w:szCs w:val="20"/>
                <w:color w:val="auto"/>
              </w:rPr>
            </w:pPr>
            <w:r>
              <w:rPr>
                <w:rFonts w:ascii="Arial" w:cs="Arial" w:eastAsia="Arial" w:hAnsi="Arial"/>
                <w:sz w:val="14"/>
                <w:szCs w:val="14"/>
                <w:color w:val="231F20"/>
              </w:rPr>
              <w:t xml:space="preserve">•  </w:t>
            </w:r>
            <w:r>
              <w:rPr>
                <w:rFonts w:ascii="Arial" w:cs="Arial" w:eastAsia="Arial" w:hAnsi="Arial"/>
                <w:sz w:val="15"/>
                <w:szCs w:val="15"/>
                <w:color w:val="231F20"/>
              </w:rPr>
              <w:t>Status of development projects</w:t>
            </w:r>
          </w:p>
        </w:tc>
        <w:tc>
          <w:tcPr>
            <w:tcW w:w="5800" w:type="dxa"/>
            <w:vAlign w:val="bottom"/>
          </w:tcPr>
          <w:p>
            <w:pPr>
              <w:ind w:left="140"/>
              <w:spacing w:after="0"/>
              <w:rPr>
                <w:sz w:val="20"/>
                <w:szCs w:val="20"/>
                <w:color w:val="auto"/>
              </w:rPr>
            </w:pPr>
            <w:r>
              <w:rPr>
                <w:rFonts w:ascii="Arial" w:cs="Arial" w:eastAsia="Arial" w:hAnsi="Arial"/>
                <w:sz w:val="14"/>
                <w:szCs w:val="14"/>
                <w:color w:val="231F20"/>
              </w:rPr>
              <w:t xml:space="preserve">•  </w:t>
            </w:r>
            <w:r>
              <w:rPr>
                <w:rFonts w:ascii="Arial" w:cs="Arial" w:eastAsia="Arial" w:hAnsi="Arial"/>
                <w:sz w:val="15"/>
                <w:szCs w:val="15"/>
                <w:color w:val="231F20"/>
              </w:rPr>
              <w:t>Appointment of executive officers and consideration of all other officers</w:t>
            </w:r>
          </w:p>
        </w:tc>
      </w:tr>
      <w:tr>
        <w:trPr>
          <w:trHeight w:val="239"/>
        </w:trPr>
        <w:tc>
          <w:tcPr>
            <w:tcW w:w="2880" w:type="dxa"/>
            <w:vAlign w:val="bottom"/>
            <w:gridSpan w:val="2"/>
          </w:tcPr>
          <w:p>
            <w:pPr>
              <w:ind w:left="80"/>
              <w:spacing w:after="0"/>
              <w:rPr>
                <w:sz w:val="20"/>
                <w:szCs w:val="20"/>
                <w:color w:val="auto"/>
              </w:rPr>
            </w:pPr>
            <w:r>
              <w:rPr>
                <w:rFonts w:ascii="Arial" w:cs="Arial" w:eastAsia="Arial" w:hAnsi="Arial"/>
                <w:sz w:val="14"/>
                <w:szCs w:val="14"/>
                <w:color w:val="231F20"/>
              </w:rPr>
              <w:t xml:space="preserve">•  </w:t>
            </w:r>
            <w:r>
              <w:rPr>
                <w:rFonts w:ascii="Arial" w:cs="Arial" w:eastAsia="Arial" w:hAnsi="Arial"/>
                <w:sz w:val="15"/>
                <w:szCs w:val="15"/>
                <w:color w:val="231F20"/>
              </w:rPr>
              <w:t>Compliance with financial covenants</w:t>
            </w:r>
          </w:p>
        </w:tc>
        <w:tc>
          <w:tcPr>
            <w:tcW w:w="5800" w:type="dxa"/>
            <w:vAlign w:val="bottom"/>
          </w:tcPr>
          <w:p>
            <w:pPr>
              <w:ind w:left="140"/>
              <w:spacing w:after="0"/>
              <w:rPr>
                <w:sz w:val="20"/>
                <w:szCs w:val="20"/>
                <w:color w:val="auto"/>
              </w:rPr>
            </w:pPr>
            <w:r>
              <w:rPr>
                <w:rFonts w:ascii="Arial" w:cs="Arial" w:eastAsia="Arial" w:hAnsi="Arial"/>
                <w:sz w:val="14"/>
                <w:szCs w:val="14"/>
                <w:color w:val="231F20"/>
              </w:rPr>
              <w:t xml:space="preserve">•  </w:t>
            </w:r>
            <w:r>
              <w:rPr>
                <w:rFonts w:ascii="Arial" w:cs="Arial" w:eastAsia="Arial" w:hAnsi="Arial"/>
                <w:sz w:val="15"/>
                <w:szCs w:val="15"/>
                <w:color w:val="231F20"/>
              </w:rPr>
              <w:t>Transactions with related parties and conflicts of interest</w:t>
            </w:r>
          </w:p>
        </w:tc>
      </w:tr>
    </w:tbl>
    <w:p>
      <w:pPr>
        <w:spacing w:after="0" w:line="28" w:lineRule="exact"/>
        <w:rPr>
          <w:sz w:val="20"/>
          <w:szCs w:val="20"/>
          <w:color w:val="auto"/>
        </w:rPr>
      </w:pPr>
    </w:p>
    <w:p>
      <w:pPr>
        <w:ind w:left="1160" w:hanging="174"/>
        <w:spacing w:after="0"/>
        <w:tabs>
          <w:tab w:leader="none" w:pos="1160" w:val="left"/>
        </w:tabs>
        <w:numPr>
          <w:ilvl w:val="1"/>
          <w:numId w:val="97"/>
        </w:numPr>
        <w:rPr>
          <w:rFonts w:ascii="Arial" w:cs="Arial" w:eastAsia="Arial" w:hAnsi="Arial"/>
          <w:sz w:val="14"/>
          <w:szCs w:val="14"/>
          <w:color w:val="231F20"/>
        </w:rPr>
      </w:pPr>
      <w:r>
        <w:rPr>
          <w:rFonts w:ascii="Arial" w:cs="Arial" w:eastAsia="Arial" w:hAnsi="Arial"/>
          <w:sz w:val="16"/>
          <w:szCs w:val="16"/>
          <w:color w:val="231F20"/>
        </w:rPr>
        <w:t>Access to debt and equity capital</w:t>
      </w:r>
    </w:p>
    <w:p>
      <w:pPr>
        <w:spacing w:after="0" w:line="55" w:lineRule="exact"/>
        <w:rPr>
          <w:rFonts w:ascii="Arial" w:cs="Arial" w:eastAsia="Arial" w:hAnsi="Arial"/>
          <w:sz w:val="14"/>
          <w:szCs w:val="14"/>
          <w:color w:val="231F20"/>
        </w:rPr>
      </w:pPr>
    </w:p>
    <w:p>
      <w:pPr>
        <w:ind w:left="1160" w:hanging="174"/>
        <w:spacing w:after="0"/>
        <w:tabs>
          <w:tab w:leader="none" w:pos="1160" w:val="left"/>
        </w:tabs>
        <w:numPr>
          <w:ilvl w:val="1"/>
          <w:numId w:val="97"/>
        </w:numPr>
        <w:rPr>
          <w:rFonts w:ascii="Arial" w:cs="Arial" w:eastAsia="Arial" w:hAnsi="Arial"/>
          <w:sz w:val="14"/>
          <w:szCs w:val="14"/>
          <w:color w:val="231F20"/>
        </w:rPr>
      </w:pPr>
      <w:r>
        <w:rPr>
          <w:rFonts w:ascii="Arial" w:cs="Arial" w:eastAsia="Arial" w:hAnsi="Arial"/>
          <w:sz w:val="16"/>
          <w:szCs w:val="16"/>
          <w:color w:val="231F20"/>
        </w:rPr>
        <w:t>Capital needs of the Company</w:t>
      </w:r>
    </w:p>
    <w:p>
      <w:pPr>
        <w:spacing w:after="0" w:line="55" w:lineRule="exact"/>
        <w:rPr>
          <w:rFonts w:ascii="Arial" w:cs="Arial" w:eastAsia="Arial" w:hAnsi="Arial"/>
          <w:sz w:val="14"/>
          <w:szCs w:val="14"/>
          <w:color w:val="231F20"/>
        </w:rPr>
      </w:pPr>
    </w:p>
    <w:p>
      <w:pPr>
        <w:ind w:left="1160" w:hanging="174"/>
        <w:spacing w:after="0"/>
        <w:tabs>
          <w:tab w:leader="none" w:pos="1160" w:val="left"/>
        </w:tabs>
        <w:numPr>
          <w:ilvl w:val="1"/>
          <w:numId w:val="97"/>
        </w:numPr>
        <w:rPr>
          <w:rFonts w:ascii="Arial" w:cs="Arial" w:eastAsia="Arial" w:hAnsi="Arial"/>
          <w:sz w:val="14"/>
          <w:szCs w:val="14"/>
          <w:color w:val="231F20"/>
        </w:rPr>
      </w:pPr>
      <w:r>
        <w:rPr>
          <w:rFonts w:ascii="Arial" w:cs="Arial" w:eastAsia="Arial" w:hAnsi="Arial"/>
          <w:sz w:val="16"/>
          <w:szCs w:val="16"/>
          <w:color w:val="231F20"/>
        </w:rPr>
        <w:t>Existing and potential legal claims</w:t>
      </w:r>
    </w:p>
    <w:p>
      <w:pPr>
        <w:spacing w:after="0" w:line="55" w:lineRule="exact"/>
        <w:rPr>
          <w:rFonts w:ascii="Arial" w:cs="Arial" w:eastAsia="Arial" w:hAnsi="Arial"/>
          <w:sz w:val="14"/>
          <w:szCs w:val="14"/>
          <w:color w:val="231F20"/>
        </w:rPr>
      </w:pPr>
    </w:p>
    <w:p>
      <w:pPr>
        <w:ind w:left="1160" w:hanging="174"/>
        <w:spacing w:after="0"/>
        <w:tabs>
          <w:tab w:leader="none" w:pos="1160" w:val="left"/>
        </w:tabs>
        <w:numPr>
          <w:ilvl w:val="1"/>
          <w:numId w:val="97"/>
        </w:numPr>
        <w:rPr>
          <w:rFonts w:ascii="Arial" w:cs="Arial" w:eastAsia="Arial" w:hAnsi="Arial"/>
          <w:sz w:val="14"/>
          <w:szCs w:val="14"/>
          <w:color w:val="231F20"/>
        </w:rPr>
      </w:pPr>
      <w:r>
        <w:rPr>
          <w:rFonts w:ascii="Arial" w:cs="Arial" w:eastAsia="Arial" w:hAnsi="Arial"/>
          <w:sz w:val="16"/>
          <w:szCs w:val="16"/>
          <w:color w:val="231F20"/>
        </w:rPr>
        <w:t>Sustainability risks/goal progress</w:t>
      </w:r>
    </w:p>
    <w:p>
      <w:pPr>
        <w:spacing w:after="0" w:line="307" w:lineRule="exact"/>
        <w:rPr>
          <w:rFonts w:ascii="Arial" w:cs="Arial" w:eastAsia="Arial" w:hAnsi="Arial"/>
          <w:sz w:val="14"/>
          <w:szCs w:val="14"/>
          <w:color w:val="231F20"/>
        </w:rPr>
      </w:pPr>
    </w:p>
    <w:p>
      <w:pPr>
        <w:spacing w:after="0" w:line="268" w:lineRule="exact"/>
        <w:rPr>
          <w:rFonts w:ascii="Arial" w:cs="Arial" w:eastAsia="Arial" w:hAnsi="Arial"/>
          <w:sz w:val="14"/>
          <w:szCs w:val="14"/>
          <w:color w:val="231F20"/>
        </w:rPr>
      </w:pPr>
      <w:r>
        <w:rPr>
          <w:rFonts w:ascii="Arial Unicode MS" w:cs="Arial Unicode MS" w:eastAsia="Arial Unicode MS" w:hAnsi="Arial Unicode MS"/>
          <w:sz w:val="20"/>
          <w:szCs w:val="20"/>
          <w:color w:val="EF3E2A"/>
        </w:rPr>
        <w:t>➢</w:t>
      </w:r>
      <w:r>
        <w:rPr>
          <w:rFonts w:ascii="Arial" w:cs="Arial" w:eastAsia="Arial" w:hAnsi="Arial"/>
          <w:sz w:val="20"/>
          <w:szCs w:val="20"/>
          <w:b w:val="1"/>
          <w:bCs w:val="1"/>
          <w:color w:val="231F20"/>
        </w:rPr>
        <w:t xml:space="preserve"> BOARD AND COMMITTEE EVALUATION PROCESS</w:t>
      </w:r>
    </w:p>
    <w:p>
      <w:pPr>
        <w:spacing w:after="0" w:line="255"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231F20"/>
        </w:rPr>
        <w:t>Our Board and each standing committee conducts annual evaluations that cover overall effectiveness of the Board and the committee as well as the effectiveness of each individual trustee. The Nominating Committee leads the process for the evaluation of the overall Board and each individual trustee and each committee chair leads the evaluation process for his or her committee. Results of the evaluations are taken into account in determining trustees to stand for election at the next annual meeting and in determining committee assignments and leadership roles.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1604645</wp:posOffset>
                </wp:positionV>
                <wp:extent cx="6400800" cy="177800"/>
                <wp:wrapNone/>
                <wp:docPr id="175" name="Shape 1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177800"/>
                        </a:xfrm>
                        <a:prstGeom prst="rect">
                          <a:avLst/>
                        </a:prstGeom>
                        <a:solidFill>
                          <a:srgbClr val="E8E7E5"/>
                        </a:solidFill>
                      </wps:spPr>
                      <wps:bodyPr/>
                    </wps:wsp>
                  </a:graphicData>
                </a:graphic>
              </wp:anchor>
            </w:drawing>
          </mc:Choice>
          <mc:Fallback>
            <w:pict>
              <v:rect id="Shape 175" o:spid="_x0000_s1200" style="position:absolute;margin-left:0pt;margin-top:126.35pt;width:504pt;height:1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8E7E5" stroked="f"/>
            </w:pict>
          </mc:Fallback>
        </mc:AlternateContent>
        <mc:AlternateContent>
          <mc:Choice Requires="wps">
            <w:drawing>
              <wp:anchor simplePos="0" relativeHeight="251657728" behindDoc="1" locked="0" layoutInCell="0" allowOverlap="1">
                <wp:simplePos x="0" y="0"/>
                <wp:positionH relativeFrom="column">
                  <wp:posOffset>6350</wp:posOffset>
                </wp:positionH>
                <wp:positionV relativeFrom="paragraph">
                  <wp:posOffset>1604010</wp:posOffset>
                </wp:positionV>
                <wp:extent cx="0" cy="177800"/>
                <wp:wrapNone/>
                <wp:docPr id="176" name="Shape 1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176" o:spid="_x0000_s120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pt,126.3pt" to="0.5pt,140.3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1610360</wp:posOffset>
                </wp:positionV>
                <wp:extent cx="6400800" cy="0"/>
                <wp:wrapNone/>
                <wp:docPr id="177" name="Shape 1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177" o:spid="_x0000_s12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6.8pt" to="504pt,126.8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6394450</wp:posOffset>
                </wp:positionH>
                <wp:positionV relativeFrom="paragraph">
                  <wp:posOffset>1604010</wp:posOffset>
                </wp:positionV>
                <wp:extent cx="0" cy="177800"/>
                <wp:wrapNone/>
                <wp:docPr id="178" name="Shape 1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178" o:spid="_x0000_s120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3.5pt,126.3pt" to="503.5pt,140.3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1775460</wp:posOffset>
                </wp:positionV>
                <wp:extent cx="6400800" cy="0"/>
                <wp:wrapNone/>
                <wp:docPr id="179" name="Shape 1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179" o:spid="_x0000_s120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9.8pt" to="504pt,139.8pt" o:allowincell="f" strokecolor="#231F20" strokeweight="1pt"/>
            </w:pict>
          </mc:Fallback>
        </mc:AlternateContent>
      </w:r>
    </w:p>
    <w:p>
      <w:pPr>
        <w:sectPr>
          <w:pgSz w:w="11880" w:h="15480" w:orient="portrait"/>
          <w:cols w:equalWidth="0" w:num="1">
            <w:col w:w="10080"/>
          </w:cols>
          <w:pgMar w:left="900" w:top="1373" w:right="900" w:bottom="763"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80"/>
        <w:spacing w:after="0"/>
        <w:tabs>
          <w:tab w:leader="none" w:pos="1420" w:val="left"/>
          <w:tab w:leader="none" w:pos="3160" w:val="left"/>
        </w:tabs>
        <w:rPr>
          <w:sz w:val="20"/>
          <w:szCs w:val="20"/>
          <w:color w:val="auto"/>
        </w:rPr>
      </w:pPr>
      <w:r>
        <w:rPr>
          <w:rFonts w:ascii="Arial" w:cs="Arial" w:eastAsia="Arial" w:hAnsi="Arial"/>
          <w:sz w:val="16"/>
          <w:szCs w:val="16"/>
          <w:color w:val="EF3E2A"/>
        </w:rPr>
        <w:t>Federal Realty</w:t>
      </w:r>
      <w:r>
        <w:rPr>
          <w:sz w:val="20"/>
          <w:szCs w:val="20"/>
          <w:color w:val="auto"/>
        </w:rPr>
        <w:tab/>
      </w:r>
      <w:r>
        <w:rPr>
          <w:rFonts w:ascii="Arial" w:cs="Arial" w:eastAsia="Arial" w:hAnsi="Arial"/>
          <w:sz w:val="16"/>
          <w:szCs w:val="16"/>
          <w:color w:val="231F20"/>
        </w:rPr>
        <w:t>2026 Proxy Statement</w:t>
        <w:tab/>
        <w:t>8</w:t>
      </w:r>
    </w:p>
    <w:p>
      <w:pPr>
        <w:sectPr>
          <w:pgSz w:w="11880" w:h="15480" w:orient="portrait"/>
          <w:cols w:equalWidth="0" w:num="1">
            <w:col w:w="10080"/>
          </w:cols>
          <w:pgMar w:left="900" w:top="1373" w:right="900" w:bottom="763" w:gutter="0" w:footer="0" w:header="0"/>
          <w:type w:val="continuous"/>
        </w:sectPr>
      </w:pPr>
    </w:p>
    <w:bookmarkStart w:id="128" w:name="page129"/>
    <w:bookmarkEnd w:id="128"/>
    <w:tbl>
      <w:tblPr>
        <w:tblLayout w:type="fixed"/>
        <w:tblInd w:w="0" w:type="dxa"/>
        <w:tblCellMar>
          <w:top w:w="0" w:type="dxa"/>
          <w:left w:w="0" w:type="dxa"/>
          <w:bottom w:w="0" w:type="dxa"/>
          <w:right w:w="0" w:type="dxa"/>
        </w:tblCellMar>
      </w:tblPr>
      <w:tr>
        <w:trPr>
          <w:trHeight w:val="240"/>
        </w:trPr>
        <w:tc>
          <w:tcPr>
            <w:tcW w:w="220" w:type="dxa"/>
            <w:vAlign w:val="bottom"/>
            <w:tcBorders>
              <w:bottom w:val="single" w:sz="8" w:color="DCDDDE"/>
            </w:tcBorders>
            <w:shd w:val="clear" w:color="auto" w:fill="DCDDDE"/>
          </w:tcPr>
          <w:p>
            <w:pPr>
              <w:spacing w:after="0"/>
              <w:rPr>
                <w:sz w:val="20"/>
                <w:szCs w:val="20"/>
                <w:color w:val="auto"/>
              </w:rPr>
            </w:pPr>
          </w:p>
        </w:tc>
        <w:tc>
          <w:tcPr>
            <w:tcW w:w="4600" w:type="dxa"/>
            <w:vAlign w:val="bottom"/>
            <w:tcBorders>
              <w:bottom w:val="single" w:sz="8" w:color="EF3E2A"/>
            </w:tcBorders>
            <w:shd w:val="clear" w:color="auto" w:fill="DCDDDE"/>
          </w:tcPr>
          <w:p>
            <w:pPr>
              <w:ind w:left="1060"/>
              <w:spacing w:after="0"/>
              <w:rPr>
                <w:sz w:val="20"/>
                <w:szCs w:val="20"/>
                <w:color w:val="auto"/>
              </w:rPr>
            </w:pPr>
            <w:r>
              <w:rPr>
                <w:rFonts w:ascii="Arial" w:cs="Arial" w:eastAsia="Arial" w:hAnsi="Arial"/>
                <w:sz w:val="18"/>
                <w:szCs w:val="18"/>
                <w:b w:val="1"/>
                <w:bCs w:val="1"/>
                <w:color w:val="231F20"/>
              </w:rPr>
              <w:t>COMMITTEE ASSESSMENTS</w:t>
            </w:r>
          </w:p>
        </w:tc>
        <w:tc>
          <w:tcPr>
            <w:tcW w:w="160" w:type="dxa"/>
            <w:vAlign w:val="bottom"/>
            <w:tcBorders>
              <w:bottom w:val="single" w:sz="8" w:color="DCDDDE"/>
            </w:tcBorders>
            <w:shd w:val="clear" w:color="auto" w:fill="DCDDDE"/>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DCDDDE"/>
            </w:tcBorders>
            <w:shd w:val="clear" w:color="auto" w:fill="DCDDDE"/>
          </w:tcPr>
          <w:p>
            <w:pPr>
              <w:spacing w:after="0"/>
              <w:rPr>
                <w:sz w:val="20"/>
                <w:szCs w:val="20"/>
                <w:color w:val="auto"/>
              </w:rPr>
            </w:pPr>
          </w:p>
        </w:tc>
        <w:tc>
          <w:tcPr>
            <w:tcW w:w="4600" w:type="dxa"/>
            <w:vAlign w:val="bottom"/>
            <w:tcBorders>
              <w:bottom w:val="single" w:sz="8" w:color="EF3E2A"/>
            </w:tcBorders>
            <w:shd w:val="clear" w:color="auto" w:fill="DCDDDE"/>
          </w:tcPr>
          <w:p>
            <w:pPr>
              <w:ind w:left="1220"/>
              <w:spacing w:after="0"/>
              <w:rPr>
                <w:sz w:val="20"/>
                <w:szCs w:val="20"/>
                <w:color w:val="auto"/>
              </w:rPr>
            </w:pPr>
            <w:r>
              <w:rPr>
                <w:rFonts w:ascii="Arial" w:cs="Arial" w:eastAsia="Arial" w:hAnsi="Arial"/>
                <w:sz w:val="18"/>
                <w:szCs w:val="18"/>
                <w:b w:val="1"/>
                <w:bCs w:val="1"/>
                <w:color w:val="231F20"/>
              </w:rPr>
              <w:t>TRUSTEE EVALUATIONS</w:t>
            </w:r>
          </w:p>
        </w:tc>
        <w:tc>
          <w:tcPr>
            <w:tcW w:w="160" w:type="dxa"/>
            <w:vAlign w:val="bottom"/>
            <w:tcBorders>
              <w:bottom w:val="single" w:sz="8" w:color="DCDDDE"/>
            </w:tcBorders>
            <w:shd w:val="clear" w:color="auto" w:fill="DCDDDE"/>
          </w:tcPr>
          <w:p>
            <w:pPr>
              <w:spacing w:after="0"/>
              <w:rPr>
                <w:sz w:val="20"/>
                <w:szCs w:val="20"/>
                <w:color w:val="auto"/>
              </w:rPr>
            </w:pPr>
          </w:p>
        </w:tc>
      </w:tr>
      <w:tr>
        <w:trPr>
          <w:trHeight w:val="244"/>
        </w:trPr>
        <w:tc>
          <w:tcPr>
            <w:tcW w:w="220" w:type="dxa"/>
            <w:vAlign w:val="bottom"/>
            <w:shd w:val="clear" w:color="auto" w:fill="DCDDDE"/>
          </w:tcPr>
          <w:p>
            <w:pPr>
              <w:spacing w:after="0"/>
              <w:rPr>
                <w:sz w:val="21"/>
                <w:szCs w:val="21"/>
                <w:color w:val="auto"/>
              </w:rPr>
            </w:pPr>
          </w:p>
        </w:tc>
        <w:tc>
          <w:tcPr>
            <w:tcW w:w="4600" w:type="dxa"/>
            <w:vAlign w:val="bottom"/>
            <w:shd w:val="clear" w:color="auto" w:fill="DCDDDE"/>
          </w:tcPr>
          <w:p>
            <w:pPr>
              <w:spacing w:after="0"/>
              <w:rPr>
                <w:sz w:val="21"/>
                <w:szCs w:val="21"/>
                <w:color w:val="auto"/>
              </w:rPr>
            </w:pPr>
          </w:p>
        </w:tc>
        <w:tc>
          <w:tcPr>
            <w:tcW w:w="160" w:type="dxa"/>
            <w:vAlign w:val="bottom"/>
            <w:shd w:val="clear" w:color="auto" w:fill="DCDDDE"/>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shd w:val="clear" w:color="auto" w:fill="DCDDDE"/>
          </w:tcPr>
          <w:p>
            <w:pPr>
              <w:spacing w:after="0"/>
              <w:rPr>
                <w:sz w:val="21"/>
                <w:szCs w:val="21"/>
                <w:color w:val="auto"/>
              </w:rPr>
            </w:pPr>
          </w:p>
        </w:tc>
        <w:tc>
          <w:tcPr>
            <w:tcW w:w="4600" w:type="dxa"/>
            <w:vAlign w:val="bottom"/>
            <w:shd w:val="clear" w:color="auto" w:fill="DCDDDE"/>
          </w:tcPr>
          <w:p>
            <w:pPr>
              <w:spacing w:after="0"/>
              <w:rPr>
                <w:sz w:val="21"/>
                <w:szCs w:val="21"/>
                <w:color w:val="auto"/>
              </w:rPr>
            </w:pPr>
          </w:p>
        </w:tc>
        <w:tc>
          <w:tcPr>
            <w:tcW w:w="160" w:type="dxa"/>
            <w:vAlign w:val="bottom"/>
            <w:shd w:val="clear" w:color="auto" w:fill="DCDDDE"/>
          </w:tcPr>
          <w:p>
            <w:pPr>
              <w:spacing w:after="0"/>
              <w:rPr>
                <w:sz w:val="21"/>
                <w:szCs w:val="2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3060700</wp:posOffset>
                </wp:positionH>
                <wp:positionV relativeFrom="paragraph">
                  <wp:posOffset>-5080</wp:posOffset>
                </wp:positionV>
                <wp:extent cx="101600" cy="716280"/>
                <wp:wrapNone/>
                <wp:docPr id="180" name="Shape 1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1600" cy="716280"/>
                        </a:xfrm>
                        <a:prstGeom prst="rect">
                          <a:avLst/>
                        </a:prstGeom>
                        <a:solidFill>
                          <a:srgbClr val="DCDDDE"/>
                        </a:solidFill>
                      </wps:spPr>
                      <wps:bodyPr/>
                    </wps:wsp>
                  </a:graphicData>
                </a:graphic>
              </wp:anchor>
            </w:drawing>
          </mc:Choice>
          <mc:Fallback>
            <w:pict>
              <v:rect id="Shape 180" o:spid="_x0000_s1205" style="position:absolute;margin-left:241pt;margin-top:-0.3999pt;width:8pt;height:56.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CDDDE"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-5080</wp:posOffset>
                </wp:positionV>
                <wp:extent cx="101600" cy="716280"/>
                <wp:wrapNone/>
                <wp:docPr id="181" name="Shape 1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1600" cy="716280"/>
                        </a:xfrm>
                        <a:prstGeom prst="rect">
                          <a:avLst/>
                        </a:prstGeom>
                        <a:solidFill>
                          <a:srgbClr val="DCDDDE"/>
                        </a:solidFill>
                      </wps:spPr>
                      <wps:bodyPr/>
                    </wps:wsp>
                  </a:graphicData>
                </a:graphic>
              </wp:anchor>
            </w:drawing>
          </mc:Choice>
          <mc:Fallback>
            <w:pict>
              <v:rect id="Shape 181" o:spid="_x0000_s1206" style="position:absolute;margin-left:0pt;margin-top:-0.3999pt;width:8pt;height:56.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CDDDE"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705485</wp:posOffset>
                </wp:positionV>
                <wp:extent cx="104140" cy="234315"/>
                <wp:wrapNone/>
                <wp:docPr id="182" name="Shape 1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4140" cy="234315"/>
                        </a:xfrm>
                        <a:prstGeom prst="rect">
                          <a:avLst/>
                        </a:prstGeom>
                        <a:solidFill>
                          <a:srgbClr val="DCDDDE"/>
                        </a:solidFill>
                      </wps:spPr>
                      <wps:bodyPr/>
                    </wps:wsp>
                  </a:graphicData>
                </a:graphic>
              </wp:anchor>
            </w:drawing>
          </mc:Choice>
          <mc:Fallback>
            <w:pict>
              <v:rect id="Shape 182" o:spid="_x0000_s1207" style="position:absolute;margin-left:0pt;margin-top:55.55pt;width:8.2pt;height:18.4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CDDDE" stroked="f"/>
            </w:pict>
          </mc:Fallback>
        </mc:AlternateContent>
        <mc:AlternateContent>
          <mc:Choice Requires="wps">
            <w:drawing>
              <wp:anchor simplePos="0" relativeHeight="251657728" behindDoc="1" locked="0" layoutInCell="0" allowOverlap="1">
                <wp:simplePos x="0" y="0"/>
                <wp:positionH relativeFrom="column">
                  <wp:posOffset>99060</wp:posOffset>
                </wp:positionH>
                <wp:positionV relativeFrom="paragraph">
                  <wp:posOffset>708660</wp:posOffset>
                </wp:positionV>
                <wp:extent cx="2964180" cy="228600"/>
                <wp:wrapNone/>
                <wp:docPr id="183" name="Shape 1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64180" cy="228600"/>
                        </a:xfrm>
                        <a:prstGeom prst="rect">
                          <a:avLst/>
                        </a:prstGeom>
                        <a:solidFill>
                          <a:srgbClr val="DCDDDE"/>
                        </a:solidFill>
                      </wps:spPr>
                      <wps:bodyPr/>
                    </wps:wsp>
                  </a:graphicData>
                </a:graphic>
              </wp:anchor>
            </w:drawing>
          </mc:Choice>
          <mc:Fallback>
            <w:pict>
              <v:rect id="Shape 183" o:spid="_x0000_s1208" style="position:absolute;margin-left:7.8pt;margin-top:55.8pt;width:233.4pt;height:1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CDDDE" stroked="f"/>
            </w:pict>
          </mc:Fallback>
        </mc:AlternateContent>
        <mc:AlternateContent>
          <mc:Choice Requires="wps">
            <w:drawing>
              <wp:anchor simplePos="0" relativeHeight="251657728" behindDoc="1" locked="0" layoutInCell="0" allowOverlap="1">
                <wp:simplePos x="0" y="0"/>
                <wp:positionH relativeFrom="column">
                  <wp:posOffset>3058160</wp:posOffset>
                </wp:positionH>
                <wp:positionV relativeFrom="paragraph">
                  <wp:posOffset>705485</wp:posOffset>
                </wp:positionV>
                <wp:extent cx="104140" cy="234315"/>
                <wp:wrapNone/>
                <wp:docPr id="184" name="Shape 1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4140" cy="234315"/>
                        </a:xfrm>
                        <a:prstGeom prst="rect">
                          <a:avLst/>
                        </a:prstGeom>
                        <a:solidFill>
                          <a:srgbClr val="DCDDDE"/>
                        </a:solidFill>
                      </wps:spPr>
                      <wps:bodyPr/>
                    </wps:wsp>
                  </a:graphicData>
                </a:graphic>
              </wp:anchor>
            </w:drawing>
          </mc:Choice>
          <mc:Fallback>
            <w:pict>
              <v:rect id="Shape 184" o:spid="_x0000_s1209" style="position:absolute;margin-left:240.8pt;margin-top:55.55pt;width:8.2pt;height:18.4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CDDDE" stroked="f"/>
            </w:pict>
          </mc:Fallback>
        </mc:AlternateContent>
        <mc:AlternateContent>
          <mc:Choice Requires="wps">
            <w:drawing>
              <wp:anchor simplePos="0" relativeHeight="251657728" behindDoc="1" locked="0" layoutInCell="0" allowOverlap="1">
                <wp:simplePos x="0" y="0"/>
                <wp:positionH relativeFrom="column">
                  <wp:posOffset>6299200</wp:posOffset>
                </wp:positionH>
                <wp:positionV relativeFrom="paragraph">
                  <wp:posOffset>-5080</wp:posOffset>
                </wp:positionV>
                <wp:extent cx="101600" cy="716280"/>
                <wp:wrapNone/>
                <wp:docPr id="185" name="Shape 1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1600" cy="716280"/>
                        </a:xfrm>
                        <a:prstGeom prst="rect">
                          <a:avLst/>
                        </a:prstGeom>
                        <a:solidFill>
                          <a:srgbClr val="DCDDDE"/>
                        </a:solidFill>
                      </wps:spPr>
                      <wps:bodyPr/>
                    </wps:wsp>
                  </a:graphicData>
                </a:graphic>
              </wp:anchor>
            </w:drawing>
          </mc:Choice>
          <mc:Fallback>
            <w:pict>
              <v:rect id="Shape 185" o:spid="_x0000_s1210" style="position:absolute;margin-left:496pt;margin-top:-0.3999pt;width:8pt;height:56.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CDDDE" stroked="f"/>
            </w:pict>
          </mc:Fallback>
        </mc:AlternateContent>
        <mc:AlternateContent>
          <mc:Choice Requires="wps">
            <w:drawing>
              <wp:anchor simplePos="0" relativeHeight="251657728" behindDoc="1" locked="0" layoutInCell="0" allowOverlap="1">
                <wp:simplePos x="0" y="0"/>
                <wp:positionH relativeFrom="column">
                  <wp:posOffset>3238500</wp:posOffset>
                </wp:positionH>
                <wp:positionV relativeFrom="paragraph">
                  <wp:posOffset>-5080</wp:posOffset>
                </wp:positionV>
                <wp:extent cx="101600" cy="716280"/>
                <wp:wrapNone/>
                <wp:docPr id="186" name="Shape 1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1600" cy="716280"/>
                        </a:xfrm>
                        <a:prstGeom prst="rect">
                          <a:avLst/>
                        </a:prstGeom>
                        <a:solidFill>
                          <a:srgbClr val="DCDDDE"/>
                        </a:solidFill>
                      </wps:spPr>
                      <wps:bodyPr/>
                    </wps:wsp>
                  </a:graphicData>
                </a:graphic>
              </wp:anchor>
            </w:drawing>
          </mc:Choice>
          <mc:Fallback>
            <w:pict>
              <v:rect id="Shape 186" o:spid="_x0000_s1211" style="position:absolute;margin-left:255pt;margin-top:-0.3999pt;width:8pt;height:56.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CDDDE" stroked="f"/>
            </w:pict>
          </mc:Fallback>
        </mc:AlternateContent>
        <mc:AlternateContent>
          <mc:Choice Requires="wps">
            <w:drawing>
              <wp:anchor simplePos="0" relativeHeight="251657728" behindDoc="1" locked="0" layoutInCell="0" allowOverlap="1">
                <wp:simplePos x="0" y="0"/>
                <wp:positionH relativeFrom="column">
                  <wp:posOffset>3238500</wp:posOffset>
                </wp:positionH>
                <wp:positionV relativeFrom="paragraph">
                  <wp:posOffset>705485</wp:posOffset>
                </wp:positionV>
                <wp:extent cx="104140" cy="234315"/>
                <wp:wrapNone/>
                <wp:docPr id="187" name="Shape 1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4140" cy="234315"/>
                        </a:xfrm>
                        <a:prstGeom prst="rect">
                          <a:avLst/>
                        </a:prstGeom>
                        <a:solidFill>
                          <a:srgbClr val="DCDDDE"/>
                        </a:solidFill>
                      </wps:spPr>
                      <wps:bodyPr/>
                    </wps:wsp>
                  </a:graphicData>
                </a:graphic>
              </wp:anchor>
            </w:drawing>
          </mc:Choice>
          <mc:Fallback>
            <w:pict>
              <v:rect id="Shape 187" o:spid="_x0000_s1212" style="position:absolute;margin-left:255pt;margin-top:55.55pt;width:8.2pt;height:18.4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CDDDE" stroked="f"/>
            </w:pict>
          </mc:Fallback>
        </mc:AlternateContent>
        <mc:AlternateContent>
          <mc:Choice Requires="wps">
            <w:drawing>
              <wp:anchor simplePos="0" relativeHeight="251657728" behindDoc="1" locked="0" layoutInCell="0" allowOverlap="1">
                <wp:simplePos x="0" y="0"/>
                <wp:positionH relativeFrom="column">
                  <wp:posOffset>3337560</wp:posOffset>
                </wp:positionH>
                <wp:positionV relativeFrom="paragraph">
                  <wp:posOffset>708660</wp:posOffset>
                </wp:positionV>
                <wp:extent cx="2964180" cy="228600"/>
                <wp:wrapNone/>
                <wp:docPr id="188" name="Shape 1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64180" cy="228600"/>
                        </a:xfrm>
                        <a:prstGeom prst="rect">
                          <a:avLst/>
                        </a:prstGeom>
                        <a:solidFill>
                          <a:srgbClr val="DCDDDE"/>
                        </a:solidFill>
                      </wps:spPr>
                      <wps:bodyPr/>
                    </wps:wsp>
                  </a:graphicData>
                </a:graphic>
              </wp:anchor>
            </w:drawing>
          </mc:Choice>
          <mc:Fallback>
            <w:pict>
              <v:rect id="Shape 188" o:spid="_x0000_s1213" style="position:absolute;margin-left:262.8pt;margin-top:55.8pt;width:233.4pt;height:1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CDDDE" stroked="f"/>
            </w:pict>
          </mc:Fallback>
        </mc:AlternateContent>
        <mc:AlternateContent>
          <mc:Choice Requires="wps">
            <w:drawing>
              <wp:anchor simplePos="0" relativeHeight="251657728" behindDoc="1" locked="0" layoutInCell="0" allowOverlap="1">
                <wp:simplePos x="0" y="0"/>
                <wp:positionH relativeFrom="column">
                  <wp:posOffset>6296660</wp:posOffset>
                </wp:positionH>
                <wp:positionV relativeFrom="paragraph">
                  <wp:posOffset>705485</wp:posOffset>
                </wp:positionV>
                <wp:extent cx="104140" cy="234315"/>
                <wp:wrapNone/>
                <wp:docPr id="189" name="Shape 1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4140" cy="234315"/>
                        </a:xfrm>
                        <a:prstGeom prst="rect">
                          <a:avLst/>
                        </a:prstGeom>
                        <a:solidFill>
                          <a:srgbClr val="DCDDDE"/>
                        </a:solidFill>
                      </wps:spPr>
                      <wps:bodyPr/>
                    </wps:wsp>
                  </a:graphicData>
                </a:graphic>
              </wp:anchor>
            </w:drawing>
          </mc:Choice>
          <mc:Fallback>
            <w:pict>
              <v:rect id="Shape 189" o:spid="_x0000_s1214" style="position:absolute;margin-left:495.8pt;margin-top:55.55pt;width:8.2pt;height:18.4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CDDDE" stroked="f"/>
            </w:pict>
          </mc:Fallback>
        </mc:AlternateContent>
      </w:r>
    </w:p>
    <w:p>
      <w:pPr>
        <w:sectPr>
          <w:pgSz w:w="11880" w:h="15480" w:orient="portrait"/>
          <w:cols w:equalWidth="0" w:num="1">
            <w:col w:w="10080"/>
          </w:cols>
          <w:pgMar w:left="900" w:top="1260" w:right="900" w:bottom="763" w:gutter="0" w:footer="0" w:header="0"/>
        </w:sectPr>
      </w:pPr>
    </w:p>
    <w:p>
      <w:pPr>
        <w:spacing w:after="0" w:line="51" w:lineRule="exact"/>
        <w:rPr>
          <w:sz w:val="20"/>
          <w:szCs w:val="20"/>
          <w:color w:val="auto"/>
        </w:rPr>
      </w:pPr>
    </w:p>
    <w:p>
      <w:pPr>
        <w:ind w:left="220" w:right="180"/>
        <w:spacing w:after="0" w:line="251" w:lineRule="auto"/>
        <w:rPr>
          <w:sz w:val="20"/>
          <w:szCs w:val="20"/>
          <w:color w:val="auto"/>
        </w:rPr>
      </w:pPr>
      <w:r>
        <w:rPr>
          <w:rFonts w:ascii="Arial" w:cs="Arial" w:eastAsia="Arial" w:hAnsi="Arial"/>
          <w:sz w:val="18"/>
          <w:szCs w:val="18"/>
          <w:color w:val="231F20"/>
        </w:rPr>
        <w:t>Annual assessment by each committee of its effectiveness using a committee specific list of topics to guide an in-depth discussion of performance.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3060700</wp:posOffset>
                </wp:positionH>
                <wp:positionV relativeFrom="paragraph">
                  <wp:posOffset>489585</wp:posOffset>
                </wp:positionV>
                <wp:extent cx="101600" cy="932180"/>
                <wp:wrapNone/>
                <wp:docPr id="190" name="Shape 1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1600" cy="932180"/>
                        </a:xfrm>
                        <a:prstGeom prst="rect">
                          <a:avLst/>
                        </a:prstGeom>
                        <a:solidFill>
                          <a:srgbClr val="DCDDDE"/>
                        </a:solidFill>
                      </wps:spPr>
                      <wps:bodyPr/>
                    </wps:wsp>
                  </a:graphicData>
                </a:graphic>
              </wp:anchor>
            </w:drawing>
          </mc:Choice>
          <mc:Fallback>
            <w:pict>
              <v:rect id="Shape 190" o:spid="_x0000_s1215" style="position:absolute;margin-left:241pt;margin-top:38.55pt;width:8pt;height:73.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CDDDE"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489585</wp:posOffset>
                </wp:positionV>
                <wp:extent cx="101600" cy="932180"/>
                <wp:wrapNone/>
                <wp:docPr id="191" name="Shape 1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1600" cy="932180"/>
                        </a:xfrm>
                        <a:prstGeom prst="rect">
                          <a:avLst/>
                        </a:prstGeom>
                        <a:solidFill>
                          <a:srgbClr val="DCDDDE"/>
                        </a:solidFill>
                      </wps:spPr>
                      <wps:bodyPr/>
                    </wps:wsp>
                  </a:graphicData>
                </a:graphic>
              </wp:anchor>
            </w:drawing>
          </mc:Choice>
          <mc:Fallback>
            <w:pict>
              <v:rect id="Shape 191" o:spid="_x0000_s1216" style="position:absolute;margin-left:0pt;margin-top:38.55pt;width:8pt;height:73.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CDDDE"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1416685</wp:posOffset>
                </wp:positionV>
                <wp:extent cx="104140" cy="231140"/>
                <wp:wrapNone/>
                <wp:docPr id="192" name="Shape 1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4140" cy="231140"/>
                        </a:xfrm>
                        <a:prstGeom prst="rect">
                          <a:avLst/>
                        </a:prstGeom>
                        <a:solidFill>
                          <a:srgbClr val="DCDDDE"/>
                        </a:solidFill>
                      </wps:spPr>
                      <wps:bodyPr/>
                    </wps:wsp>
                  </a:graphicData>
                </a:graphic>
              </wp:anchor>
            </w:drawing>
          </mc:Choice>
          <mc:Fallback>
            <w:pict>
              <v:rect id="Shape 192" o:spid="_x0000_s1217" style="position:absolute;margin-left:0pt;margin-top:111.55pt;width:8.2pt;height:18.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CDDDE" stroked="f"/>
            </w:pict>
          </mc:Fallback>
        </mc:AlternateContent>
        <mc:AlternateContent>
          <mc:Choice Requires="wps">
            <w:drawing>
              <wp:anchor simplePos="0" relativeHeight="251657728" behindDoc="1" locked="0" layoutInCell="0" allowOverlap="1">
                <wp:simplePos x="0" y="0"/>
                <wp:positionH relativeFrom="column">
                  <wp:posOffset>99060</wp:posOffset>
                </wp:positionH>
                <wp:positionV relativeFrom="paragraph">
                  <wp:posOffset>1419225</wp:posOffset>
                </wp:positionV>
                <wp:extent cx="2964180" cy="228600"/>
                <wp:wrapNone/>
                <wp:docPr id="193" name="Shape 1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64180" cy="228600"/>
                        </a:xfrm>
                        <a:prstGeom prst="rect">
                          <a:avLst/>
                        </a:prstGeom>
                        <a:solidFill>
                          <a:srgbClr val="DCDDDE"/>
                        </a:solidFill>
                      </wps:spPr>
                      <wps:bodyPr/>
                    </wps:wsp>
                  </a:graphicData>
                </a:graphic>
              </wp:anchor>
            </w:drawing>
          </mc:Choice>
          <mc:Fallback>
            <w:pict>
              <v:rect id="Shape 193" o:spid="_x0000_s1218" style="position:absolute;margin-left:7.8pt;margin-top:111.75pt;width:233.4pt;height:1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CDDDE" stroked="f"/>
            </w:pict>
          </mc:Fallback>
        </mc:AlternateContent>
        <mc:AlternateContent>
          <mc:Choice Requires="wps">
            <w:drawing>
              <wp:anchor simplePos="0" relativeHeight="251657728" behindDoc="1" locked="0" layoutInCell="0" allowOverlap="1">
                <wp:simplePos x="0" y="0"/>
                <wp:positionH relativeFrom="column">
                  <wp:posOffset>3058160</wp:posOffset>
                </wp:positionH>
                <wp:positionV relativeFrom="paragraph">
                  <wp:posOffset>1416685</wp:posOffset>
                </wp:positionV>
                <wp:extent cx="104140" cy="231140"/>
                <wp:wrapNone/>
                <wp:docPr id="194" name="Shape 1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4140" cy="231140"/>
                        </a:xfrm>
                        <a:prstGeom prst="rect">
                          <a:avLst/>
                        </a:prstGeom>
                        <a:solidFill>
                          <a:srgbClr val="DCDDDE"/>
                        </a:solidFill>
                      </wps:spPr>
                      <wps:bodyPr/>
                    </wps:wsp>
                  </a:graphicData>
                </a:graphic>
              </wp:anchor>
            </w:drawing>
          </mc:Choice>
          <mc:Fallback>
            <w:pict>
              <v:rect id="Shape 194" o:spid="_x0000_s1219" style="position:absolute;margin-left:240.8pt;margin-top:111.55pt;width:8.2pt;height:18.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CDDDE" stroked="f"/>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231F20"/>
        </w:rPr>
        <w:t>Topics include:</w:t>
      </w:r>
    </w:p>
    <w:p>
      <w:pPr>
        <w:spacing w:after="0" w:line="33" w:lineRule="exact"/>
        <w:rPr>
          <w:sz w:val="20"/>
          <w:szCs w:val="20"/>
          <w:color w:val="auto"/>
        </w:rPr>
      </w:pPr>
    </w:p>
    <w:p>
      <w:pPr>
        <w:ind w:left="480" w:hanging="240"/>
        <w:spacing w:after="0"/>
        <w:tabs>
          <w:tab w:leader="none" w:pos="480" w:val="left"/>
        </w:tabs>
        <w:numPr>
          <w:ilvl w:val="0"/>
          <w:numId w:val="98"/>
        </w:numPr>
        <w:rPr>
          <w:rFonts w:ascii="Arial" w:cs="Arial" w:eastAsia="Arial" w:hAnsi="Arial"/>
          <w:sz w:val="18"/>
          <w:szCs w:val="18"/>
          <w:color w:val="EF3E2A"/>
        </w:rPr>
      </w:pPr>
      <w:r>
        <w:rPr>
          <w:rFonts w:ascii="Arial" w:cs="Arial" w:eastAsia="Arial" w:hAnsi="Arial"/>
          <w:sz w:val="18"/>
          <w:szCs w:val="18"/>
          <w:color w:val="231F20"/>
        </w:rPr>
        <w:t>Skills and expertise of committee members</w:t>
      </w:r>
    </w:p>
    <w:p>
      <w:pPr>
        <w:spacing w:after="0" w:line="12" w:lineRule="exact"/>
        <w:rPr>
          <w:rFonts w:ascii="Arial" w:cs="Arial" w:eastAsia="Arial" w:hAnsi="Arial"/>
          <w:sz w:val="18"/>
          <w:szCs w:val="18"/>
          <w:color w:val="EF3E2A"/>
        </w:rPr>
      </w:pPr>
    </w:p>
    <w:p>
      <w:pPr>
        <w:ind w:left="480" w:hanging="240"/>
        <w:spacing w:after="0"/>
        <w:tabs>
          <w:tab w:leader="none" w:pos="480" w:val="left"/>
        </w:tabs>
        <w:numPr>
          <w:ilvl w:val="0"/>
          <w:numId w:val="98"/>
        </w:numPr>
        <w:rPr>
          <w:rFonts w:ascii="Arial" w:cs="Arial" w:eastAsia="Arial" w:hAnsi="Arial"/>
          <w:sz w:val="18"/>
          <w:szCs w:val="18"/>
          <w:color w:val="EF3E2A"/>
        </w:rPr>
      </w:pPr>
      <w:r>
        <w:rPr>
          <w:rFonts w:ascii="Arial" w:cs="Arial" w:eastAsia="Arial" w:hAnsi="Arial"/>
          <w:sz w:val="18"/>
          <w:szCs w:val="18"/>
          <w:color w:val="231F20"/>
        </w:rPr>
        <w:t>Adherence to committee charter</w:t>
      </w:r>
    </w:p>
    <w:p>
      <w:pPr>
        <w:spacing w:after="0" w:line="12" w:lineRule="exact"/>
        <w:rPr>
          <w:rFonts w:ascii="Arial" w:cs="Arial" w:eastAsia="Arial" w:hAnsi="Arial"/>
          <w:sz w:val="18"/>
          <w:szCs w:val="18"/>
          <w:color w:val="EF3E2A"/>
        </w:rPr>
      </w:pPr>
    </w:p>
    <w:p>
      <w:pPr>
        <w:ind w:left="480" w:hanging="240"/>
        <w:spacing w:after="0"/>
        <w:tabs>
          <w:tab w:leader="none" w:pos="480" w:val="left"/>
        </w:tabs>
        <w:numPr>
          <w:ilvl w:val="0"/>
          <w:numId w:val="98"/>
        </w:numPr>
        <w:rPr>
          <w:rFonts w:ascii="Arial" w:cs="Arial" w:eastAsia="Arial" w:hAnsi="Arial"/>
          <w:sz w:val="18"/>
          <w:szCs w:val="18"/>
          <w:color w:val="EF3E2A"/>
        </w:rPr>
      </w:pPr>
      <w:r>
        <w:rPr>
          <w:rFonts w:ascii="Arial" w:cs="Arial" w:eastAsia="Arial" w:hAnsi="Arial"/>
          <w:sz w:val="18"/>
          <w:szCs w:val="18"/>
          <w:color w:val="231F20"/>
        </w:rPr>
        <w:t>Committee specific topics</w:t>
      </w:r>
    </w:p>
    <w:p>
      <w:pPr>
        <w:spacing w:after="0" w:line="13" w:lineRule="exact"/>
        <w:rPr>
          <w:rFonts w:ascii="Arial" w:cs="Arial" w:eastAsia="Arial" w:hAnsi="Arial"/>
          <w:sz w:val="18"/>
          <w:szCs w:val="18"/>
          <w:color w:val="EF3E2A"/>
        </w:rPr>
      </w:pPr>
    </w:p>
    <w:p>
      <w:pPr>
        <w:ind w:left="480" w:hanging="240"/>
        <w:spacing w:after="0"/>
        <w:tabs>
          <w:tab w:leader="none" w:pos="480" w:val="left"/>
        </w:tabs>
        <w:numPr>
          <w:ilvl w:val="0"/>
          <w:numId w:val="98"/>
        </w:numPr>
        <w:rPr>
          <w:rFonts w:ascii="Arial" w:cs="Arial" w:eastAsia="Arial" w:hAnsi="Arial"/>
          <w:sz w:val="18"/>
          <w:szCs w:val="18"/>
          <w:color w:val="EF3E2A"/>
        </w:rPr>
      </w:pPr>
      <w:r>
        <w:rPr>
          <w:rFonts w:ascii="Arial" w:cs="Arial" w:eastAsia="Arial" w:hAnsi="Arial"/>
          <w:sz w:val="18"/>
          <w:szCs w:val="18"/>
          <w:color w:val="231F20"/>
        </w:rPr>
        <w:t>Information provided by and access to management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866140</wp:posOffset>
                </wp:positionV>
                <wp:extent cx="104140" cy="345440"/>
                <wp:wrapNone/>
                <wp:docPr id="195" name="Shape 1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4140" cy="345440"/>
                        </a:xfrm>
                        <a:prstGeom prst="rect">
                          <a:avLst/>
                        </a:prstGeom>
                        <a:solidFill>
                          <a:srgbClr val="DCDDDE"/>
                        </a:solidFill>
                      </wps:spPr>
                      <wps:bodyPr/>
                    </wps:wsp>
                  </a:graphicData>
                </a:graphic>
              </wp:anchor>
            </w:drawing>
          </mc:Choice>
          <mc:Fallback>
            <w:pict>
              <v:rect id="Shape 195" o:spid="_x0000_s1220" style="position:absolute;margin-left:0pt;margin-top:68.2pt;width:8.2pt;height:27.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CDDDE" stroked="f"/>
            </w:pict>
          </mc:Fallback>
        </mc:AlternateContent>
        <mc:AlternateContent>
          <mc:Choice Requires="wps">
            <w:drawing>
              <wp:anchor simplePos="0" relativeHeight="251657728" behindDoc="1" locked="0" layoutInCell="0" allowOverlap="1">
                <wp:simplePos x="0" y="0"/>
                <wp:positionH relativeFrom="column">
                  <wp:posOffset>99060</wp:posOffset>
                </wp:positionH>
                <wp:positionV relativeFrom="paragraph">
                  <wp:posOffset>866140</wp:posOffset>
                </wp:positionV>
                <wp:extent cx="2964180" cy="342900"/>
                <wp:wrapNone/>
                <wp:docPr id="196" name="Shape 1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64180" cy="342900"/>
                        </a:xfrm>
                        <a:prstGeom prst="rect">
                          <a:avLst/>
                        </a:prstGeom>
                        <a:solidFill>
                          <a:srgbClr val="DCDDDE"/>
                        </a:solidFill>
                      </wps:spPr>
                      <wps:bodyPr/>
                    </wps:wsp>
                  </a:graphicData>
                </a:graphic>
              </wp:anchor>
            </w:drawing>
          </mc:Choice>
          <mc:Fallback>
            <w:pict>
              <v:rect id="Shape 196" o:spid="_x0000_s1221" style="position:absolute;margin-left:7.8pt;margin-top:68.2pt;width:233.4pt;height:2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CDDDE" stroked="f"/>
            </w:pict>
          </mc:Fallback>
        </mc:AlternateContent>
        <mc:AlternateContent>
          <mc:Choice Requires="wps">
            <w:drawing>
              <wp:anchor simplePos="0" relativeHeight="251657728" behindDoc="1" locked="0" layoutInCell="0" allowOverlap="1">
                <wp:simplePos x="0" y="0"/>
                <wp:positionH relativeFrom="column">
                  <wp:posOffset>3058160</wp:posOffset>
                </wp:positionH>
                <wp:positionV relativeFrom="paragraph">
                  <wp:posOffset>866140</wp:posOffset>
                </wp:positionV>
                <wp:extent cx="104140" cy="345440"/>
                <wp:wrapNone/>
                <wp:docPr id="197" name="Shape 1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4140" cy="345440"/>
                        </a:xfrm>
                        <a:prstGeom prst="rect">
                          <a:avLst/>
                        </a:prstGeom>
                        <a:solidFill>
                          <a:srgbClr val="DCDDDE"/>
                        </a:solidFill>
                      </wps:spPr>
                      <wps:bodyPr/>
                    </wps:wsp>
                  </a:graphicData>
                </a:graphic>
              </wp:anchor>
            </w:drawing>
          </mc:Choice>
          <mc:Fallback>
            <w:pict>
              <v:rect id="Shape 197" o:spid="_x0000_s1222" style="position:absolute;margin-left:240.8pt;margin-top:68.2pt;width:8.2pt;height:27.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CDDDE"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1206500</wp:posOffset>
                </wp:positionV>
                <wp:extent cx="101600" cy="563880"/>
                <wp:wrapNone/>
                <wp:docPr id="198" name="Shape 1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1600" cy="563880"/>
                        </a:xfrm>
                        <a:prstGeom prst="rect">
                          <a:avLst/>
                        </a:prstGeom>
                        <a:solidFill>
                          <a:srgbClr val="DCDDDE"/>
                        </a:solidFill>
                      </wps:spPr>
                      <wps:bodyPr/>
                    </wps:wsp>
                  </a:graphicData>
                </a:graphic>
              </wp:anchor>
            </w:drawing>
          </mc:Choice>
          <mc:Fallback>
            <w:pict>
              <v:rect id="Shape 198" o:spid="_x0000_s1223" style="position:absolute;margin-left:0pt;margin-top:95pt;width:8pt;height:44.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CDDDE" stroked="f"/>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1460"/>
        <w:spacing w:after="0"/>
        <w:rPr>
          <w:sz w:val="20"/>
          <w:szCs w:val="20"/>
          <w:color w:val="auto"/>
        </w:rPr>
      </w:pPr>
      <w:r>
        <w:rPr>
          <w:rFonts w:ascii="Arial" w:cs="Arial" w:eastAsia="Arial" w:hAnsi="Arial"/>
          <w:sz w:val="18"/>
          <w:szCs w:val="18"/>
          <w:b w:val="1"/>
          <w:bCs w:val="1"/>
          <w:color w:val="231F20"/>
        </w:rPr>
        <w:t>CONTINUAL FEEDBACK</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3060700</wp:posOffset>
                </wp:positionH>
                <wp:positionV relativeFrom="paragraph">
                  <wp:posOffset>177800</wp:posOffset>
                </wp:positionV>
                <wp:extent cx="101600" cy="563880"/>
                <wp:wrapNone/>
                <wp:docPr id="199" name="Shape 1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1600" cy="563880"/>
                        </a:xfrm>
                        <a:prstGeom prst="rect">
                          <a:avLst/>
                        </a:prstGeom>
                        <a:solidFill>
                          <a:srgbClr val="DCDDDE"/>
                        </a:solidFill>
                      </wps:spPr>
                      <wps:bodyPr/>
                    </wps:wsp>
                  </a:graphicData>
                </a:graphic>
              </wp:anchor>
            </w:drawing>
          </mc:Choice>
          <mc:Fallback>
            <w:pict>
              <v:rect id="Shape 199" o:spid="_x0000_s1224" style="position:absolute;margin-left:241pt;margin-top:14pt;width:8pt;height:44.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CDDDE" stroked="f"/>
            </w:pict>
          </mc:Fallback>
        </mc:AlternateContent>
        <mc:AlternateContent>
          <mc:Choice Requires="wps">
            <w:drawing>
              <wp:anchor simplePos="0" relativeHeight="251657728" behindDoc="1" locked="0" layoutInCell="0" allowOverlap="1">
                <wp:simplePos x="0" y="0"/>
                <wp:positionH relativeFrom="column">
                  <wp:posOffset>3058160</wp:posOffset>
                </wp:positionH>
                <wp:positionV relativeFrom="paragraph">
                  <wp:posOffset>736600</wp:posOffset>
                </wp:positionV>
                <wp:extent cx="104140" cy="157480"/>
                <wp:wrapNone/>
                <wp:docPr id="200" name="Shape 2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4140" cy="157480"/>
                        </a:xfrm>
                        <a:prstGeom prst="rect">
                          <a:avLst/>
                        </a:prstGeom>
                        <a:solidFill>
                          <a:srgbClr val="DCDDDE"/>
                        </a:solidFill>
                      </wps:spPr>
                      <wps:bodyPr/>
                    </wps:wsp>
                  </a:graphicData>
                </a:graphic>
              </wp:anchor>
            </w:drawing>
          </mc:Choice>
          <mc:Fallback>
            <w:pict>
              <v:rect id="Shape 200" o:spid="_x0000_s1225" style="position:absolute;margin-left:240.8pt;margin-top:58pt;width:8.2pt;height:12.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CDDDE" stroked="f"/>
            </w:pict>
          </mc:Fallback>
        </mc:AlternateContent>
        <mc:AlternateContent>
          <mc:Choice Requires="wps">
            <w:drawing>
              <wp:anchor simplePos="0" relativeHeight="251657728" behindDoc="1" locked="0" layoutInCell="0" allowOverlap="1">
                <wp:simplePos x="0" y="0"/>
                <wp:positionH relativeFrom="column">
                  <wp:posOffset>139700</wp:posOffset>
                </wp:positionH>
                <wp:positionV relativeFrom="paragraph">
                  <wp:posOffset>15240</wp:posOffset>
                </wp:positionV>
                <wp:extent cx="2921000" cy="0"/>
                <wp:wrapNone/>
                <wp:docPr id="201" name="Shape 2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21000" cy="4763"/>
                        </a:xfrm>
                        <a:prstGeom prst="line">
                          <a:avLst/>
                        </a:prstGeom>
                        <a:solidFill>
                          <a:srgbClr val="FFFFFF"/>
                        </a:solidFill>
                        <a:ln w="25400">
                          <a:solidFill>
                            <a:srgbClr val="EF3E2A"/>
                          </a:solidFill>
                          <a:miter lim="800000"/>
                          <a:headEnd/>
                          <a:tailEnd/>
                        </a:ln>
                      </wps:spPr>
                      <wps:bodyPr/>
                    </wps:wsp>
                  </a:graphicData>
                </a:graphic>
              </wp:anchor>
            </w:drawing>
          </mc:Choice>
          <mc:Fallback>
            <w:pict>
              <v:line id="Shape 201" o:spid="_x0000_s122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pt,1.2pt" to="241pt,1.2pt" o:allowincell="f" strokecolor="#EF3E2A" strokeweight="2pt"/>
            </w:pict>
          </mc:Fallback>
        </mc:AlternateContent>
      </w:r>
    </w:p>
    <w:p>
      <w:pPr>
        <w:spacing w:after="0" w:line="319" w:lineRule="exact"/>
        <w:rPr>
          <w:sz w:val="20"/>
          <w:szCs w:val="20"/>
          <w:color w:val="auto"/>
        </w:rPr>
      </w:pPr>
    </w:p>
    <w:p>
      <w:pPr>
        <w:ind w:left="220"/>
        <w:spacing w:after="0" w:line="252" w:lineRule="auto"/>
        <w:rPr>
          <w:sz w:val="20"/>
          <w:szCs w:val="20"/>
          <w:color w:val="auto"/>
        </w:rPr>
      </w:pPr>
      <w:r>
        <w:rPr>
          <w:rFonts w:ascii="Arial" w:cs="Arial" w:eastAsia="Arial" w:hAnsi="Arial"/>
          <w:sz w:val="18"/>
          <w:szCs w:val="18"/>
          <w:color w:val="231F20"/>
        </w:rPr>
        <w:t>The Board and the committees provide ongoing feedback on Board and Trustee performance throughout the year outside the formal evaluation process through executive session discussions.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-30480</wp:posOffset>
                </wp:positionV>
                <wp:extent cx="104140" cy="156845"/>
                <wp:wrapNone/>
                <wp:docPr id="202" name="Shape 2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4140" cy="156845"/>
                        </a:xfrm>
                        <a:prstGeom prst="rect">
                          <a:avLst/>
                        </a:prstGeom>
                        <a:solidFill>
                          <a:srgbClr val="DCDDDE"/>
                        </a:solidFill>
                      </wps:spPr>
                      <wps:bodyPr/>
                    </wps:wsp>
                  </a:graphicData>
                </a:graphic>
              </wp:anchor>
            </w:drawing>
          </mc:Choice>
          <mc:Fallback>
            <w:pict>
              <v:rect id="Shape 202" o:spid="_x0000_s1227" style="position:absolute;margin-left:0pt;margin-top:-2.3999pt;width:8.2pt;height:12.3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CDDDE"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121920</wp:posOffset>
                </wp:positionV>
                <wp:extent cx="3162300" cy="154940"/>
                <wp:wrapNone/>
                <wp:docPr id="203" name="Shape 2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162300" cy="154940"/>
                        </a:xfrm>
                        <a:prstGeom prst="rect">
                          <a:avLst/>
                        </a:prstGeom>
                        <a:solidFill>
                          <a:srgbClr val="DCDDDE"/>
                        </a:solidFill>
                      </wps:spPr>
                      <wps:bodyPr/>
                    </wps:wsp>
                  </a:graphicData>
                </a:graphic>
              </wp:anchor>
            </w:drawing>
          </mc:Choice>
          <mc:Fallback>
            <w:pict>
              <v:rect id="Shape 203" o:spid="_x0000_s1228" style="position:absolute;margin-left:0pt;margin-top:9.6pt;width:249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CDDDE" stroked="f"/>
            </w:pict>
          </mc:Fallback>
        </mc:AlternateConten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231F20"/>
        </w:rPr>
        <w:t>Each Trustee completes a confidential questionnaire evaluating the performance of each other trustee with the results provided to the chair of the Nominating Committee.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2921000</wp:posOffset>
                </wp:positionH>
                <wp:positionV relativeFrom="paragraph">
                  <wp:posOffset>349885</wp:posOffset>
                </wp:positionV>
                <wp:extent cx="101600" cy="932180"/>
                <wp:wrapNone/>
                <wp:docPr id="204" name="Shape 2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1600" cy="932180"/>
                        </a:xfrm>
                        <a:prstGeom prst="rect">
                          <a:avLst/>
                        </a:prstGeom>
                        <a:solidFill>
                          <a:srgbClr val="DCDDDE"/>
                        </a:solidFill>
                      </wps:spPr>
                      <wps:bodyPr/>
                    </wps:wsp>
                  </a:graphicData>
                </a:graphic>
              </wp:anchor>
            </w:drawing>
          </mc:Choice>
          <mc:Fallback>
            <w:pict>
              <v:rect id="Shape 204" o:spid="_x0000_s1229" style="position:absolute;margin-left:230pt;margin-top:27.55pt;width:8pt;height:73.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CDDDE" stroked="f"/>
            </w:pict>
          </mc:Fallback>
        </mc:AlternateContent>
        <mc:AlternateContent>
          <mc:Choice Requires="wps">
            <w:drawing>
              <wp:anchor simplePos="0" relativeHeight="251657728" behindDoc="1" locked="0" layoutInCell="0" allowOverlap="1">
                <wp:simplePos x="0" y="0"/>
                <wp:positionH relativeFrom="column">
                  <wp:posOffset>-139065</wp:posOffset>
                </wp:positionH>
                <wp:positionV relativeFrom="paragraph">
                  <wp:posOffset>349885</wp:posOffset>
                </wp:positionV>
                <wp:extent cx="101600" cy="932180"/>
                <wp:wrapNone/>
                <wp:docPr id="205" name="Shape 2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1600" cy="932180"/>
                        </a:xfrm>
                        <a:prstGeom prst="rect">
                          <a:avLst/>
                        </a:prstGeom>
                        <a:solidFill>
                          <a:srgbClr val="DCDDDE"/>
                        </a:solidFill>
                      </wps:spPr>
                      <wps:bodyPr/>
                    </wps:wsp>
                  </a:graphicData>
                </a:graphic>
              </wp:anchor>
            </w:drawing>
          </mc:Choice>
          <mc:Fallback>
            <w:pict>
              <v:rect id="Shape 205" o:spid="_x0000_s1230" style="position:absolute;margin-left:-10.9499pt;margin-top:27.55pt;width:8pt;height:73.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CDDDE" stroked="f"/>
            </w:pict>
          </mc:Fallback>
        </mc:AlternateContent>
        <mc:AlternateContent>
          <mc:Choice Requires="wps">
            <w:drawing>
              <wp:anchor simplePos="0" relativeHeight="251657728" behindDoc="1" locked="0" layoutInCell="0" allowOverlap="1">
                <wp:simplePos x="0" y="0"/>
                <wp:positionH relativeFrom="column">
                  <wp:posOffset>-139065</wp:posOffset>
                </wp:positionH>
                <wp:positionV relativeFrom="paragraph">
                  <wp:posOffset>1276985</wp:posOffset>
                </wp:positionV>
                <wp:extent cx="104140" cy="233680"/>
                <wp:wrapNone/>
                <wp:docPr id="206" name="Shape 2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4140" cy="233680"/>
                        </a:xfrm>
                        <a:prstGeom prst="rect">
                          <a:avLst/>
                        </a:prstGeom>
                        <a:solidFill>
                          <a:srgbClr val="DCDDDE"/>
                        </a:solidFill>
                      </wps:spPr>
                      <wps:bodyPr/>
                    </wps:wsp>
                  </a:graphicData>
                </a:graphic>
              </wp:anchor>
            </w:drawing>
          </mc:Choice>
          <mc:Fallback>
            <w:pict>
              <v:rect id="Shape 206" o:spid="_x0000_s1231" style="position:absolute;margin-left:-10.9499pt;margin-top:100.55pt;width:8.2pt;height:18.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CDDDE" stroked="f"/>
            </w:pict>
          </mc:Fallback>
        </mc:AlternateContent>
        <mc:AlternateContent>
          <mc:Choice Requires="wps">
            <w:drawing>
              <wp:anchor simplePos="0" relativeHeight="251657728" behindDoc="1" locked="0" layoutInCell="0" allowOverlap="1">
                <wp:simplePos x="0" y="0"/>
                <wp:positionH relativeFrom="column">
                  <wp:posOffset>-40005</wp:posOffset>
                </wp:positionH>
                <wp:positionV relativeFrom="paragraph">
                  <wp:posOffset>1280160</wp:posOffset>
                </wp:positionV>
                <wp:extent cx="2963545" cy="228600"/>
                <wp:wrapNone/>
                <wp:docPr id="207" name="Shape 2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63545" cy="228600"/>
                        </a:xfrm>
                        <a:prstGeom prst="rect">
                          <a:avLst/>
                        </a:prstGeom>
                        <a:solidFill>
                          <a:srgbClr val="DCDDDE"/>
                        </a:solidFill>
                      </wps:spPr>
                      <wps:bodyPr/>
                    </wps:wsp>
                  </a:graphicData>
                </a:graphic>
              </wp:anchor>
            </w:drawing>
          </mc:Choice>
          <mc:Fallback>
            <w:pict>
              <v:rect id="Shape 207" o:spid="_x0000_s1232" style="position:absolute;margin-left:-3.1499pt;margin-top:100.8pt;width:233.35pt;height:1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CDDDE" stroked="f"/>
            </w:pict>
          </mc:Fallback>
        </mc:AlternateContent>
        <mc:AlternateContent>
          <mc:Choice Requires="wps">
            <w:drawing>
              <wp:anchor simplePos="0" relativeHeight="251657728" behindDoc="1" locked="0" layoutInCell="0" allowOverlap="1">
                <wp:simplePos x="0" y="0"/>
                <wp:positionH relativeFrom="column">
                  <wp:posOffset>2918460</wp:posOffset>
                </wp:positionH>
                <wp:positionV relativeFrom="paragraph">
                  <wp:posOffset>1276985</wp:posOffset>
                </wp:positionV>
                <wp:extent cx="104140" cy="233680"/>
                <wp:wrapNone/>
                <wp:docPr id="208" name="Shape 2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4140" cy="233680"/>
                        </a:xfrm>
                        <a:prstGeom prst="rect">
                          <a:avLst/>
                        </a:prstGeom>
                        <a:solidFill>
                          <a:srgbClr val="DCDDDE"/>
                        </a:solidFill>
                      </wps:spPr>
                      <wps:bodyPr/>
                    </wps:wsp>
                  </a:graphicData>
                </a:graphic>
              </wp:anchor>
            </w:drawing>
          </mc:Choice>
          <mc:Fallback>
            <w:pict>
              <v:rect id="Shape 208" o:spid="_x0000_s1233" style="position:absolute;margin-left:229.8pt;margin-top:100.55pt;width:8.2pt;height:18.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CDDDE" stroked="f"/>
            </w:pict>
          </mc:Fallback>
        </mc:AlternateConten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Topics include:</w:t>
      </w:r>
    </w:p>
    <w:p>
      <w:pPr>
        <w:spacing w:after="0" w:line="39" w:lineRule="exact"/>
        <w:rPr>
          <w:sz w:val="20"/>
          <w:szCs w:val="20"/>
          <w:color w:val="auto"/>
        </w:rPr>
      </w:pPr>
    </w:p>
    <w:p>
      <w:pPr>
        <w:ind w:left="220" w:right="820" w:hanging="220"/>
        <w:spacing w:after="0" w:line="248" w:lineRule="auto"/>
        <w:tabs>
          <w:tab w:leader="none" w:pos="225" w:val="left"/>
        </w:tabs>
        <w:numPr>
          <w:ilvl w:val="0"/>
          <w:numId w:val="99"/>
        </w:numPr>
        <w:rPr>
          <w:rFonts w:ascii="Arial" w:cs="Arial" w:eastAsia="Arial" w:hAnsi="Arial"/>
          <w:sz w:val="18"/>
          <w:szCs w:val="18"/>
          <w:color w:val="EF3E2A"/>
        </w:rPr>
      </w:pPr>
      <w:r>
        <w:rPr>
          <w:rFonts w:ascii="Arial" w:cs="Arial" w:eastAsia="Arial" w:hAnsi="Arial"/>
          <w:sz w:val="18"/>
          <w:szCs w:val="18"/>
          <w:color w:val="231F20"/>
        </w:rPr>
        <w:t>Preparedness for meetings and understanding company business</w:t>
      </w:r>
    </w:p>
    <w:p>
      <w:pPr>
        <w:spacing w:after="0" w:line="6" w:lineRule="exact"/>
        <w:rPr>
          <w:rFonts w:ascii="Arial" w:cs="Arial" w:eastAsia="Arial" w:hAnsi="Arial"/>
          <w:sz w:val="18"/>
          <w:szCs w:val="18"/>
          <w:color w:val="EF3E2A"/>
        </w:rPr>
      </w:pPr>
    </w:p>
    <w:p>
      <w:pPr>
        <w:ind w:left="240" w:hanging="240"/>
        <w:spacing w:after="0"/>
        <w:tabs>
          <w:tab w:leader="none" w:pos="240" w:val="left"/>
        </w:tabs>
        <w:numPr>
          <w:ilvl w:val="0"/>
          <w:numId w:val="99"/>
        </w:numPr>
        <w:rPr>
          <w:rFonts w:ascii="Arial" w:cs="Arial" w:eastAsia="Arial" w:hAnsi="Arial"/>
          <w:sz w:val="18"/>
          <w:szCs w:val="18"/>
          <w:color w:val="EF3E2A"/>
        </w:rPr>
      </w:pPr>
      <w:r>
        <w:rPr>
          <w:rFonts w:ascii="Arial" w:cs="Arial" w:eastAsia="Arial" w:hAnsi="Arial"/>
          <w:sz w:val="18"/>
          <w:szCs w:val="18"/>
          <w:color w:val="231F20"/>
        </w:rPr>
        <w:t>Overall contributions to Board and Committees</w:t>
      </w:r>
    </w:p>
    <w:p>
      <w:pPr>
        <w:spacing w:after="0" w:line="12" w:lineRule="exact"/>
        <w:rPr>
          <w:rFonts w:ascii="Arial" w:cs="Arial" w:eastAsia="Arial" w:hAnsi="Arial"/>
          <w:sz w:val="18"/>
          <w:szCs w:val="18"/>
          <w:color w:val="EF3E2A"/>
        </w:rPr>
      </w:pPr>
    </w:p>
    <w:p>
      <w:pPr>
        <w:ind w:left="240" w:hanging="240"/>
        <w:spacing w:after="0"/>
        <w:tabs>
          <w:tab w:leader="none" w:pos="240" w:val="left"/>
        </w:tabs>
        <w:numPr>
          <w:ilvl w:val="0"/>
          <w:numId w:val="99"/>
        </w:numPr>
        <w:rPr>
          <w:rFonts w:ascii="Arial" w:cs="Arial" w:eastAsia="Arial" w:hAnsi="Arial"/>
          <w:sz w:val="18"/>
          <w:szCs w:val="18"/>
          <w:color w:val="EF3E2A"/>
        </w:rPr>
      </w:pPr>
      <w:r>
        <w:rPr>
          <w:rFonts w:ascii="Arial" w:cs="Arial" w:eastAsia="Arial" w:hAnsi="Arial"/>
          <w:sz w:val="18"/>
          <w:szCs w:val="18"/>
          <w:color w:val="231F20"/>
        </w:rPr>
        <w:t>Skill set</w:t>
      </w:r>
    </w:p>
    <w:p>
      <w:pPr>
        <w:spacing w:after="0" w:line="13" w:lineRule="exact"/>
        <w:rPr>
          <w:rFonts w:ascii="Arial" w:cs="Arial" w:eastAsia="Arial" w:hAnsi="Arial"/>
          <w:sz w:val="18"/>
          <w:szCs w:val="18"/>
          <w:color w:val="EF3E2A"/>
        </w:rPr>
      </w:pPr>
    </w:p>
    <w:p>
      <w:pPr>
        <w:ind w:left="240" w:hanging="240"/>
        <w:spacing w:after="0"/>
        <w:tabs>
          <w:tab w:leader="none" w:pos="240" w:val="left"/>
        </w:tabs>
        <w:numPr>
          <w:ilvl w:val="0"/>
          <w:numId w:val="99"/>
        </w:numPr>
        <w:rPr>
          <w:rFonts w:ascii="Arial" w:cs="Arial" w:eastAsia="Arial" w:hAnsi="Arial"/>
          <w:sz w:val="18"/>
          <w:szCs w:val="18"/>
          <w:color w:val="EF3E2A"/>
        </w:rPr>
      </w:pPr>
      <w:r>
        <w:rPr>
          <w:rFonts w:ascii="Arial" w:cs="Arial" w:eastAsia="Arial" w:hAnsi="Arial"/>
          <w:sz w:val="18"/>
          <w:szCs w:val="18"/>
          <w:color w:val="231F20"/>
        </w:rPr>
        <w:t>Effectiveness in leadership roles (if applicable)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2921000</wp:posOffset>
                </wp:positionH>
                <wp:positionV relativeFrom="paragraph">
                  <wp:posOffset>279400</wp:posOffset>
                </wp:positionV>
                <wp:extent cx="101600" cy="792480"/>
                <wp:wrapNone/>
                <wp:docPr id="209" name="Shape 2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1600" cy="792480"/>
                        </a:xfrm>
                        <a:prstGeom prst="rect">
                          <a:avLst/>
                        </a:prstGeom>
                        <a:solidFill>
                          <a:srgbClr val="DCDDDE"/>
                        </a:solidFill>
                      </wps:spPr>
                      <wps:bodyPr/>
                    </wps:wsp>
                  </a:graphicData>
                </a:graphic>
              </wp:anchor>
            </w:drawing>
          </mc:Choice>
          <mc:Fallback>
            <w:pict>
              <v:rect id="Shape 209" o:spid="_x0000_s1234" style="position:absolute;margin-left:230pt;margin-top:22pt;width:8pt;height:62.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CDDDE" stroked="f"/>
            </w:pict>
          </mc:Fallback>
        </mc:AlternateContent>
        <mc:AlternateContent>
          <mc:Choice Requires="wps">
            <w:drawing>
              <wp:anchor simplePos="0" relativeHeight="251657728" behindDoc="1" locked="0" layoutInCell="0" allowOverlap="1">
                <wp:simplePos x="0" y="0"/>
                <wp:positionH relativeFrom="column">
                  <wp:posOffset>-139065</wp:posOffset>
                </wp:positionH>
                <wp:positionV relativeFrom="paragraph">
                  <wp:posOffset>279400</wp:posOffset>
                </wp:positionV>
                <wp:extent cx="101600" cy="792480"/>
                <wp:wrapNone/>
                <wp:docPr id="210" name="Shape 2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1600" cy="792480"/>
                        </a:xfrm>
                        <a:prstGeom prst="rect">
                          <a:avLst/>
                        </a:prstGeom>
                        <a:solidFill>
                          <a:srgbClr val="DCDDDE"/>
                        </a:solidFill>
                      </wps:spPr>
                      <wps:bodyPr/>
                    </wps:wsp>
                  </a:graphicData>
                </a:graphic>
              </wp:anchor>
            </w:drawing>
          </mc:Choice>
          <mc:Fallback>
            <w:pict>
              <v:rect id="Shape 210" o:spid="_x0000_s1235" style="position:absolute;margin-left:-10.9499pt;margin-top:22pt;width:8pt;height:62.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CDDDE" stroked="f"/>
            </w:pict>
          </mc:Fallback>
        </mc:AlternateContent>
        <mc:AlternateContent>
          <mc:Choice Requires="wps">
            <w:drawing>
              <wp:anchor simplePos="0" relativeHeight="251657728" behindDoc="1" locked="0" layoutInCell="0" allowOverlap="1">
                <wp:simplePos x="0" y="0"/>
                <wp:positionH relativeFrom="column">
                  <wp:posOffset>-139065</wp:posOffset>
                </wp:positionH>
                <wp:positionV relativeFrom="paragraph">
                  <wp:posOffset>1066800</wp:posOffset>
                </wp:positionV>
                <wp:extent cx="104140" cy="233680"/>
                <wp:wrapNone/>
                <wp:docPr id="211" name="Shape 2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4140" cy="233680"/>
                        </a:xfrm>
                        <a:prstGeom prst="rect">
                          <a:avLst/>
                        </a:prstGeom>
                        <a:solidFill>
                          <a:srgbClr val="DCDDDE"/>
                        </a:solidFill>
                      </wps:spPr>
                      <wps:bodyPr/>
                    </wps:wsp>
                  </a:graphicData>
                </a:graphic>
              </wp:anchor>
            </w:drawing>
          </mc:Choice>
          <mc:Fallback>
            <w:pict>
              <v:rect id="Shape 211" o:spid="_x0000_s1236" style="position:absolute;margin-left:-10.9499pt;margin-top:84pt;width:8.2pt;height:18.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CDDDE" stroked="f"/>
            </w:pict>
          </mc:Fallback>
        </mc:AlternateContent>
        <mc:AlternateContent>
          <mc:Choice Requires="wps">
            <w:drawing>
              <wp:anchor simplePos="0" relativeHeight="251657728" behindDoc="1" locked="0" layoutInCell="0" allowOverlap="1">
                <wp:simplePos x="0" y="0"/>
                <wp:positionH relativeFrom="column">
                  <wp:posOffset>-40005</wp:posOffset>
                </wp:positionH>
                <wp:positionV relativeFrom="paragraph">
                  <wp:posOffset>1069340</wp:posOffset>
                </wp:positionV>
                <wp:extent cx="2963545" cy="228600"/>
                <wp:wrapNone/>
                <wp:docPr id="212" name="Shape 2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63545" cy="228600"/>
                        </a:xfrm>
                        <a:prstGeom prst="rect">
                          <a:avLst/>
                        </a:prstGeom>
                        <a:solidFill>
                          <a:srgbClr val="DCDDDE"/>
                        </a:solidFill>
                      </wps:spPr>
                      <wps:bodyPr/>
                    </wps:wsp>
                  </a:graphicData>
                </a:graphic>
              </wp:anchor>
            </w:drawing>
          </mc:Choice>
          <mc:Fallback>
            <w:pict>
              <v:rect id="Shape 212" o:spid="_x0000_s1237" style="position:absolute;margin-left:-3.1499pt;margin-top:84.2pt;width:233.35pt;height:1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CDDDE" stroked="f"/>
            </w:pict>
          </mc:Fallback>
        </mc:AlternateContent>
        <mc:AlternateContent>
          <mc:Choice Requires="wps">
            <w:drawing>
              <wp:anchor simplePos="0" relativeHeight="251657728" behindDoc="1" locked="0" layoutInCell="0" allowOverlap="1">
                <wp:simplePos x="0" y="0"/>
                <wp:positionH relativeFrom="column">
                  <wp:posOffset>2918460</wp:posOffset>
                </wp:positionH>
                <wp:positionV relativeFrom="paragraph">
                  <wp:posOffset>1066800</wp:posOffset>
                </wp:positionV>
                <wp:extent cx="104140" cy="233680"/>
                <wp:wrapNone/>
                <wp:docPr id="213" name="Shape 2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4140" cy="233680"/>
                        </a:xfrm>
                        <a:prstGeom prst="rect">
                          <a:avLst/>
                        </a:prstGeom>
                        <a:solidFill>
                          <a:srgbClr val="DCDDDE"/>
                        </a:solidFill>
                      </wps:spPr>
                      <wps:bodyPr/>
                    </wps:wsp>
                  </a:graphicData>
                </a:graphic>
              </wp:anchor>
            </w:drawing>
          </mc:Choice>
          <mc:Fallback>
            <w:pict>
              <v:rect id="Shape 213" o:spid="_x0000_s1238" style="position:absolute;margin-left:229.8pt;margin-top:84pt;width:8.2pt;height:18.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CDDDE" stroked="f"/>
            </w:pict>
          </mc:Fallback>
        </mc:AlternateConten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One-on-One Discussions</w:t>
      </w:r>
    </w:p>
    <w:p>
      <w:pPr>
        <w:spacing w:after="0" w:line="39" w:lineRule="exact"/>
        <w:rPr>
          <w:sz w:val="20"/>
          <w:szCs w:val="20"/>
          <w:color w:val="auto"/>
        </w:rPr>
      </w:pPr>
    </w:p>
    <w:p>
      <w:pPr>
        <w:ind w:right="340"/>
        <w:spacing w:after="0" w:line="252" w:lineRule="auto"/>
        <w:rPr>
          <w:sz w:val="20"/>
          <w:szCs w:val="20"/>
          <w:color w:val="auto"/>
        </w:rPr>
      </w:pPr>
      <w:r>
        <w:rPr>
          <w:rFonts w:ascii="Arial" w:cs="Arial" w:eastAsia="Arial" w:hAnsi="Arial"/>
          <w:sz w:val="18"/>
          <w:szCs w:val="18"/>
          <w:color w:val="231F20"/>
        </w:rPr>
        <w:t>The chair of the Nominating Committee discusses the individual assessments and overall Board effectiveness with each trustee. The Board chairman conducts the same process for the Nominating Committee chair.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2921000</wp:posOffset>
                </wp:positionH>
                <wp:positionV relativeFrom="paragraph">
                  <wp:posOffset>273685</wp:posOffset>
                </wp:positionV>
                <wp:extent cx="101600" cy="792480"/>
                <wp:wrapNone/>
                <wp:docPr id="214" name="Shape 2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1600" cy="792480"/>
                        </a:xfrm>
                        <a:prstGeom prst="rect">
                          <a:avLst/>
                        </a:prstGeom>
                        <a:solidFill>
                          <a:srgbClr val="DCDDDE"/>
                        </a:solidFill>
                      </wps:spPr>
                      <wps:bodyPr/>
                    </wps:wsp>
                  </a:graphicData>
                </a:graphic>
              </wp:anchor>
            </w:drawing>
          </mc:Choice>
          <mc:Fallback>
            <w:pict>
              <v:rect id="Shape 214" o:spid="_x0000_s1239" style="position:absolute;margin-left:230pt;margin-top:21.55pt;width:8pt;height:62.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CDDDE" stroked="f"/>
            </w:pict>
          </mc:Fallback>
        </mc:AlternateContent>
        <mc:AlternateContent>
          <mc:Choice Requires="wps">
            <w:drawing>
              <wp:anchor simplePos="0" relativeHeight="251657728" behindDoc="1" locked="0" layoutInCell="0" allowOverlap="1">
                <wp:simplePos x="0" y="0"/>
                <wp:positionH relativeFrom="column">
                  <wp:posOffset>-139065</wp:posOffset>
                </wp:positionH>
                <wp:positionV relativeFrom="paragraph">
                  <wp:posOffset>273685</wp:posOffset>
                </wp:positionV>
                <wp:extent cx="101600" cy="792480"/>
                <wp:wrapNone/>
                <wp:docPr id="215" name="Shape 2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1600" cy="792480"/>
                        </a:xfrm>
                        <a:prstGeom prst="rect">
                          <a:avLst/>
                        </a:prstGeom>
                        <a:solidFill>
                          <a:srgbClr val="DCDDDE"/>
                        </a:solidFill>
                      </wps:spPr>
                      <wps:bodyPr/>
                    </wps:wsp>
                  </a:graphicData>
                </a:graphic>
              </wp:anchor>
            </w:drawing>
          </mc:Choice>
          <mc:Fallback>
            <w:pict>
              <v:rect id="Shape 215" o:spid="_x0000_s1240" style="position:absolute;margin-left:-10.9499pt;margin-top:21.55pt;width:8pt;height:62.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CDDDE" stroked="f"/>
            </w:pict>
          </mc:Fallback>
        </mc:AlternateContent>
        <mc:AlternateContent>
          <mc:Choice Requires="wps">
            <w:drawing>
              <wp:anchor simplePos="0" relativeHeight="251657728" behindDoc="1" locked="0" layoutInCell="0" allowOverlap="1">
                <wp:simplePos x="0" y="0"/>
                <wp:positionH relativeFrom="column">
                  <wp:posOffset>-139065</wp:posOffset>
                </wp:positionH>
                <wp:positionV relativeFrom="paragraph">
                  <wp:posOffset>1061085</wp:posOffset>
                </wp:positionV>
                <wp:extent cx="104140" cy="205740"/>
                <wp:wrapNone/>
                <wp:docPr id="216" name="Shape 2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4140" cy="205740"/>
                        </a:xfrm>
                        <a:prstGeom prst="rect">
                          <a:avLst/>
                        </a:prstGeom>
                        <a:solidFill>
                          <a:srgbClr val="DCDDDE"/>
                        </a:solidFill>
                      </wps:spPr>
                      <wps:bodyPr/>
                    </wps:wsp>
                  </a:graphicData>
                </a:graphic>
              </wp:anchor>
            </w:drawing>
          </mc:Choice>
          <mc:Fallback>
            <w:pict>
              <v:rect id="Shape 216" o:spid="_x0000_s1241" style="position:absolute;margin-left:-10.9499pt;margin-top:83.55pt;width:8.2pt;height:16.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CDDDE" stroked="f"/>
            </w:pict>
          </mc:Fallback>
        </mc:AlternateContent>
        <mc:AlternateContent>
          <mc:Choice Requires="wps">
            <w:drawing>
              <wp:anchor simplePos="0" relativeHeight="251657728" behindDoc="1" locked="0" layoutInCell="0" allowOverlap="1">
                <wp:simplePos x="0" y="0"/>
                <wp:positionH relativeFrom="column">
                  <wp:posOffset>-40005</wp:posOffset>
                </wp:positionH>
                <wp:positionV relativeFrom="paragraph">
                  <wp:posOffset>1064260</wp:posOffset>
                </wp:positionV>
                <wp:extent cx="2963545" cy="203200"/>
                <wp:wrapNone/>
                <wp:docPr id="217" name="Shape 2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63545" cy="203200"/>
                        </a:xfrm>
                        <a:prstGeom prst="rect">
                          <a:avLst/>
                        </a:prstGeom>
                        <a:solidFill>
                          <a:srgbClr val="DCDDDE"/>
                        </a:solidFill>
                      </wps:spPr>
                      <wps:bodyPr/>
                    </wps:wsp>
                  </a:graphicData>
                </a:graphic>
              </wp:anchor>
            </w:drawing>
          </mc:Choice>
          <mc:Fallback>
            <w:pict>
              <v:rect id="Shape 217" o:spid="_x0000_s1242" style="position:absolute;margin-left:-3.1499pt;margin-top:83.8pt;width:233.35pt;height:16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CDDDE" stroked="f"/>
            </w:pict>
          </mc:Fallback>
        </mc:AlternateContent>
        <mc:AlternateContent>
          <mc:Choice Requires="wps">
            <w:drawing>
              <wp:anchor simplePos="0" relativeHeight="251657728" behindDoc="1" locked="0" layoutInCell="0" allowOverlap="1">
                <wp:simplePos x="0" y="0"/>
                <wp:positionH relativeFrom="column">
                  <wp:posOffset>2918460</wp:posOffset>
                </wp:positionH>
                <wp:positionV relativeFrom="paragraph">
                  <wp:posOffset>1061085</wp:posOffset>
                </wp:positionV>
                <wp:extent cx="104140" cy="205740"/>
                <wp:wrapNone/>
                <wp:docPr id="218" name="Shape 2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4140" cy="205740"/>
                        </a:xfrm>
                        <a:prstGeom prst="rect">
                          <a:avLst/>
                        </a:prstGeom>
                        <a:solidFill>
                          <a:srgbClr val="DCDDDE"/>
                        </a:solidFill>
                      </wps:spPr>
                      <wps:bodyPr/>
                    </wps:wsp>
                  </a:graphicData>
                </a:graphic>
              </wp:anchor>
            </w:drawing>
          </mc:Choice>
          <mc:Fallback>
            <w:pict>
              <v:rect id="Shape 218" o:spid="_x0000_s1243" style="position:absolute;margin-left:229.8pt;margin-top:83.55pt;width:8.2pt;height:16.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CDDDE" stroked="f"/>
            </w:pict>
          </mc:Fallback>
        </mc:AlternateConten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Results Summary and Action Taken</w:t>
      </w:r>
    </w:p>
    <w:p>
      <w:pPr>
        <w:spacing w:after="0" w:line="39" w:lineRule="exact"/>
        <w:rPr>
          <w:sz w:val="20"/>
          <w:szCs w:val="20"/>
          <w:color w:val="auto"/>
        </w:rPr>
      </w:pPr>
    </w:p>
    <w:p>
      <w:pPr>
        <w:ind w:right="240"/>
        <w:spacing w:after="0" w:line="252" w:lineRule="auto"/>
        <w:rPr>
          <w:sz w:val="20"/>
          <w:szCs w:val="20"/>
          <w:color w:val="auto"/>
        </w:rPr>
      </w:pPr>
      <w:r>
        <w:rPr>
          <w:rFonts w:ascii="Arial" w:cs="Arial" w:eastAsia="Arial" w:hAnsi="Arial"/>
          <w:sz w:val="18"/>
          <w:szCs w:val="18"/>
          <w:color w:val="231F20"/>
        </w:rPr>
        <w:t>Results of the assessments are provided to and discussed by the full Board. Identified issues are addressed with changes incorporated into Board policies and governance as needed.</w:t>
      </w:r>
    </w:p>
    <w:p>
      <w:pPr>
        <w:spacing w:after="0" w:line="200" w:lineRule="exact"/>
        <w:rPr>
          <w:sz w:val="20"/>
          <w:szCs w:val="20"/>
          <w:color w:val="auto"/>
        </w:rPr>
      </w:pPr>
    </w:p>
    <w:p>
      <w:pPr>
        <w:sectPr>
          <w:pgSz w:w="11880" w:h="15480" w:orient="portrait"/>
          <w:cols w:equalWidth="0" w:num="2">
            <w:col w:w="4800" w:space="520"/>
            <w:col w:w="4760"/>
          </w:cols>
          <w:pgMar w:left="900" w:top="1260" w:right="900" w:bottom="763" w:gutter="0" w:footer="0" w:header="0"/>
          <w:type w:val="continuous"/>
        </w:sectPr>
      </w:pPr>
    </w:p>
    <w:p>
      <w:pPr>
        <w:spacing w:after="0" w:line="200" w:lineRule="exact"/>
        <w:rPr>
          <w:sz w:val="20"/>
          <w:szCs w:val="20"/>
          <w:color w:val="auto"/>
        </w:rPr>
      </w:pPr>
    </w:p>
    <w:p>
      <w:pPr>
        <w:spacing w:after="0" w:line="250" w:lineRule="exact"/>
        <w:rPr>
          <w:sz w:val="20"/>
          <w:szCs w:val="20"/>
          <w:color w:val="auto"/>
        </w:rPr>
      </w:pPr>
    </w:p>
    <w:p>
      <w:pPr>
        <w:spacing w:after="0" w:line="268" w:lineRule="exact"/>
        <w:rPr>
          <w:sz w:val="20"/>
          <w:szCs w:val="20"/>
          <w:color w:val="auto"/>
        </w:rPr>
      </w:pPr>
      <w:r>
        <w:rPr>
          <w:rFonts w:ascii="Arial Unicode MS" w:cs="Arial Unicode MS" w:eastAsia="Arial Unicode MS" w:hAnsi="Arial Unicode MS"/>
          <w:sz w:val="20"/>
          <w:szCs w:val="20"/>
          <w:color w:val="EF3E2A"/>
        </w:rPr>
        <w:t>➢</w:t>
      </w:r>
      <w:r>
        <w:rPr>
          <w:rFonts w:ascii="Arial" w:cs="Arial" w:eastAsia="Arial" w:hAnsi="Arial"/>
          <w:sz w:val="20"/>
          <w:szCs w:val="20"/>
          <w:b w:val="1"/>
          <w:bCs w:val="1"/>
          <w:color w:val="231F20"/>
        </w:rPr>
        <w:t xml:space="preserve"> SUCCESSION PLANNING</w:t>
      </w:r>
    </w:p>
    <w:p>
      <w:pPr>
        <w:spacing w:after="0" w:line="255"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231F20"/>
        </w:rPr>
        <w:t>The Board is responsible for ensuring that we have a high performing management team in place. The Board regularly conducts a detailed review of management development and succession planning activities to ensure that top management positions, including the CEO role, can be filled without significant interruption both in an emergency situation as well as on a longer-term basis.</w:t>
      </w:r>
    </w:p>
    <w:p>
      <w:pPr>
        <w:spacing w:after="0" w:line="207" w:lineRule="exact"/>
        <w:rPr>
          <w:sz w:val="20"/>
          <w:szCs w:val="20"/>
          <w:color w:val="auto"/>
        </w:rPr>
      </w:pPr>
    </w:p>
    <w:p>
      <w:pPr>
        <w:spacing w:after="0" w:line="268" w:lineRule="exact"/>
        <w:rPr>
          <w:sz w:val="20"/>
          <w:szCs w:val="20"/>
          <w:color w:val="auto"/>
        </w:rPr>
      </w:pPr>
      <w:r>
        <w:rPr>
          <w:rFonts w:ascii="Arial Unicode MS" w:cs="Arial Unicode MS" w:eastAsia="Arial Unicode MS" w:hAnsi="Arial Unicode MS"/>
          <w:sz w:val="20"/>
          <w:szCs w:val="20"/>
          <w:color w:val="EF3E2A"/>
        </w:rPr>
        <w:t>➢</w:t>
      </w:r>
      <w:r>
        <w:rPr>
          <w:rFonts w:ascii="Arial" w:cs="Arial" w:eastAsia="Arial" w:hAnsi="Arial"/>
          <w:sz w:val="20"/>
          <w:szCs w:val="20"/>
          <w:b w:val="1"/>
          <w:bCs w:val="1"/>
          <w:color w:val="231F20"/>
        </w:rPr>
        <w:t xml:space="preserve"> COMMUNICATIONS WITH THE BOARD</w:t>
      </w:r>
    </w:p>
    <w:p>
      <w:pPr>
        <w:spacing w:after="0" w:line="255"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231F20"/>
        </w:rPr>
        <w:t>Shareholders and other interested parties may communicate with the Board or any Trustee by sending the communication to the intended recipient at c/o Corporate Secretary, 909 Rose Avenue, Suite 200, North Bethesda, Maryland 20852. Any communication which indicates it is for the Board of Trustees or fails to identify a particular Trustee will be deemed to be a communication intended for our Non-Executive Chairman of the Board. Our Secretary will promptly forward to the appropriate Trustee all communications received for the Board or any individual Trustee which relate to our business, operations, financial condition, management, employees or similar matters. Our Secretary will not forward to any Trustee any advertising, solicitation or similar materials as she determines.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847090</wp:posOffset>
                </wp:positionV>
                <wp:extent cx="6400800" cy="177800"/>
                <wp:wrapNone/>
                <wp:docPr id="219" name="Shape 2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177800"/>
                        </a:xfrm>
                        <a:prstGeom prst="rect">
                          <a:avLst/>
                        </a:prstGeom>
                        <a:solidFill>
                          <a:srgbClr val="E8E7E5"/>
                        </a:solidFill>
                      </wps:spPr>
                      <wps:bodyPr/>
                    </wps:wsp>
                  </a:graphicData>
                </a:graphic>
              </wp:anchor>
            </w:drawing>
          </mc:Choice>
          <mc:Fallback>
            <w:pict>
              <v:rect id="Shape 219" o:spid="_x0000_s1244" style="position:absolute;margin-left:0pt;margin-top:66.7pt;width:504pt;height:1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8E7E5" stroked="f"/>
            </w:pict>
          </mc:Fallback>
        </mc:AlternateContent>
        <mc:AlternateContent>
          <mc:Choice Requires="wps">
            <w:drawing>
              <wp:anchor simplePos="0" relativeHeight="251657728" behindDoc="1" locked="0" layoutInCell="0" allowOverlap="1">
                <wp:simplePos x="0" y="0"/>
                <wp:positionH relativeFrom="column">
                  <wp:posOffset>6350</wp:posOffset>
                </wp:positionH>
                <wp:positionV relativeFrom="paragraph">
                  <wp:posOffset>847090</wp:posOffset>
                </wp:positionV>
                <wp:extent cx="0" cy="177800"/>
                <wp:wrapNone/>
                <wp:docPr id="220" name="Shape 2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220" o:spid="_x0000_s12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pt,66.7pt" to="0.5pt,80.7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853440</wp:posOffset>
                </wp:positionV>
                <wp:extent cx="6400800" cy="0"/>
                <wp:wrapNone/>
                <wp:docPr id="221" name="Shape 2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221" o:spid="_x0000_s12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67.2pt" to="504pt,67.2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6394450</wp:posOffset>
                </wp:positionH>
                <wp:positionV relativeFrom="paragraph">
                  <wp:posOffset>847090</wp:posOffset>
                </wp:positionV>
                <wp:extent cx="0" cy="177800"/>
                <wp:wrapNone/>
                <wp:docPr id="222" name="Shape 2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222" o:spid="_x0000_s12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3.5pt,66.7pt" to="503.5pt,80.7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1018540</wp:posOffset>
                </wp:positionV>
                <wp:extent cx="6400800" cy="0"/>
                <wp:wrapNone/>
                <wp:docPr id="223" name="Shape 2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223" o:spid="_x0000_s12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80.2pt" to="504pt,80.2pt" o:allowincell="f" strokecolor="#231F20" strokeweight="1pt"/>
            </w:pict>
          </mc:Fallback>
        </mc:AlternateContent>
      </w:r>
    </w:p>
    <w:p>
      <w:pPr>
        <w:sectPr>
          <w:pgSz w:w="11880" w:h="15480" w:orient="portrait"/>
          <w:cols w:equalWidth="0" w:num="1">
            <w:col w:w="10080"/>
          </w:cols>
          <w:pgMar w:left="900" w:top="1260" w:right="900" w:bottom="763"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6800"/>
        <w:spacing w:after="0"/>
        <w:tabs>
          <w:tab w:leader="none" w:pos="8160" w:val="left"/>
          <w:tab w:leader="none" w:pos="9900" w:val="left"/>
        </w:tabs>
        <w:rPr>
          <w:sz w:val="20"/>
          <w:szCs w:val="20"/>
          <w:color w:val="auto"/>
        </w:rPr>
      </w:pPr>
      <w:r>
        <w:rPr>
          <w:rFonts w:ascii="Arial" w:cs="Arial" w:eastAsia="Arial" w:hAnsi="Arial"/>
          <w:sz w:val="16"/>
          <w:szCs w:val="16"/>
          <w:color w:val="EF3E2A"/>
        </w:rPr>
        <w:t>Federal Realty</w:t>
      </w:r>
      <w:r>
        <w:rPr>
          <w:sz w:val="20"/>
          <w:szCs w:val="20"/>
          <w:color w:val="auto"/>
        </w:rPr>
        <w:tab/>
      </w:r>
      <w:r>
        <w:rPr>
          <w:rFonts w:ascii="Arial" w:cs="Arial" w:eastAsia="Arial" w:hAnsi="Arial"/>
          <w:sz w:val="16"/>
          <w:szCs w:val="16"/>
          <w:color w:val="231F20"/>
        </w:rPr>
        <w:t>2026 Proxy Statement</w:t>
      </w:r>
      <w:r>
        <w:rPr>
          <w:sz w:val="20"/>
          <w:szCs w:val="20"/>
          <w:color w:val="auto"/>
        </w:rPr>
        <w:tab/>
      </w:r>
      <w:r>
        <w:rPr>
          <w:rFonts w:ascii="Arial" w:cs="Arial" w:eastAsia="Arial" w:hAnsi="Arial"/>
          <w:sz w:val="14"/>
          <w:szCs w:val="14"/>
          <w:color w:val="231F20"/>
        </w:rPr>
        <w:t>9</w:t>
      </w:r>
    </w:p>
    <w:p>
      <w:pPr>
        <w:sectPr>
          <w:pgSz w:w="11880" w:h="15480" w:orient="portrait"/>
          <w:cols w:equalWidth="0" w:num="1">
            <w:col w:w="10080"/>
          </w:cols>
          <w:pgMar w:left="900" w:top="1260" w:right="900" w:bottom="763" w:gutter="0" w:footer="0" w:header="0"/>
          <w:type w:val="continuous"/>
        </w:sectPr>
      </w:pPr>
    </w:p>
    <w:bookmarkStart w:id="129" w:name="page130"/>
    <w:bookmarkEnd w:id="129"/>
    <w:p>
      <w:pPr>
        <w:spacing w:after="0" w:line="268" w:lineRule="exact"/>
        <w:rPr>
          <w:sz w:val="20"/>
          <w:szCs w:val="20"/>
          <w:color w:val="auto"/>
        </w:rPr>
      </w:pPr>
      <w:r>
        <w:rPr>
          <w:rFonts w:ascii="Arial Unicode MS" w:cs="Arial Unicode MS" w:eastAsia="Arial Unicode MS" w:hAnsi="Arial Unicode MS"/>
          <w:sz w:val="20"/>
          <w:szCs w:val="20"/>
          <w:color w:val="EF3E2A"/>
        </w:rPr>
        <w:t>➢</w:t>
      </w:r>
      <w:r>
        <w:rPr>
          <w:rFonts w:ascii="Arial" w:cs="Arial" w:eastAsia="Arial" w:hAnsi="Arial"/>
          <w:sz w:val="20"/>
          <w:szCs w:val="20"/>
          <w:b w:val="1"/>
          <w:bCs w:val="1"/>
          <w:color w:val="231F20"/>
        </w:rPr>
        <w:t xml:space="preserve"> COMPENSATION COMMITTEE INTERLOCKS AND INSIDER PARTICIPATION</w:t>
      </w:r>
    </w:p>
    <w:p>
      <w:pPr>
        <w:spacing w:after="0" w:line="257"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231F20"/>
        </w:rPr>
        <w:t>The Compensation Committee consists of Ms. Holland, Mr. Fisher (joined January 1, 2026), Ms. Lamb-Hale, Mr. McEachin and Ms. Steinel. There are no Compensation Committee interlocks and no member of the Compensation Committee serves, or has in the past served, as an employee or officer of the Company.</w:t>
      </w:r>
    </w:p>
    <w:p>
      <w:pPr>
        <w:spacing w:after="0" w:line="208" w:lineRule="exact"/>
        <w:rPr>
          <w:sz w:val="20"/>
          <w:szCs w:val="20"/>
          <w:color w:val="auto"/>
        </w:rPr>
      </w:pPr>
    </w:p>
    <w:p>
      <w:pPr>
        <w:spacing w:after="0" w:line="268" w:lineRule="exact"/>
        <w:rPr>
          <w:sz w:val="20"/>
          <w:szCs w:val="20"/>
          <w:color w:val="auto"/>
        </w:rPr>
      </w:pPr>
      <w:r>
        <w:rPr>
          <w:rFonts w:ascii="Arial Unicode MS" w:cs="Arial Unicode MS" w:eastAsia="Arial Unicode MS" w:hAnsi="Arial Unicode MS"/>
          <w:sz w:val="20"/>
          <w:szCs w:val="20"/>
          <w:color w:val="EF3E2A"/>
        </w:rPr>
        <w:t>➢</w:t>
      </w:r>
      <w:r>
        <w:rPr>
          <w:rFonts w:ascii="Arial" w:cs="Arial" w:eastAsia="Arial" w:hAnsi="Arial"/>
          <w:sz w:val="20"/>
          <w:szCs w:val="20"/>
          <w:b w:val="1"/>
          <w:bCs w:val="1"/>
          <w:color w:val="231F20"/>
        </w:rPr>
        <w:t xml:space="preserve"> RELATED PARTY TRANSACTIONS</w:t>
      </w:r>
    </w:p>
    <w:p>
      <w:pPr>
        <w:spacing w:after="0" w:line="257"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231F20"/>
        </w:rPr>
        <w:t>Our Trustees and employees are required to deal with the Company on an arms-length basis in any related party transaction. Transactions between us and any of our Trustees or corporate officers must be approved in advance by the Audit Committee. Audit Committee approval is not required for us to enter into a lease with an entity in which any of our Trustees is a director, employee or owner so long as the lease is entered into in the ordinary course of business and is negotiated at arms-length and on market terms.</w:t>
      </w:r>
    </w:p>
    <w:p>
      <w:pPr>
        <w:spacing w:after="0" w:line="252"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231F20"/>
        </w:rPr>
        <w:t>We have no related party transactions with any of our Trustees that are required to be disclosed. None of our named executive officers (“NEOs”) has any indebtedness to the Company or any relationship with the Company other than as an employee, shareholder or Trustee. Employment and change-in-control arrangements between the Company and the NEOs are described in the “Potential Payments on Termination of Employment and Change-in-Control” section below.</w:t>
      </w:r>
    </w:p>
    <w:p>
      <w:pPr>
        <w:spacing w:after="0" w:line="204" w:lineRule="exact"/>
        <w:rPr>
          <w:sz w:val="20"/>
          <w:szCs w:val="20"/>
          <w:color w:val="auto"/>
        </w:rPr>
      </w:pPr>
    </w:p>
    <w:p>
      <w:pPr>
        <w:spacing w:after="0" w:line="268" w:lineRule="exact"/>
        <w:rPr>
          <w:sz w:val="20"/>
          <w:szCs w:val="20"/>
          <w:color w:val="auto"/>
        </w:rPr>
      </w:pPr>
      <w:r>
        <w:rPr>
          <w:rFonts w:ascii="Arial Unicode MS" w:cs="Arial Unicode MS" w:eastAsia="Arial Unicode MS" w:hAnsi="Arial Unicode MS"/>
          <w:sz w:val="20"/>
          <w:szCs w:val="20"/>
          <w:color w:val="EF3E2A"/>
        </w:rPr>
        <w:t>➢</w:t>
      </w:r>
      <w:r>
        <w:rPr>
          <w:rFonts w:ascii="Arial" w:cs="Arial" w:eastAsia="Arial" w:hAnsi="Arial"/>
          <w:sz w:val="20"/>
          <w:szCs w:val="20"/>
          <w:b w:val="1"/>
          <w:bCs w:val="1"/>
          <w:color w:val="231F20"/>
        </w:rPr>
        <w:t xml:space="preserve"> TRUSTEE INDEPENDENCE</w:t>
      </w:r>
    </w:p>
    <w:p>
      <w:pPr>
        <w:spacing w:after="0" w:line="255"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231F20"/>
        </w:rPr>
        <w:t>The Board has adopted a standard designed to assist the Board in assessing trustee independence. This standard, included in our Corporate Governance Guidelines, states that a Trustee’s position as a director, officer or owner of a company with which we do business does not constitute a material relationship impacting independence so long as payments made by or to that company do not account for more than five percent (5%) of our gross revenues or more than ten percent (10%) of the gross revenues of that company. The Board performs an annual review of independence of all trustees and nominees. In order to make a determination that an individual is independent, the Board has to affirmatively conclude that the individual does not have any direct or indirect material relationship with the Company. This independence determination takes into account the requirements of our Corporate Governance Guidelines and any additional requirements imposed by law, regulation or the New York Stock Exchange (“NYSE”) listing standards and is only made after a thorough review of all relationships that exist between the Company and a trustee.</w:t>
      </w:r>
    </w:p>
    <w:p>
      <w:pPr>
        <w:spacing w:after="0" w:line="255"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231F20"/>
        </w:rPr>
        <w:t>Based on this review process, the Nominating Committee recommended, and the Board concluded, that all of our Trustees, other than Mr. Wood, our chief executive officer, are independent under all applicable standards for service on the Board and each of its committees. In making this determination, the Board considered certain indirect passive investments Mr. Nader has directly and indirectly in three of the Company’s small shop tenants. The Board determined that Mr. Nader’s passive investment in these three small shop tenants did not constitute a material relationship with the Company and would not interfere with Mr. Nader’s ability to exercise independent judgment.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1760855</wp:posOffset>
                </wp:positionV>
                <wp:extent cx="6400800" cy="177800"/>
                <wp:wrapNone/>
                <wp:docPr id="224" name="Shape 2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177800"/>
                        </a:xfrm>
                        <a:prstGeom prst="rect">
                          <a:avLst/>
                        </a:prstGeom>
                        <a:solidFill>
                          <a:srgbClr val="E8E7E5"/>
                        </a:solidFill>
                      </wps:spPr>
                      <wps:bodyPr/>
                    </wps:wsp>
                  </a:graphicData>
                </a:graphic>
              </wp:anchor>
            </w:drawing>
          </mc:Choice>
          <mc:Fallback>
            <w:pict>
              <v:rect id="Shape 224" o:spid="_x0000_s1249" style="position:absolute;margin-left:0pt;margin-top:138.65pt;width:504pt;height:1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8E7E5" stroked="f"/>
            </w:pict>
          </mc:Fallback>
        </mc:AlternateContent>
        <mc:AlternateContent>
          <mc:Choice Requires="wps">
            <w:drawing>
              <wp:anchor simplePos="0" relativeHeight="251657728" behindDoc="1" locked="0" layoutInCell="0" allowOverlap="1">
                <wp:simplePos x="0" y="0"/>
                <wp:positionH relativeFrom="column">
                  <wp:posOffset>6350</wp:posOffset>
                </wp:positionH>
                <wp:positionV relativeFrom="paragraph">
                  <wp:posOffset>1760855</wp:posOffset>
                </wp:positionV>
                <wp:extent cx="0" cy="177800"/>
                <wp:wrapNone/>
                <wp:docPr id="225" name="Shape 2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225" o:spid="_x0000_s12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pt,138.65pt" to="0.5pt,152.65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1767205</wp:posOffset>
                </wp:positionV>
                <wp:extent cx="6400800" cy="0"/>
                <wp:wrapNone/>
                <wp:docPr id="226" name="Shape 2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226" o:spid="_x0000_s12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9.15pt" to="504pt,139.15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6394450</wp:posOffset>
                </wp:positionH>
                <wp:positionV relativeFrom="paragraph">
                  <wp:posOffset>1760855</wp:posOffset>
                </wp:positionV>
                <wp:extent cx="0" cy="177800"/>
                <wp:wrapNone/>
                <wp:docPr id="227" name="Shape 2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227" o:spid="_x0000_s12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3.5pt,138.65pt" to="503.5pt,152.65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1932305</wp:posOffset>
                </wp:positionV>
                <wp:extent cx="6400800" cy="0"/>
                <wp:wrapNone/>
                <wp:docPr id="228" name="Shape 2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228" o:spid="_x0000_s12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52.15pt" to="504pt,152.15pt" o:allowincell="f" strokecolor="#231F20" strokeweight="1pt"/>
            </w:pict>
          </mc:Fallback>
        </mc:AlternateContent>
      </w:r>
    </w:p>
    <w:p>
      <w:pPr>
        <w:sectPr>
          <w:pgSz w:w="11880" w:h="15480" w:orient="portrait"/>
          <w:cols w:equalWidth="0" w:num="1">
            <w:col w:w="10080"/>
          </w:cols>
          <w:pgMar w:left="900" w:top="1272" w:right="900" w:bottom="76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80"/>
        <w:spacing w:after="0"/>
        <w:tabs>
          <w:tab w:leader="none" w:pos="1420" w:val="left"/>
          <w:tab w:leader="none" w:pos="3160" w:val="left"/>
        </w:tabs>
        <w:rPr>
          <w:sz w:val="20"/>
          <w:szCs w:val="20"/>
          <w:color w:val="auto"/>
        </w:rPr>
      </w:pPr>
      <w:r>
        <w:rPr>
          <w:rFonts w:ascii="Arial" w:cs="Arial" w:eastAsia="Arial" w:hAnsi="Arial"/>
          <w:sz w:val="16"/>
          <w:szCs w:val="16"/>
          <w:color w:val="EF3E2A"/>
        </w:rPr>
        <w:t>Federal Realty</w:t>
      </w:r>
      <w:r>
        <w:rPr>
          <w:sz w:val="20"/>
          <w:szCs w:val="20"/>
          <w:color w:val="auto"/>
        </w:rPr>
        <w:tab/>
      </w:r>
      <w:r>
        <w:rPr>
          <w:rFonts w:ascii="Arial" w:cs="Arial" w:eastAsia="Arial" w:hAnsi="Arial"/>
          <w:sz w:val="16"/>
          <w:szCs w:val="16"/>
          <w:color w:val="231F20"/>
        </w:rPr>
        <w:t>2026 Proxy Statement</w:t>
        <w:tab/>
        <w:t>10</w:t>
      </w:r>
    </w:p>
    <w:p>
      <w:pPr>
        <w:sectPr>
          <w:pgSz w:w="11880" w:h="15480" w:orient="portrait"/>
          <w:cols w:equalWidth="0" w:num="1">
            <w:col w:w="10080"/>
          </w:cols>
          <w:pgMar w:left="900" w:top="1272" w:right="900" w:bottom="763" w:gutter="0" w:footer="0" w:header="0"/>
          <w:type w:val="continuous"/>
        </w:sectPr>
      </w:pPr>
    </w:p>
    <w:bookmarkStart w:id="130" w:name="page131"/>
    <w:bookmarkEnd w:id="130"/>
    <w:p>
      <w:pPr>
        <w:spacing w:after="0" w:line="14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page">
                  <wp:posOffset>571500</wp:posOffset>
                </wp:positionH>
                <wp:positionV relativeFrom="page">
                  <wp:posOffset>971550</wp:posOffset>
                </wp:positionV>
                <wp:extent cx="6400800" cy="0"/>
                <wp:wrapNone/>
                <wp:docPr id="229" name="Shape 2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38100">
                          <a:solidFill>
                            <a:srgbClr val="EF3E2A"/>
                          </a:solidFill>
                          <a:miter lim="800000"/>
                          <a:headEnd/>
                          <a:tailEnd/>
                        </a:ln>
                      </wps:spPr>
                      <wps:bodyPr/>
                    </wps:wsp>
                  </a:graphicData>
                </a:graphic>
              </wp:anchor>
            </w:drawing>
          </mc:Choice>
          <mc:Fallback>
            <w:pict>
              <v:line id="Shape 229" o:spid="_x0000_s125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5pt,76.5pt" to="549pt,76.5pt" o:allowincell="f" strokecolor="#EF3E2A" strokeweight="3pt">
                <w10:wrap anchorx="page" anchory="page"/>
              </v:line>
            </w:pict>
          </mc:Fallback>
        </mc:AlternateContent>
      </w:r>
    </w:p>
    <w:p>
      <w:pPr>
        <w:ind w:left="140"/>
        <w:spacing w:after="0"/>
        <w:rPr>
          <w:sz w:val="20"/>
          <w:szCs w:val="20"/>
          <w:color w:val="auto"/>
        </w:rPr>
      </w:pPr>
      <w:r>
        <w:rPr>
          <w:rFonts w:ascii="Arial" w:cs="Arial" w:eastAsia="Arial" w:hAnsi="Arial"/>
          <w:sz w:val="36"/>
          <w:szCs w:val="36"/>
          <w:b w:val="1"/>
          <w:bCs w:val="1"/>
          <w:color w:val="231F20"/>
        </w:rPr>
        <w:t>Proposal 1: Election of Trustees</w:t>
      </w:r>
    </w:p>
    <w:p>
      <w:pPr>
        <w:spacing w:after="0" w:line="263"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231F20"/>
        </w:rPr>
        <w:t>On recommendation of the Nominating Committee, our Board has nominated eight (8) candidates for election as trustees at the Annual Meeting. All of the nominees are incumbent trustees and all other than Mr. Fisher were elected as trustees by our shareholders in May 2025. Mr. Fisher was appointed to the Board effective as of January 1, 2026 to fill a newly created trustee position. More detailed biographical information on each nominee can be found in the following pages.</w:t>
      </w:r>
    </w:p>
    <w:p>
      <w:pPr>
        <w:spacing w:after="0" w:line="247"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231F20"/>
        </w:rPr>
        <w:t>At the Annual Meeting, each trustee will be elected to hold office for a one-year term expiring at the 2027 annual meeting of shareholders and until his or her successor is elected and qualified.</w:t>
      </w:r>
    </w:p>
    <w:p>
      <w:pPr>
        <w:spacing w:after="0" w:line="208" w:lineRule="exact"/>
        <w:rPr>
          <w:sz w:val="20"/>
          <w:szCs w:val="20"/>
          <w:color w:val="auto"/>
        </w:rPr>
      </w:pPr>
    </w:p>
    <w:p>
      <w:pPr>
        <w:spacing w:after="0" w:line="268" w:lineRule="exact"/>
        <w:rPr>
          <w:sz w:val="20"/>
          <w:szCs w:val="20"/>
          <w:color w:val="auto"/>
        </w:rPr>
      </w:pPr>
      <w:r>
        <w:rPr>
          <w:rFonts w:ascii="Arial Unicode MS" w:cs="Arial Unicode MS" w:eastAsia="Arial Unicode MS" w:hAnsi="Arial Unicode MS"/>
          <w:sz w:val="20"/>
          <w:szCs w:val="20"/>
          <w:color w:val="EF3E2A"/>
        </w:rPr>
        <w:t>➢</w:t>
      </w:r>
      <w:r>
        <w:rPr>
          <w:rFonts w:ascii="Arial" w:cs="Arial" w:eastAsia="Arial" w:hAnsi="Arial"/>
          <w:sz w:val="20"/>
          <w:szCs w:val="20"/>
          <w:b w:val="1"/>
          <w:bCs w:val="1"/>
          <w:color w:val="231F20"/>
        </w:rPr>
        <w:t xml:space="preserve"> VOTE REQUIRED AND MAJORITY VOTING STANDARD</w:t>
      </w:r>
    </w:p>
    <w:p>
      <w:pPr>
        <w:spacing w:after="0" w:line="255"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231F20"/>
        </w:rPr>
        <w:t>You are entitled to cast one vote per share for each of the eight nominees. Proxies may not be voted for more than eight individuals. In an uncontested election such as this one, our Bylaws require that a nominee receive a majority of votes cast with respect to that nominee in order to be elected. Accordingly, any nominee who does not receive a majority of votes cast will be required to resign from the Board within ninety (90) days. Broker non-votes and abstentions, if any, will not be treated as votes cast and as a result, will have no effect on the outcome of the vote for this proposal. Over the past 5 years, our nominees who have stood for election have received, on average, nearly 97% votes “for” at each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274955</wp:posOffset>
            </wp:positionV>
            <wp:extent cx="6401435" cy="4832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61">
                      <a:extLst>
                        <a:ext uri="{28A0092B-C50C-407E-A947-70E740481C1C}"/>
                      </a:extLst>
                    </a:blip>
                    <a:srcRect/>
                    <a:stretch>
                      <a:fillRect/>
                    </a:stretch>
                  </pic:blipFill>
                  <pic:spPr bwMode="auto">
                    <a:xfrm>
                      <a:off x="0" y="0"/>
                      <a:ext cx="6401435" cy="483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040"/>
        <w:spacing w:after="0"/>
        <w:rPr>
          <w:sz w:val="20"/>
          <w:szCs w:val="20"/>
          <w:color w:val="auto"/>
        </w:rPr>
      </w:pPr>
      <w:r>
        <w:rPr>
          <w:rFonts w:ascii="Arial" w:cs="Arial" w:eastAsia="Arial" w:hAnsi="Arial"/>
          <w:sz w:val="28"/>
          <w:szCs w:val="28"/>
          <w:color w:val="231F20"/>
        </w:rPr>
        <w:t xml:space="preserve">Our Board recommends a vote </w:t>
      </w:r>
      <w:r>
        <w:rPr>
          <w:rFonts w:ascii="Arial" w:cs="Arial" w:eastAsia="Arial" w:hAnsi="Arial"/>
          <w:sz w:val="28"/>
          <w:szCs w:val="28"/>
          <w:b w:val="1"/>
          <w:bCs w:val="1"/>
          <w:color w:val="231F20"/>
        </w:rPr>
        <w:t>FOR</w:t>
      </w:r>
      <w:r>
        <w:rPr>
          <w:rFonts w:ascii="Arial" w:cs="Arial" w:eastAsia="Arial" w:hAnsi="Arial"/>
          <w:sz w:val="28"/>
          <w:szCs w:val="28"/>
          <w:color w:val="231F20"/>
        </w:rPr>
        <w:t xml:space="preserve"> each of the eight nominees</w:t>
      </w:r>
    </w:p>
    <w:p>
      <w:pPr>
        <w:spacing w:after="0" w:line="200" w:lineRule="exact"/>
        <w:rPr>
          <w:sz w:val="20"/>
          <w:szCs w:val="20"/>
          <w:color w:val="auto"/>
        </w:rPr>
      </w:pPr>
    </w:p>
    <w:p>
      <w:pPr>
        <w:spacing w:after="0" w:line="276" w:lineRule="exact"/>
        <w:rPr>
          <w:sz w:val="20"/>
          <w:szCs w:val="20"/>
          <w:color w:val="auto"/>
        </w:rPr>
      </w:pPr>
    </w:p>
    <w:p>
      <w:pPr>
        <w:spacing w:after="0" w:line="268" w:lineRule="exact"/>
        <w:rPr>
          <w:sz w:val="20"/>
          <w:szCs w:val="20"/>
          <w:color w:val="auto"/>
        </w:rPr>
      </w:pPr>
      <w:r>
        <w:rPr>
          <w:rFonts w:ascii="Arial Unicode MS" w:cs="Arial Unicode MS" w:eastAsia="Arial Unicode MS" w:hAnsi="Arial Unicode MS"/>
          <w:sz w:val="20"/>
          <w:szCs w:val="20"/>
          <w:color w:val="EF3E2A"/>
        </w:rPr>
        <w:t>➣</w:t>
      </w:r>
      <w:r>
        <w:rPr>
          <w:rFonts w:ascii="Arial" w:cs="Arial" w:eastAsia="Arial" w:hAnsi="Arial"/>
          <w:sz w:val="20"/>
          <w:szCs w:val="20"/>
          <w:b w:val="1"/>
          <w:bCs w:val="1"/>
          <w:color w:val="231F20"/>
        </w:rPr>
        <w:t xml:space="preserve"> NOMINEE CHARACTERISTICS AND SELECTION</w:t>
      </w:r>
    </w:p>
    <w:p>
      <w:pPr>
        <w:spacing w:after="0" w:line="255"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231F20"/>
        </w:rPr>
        <w:t>The Nominating Committee has primary responsibility for identifying and recommending individuals to be added to the Board and to stand for election by shareholders. Individuals identified must have the highest personal and professional integrity, demonstrated exceptional intelligence and judgment, have proven leadership skills, be committed to our success, have the requisite skills necessary to advance our long-term strategy, and have the ability to work effectively with our Chief Executive Officer and other members of the Board. In addition, the Nominating Committee assesses the contribution that a particular candidate’s skills and expertise will make with respect to guiding our strategy and management when considered as a whole with the skills and expertise of other trustees.</w:t>
      </w:r>
    </w:p>
    <w:p>
      <w:pPr>
        <w:spacing w:after="0" w:line="251"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231F20"/>
        </w:rPr>
        <w:t>The chart below highlights some of the key qualifications and experience that our Board believes are relevant to the effective oversight of the Company and the execution of our long-term strategy and were considered as relevant for each nominee. The absence of a mark for an attribute for any nominee does not necessarily mean that the nominee does not possess that attribute; it means only that when the Board considered that nominee in the overall context of the composition of our Board, that attribute was not a key factor in the determination to nominate that individual. Further information on each nominee’s qualifications and relevant experience is provided in the individual biographical descriptions included below.</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986155</wp:posOffset>
                </wp:positionV>
                <wp:extent cx="6400800" cy="177800"/>
                <wp:wrapNone/>
                <wp:docPr id="231" name="Shape 2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177800"/>
                        </a:xfrm>
                        <a:prstGeom prst="rect">
                          <a:avLst/>
                        </a:prstGeom>
                        <a:solidFill>
                          <a:srgbClr val="E8E7E5"/>
                        </a:solidFill>
                      </wps:spPr>
                      <wps:bodyPr/>
                    </wps:wsp>
                  </a:graphicData>
                </a:graphic>
              </wp:anchor>
            </w:drawing>
          </mc:Choice>
          <mc:Fallback>
            <w:pict>
              <v:rect id="Shape 231" o:spid="_x0000_s1256" style="position:absolute;margin-left:0pt;margin-top:77.65pt;width:504pt;height:1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8E7E5" stroked="f"/>
            </w:pict>
          </mc:Fallback>
        </mc:AlternateContent>
        <mc:AlternateContent>
          <mc:Choice Requires="wps">
            <w:drawing>
              <wp:anchor simplePos="0" relativeHeight="251657728" behindDoc="1" locked="0" layoutInCell="0" allowOverlap="1">
                <wp:simplePos x="0" y="0"/>
                <wp:positionH relativeFrom="column">
                  <wp:posOffset>6350</wp:posOffset>
                </wp:positionH>
                <wp:positionV relativeFrom="paragraph">
                  <wp:posOffset>985520</wp:posOffset>
                </wp:positionV>
                <wp:extent cx="0" cy="177800"/>
                <wp:wrapNone/>
                <wp:docPr id="232" name="Shape 2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232" o:spid="_x0000_s12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pt,77.6pt" to="0.5pt,91.6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991870</wp:posOffset>
                </wp:positionV>
                <wp:extent cx="6400800" cy="0"/>
                <wp:wrapNone/>
                <wp:docPr id="233" name="Shape 2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233" o:spid="_x0000_s12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78.1pt" to="504pt,78.1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6394450</wp:posOffset>
                </wp:positionH>
                <wp:positionV relativeFrom="paragraph">
                  <wp:posOffset>985520</wp:posOffset>
                </wp:positionV>
                <wp:extent cx="0" cy="177800"/>
                <wp:wrapNone/>
                <wp:docPr id="234" name="Shape 2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234" o:spid="_x0000_s12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3.5pt,77.6pt" to="503.5pt,91.6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1156970</wp:posOffset>
                </wp:positionV>
                <wp:extent cx="6400800" cy="0"/>
                <wp:wrapNone/>
                <wp:docPr id="235" name="Shape 2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235" o:spid="_x0000_s12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91.1pt" to="504pt,91.1pt" o:allowincell="f" strokecolor="#231F20" strokeweight="1pt"/>
            </w:pict>
          </mc:Fallback>
        </mc:AlternateContent>
      </w:r>
    </w:p>
    <w:p>
      <w:pPr>
        <w:sectPr>
          <w:pgSz w:w="11880" w:h="15480" w:orient="portrait"/>
          <w:cols w:equalWidth="0" w:num="1">
            <w:col w:w="10080"/>
          </w:cols>
          <w:pgMar w:left="900" w:top="1440" w:right="900" w:bottom="76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6720"/>
        <w:spacing w:after="0"/>
        <w:tabs>
          <w:tab w:leader="none" w:pos="8060" w:val="left"/>
          <w:tab w:leader="none" w:pos="9800" w:val="left"/>
        </w:tabs>
        <w:rPr>
          <w:sz w:val="20"/>
          <w:szCs w:val="20"/>
          <w:color w:val="auto"/>
        </w:rPr>
      </w:pPr>
      <w:r>
        <w:rPr>
          <w:rFonts w:ascii="Arial" w:cs="Arial" w:eastAsia="Arial" w:hAnsi="Arial"/>
          <w:sz w:val="16"/>
          <w:szCs w:val="16"/>
          <w:color w:val="EF3E2A"/>
        </w:rPr>
        <w:t>Federal Realty</w:t>
      </w:r>
      <w:r>
        <w:rPr>
          <w:sz w:val="20"/>
          <w:szCs w:val="20"/>
          <w:color w:val="auto"/>
        </w:rPr>
        <w:tab/>
      </w:r>
      <w:r>
        <w:rPr>
          <w:rFonts w:ascii="Arial" w:cs="Arial" w:eastAsia="Arial" w:hAnsi="Arial"/>
          <w:sz w:val="16"/>
          <w:szCs w:val="16"/>
          <w:color w:val="231F20"/>
        </w:rPr>
        <w:t>2026 Proxy Statement</w:t>
        <w:tab/>
        <w:t>11</w:t>
      </w:r>
    </w:p>
    <w:p>
      <w:pPr>
        <w:sectPr>
          <w:pgSz w:w="11880" w:h="15480" w:orient="portrait"/>
          <w:cols w:equalWidth="0" w:num="1">
            <w:col w:w="10080"/>
          </w:cols>
          <w:pgMar w:left="900" w:top="1440" w:right="900" w:bottom="763" w:gutter="0" w:footer="0" w:header="0"/>
          <w:type w:val="continuous"/>
        </w:sectPr>
      </w:pPr>
    </w:p>
    <w:bookmarkStart w:id="131" w:name="page132"/>
    <w:bookmarkEnd w:id="131"/>
    <w:p>
      <w:pPr>
        <w:jc w:val="center"/>
        <w:ind w:right="-259"/>
        <w:spacing w:after="0"/>
        <w:rPr>
          <w:sz w:val="20"/>
          <w:szCs w:val="20"/>
          <w:color w:val="auto"/>
        </w:rPr>
      </w:pPr>
      <w:r>
        <w:rPr>
          <w:rFonts w:ascii="Arial" w:cs="Arial" w:eastAsia="Arial" w:hAnsi="Arial"/>
          <w:sz w:val="20"/>
          <w:szCs w:val="20"/>
          <w:b w:val="1"/>
          <w:bCs w:val="1"/>
          <w:color w:val="FFFFFF"/>
        </w:rPr>
        <mc:AlternateContent>
          <mc:Choice Requires="wps">
            <w:drawing>
              <wp:anchor simplePos="0" relativeHeight="251657728" behindDoc="1" locked="0" layoutInCell="0" allowOverlap="1">
                <wp:simplePos x="0" y="0"/>
                <wp:positionH relativeFrom="page">
                  <wp:posOffset>571500</wp:posOffset>
                </wp:positionH>
                <wp:positionV relativeFrom="page">
                  <wp:posOffset>800100</wp:posOffset>
                </wp:positionV>
                <wp:extent cx="6400800" cy="177800"/>
                <wp:wrapNone/>
                <wp:docPr id="236" name="Shape 2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177800"/>
                        </a:xfrm>
                        <a:prstGeom prst="rect">
                          <a:avLst/>
                        </a:prstGeom>
                        <a:solidFill>
                          <a:srgbClr val="EF3E2A"/>
                        </a:solidFill>
                      </wps:spPr>
                      <wps:bodyPr/>
                    </wps:wsp>
                  </a:graphicData>
                </a:graphic>
              </wp:anchor>
            </w:drawing>
          </mc:Choice>
          <mc:Fallback>
            <w:pict>
              <v:rect id="Shape 236" o:spid="_x0000_s1261" style="position:absolute;margin-left:45pt;margin-top:63pt;width:504pt;height:14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EF3E2A" stroked="f">
                <w10:wrap anchorx="page" anchory="page"/>
              </v:rect>
            </w:pict>
          </mc:Fallback>
        </mc:AlternateContent>
        <w:t>NOMINEE QUALIFICATIONS AND EXPERIENCE</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20" w:type="dxa"/>
            <w:vAlign w:val="bottom"/>
            <w:shd w:val="clear" w:color="auto" w:fill="DCDDDE"/>
          </w:tcPr>
          <w:p>
            <w:pPr>
              <w:spacing w:after="0"/>
              <w:rPr>
                <w:sz w:val="22"/>
                <w:szCs w:val="22"/>
                <w:color w:val="auto"/>
              </w:rPr>
            </w:pPr>
          </w:p>
        </w:tc>
        <w:tc>
          <w:tcPr>
            <w:tcW w:w="3780" w:type="dxa"/>
            <w:vAlign w:val="bottom"/>
            <w:tcBorders>
              <w:right w:val="single" w:sz="8" w:color="DCDDDE"/>
            </w:tcBorders>
            <w:shd w:val="clear" w:color="auto" w:fill="DCDDDE"/>
          </w:tcPr>
          <w:p>
            <w:pPr>
              <w:ind w:left="20"/>
              <w:spacing w:after="0"/>
              <w:rPr>
                <w:sz w:val="20"/>
                <w:szCs w:val="20"/>
                <w:color w:val="auto"/>
              </w:rPr>
            </w:pPr>
            <w:r>
              <w:rPr>
                <w:rFonts w:ascii="Arial" w:cs="Arial" w:eastAsia="Arial" w:hAnsi="Arial"/>
                <w:sz w:val="18"/>
                <w:szCs w:val="18"/>
                <w:b w:val="1"/>
                <w:bCs w:val="1"/>
                <w:color w:val="231F20"/>
              </w:rPr>
              <w:t>Qualification/Experience</w:t>
            </w:r>
          </w:p>
        </w:tc>
        <w:tc>
          <w:tcPr>
            <w:tcW w:w="480" w:type="dxa"/>
            <w:vAlign w:val="bottom"/>
            <w:shd w:val="clear" w:color="auto" w:fill="DCDDDE"/>
          </w:tcPr>
          <w:p>
            <w:pPr>
              <w:jc w:val="center"/>
              <w:spacing w:after="0"/>
              <w:rPr>
                <w:sz w:val="20"/>
                <w:szCs w:val="20"/>
                <w:color w:val="auto"/>
              </w:rPr>
            </w:pPr>
            <w:r>
              <w:rPr>
                <w:rFonts w:ascii="Arial" w:cs="Arial" w:eastAsia="Arial" w:hAnsi="Arial"/>
                <w:sz w:val="16"/>
                <w:szCs w:val="16"/>
                <w:color w:val="231F20"/>
                <w:w w:val="78"/>
              </w:rPr>
              <w:t>Faeder</w:t>
            </w:r>
          </w:p>
        </w:tc>
        <w:tc>
          <w:tcPr>
            <w:tcW w:w="100" w:type="dxa"/>
            <w:vAlign w:val="bottom"/>
            <w:tcBorders>
              <w:right w:val="single" w:sz="8" w:color="DCDDDE"/>
            </w:tcBorders>
            <w:shd w:val="clear" w:color="auto" w:fill="DCDDDE"/>
          </w:tcPr>
          <w:p>
            <w:pPr>
              <w:spacing w:after="0"/>
              <w:rPr>
                <w:sz w:val="22"/>
                <w:szCs w:val="22"/>
                <w:color w:val="auto"/>
              </w:rPr>
            </w:pPr>
          </w:p>
        </w:tc>
        <w:tc>
          <w:tcPr>
            <w:tcW w:w="980" w:type="dxa"/>
            <w:vAlign w:val="bottom"/>
            <w:tcBorders>
              <w:right w:val="single" w:sz="8" w:color="DCDDDE"/>
            </w:tcBorders>
            <w:shd w:val="clear" w:color="auto" w:fill="DCDDDE"/>
          </w:tcPr>
          <w:p>
            <w:pPr>
              <w:jc w:val="center"/>
              <w:ind w:right="171"/>
              <w:spacing w:after="0"/>
              <w:rPr>
                <w:sz w:val="20"/>
                <w:szCs w:val="20"/>
                <w:color w:val="auto"/>
              </w:rPr>
            </w:pPr>
            <w:r>
              <w:rPr>
                <w:rFonts w:ascii="Arial" w:cs="Arial" w:eastAsia="Arial" w:hAnsi="Arial"/>
                <w:sz w:val="16"/>
                <w:szCs w:val="16"/>
                <w:color w:val="231F20"/>
                <w:w w:val="98"/>
              </w:rPr>
              <w:t>Fisher</w:t>
            </w:r>
          </w:p>
        </w:tc>
        <w:tc>
          <w:tcPr>
            <w:tcW w:w="820" w:type="dxa"/>
            <w:vAlign w:val="bottom"/>
            <w:tcBorders>
              <w:right w:val="single" w:sz="8" w:color="DCDDDE"/>
            </w:tcBorders>
            <w:shd w:val="clear" w:color="auto" w:fill="DCDDDE"/>
          </w:tcPr>
          <w:p>
            <w:pPr>
              <w:jc w:val="center"/>
              <w:ind w:right="291"/>
              <w:spacing w:after="0"/>
              <w:rPr>
                <w:sz w:val="20"/>
                <w:szCs w:val="20"/>
                <w:color w:val="auto"/>
              </w:rPr>
            </w:pPr>
            <w:r>
              <w:rPr>
                <w:rFonts w:ascii="Arial" w:cs="Arial" w:eastAsia="Arial" w:hAnsi="Arial"/>
                <w:sz w:val="16"/>
                <w:szCs w:val="16"/>
                <w:color w:val="231F20"/>
                <w:w w:val="81"/>
              </w:rPr>
              <w:t>Holland</w:t>
            </w:r>
          </w:p>
        </w:tc>
        <w:tc>
          <w:tcPr>
            <w:tcW w:w="1600" w:type="dxa"/>
            <w:vAlign w:val="bottom"/>
            <w:tcBorders>
              <w:right w:val="single" w:sz="8" w:color="DCDDDE"/>
            </w:tcBorders>
            <w:gridSpan w:val="2"/>
            <w:shd w:val="clear" w:color="auto" w:fill="DCDDDE"/>
          </w:tcPr>
          <w:p>
            <w:pPr>
              <w:spacing w:after="0"/>
              <w:rPr>
                <w:sz w:val="20"/>
                <w:szCs w:val="20"/>
                <w:color w:val="auto"/>
              </w:rPr>
            </w:pPr>
            <w:r>
              <w:rPr>
                <w:rFonts w:ascii="Arial" w:cs="Arial" w:eastAsia="Arial" w:hAnsi="Arial"/>
                <w:sz w:val="16"/>
                <w:szCs w:val="16"/>
                <w:color w:val="231F20"/>
              </w:rPr>
              <w:t>Lamb-Hale McEachin</w:t>
            </w:r>
          </w:p>
        </w:tc>
        <w:tc>
          <w:tcPr>
            <w:tcW w:w="840" w:type="dxa"/>
            <w:vAlign w:val="bottom"/>
            <w:tcBorders>
              <w:right w:val="single" w:sz="8" w:color="DCDDDE"/>
            </w:tcBorders>
            <w:shd w:val="clear" w:color="auto" w:fill="DCDDDE"/>
          </w:tcPr>
          <w:p>
            <w:pPr>
              <w:jc w:val="center"/>
              <w:ind w:right="312"/>
              <w:spacing w:after="0"/>
              <w:rPr>
                <w:sz w:val="20"/>
                <w:szCs w:val="20"/>
                <w:color w:val="auto"/>
              </w:rPr>
            </w:pPr>
            <w:r>
              <w:rPr>
                <w:rFonts w:ascii="Arial" w:cs="Arial" w:eastAsia="Arial" w:hAnsi="Arial"/>
                <w:sz w:val="16"/>
                <w:szCs w:val="16"/>
                <w:color w:val="231F20"/>
              </w:rPr>
              <w:t>Nader</w:t>
            </w:r>
          </w:p>
        </w:tc>
        <w:tc>
          <w:tcPr>
            <w:tcW w:w="820" w:type="dxa"/>
            <w:vAlign w:val="bottom"/>
            <w:tcBorders>
              <w:right w:val="single" w:sz="8" w:color="DCDDDE"/>
            </w:tcBorders>
            <w:shd w:val="clear" w:color="auto" w:fill="DCDDDE"/>
          </w:tcPr>
          <w:p>
            <w:pPr>
              <w:jc w:val="center"/>
              <w:ind w:right="272"/>
              <w:spacing w:after="0"/>
              <w:rPr>
                <w:sz w:val="20"/>
                <w:szCs w:val="20"/>
                <w:color w:val="auto"/>
              </w:rPr>
            </w:pPr>
            <w:r>
              <w:rPr>
                <w:rFonts w:ascii="Arial" w:cs="Arial" w:eastAsia="Arial" w:hAnsi="Arial"/>
                <w:sz w:val="16"/>
                <w:szCs w:val="16"/>
                <w:color w:val="231F20"/>
                <w:w w:val="93"/>
              </w:rPr>
              <w:t>Steinel</w:t>
            </w:r>
          </w:p>
        </w:tc>
        <w:tc>
          <w:tcPr>
            <w:tcW w:w="860" w:type="dxa"/>
            <w:vAlign w:val="bottom"/>
            <w:tcBorders>
              <w:right w:val="single" w:sz="8" w:color="DCDDDE"/>
            </w:tcBorders>
            <w:shd w:val="clear" w:color="auto" w:fill="DCDDDE"/>
          </w:tcPr>
          <w:p>
            <w:pPr>
              <w:jc w:val="center"/>
              <w:ind w:right="311"/>
              <w:spacing w:after="0"/>
              <w:rPr>
                <w:sz w:val="20"/>
                <w:szCs w:val="20"/>
                <w:color w:val="auto"/>
              </w:rPr>
            </w:pPr>
            <w:r>
              <w:rPr>
                <w:rFonts w:ascii="Arial" w:cs="Arial" w:eastAsia="Arial" w:hAnsi="Arial"/>
                <w:sz w:val="16"/>
                <w:szCs w:val="16"/>
                <w:color w:val="231F20"/>
              </w:rPr>
              <w:t>Wood</w:t>
            </w:r>
          </w:p>
        </w:tc>
        <w:tc>
          <w:tcPr>
            <w:tcW w:w="0" w:type="dxa"/>
            <w:vAlign w:val="bottom"/>
          </w:tcPr>
          <w:p>
            <w:pPr>
              <w:spacing w:after="0"/>
              <w:rPr>
                <w:sz w:val="1"/>
                <w:szCs w:val="1"/>
                <w:color w:val="auto"/>
              </w:rPr>
            </w:pPr>
          </w:p>
        </w:tc>
      </w:tr>
      <w:tr>
        <w:trPr>
          <w:trHeight w:val="74"/>
        </w:trPr>
        <w:tc>
          <w:tcPr>
            <w:tcW w:w="20" w:type="dxa"/>
            <w:vAlign w:val="bottom"/>
            <w:tcBorders>
              <w:bottom w:val="single" w:sz="8" w:color="231F20"/>
            </w:tcBorders>
            <w:shd w:val="clear" w:color="auto" w:fill="DCDDDE"/>
          </w:tcPr>
          <w:p>
            <w:pPr>
              <w:spacing w:after="0"/>
              <w:rPr>
                <w:sz w:val="6"/>
                <w:szCs w:val="6"/>
                <w:color w:val="auto"/>
              </w:rPr>
            </w:pPr>
          </w:p>
        </w:tc>
        <w:tc>
          <w:tcPr>
            <w:tcW w:w="3780" w:type="dxa"/>
            <w:vAlign w:val="bottom"/>
            <w:tcBorders>
              <w:bottom w:val="single" w:sz="8" w:color="231F20"/>
              <w:right w:val="single" w:sz="8" w:color="DCDDDE"/>
            </w:tcBorders>
            <w:shd w:val="clear" w:color="auto" w:fill="DCDDDE"/>
          </w:tcPr>
          <w:p>
            <w:pPr>
              <w:spacing w:after="0"/>
              <w:rPr>
                <w:sz w:val="6"/>
                <w:szCs w:val="6"/>
                <w:color w:val="auto"/>
              </w:rPr>
            </w:pPr>
          </w:p>
        </w:tc>
        <w:tc>
          <w:tcPr>
            <w:tcW w:w="480" w:type="dxa"/>
            <w:vAlign w:val="bottom"/>
            <w:tcBorders>
              <w:bottom w:val="single" w:sz="8" w:color="231F20"/>
            </w:tcBorders>
            <w:shd w:val="clear" w:color="auto" w:fill="DCDDDE"/>
          </w:tcPr>
          <w:p>
            <w:pPr>
              <w:spacing w:after="0"/>
              <w:rPr>
                <w:sz w:val="6"/>
                <w:szCs w:val="6"/>
                <w:color w:val="auto"/>
              </w:rPr>
            </w:pPr>
          </w:p>
        </w:tc>
        <w:tc>
          <w:tcPr>
            <w:tcW w:w="100" w:type="dxa"/>
            <w:vAlign w:val="bottom"/>
            <w:tcBorders>
              <w:bottom w:val="single" w:sz="8" w:color="231F20"/>
              <w:right w:val="single" w:sz="8" w:color="DCDDDE"/>
            </w:tcBorders>
            <w:shd w:val="clear" w:color="auto" w:fill="DCDDDE"/>
          </w:tcPr>
          <w:p>
            <w:pPr>
              <w:spacing w:after="0"/>
              <w:rPr>
                <w:sz w:val="6"/>
                <w:szCs w:val="6"/>
                <w:color w:val="auto"/>
              </w:rPr>
            </w:pPr>
          </w:p>
        </w:tc>
        <w:tc>
          <w:tcPr>
            <w:tcW w:w="980" w:type="dxa"/>
            <w:vAlign w:val="bottom"/>
            <w:tcBorders>
              <w:bottom w:val="single" w:sz="8" w:color="231F20"/>
              <w:right w:val="single" w:sz="8" w:color="DCDDDE"/>
            </w:tcBorders>
            <w:shd w:val="clear" w:color="auto" w:fill="DCDDDE"/>
          </w:tcPr>
          <w:p>
            <w:pPr>
              <w:spacing w:after="0"/>
              <w:rPr>
                <w:sz w:val="6"/>
                <w:szCs w:val="6"/>
                <w:color w:val="auto"/>
              </w:rPr>
            </w:pPr>
          </w:p>
        </w:tc>
        <w:tc>
          <w:tcPr>
            <w:tcW w:w="820" w:type="dxa"/>
            <w:vAlign w:val="bottom"/>
            <w:tcBorders>
              <w:bottom w:val="single" w:sz="8" w:color="231F20"/>
              <w:right w:val="single" w:sz="8" w:color="DCDDDE"/>
            </w:tcBorders>
            <w:shd w:val="clear" w:color="auto" w:fill="DCDDDE"/>
          </w:tcPr>
          <w:p>
            <w:pPr>
              <w:spacing w:after="0"/>
              <w:rPr>
                <w:sz w:val="6"/>
                <w:szCs w:val="6"/>
                <w:color w:val="auto"/>
              </w:rPr>
            </w:pPr>
          </w:p>
        </w:tc>
        <w:tc>
          <w:tcPr>
            <w:tcW w:w="760" w:type="dxa"/>
            <w:vAlign w:val="bottom"/>
            <w:tcBorders>
              <w:bottom w:val="single" w:sz="8" w:color="231F20"/>
              <w:right w:val="single" w:sz="8" w:color="DCDDDE"/>
            </w:tcBorders>
            <w:shd w:val="clear" w:color="auto" w:fill="DCDDDE"/>
          </w:tcPr>
          <w:p>
            <w:pPr>
              <w:spacing w:after="0"/>
              <w:rPr>
                <w:sz w:val="6"/>
                <w:szCs w:val="6"/>
                <w:color w:val="auto"/>
              </w:rPr>
            </w:pPr>
          </w:p>
        </w:tc>
        <w:tc>
          <w:tcPr>
            <w:tcW w:w="840" w:type="dxa"/>
            <w:vAlign w:val="bottom"/>
            <w:tcBorders>
              <w:bottom w:val="single" w:sz="8" w:color="231F20"/>
              <w:right w:val="single" w:sz="8" w:color="DCDDDE"/>
            </w:tcBorders>
            <w:shd w:val="clear" w:color="auto" w:fill="DCDDDE"/>
          </w:tcPr>
          <w:p>
            <w:pPr>
              <w:spacing w:after="0"/>
              <w:rPr>
                <w:sz w:val="6"/>
                <w:szCs w:val="6"/>
                <w:color w:val="auto"/>
              </w:rPr>
            </w:pPr>
          </w:p>
        </w:tc>
        <w:tc>
          <w:tcPr>
            <w:tcW w:w="840" w:type="dxa"/>
            <w:vAlign w:val="bottom"/>
            <w:tcBorders>
              <w:bottom w:val="single" w:sz="8" w:color="231F20"/>
              <w:right w:val="single" w:sz="8" w:color="DCDDDE"/>
            </w:tcBorders>
            <w:shd w:val="clear" w:color="auto" w:fill="DCDDDE"/>
          </w:tcPr>
          <w:p>
            <w:pPr>
              <w:spacing w:after="0"/>
              <w:rPr>
                <w:sz w:val="6"/>
                <w:szCs w:val="6"/>
                <w:color w:val="auto"/>
              </w:rPr>
            </w:pPr>
          </w:p>
        </w:tc>
        <w:tc>
          <w:tcPr>
            <w:tcW w:w="820" w:type="dxa"/>
            <w:vAlign w:val="bottom"/>
            <w:tcBorders>
              <w:bottom w:val="single" w:sz="8" w:color="231F20"/>
              <w:right w:val="single" w:sz="8" w:color="DCDDDE"/>
            </w:tcBorders>
            <w:shd w:val="clear" w:color="auto" w:fill="DCDDDE"/>
          </w:tcPr>
          <w:p>
            <w:pPr>
              <w:spacing w:after="0"/>
              <w:rPr>
                <w:sz w:val="6"/>
                <w:szCs w:val="6"/>
                <w:color w:val="auto"/>
              </w:rPr>
            </w:pPr>
          </w:p>
        </w:tc>
        <w:tc>
          <w:tcPr>
            <w:tcW w:w="860" w:type="dxa"/>
            <w:vAlign w:val="bottom"/>
            <w:tcBorders>
              <w:bottom w:val="single" w:sz="8" w:color="231F20"/>
              <w:right w:val="single" w:sz="8" w:color="DCDDDE"/>
            </w:tcBorders>
            <w:shd w:val="clear" w:color="auto" w:fill="DCDDDE"/>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780" w:type="dxa"/>
            <w:vAlign w:val="bottom"/>
            <w:tcBorders>
              <w:right w:val="single" w:sz="8" w:color="231F20"/>
            </w:tcBorders>
            <w:vMerge w:val="restart"/>
          </w:tcPr>
          <w:p>
            <w:pPr>
              <w:ind w:left="440"/>
              <w:spacing w:after="0"/>
              <w:rPr>
                <w:sz w:val="20"/>
                <w:szCs w:val="20"/>
                <w:color w:val="auto"/>
              </w:rPr>
            </w:pPr>
            <w:r>
              <w:rPr>
                <w:rFonts w:ascii="Arial" w:cs="Arial" w:eastAsia="Arial" w:hAnsi="Arial"/>
                <w:sz w:val="18"/>
                <w:szCs w:val="18"/>
                <w:color w:val="231F20"/>
              </w:rPr>
              <w:t>Strategic Planning and Leadership</w:t>
            </w:r>
          </w:p>
        </w:tc>
        <w:tc>
          <w:tcPr>
            <w:tcW w:w="480" w:type="dxa"/>
            <w:vAlign w:val="bottom"/>
          </w:tcPr>
          <w:p>
            <w:pPr>
              <w:jc w:val="center"/>
              <w:ind w:right="91"/>
              <w:spacing w:after="0"/>
              <w:rPr>
                <w:sz w:val="20"/>
                <w:szCs w:val="20"/>
                <w:color w:val="auto"/>
              </w:rPr>
            </w:pPr>
            <w:r>
              <w:rPr>
                <w:rFonts w:ascii="Arial" w:cs="Arial" w:eastAsia="Arial" w:hAnsi="Arial"/>
                <w:sz w:val="18"/>
                <w:szCs w:val="18"/>
                <w:color w:val="231F20"/>
                <w:w w:val="82"/>
              </w:rPr>
              <w:t>Š</w:t>
            </w:r>
          </w:p>
        </w:tc>
        <w:tc>
          <w:tcPr>
            <w:tcW w:w="100" w:type="dxa"/>
            <w:vAlign w:val="bottom"/>
            <w:tcBorders>
              <w:right w:val="single" w:sz="8" w:color="231F20"/>
            </w:tcBorders>
          </w:tcPr>
          <w:p>
            <w:pPr>
              <w:spacing w:after="0"/>
              <w:rPr>
                <w:sz w:val="21"/>
                <w:szCs w:val="21"/>
                <w:color w:val="auto"/>
              </w:rPr>
            </w:pPr>
          </w:p>
        </w:tc>
        <w:tc>
          <w:tcPr>
            <w:tcW w:w="980" w:type="dxa"/>
            <w:vAlign w:val="bottom"/>
            <w:tcBorders>
              <w:right w:val="single" w:sz="8" w:color="231F20"/>
            </w:tcBorders>
          </w:tcPr>
          <w:p>
            <w:pPr>
              <w:jc w:val="center"/>
              <w:ind w:right="151"/>
              <w:spacing w:after="0"/>
              <w:rPr>
                <w:sz w:val="20"/>
                <w:szCs w:val="20"/>
                <w:color w:val="auto"/>
              </w:rPr>
            </w:pPr>
            <w:r>
              <w:rPr>
                <w:rFonts w:ascii="Arial" w:cs="Arial" w:eastAsia="Arial" w:hAnsi="Arial"/>
                <w:sz w:val="18"/>
                <w:szCs w:val="18"/>
                <w:color w:val="231F20"/>
                <w:w w:val="82"/>
              </w:rPr>
              <w:t>Š</w:t>
            </w:r>
          </w:p>
        </w:tc>
        <w:tc>
          <w:tcPr>
            <w:tcW w:w="820" w:type="dxa"/>
            <w:vAlign w:val="bottom"/>
            <w:tcBorders>
              <w:right w:val="single" w:sz="8" w:color="231F20"/>
            </w:tcBorders>
          </w:tcPr>
          <w:p>
            <w:pPr>
              <w:jc w:val="center"/>
              <w:ind w:right="391"/>
              <w:spacing w:after="0"/>
              <w:rPr>
                <w:sz w:val="20"/>
                <w:szCs w:val="20"/>
                <w:color w:val="auto"/>
              </w:rPr>
            </w:pPr>
            <w:r>
              <w:rPr>
                <w:rFonts w:ascii="Arial" w:cs="Arial" w:eastAsia="Arial" w:hAnsi="Arial"/>
                <w:sz w:val="18"/>
                <w:szCs w:val="18"/>
                <w:color w:val="231F20"/>
                <w:w w:val="82"/>
              </w:rPr>
              <w:t>Š</w:t>
            </w:r>
          </w:p>
        </w:tc>
        <w:tc>
          <w:tcPr>
            <w:tcW w:w="760" w:type="dxa"/>
            <w:vAlign w:val="bottom"/>
            <w:tcBorders>
              <w:right w:val="single" w:sz="8" w:color="231F20"/>
            </w:tcBorders>
          </w:tcPr>
          <w:p>
            <w:pPr>
              <w:ind w:left="140"/>
              <w:spacing w:after="0"/>
              <w:rPr>
                <w:sz w:val="20"/>
                <w:szCs w:val="20"/>
                <w:color w:val="auto"/>
              </w:rPr>
            </w:pPr>
            <w:r>
              <w:rPr>
                <w:rFonts w:ascii="Arial" w:cs="Arial" w:eastAsia="Arial" w:hAnsi="Arial"/>
                <w:sz w:val="18"/>
                <w:szCs w:val="18"/>
                <w:color w:val="231F20"/>
              </w:rPr>
              <w:t>Š</w:t>
            </w:r>
          </w:p>
        </w:tc>
        <w:tc>
          <w:tcPr>
            <w:tcW w:w="840" w:type="dxa"/>
            <w:vAlign w:val="bottom"/>
            <w:tcBorders>
              <w:right w:val="single" w:sz="8" w:color="231F20"/>
            </w:tcBorders>
          </w:tcPr>
          <w:p>
            <w:pPr>
              <w:ind w:left="200"/>
              <w:spacing w:after="0"/>
              <w:rPr>
                <w:sz w:val="20"/>
                <w:szCs w:val="20"/>
                <w:color w:val="auto"/>
              </w:rPr>
            </w:pPr>
            <w:r>
              <w:rPr>
                <w:rFonts w:ascii="Arial" w:cs="Arial" w:eastAsia="Arial" w:hAnsi="Arial"/>
                <w:sz w:val="18"/>
                <w:szCs w:val="18"/>
                <w:color w:val="231F20"/>
              </w:rPr>
              <w:t>Š</w:t>
            </w:r>
          </w:p>
        </w:tc>
        <w:tc>
          <w:tcPr>
            <w:tcW w:w="840" w:type="dxa"/>
            <w:vAlign w:val="bottom"/>
            <w:tcBorders>
              <w:right w:val="single" w:sz="8" w:color="231F20"/>
            </w:tcBorders>
          </w:tcPr>
          <w:p>
            <w:pPr>
              <w:jc w:val="center"/>
              <w:ind w:right="292"/>
              <w:spacing w:after="0"/>
              <w:rPr>
                <w:sz w:val="20"/>
                <w:szCs w:val="20"/>
                <w:color w:val="auto"/>
              </w:rPr>
            </w:pPr>
            <w:r>
              <w:rPr>
                <w:rFonts w:ascii="Arial" w:cs="Arial" w:eastAsia="Arial" w:hAnsi="Arial"/>
                <w:sz w:val="18"/>
                <w:szCs w:val="18"/>
                <w:color w:val="231F20"/>
                <w:w w:val="82"/>
              </w:rPr>
              <w:t>Š</w:t>
            </w:r>
          </w:p>
        </w:tc>
        <w:tc>
          <w:tcPr>
            <w:tcW w:w="820" w:type="dxa"/>
            <w:vAlign w:val="bottom"/>
            <w:tcBorders>
              <w:right w:val="single" w:sz="8" w:color="231F20"/>
            </w:tcBorders>
          </w:tcPr>
          <w:p>
            <w:pPr>
              <w:jc w:val="center"/>
              <w:ind w:right="312"/>
              <w:spacing w:after="0"/>
              <w:rPr>
                <w:sz w:val="20"/>
                <w:szCs w:val="20"/>
                <w:color w:val="auto"/>
              </w:rPr>
            </w:pPr>
            <w:r>
              <w:rPr>
                <w:rFonts w:ascii="Arial" w:cs="Arial" w:eastAsia="Arial" w:hAnsi="Arial"/>
                <w:sz w:val="18"/>
                <w:szCs w:val="18"/>
                <w:color w:val="231F20"/>
                <w:w w:val="82"/>
              </w:rPr>
              <w:t>Š</w:t>
            </w:r>
          </w:p>
        </w:tc>
        <w:tc>
          <w:tcPr>
            <w:tcW w:w="860" w:type="dxa"/>
            <w:vAlign w:val="bottom"/>
            <w:tcBorders>
              <w:right w:val="single" w:sz="8" w:color="231F20"/>
            </w:tcBorders>
          </w:tcPr>
          <w:p>
            <w:pPr>
              <w:jc w:val="center"/>
              <w:ind w:right="311"/>
              <w:spacing w:after="0"/>
              <w:rPr>
                <w:sz w:val="20"/>
                <w:szCs w:val="20"/>
                <w:color w:val="auto"/>
              </w:rPr>
            </w:pPr>
            <w:r>
              <w:rPr>
                <w:rFonts w:ascii="Arial" w:cs="Arial" w:eastAsia="Arial" w:hAnsi="Arial"/>
                <w:sz w:val="18"/>
                <w:szCs w:val="18"/>
                <w:color w:val="231F20"/>
                <w:w w:val="82"/>
              </w:rPr>
              <w:t>Š</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3780" w:type="dxa"/>
            <w:vAlign w:val="bottom"/>
            <w:tcBorders>
              <w:right w:val="single" w:sz="8" w:color="231F20"/>
            </w:tcBorders>
            <w:vMerge w:val="continue"/>
          </w:tcPr>
          <w:p>
            <w:pPr>
              <w:spacing w:after="0"/>
              <w:rPr>
                <w:sz w:val="6"/>
                <w:szCs w:val="6"/>
                <w:color w:val="auto"/>
              </w:rPr>
            </w:pPr>
          </w:p>
        </w:tc>
        <w:tc>
          <w:tcPr>
            <w:tcW w:w="480" w:type="dxa"/>
            <w:vAlign w:val="bottom"/>
          </w:tcPr>
          <w:p>
            <w:pPr>
              <w:spacing w:after="0"/>
              <w:rPr>
                <w:sz w:val="6"/>
                <w:szCs w:val="6"/>
                <w:color w:val="auto"/>
              </w:rPr>
            </w:pPr>
          </w:p>
        </w:tc>
        <w:tc>
          <w:tcPr>
            <w:tcW w:w="100" w:type="dxa"/>
            <w:vAlign w:val="bottom"/>
            <w:tcBorders>
              <w:right w:val="single" w:sz="8" w:color="231F20"/>
            </w:tcBorders>
          </w:tcPr>
          <w:p>
            <w:pPr>
              <w:spacing w:after="0"/>
              <w:rPr>
                <w:sz w:val="6"/>
                <w:szCs w:val="6"/>
                <w:color w:val="auto"/>
              </w:rPr>
            </w:pPr>
          </w:p>
        </w:tc>
        <w:tc>
          <w:tcPr>
            <w:tcW w:w="980" w:type="dxa"/>
            <w:vAlign w:val="bottom"/>
            <w:tcBorders>
              <w:right w:val="single" w:sz="8" w:color="231F20"/>
            </w:tcBorders>
          </w:tcPr>
          <w:p>
            <w:pPr>
              <w:spacing w:after="0"/>
              <w:rPr>
                <w:sz w:val="6"/>
                <w:szCs w:val="6"/>
                <w:color w:val="auto"/>
              </w:rPr>
            </w:pPr>
          </w:p>
        </w:tc>
        <w:tc>
          <w:tcPr>
            <w:tcW w:w="820" w:type="dxa"/>
            <w:vAlign w:val="bottom"/>
            <w:tcBorders>
              <w:right w:val="single" w:sz="8" w:color="231F20"/>
            </w:tcBorders>
          </w:tcPr>
          <w:p>
            <w:pPr>
              <w:spacing w:after="0"/>
              <w:rPr>
                <w:sz w:val="6"/>
                <w:szCs w:val="6"/>
                <w:color w:val="auto"/>
              </w:rPr>
            </w:pPr>
          </w:p>
        </w:tc>
        <w:tc>
          <w:tcPr>
            <w:tcW w:w="760" w:type="dxa"/>
            <w:vAlign w:val="bottom"/>
            <w:tcBorders>
              <w:right w:val="single" w:sz="8" w:color="231F20"/>
            </w:tcBorders>
          </w:tcPr>
          <w:p>
            <w:pPr>
              <w:spacing w:after="0"/>
              <w:rPr>
                <w:sz w:val="6"/>
                <w:szCs w:val="6"/>
                <w:color w:val="auto"/>
              </w:rPr>
            </w:pPr>
          </w:p>
        </w:tc>
        <w:tc>
          <w:tcPr>
            <w:tcW w:w="840" w:type="dxa"/>
            <w:vAlign w:val="bottom"/>
            <w:tcBorders>
              <w:right w:val="single" w:sz="8" w:color="231F20"/>
            </w:tcBorders>
          </w:tcPr>
          <w:p>
            <w:pPr>
              <w:spacing w:after="0"/>
              <w:rPr>
                <w:sz w:val="6"/>
                <w:szCs w:val="6"/>
                <w:color w:val="auto"/>
              </w:rPr>
            </w:pPr>
          </w:p>
        </w:tc>
        <w:tc>
          <w:tcPr>
            <w:tcW w:w="840" w:type="dxa"/>
            <w:vAlign w:val="bottom"/>
            <w:tcBorders>
              <w:right w:val="single" w:sz="8" w:color="231F20"/>
            </w:tcBorders>
          </w:tcPr>
          <w:p>
            <w:pPr>
              <w:spacing w:after="0"/>
              <w:rPr>
                <w:sz w:val="6"/>
                <w:szCs w:val="6"/>
                <w:color w:val="auto"/>
              </w:rPr>
            </w:pPr>
          </w:p>
        </w:tc>
        <w:tc>
          <w:tcPr>
            <w:tcW w:w="820" w:type="dxa"/>
            <w:vAlign w:val="bottom"/>
            <w:tcBorders>
              <w:right w:val="single" w:sz="8" w:color="231F20"/>
            </w:tcBorders>
          </w:tcPr>
          <w:p>
            <w:pPr>
              <w:spacing w:after="0"/>
              <w:rPr>
                <w:sz w:val="6"/>
                <w:szCs w:val="6"/>
                <w:color w:val="auto"/>
              </w:rPr>
            </w:pPr>
          </w:p>
        </w:tc>
        <w:tc>
          <w:tcPr>
            <w:tcW w:w="860" w:type="dxa"/>
            <w:vAlign w:val="bottom"/>
            <w:tcBorders>
              <w:right w:val="single" w:sz="8" w:color="231F20"/>
            </w:tcBorders>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231F20"/>
            </w:tcBorders>
          </w:tcPr>
          <w:p>
            <w:pPr>
              <w:spacing w:after="0"/>
              <w:rPr>
                <w:sz w:val="2"/>
                <w:szCs w:val="2"/>
                <w:color w:val="auto"/>
              </w:rPr>
            </w:pPr>
          </w:p>
        </w:tc>
        <w:tc>
          <w:tcPr>
            <w:tcW w:w="3780" w:type="dxa"/>
            <w:vAlign w:val="bottom"/>
            <w:tcBorders>
              <w:bottom w:val="single" w:sz="8" w:color="231F20"/>
              <w:right w:val="single" w:sz="8" w:color="231F20"/>
            </w:tcBorders>
          </w:tcPr>
          <w:p>
            <w:pPr>
              <w:spacing w:after="0"/>
              <w:rPr>
                <w:sz w:val="2"/>
                <w:szCs w:val="2"/>
                <w:color w:val="auto"/>
              </w:rPr>
            </w:pPr>
          </w:p>
        </w:tc>
        <w:tc>
          <w:tcPr>
            <w:tcW w:w="480" w:type="dxa"/>
            <w:vAlign w:val="bottom"/>
            <w:tcBorders>
              <w:bottom w:val="single" w:sz="8" w:color="231F20"/>
            </w:tcBorders>
          </w:tcPr>
          <w:p>
            <w:pPr>
              <w:spacing w:after="0"/>
              <w:rPr>
                <w:sz w:val="2"/>
                <w:szCs w:val="2"/>
                <w:color w:val="auto"/>
              </w:rPr>
            </w:pPr>
          </w:p>
        </w:tc>
        <w:tc>
          <w:tcPr>
            <w:tcW w:w="100" w:type="dxa"/>
            <w:vAlign w:val="bottom"/>
            <w:tcBorders>
              <w:bottom w:val="single" w:sz="8" w:color="231F20"/>
              <w:right w:val="single" w:sz="8" w:color="231F20"/>
            </w:tcBorders>
          </w:tcPr>
          <w:p>
            <w:pPr>
              <w:spacing w:after="0"/>
              <w:rPr>
                <w:sz w:val="2"/>
                <w:szCs w:val="2"/>
                <w:color w:val="auto"/>
              </w:rPr>
            </w:pPr>
          </w:p>
        </w:tc>
        <w:tc>
          <w:tcPr>
            <w:tcW w:w="980" w:type="dxa"/>
            <w:vAlign w:val="bottom"/>
            <w:tcBorders>
              <w:bottom w:val="single" w:sz="8" w:color="231F20"/>
              <w:right w:val="single" w:sz="8" w:color="231F20"/>
            </w:tcBorders>
          </w:tcPr>
          <w:p>
            <w:pPr>
              <w:spacing w:after="0"/>
              <w:rPr>
                <w:sz w:val="2"/>
                <w:szCs w:val="2"/>
                <w:color w:val="auto"/>
              </w:rPr>
            </w:pPr>
          </w:p>
        </w:tc>
        <w:tc>
          <w:tcPr>
            <w:tcW w:w="820" w:type="dxa"/>
            <w:vAlign w:val="bottom"/>
            <w:tcBorders>
              <w:bottom w:val="single" w:sz="8" w:color="231F20"/>
              <w:right w:val="single" w:sz="8" w:color="231F20"/>
            </w:tcBorders>
          </w:tcPr>
          <w:p>
            <w:pPr>
              <w:spacing w:after="0"/>
              <w:rPr>
                <w:sz w:val="2"/>
                <w:szCs w:val="2"/>
                <w:color w:val="auto"/>
              </w:rPr>
            </w:pPr>
          </w:p>
        </w:tc>
        <w:tc>
          <w:tcPr>
            <w:tcW w:w="760" w:type="dxa"/>
            <w:vAlign w:val="bottom"/>
            <w:tcBorders>
              <w:bottom w:val="single" w:sz="8" w:color="231F20"/>
              <w:right w:val="single" w:sz="8" w:color="231F20"/>
            </w:tcBorders>
          </w:tcPr>
          <w:p>
            <w:pPr>
              <w:spacing w:after="0"/>
              <w:rPr>
                <w:sz w:val="2"/>
                <w:szCs w:val="2"/>
                <w:color w:val="auto"/>
              </w:rPr>
            </w:pPr>
          </w:p>
        </w:tc>
        <w:tc>
          <w:tcPr>
            <w:tcW w:w="840" w:type="dxa"/>
            <w:vAlign w:val="bottom"/>
            <w:tcBorders>
              <w:bottom w:val="single" w:sz="8" w:color="231F20"/>
              <w:right w:val="single" w:sz="8" w:color="231F20"/>
            </w:tcBorders>
          </w:tcPr>
          <w:p>
            <w:pPr>
              <w:spacing w:after="0"/>
              <w:rPr>
                <w:sz w:val="2"/>
                <w:szCs w:val="2"/>
                <w:color w:val="auto"/>
              </w:rPr>
            </w:pPr>
          </w:p>
        </w:tc>
        <w:tc>
          <w:tcPr>
            <w:tcW w:w="840" w:type="dxa"/>
            <w:vAlign w:val="bottom"/>
            <w:tcBorders>
              <w:bottom w:val="single" w:sz="8" w:color="231F20"/>
              <w:right w:val="single" w:sz="8" w:color="231F20"/>
            </w:tcBorders>
          </w:tcPr>
          <w:p>
            <w:pPr>
              <w:spacing w:after="0"/>
              <w:rPr>
                <w:sz w:val="2"/>
                <w:szCs w:val="2"/>
                <w:color w:val="auto"/>
              </w:rPr>
            </w:pPr>
          </w:p>
        </w:tc>
        <w:tc>
          <w:tcPr>
            <w:tcW w:w="820" w:type="dxa"/>
            <w:vAlign w:val="bottom"/>
            <w:tcBorders>
              <w:bottom w:val="single" w:sz="8" w:color="231F20"/>
              <w:right w:val="single" w:sz="8" w:color="231F20"/>
            </w:tcBorders>
          </w:tcPr>
          <w:p>
            <w:pPr>
              <w:spacing w:after="0"/>
              <w:rPr>
                <w:sz w:val="2"/>
                <w:szCs w:val="2"/>
                <w:color w:val="auto"/>
              </w:rPr>
            </w:pPr>
          </w:p>
        </w:tc>
        <w:tc>
          <w:tcPr>
            <w:tcW w:w="860" w:type="dxa"/>
            <w:vAlign w:val="bottom"/>
            <w:tcBorders>
              <w:bottom w:val="single" w:sz="8" w:color="231F20"/>
              <w:right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780" w:type="dxa"/>
            <w:vAlign w:val="bottom"/>
            <w:tcBorders>
              <w:right w:val="single" w:sz="8" w:color="231F20"/>
            </w:tcBorders>
            <w:vMerge w:val="restart"/>
          </w:tcPr>
          <w:p>
            <w:pPr>
              <w:ind w:left="440"/>
              <w:spacing w:after="0"/>
              <w:rPr>
                <w:sz w:val="20"/>
                <w:szCs w:val="20"/>
                <w:color w:val="auto"/>
              </w:rPr>
            </w:pPr>
            <w:r>
              <w:rPr>
                <w:rFonts w:ascii="Arial" w:cs="Arial" w:eastAsia="Arial" w:hAnsi="Arial"/>
                <w:sz w:val="18"/>
                <w:szCs w:val="18"/>
                <w:color w:val="231F20"/>
              </w:rPr>
              <w:t>CEO/Executive Management</w:t>
            </w:r>
          </w:p>
        </w:tc>
        <w:tc>
          <w:tcPr>
            <w:tcW w:w="480" w:type="dxa"/>
            <w:vAlign w:val="bottom"/>
          </w:tcPr>
          <w:p>
            <w:pPr>
              <w:jc w:val="center"/>
              <w:ind w:right="91"/>
              <w:spacing w:after="0"/>
              <w:rPr>
                <w:sz w:val="20"/>
                <w:szCs w:val="20"/>
                <w:color w:val="auto"/>
              </w:rPr>
            </w:pPr>
            <w:r>
              <w:rPr>
                <w:rFonts w:ascii="Arial" w:cs="Arial" w:eastAsia="Arial" w:hAnsi="Arial"/>
                <w:sz w:val="18"/>
                <w:szCs w:val="18"/>
                <w:color w:val="231F20"/>
                <w:w w:val="82"/>
              </w:rPr>
              <w:t>Š</w:t>
            </w:r>
          </w:p>
        </w:tc>
        <w:tc>
          <w:tcPr>
            <w:tcW w:w="100" w:type="dxa"/>
            <w:vAlign w:val="bottom"/>
            <w:tcBorders>
              <w:right w:val="single" w:sz="8" w:color="231F20"/>
            </w:tcBorders>
          </w:tcPr>
          <w:p>
            <w:pPr>
              <w:spacing w:after="0"/>
              <w:rPr>
                <w:sz w:val="21"/>
                <w:szCs w:val="21"/>
                <w:color w:val="auto"/>
              </w:rPr>
            </w:pPr>
          </w:p>
        </w:tc>
        <w:tc>
          <w:tcPr>
            <w:tcW w:w="980" w:type="dxa"/>
            <w:vAlign w:val="bottom"/>
            <w:tcBorders>
              <w:right w:val="single" w:sz="8" w:color="231F20"/>
            </w:tcBorders>
          </w:tcPr>
          <w:p>
            <w:pPr>
              <w:jc w:val="center"/>
              <w:ind w:right="151"/>
              <w:spacing w:after="0"/>
              <w:rPr>
                <w:sz w:val="20"/>
                <w:szCs w:val="20"/>
                <w:color w:val="auto"/>
              </w:rPr>
            </w:pPr>
            <w:r>
              <w:rPr>
                <w:rFonts w:ascii="Arial" w:cs="Arial" w:eastAsia="Arial" w:hAnsi="Arial"/>
                <w:sz w:val="18"/>
                <w:szCs w:val="18"/>
                <w:color w:val="231F20"/>
                <w:w w:val="82"/>
              </w:rPr>
              <w:t>Š</w:t>
            </w:r>
          </w:p>
        </w:tc>
        <w:tc>
          <w:tcPr>
            <w:tcW w:w="820" w:type="dxa"/>
            <w:vAlign w:val="bottom"/>
            <w:tcBorders>
              <w:right w:val="single" w:sz="8" w:color="231F20"/>
            </w:tcBorders>
          </w:tcPr>
          <w:p>
            <w:pPr>
              <w:jc w:val="center"/>
              <w:ind w:right="391"/>
              <w:spacing w:after="0"/>
              <w:rPr>
                <w:sz w:val="20"/>
                <w:szCs w:val="20"/>
                <w:color w:val="auto"/>
              </w:rPr>
            </w:pPr>
            <w:r>
              <w:rPr>
                <w:rFonts w:ascii="Arial" w:cs="Arial" w:eastAsia="Arial" w:hAnsi="Arial"/>
                <w:sz w:val="18"/>
                <w:szCs w:val="18"/>
                <w:color w:val="231F20"/>
                <w:w w:val="82"/>
              </w:rPr>
              <w:t>Š</w:t>
            </w:r>
          </w:p>
        </w:tc>
        <w:tc>
          <w:tcPr>
            <w:tcW w:w="760" w:type="dxa"/>
            <w:vAlign w:val="bottom"/>
            <w:tcBorders>
              <w:right w:val="single" w:sz="8" w:color="231F20"/>
            </w:tcBorders>
          </w:tcPr>
          <w:p>
            <w:pPr>
              <w:ind w:left="140"/>
              <w:spacing w:after="0"/>
              <w:rPr>
                <w:sz w:val="20"/>
                <w:szCs w:val="20"/>
                <w:color w:val="auto"/>
              </w:rPr>
            </w:pPr>
            <w:r>
              <w:rPr>
                <w:rFonts w:ascii="Arial" w:cs="Arial" w:eastAsia="Arial" w:hAnsi="Arial"/>
                <w:sz w:val="18"/>
                <w:szCs w:val="18"/>
                <w:color w:val="231F20"/>
              </w:rPr>
              <w:t>Š</w:t>
            </w:r>
          </w:p>
        </w:tc>
        <w:tc>
          <w:tcPr>
            <w:tcW w:w="840" w:type="dxa"/>
            <w:vAlign w:val="bottom"/>
            <w:tcBorders>
              <w:right w:val="single" w:sz="8" w:color="231F20"/>
            </w:tcBorders>
          </w:tcPr>
          <w:p>
            <w:pPr>
              <w:ind w:left="200"/>
              <w:spacing w:after="0"/>
              <w:rPr>
                <w:sz w:val="20"/>
                <w:szCs w:val="20"/>
                <w:color w:val="auto"/>
              </w:rPr>
            </w:pPr>
            <w:r>
              <w:rPr>
                <w:rFonts w:ascii="Arial" w:cs="Arial" w:eastAsia="Arial" w:hAnsi="Arial"/>
                <w:sz w:val="18"/>
                <w:szCs w:val="18"/>
                <w:color w:val="231F20"/>
              </w:rPr>
              <w:t>Š</w:t>
            </w:r>
          </w:p>
        </w:tc>
        <w:tc>
          <w:tcPr>
            <w:tcW w:w="840" w:type="dxa"/>
            <w:vAlign w:val="bottom"/>
            <w:tcBorders>
              <w:right w:val="single" w:sz="8" w:color="231F20"/>
            </w:tcBorders>
          </w:tcPr>
          <w:p>
            <w:pPr>
              <w:jc w:val="center"/>
              <w:ind w:right="292"/>
              <w:spacing w:after="0"/>
              <w:rPr>
                <w:sz w:val="20"/>
                <w:szCs w:val="20"/>
                <w:color w:val="auto"/>
              </w:rPr>
            </w:pPr>
            <w:r>
              <w:rPr>
                <w:rFonts w:ascii="Arial" w:cs="Arial" w:eastAsia="Arial" w:hAnsi="Arial"/>
                <w:sz w:val="18"/>
                <w:szCs w:val="18"/>
                <w:color w:val="231F20"/>
                <w:w w:val="82"/>
              </w:rPr>
              <w:t>Š</w:t>
            </w:r>
          </w:p>
        </w:tc>
        <w:tc>
          <w:tcPr>
            <w:tcW w:w="820" w:type="dxa"/>
            <w:vAlign w:val="bottom"/>
            <w:tcBorders>
              <w:right w:val="single" w:sz="8" w:color="231F20"/>
            </w:tcBorders>
          </w:tcPr>
          <w:p>
            <w:pPr>
              <w:jc w:val="center"/>
              <w:ind w:right="312"/>
              <w:spacing w:after="0"/>
              <w:rPr>
                <w:sz w:val="20"/>
                <w:szCs w:val="20"/>
                <w:color w:val="auto"/>
              </w:rPr>
            </w:pPr>
            <w:r>
              <w:rPr>
                <w:rFonts w:ascii="Arial" w:cs="Arial" w:eastAsia="Arial" w:hAnsi="Arial"/>
                <w:sz w:val="18"/>
                <w:szCs w:val="18"/>
                <w:color w:val="231F20"/>
                <w:w w:val="82"/>
              </w:rPr>
              <w:t>Š</w:t>
            </w:r>
          </w:p>
        </w:tc>
        <w:tc>
          <w:tcPr>
            <w:tcW w:w="860" w:type="dxa"/>
            <w:vAlign w:val="bottom"/>
            <w:tcBorders>
              <w:right w:val="single" w:sz="8" w:color="231F20"/>
            </w:tcBorders>
          </w:tcPr>
          <w:p>
            <w:pPr>
              <w:jc w:val="center"/>
              <w:ind w:right="311"/>
              <w:spacing w:after="0"/>
              <w:rPr>
                <w:sz w:val="20"/>
                <w:szCs w:val="20"/>
                <w:color w:val="auto"/>
              </w:rPr>
            </w:pPr>
            <w:r>
              <w:rPr>
                <w:rFonts w:ascii="Arial" w:cs="Arial" w:eastAsia="Arial" w:hAnsi="Arial"/>
                <w:sz w:val="18"/>
                <w:szCs w:val="18"/>
                <w:color w:val="231F20"/>
                <w:w w:val="82"/>
              </w:rPr>
              <w:t>Š</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3780" w:type="dxa"/>
            <w:vAlign w:val="bottom"/>
            <w:tcBorders>
              <w:right w:val="single" w:sz="8" w:color="231F20"/>
            </w:tcBorders>
            <w:vMerge w:val="continue"/>
          </w:tcPr>
          <w:p>
            <w:pPr>
              <w:spacing w:after="0"/>
              <w:rPr>
                <w:sz w:val="6"/>
                <w:szCs w:val="6"/>
                <w:color w:val="auto"/>
              </w:rPr>
            </w:pPr>
          </w:p>
        </w:tc>
        <w:tc>
          <w:tcPr>
            <w:tcW w:w="480" w:type="dxa"/>
            <w:vAlign w:val="bottom"/>
          </w:tcPr>
          <w:p>
            <w:pPr>
              <w:spacing w:after="0"/>
              <w:rPr>
                <w:sz w:val="6"/>
                <w:szCs w:val="6"/>
                <w:color w:val="auto"/>
              </w:rPr>
            </w:pPr>
          </w:p>
        </w:tc>
        <w:tc>
          <w:tcPr>
            <w:tcW w:w="100" w:type="dxa"/>
            <w:vAlign w:val="bottom"/>
            <w:tcBorders>
              <w:right w:val="single" w:sz="8" w:color="231F20"/>
            </w:tcBorders>
          </w:tcPr>
          <w:p>
            <w:pPr>
              <w:spacing w:after="0"/>
              <w:rPr>
                <w:sz w:val="6"/>
                <w:szCs w:val="6"/>
                <w:color w:val="auto"/>
              </w:rPr>
            </w:pPr>
          </w:p>
        </w:tc>
        <w:tc>
          <w:tcPr>
            <w:tcW w:w="980" w:type="dxa"/>
            <w:vAlign w:val="bottom"/>
            <w:tcBorders>
              <w:right w:val="single" w:sz="8" w:color="231F20"/>
            </w:tcBorders>
          </w:tcPr>
          <w:p>
            <w:pPr>
              <w:spacing w:after="0"/>
              <w:rPr>
                <w:sz w:val="6"/>
                <w:szCs w:val="6"/>
                <w:color w:val="auto"/>
              </w:rPr>
            </w:pPr>
          </w:p>
        </w:tc>
        <w:tc>
          <w:tcPr>
            <w:tcW w:w="820" w:type="dxa"/>
            <w:vAlign w:val="bottom"/>
            <w:tcBorders>
              <w:right w:val="single" w:sz="8" w:color="231F20"/>
            </w:tcBorders>
          </w:tcPr>
          <w:p>
            <w:pPr>
              <w:spacing w:after="0"/>
              <w:rPr>
                <w:sz w:val="6"/>
                <w:szCs w:val="6"/>
                <w:color w:val="auto"/>
              </w:rPr>
            </w:pPr>
          </w:p>
        </w:tc>
        <w:tc>
          <w:tcPr>
            <w:tcW w:w="760" w:type="dxa"/>
            <w:vAlign w:val="bottom"/>
            <w:tcBorders>
              <w:right w:val="single" w:sz="8" w:color="231F20"/>
            </w:tcBorders>
          </w:tcPr>
          <w:p>
            <w:pPr>
              <w:spacing w:after="0"/>
              <w:rPr>
                <w:sz w:val="6"/>
                <w:szCs w:val="6"/>
                <w:color w:val="auto"/>
              </w:rPr>
            </w:pPr>
          </w:p>
        </w:tc>
        <w:tc>
          <w:tcPr>
            <w:tcW w:w="840" w:type="dxa"/>
            <w:vAlign w:val="bottom"/>
            <w:tcBorders>
              <w:right w:val="single" w:sz="8" w:color="231F20"/>
            </w:tcBorders>
          </w:tcPr>
          <w:p>
            <w:pPr>
              <w:spacing w:after="0"/>
              <w:rPr>
                <w:sz w:val="6"/>
                <w:szCs w:val="6"/>
                <w:color w:val="auto"/>
              </w:rPr>
            </w:pPr>
          </w:p>
        </w:tc>
        <w:tc>
          <w:tcPr>
            <w:tcW w:w="840" w:type="dxa"/>
            <w:vAlign w:val="bottom"/>
            <w:tcBorders>
              <w:right w:val="single" w:sz="8" w:color="231F20"/>
            </w:tcBorders>
          </w:tcPr>
          <w:p>
            <w:pPr>
              <w:spacing w:after="0"/>
              <w:rPr>
                <w:sz w:val="6"/>
                <w:szCs w:val="6"/>
                <w:color w:val="auto"/>
              </w:rPr>
            </w:pPr>
          </w:p>
        </w:tc>
        <w:tc>
          <w:tcPr>
            <w:tcW w:w="820" w:type="dxa"/>
            <w:vAlign w:val="bottom"/>
            <w:tcBorders>
              <w:right w:val="single" w:sz="8" w:color="231F20"/>
            </w:tcBorders>
          </w:tcPr>
          <w:p>
            <w:pPr>
              <w:spacing w:after="0"/>
              <w:rPr>
                <w:sz w:val="6"/>
                <w:szCs w:val="6"/>
                <w:color w:val="auto"/>
              </w:rPr>
            </w:pPr>
          </w:p>
        </w:tc>
        <w:tc>
          <w:tcPr>
            <w:tcW w:w="860" w:type="dxa"/>
            <w:vAlign w:val="bottom"/>
            <w:tcBorders>
              <w:right w:val="single" w:sz="8" w:color="231F20"/>
            </w:tcBorders>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231F20"/>
            </w:tcBorders>
          </w:tcPr>
          <w:p>
            <w:pPr>
              <w:spacing w:after="0"/>
              <w:rPr>
                <w:sz w:val="2"/>
                <w:szCs w:val="2"/>
                <w:color w:val="auto"/>
              </w:rPr>
            </w:pPr>
          </w:p>
        </w:tc>
        <w:tc>
          <w:tcPr>
            <w:tcW w:w="3780" w:type="dxa"/>
            <w:vAlign w:val="bottom"/>
            <w:tcBorders>
              <w:bottom w:val="single" w:sz="8" w:color="231F20"/>
              <w:right w:val="single" w:sz="8" w:color="231F20"/>
            </w:tcBorders>
          </w:tcPr>
          <w:p>
            <w:pPr>
              <w:spacing w:after="0"/>
              <w:rPr>
                <w:sz w:val="2"/>
                <w:szCs w:val="2"/>
                <w:color w:val="auto"/>
              </w:rPr>
            </w:pPr>
          </w:p>
        </w:tc>
        <w:tc>
          <w:tcPr>
            <w:tcW w:w="480" w:type="dxa"/>
            <w:vAlign w:val="bottom"/>
            <w:tcBorders>
              <w:bottom w:val="single" w:sz="8" w:color="231F20"/>
            </w:tcBorders>
          </w:tcPr>
          <w:p>
            <w:pPr>
              <w:spacing w:after="0"/>
              <w:rPr>
                <w:sz w:val="2"/>
                <w:szCs w:val="2"/>
                <w:color w:val="auto"/>
              </w:rPr>
            </w:pPr>
          </w:p>
        </w:tc>
        <w:tc>
          <w:tcPr>
            <w:tcW w:w="100" w:type="dxa"/>
            <w:vAlign w:val="bottom"/>
            <w:tcBorders>
              <w:bottom w:val="single" w:sz="8" w:color="231F20"/>
              <w:right w:val="single" w:sz="8" w:color="231F20"/>
            </w:tcBorders>
          </w:tcPr>
          <w:p>
            <w:pPr>
              <w:spacing w:after="0"/>
              <w:rPr>
                <w:sz w:val="2"/>
                <w:szCs w:val="2"/>
                <w:color w:val="auto"/>
              </w:rPr>
            </w:pPr>
          </w:p>
        </w:tc>
        <w:tc>
          <w:tcPr>
            <w:tcW w:w="980" w:type="dxa"/>
            <w:vAlign w:val="bottom"/>
            <w:tcBorders>
              <w:bottom w:val="single" w:sz="8" w:color="231F20"/>
              <w:right w:val="single" w:sz="8" w:color="231F20"/>
            </w:tcBorders>
          </w:tcPr>
          <w:p>
            <w:pPr>
              <w:spacing w:after="0"/>
              <w:rPr>
                <w:sz w:val="2"/>
                <w:szCs w:val="2"/>
                <w:color w:val="auto"/>
              </w:rPr>
            </w:pPr>
          </w:p>
        </w:tc>
        <w:tc>
          <w:tcPr>
            <w:tcW w:w="820" w:type="dxa"/>
            <w:vAlign w:val="bottom"/>
            <w:tcBorders>
              <w:bottom w:val="single" w:sz="8" w:color="231F20"/>
              <w:right w:val="single" w:sz="8" w:color="231F20"/>
            </w:tcBorders>
          </w:tcPr>
          <w:p>
            <w:pPr>
              <w:spacing w:after="0"/>
              <w:rPr>
                <w:sz w:val="2"/>
                <w:szCs w:val="2"/>
                <w:color w:val="auto"/>
              </w:rPr>
            </w:pPr>
          </w:p>
        </w:tc>
        <w:tc>
          <w:tcPr>
            <w:tcW w:w="760" w:type="dxa"/>
            <w:vAlign w:val="bottom"/>
            <w:tcBorders>
              <w:bottom w:val="single" w:sz="8" w:color="231F20"/>
              <w:right w:val="single" w:sz="8" w:color="231F20"/>
            </w:tcBorders>
          </w:tcPr>
          <w:p>
            <w:pPr>
              <w:spacing w:after="0"/>
              <w:rPr>
                <w:sz w:val="2"/>
                <w:szCs w:val="2"/>
                <w:color w:val="auto"/>
              </w:rPr>
            </w:pPr>
          </w:p>
        </w:tc>
        <w:tc>
          <w:tcPr>
            <w:tcW w:w="840" w:type="dxa"/>
            <w:vAlign w:val="bottom"/>
            <w:tcBorders>
              <w:bottom w:val="single" w:sz="8" w:color="231F20"/>
              <w:right w:val="single" w:sz="8" w:color="231F20"/>
            </w:tcBorders>
          </w:tcPr>
          <w:p>
            <w:pPr>
              <w:spacing w:after="0"/>
              <w:rPr>
                <w:sz w:val="2"/>
                <w:szCs w:val="2"/>
                <w:color w:val="auto"/>
              </w:rPr>
            </w:pPr>
          </w:p>
        </w:tc>
        <w:tc>
          <w:tcPr>
            <w:tcW w:w="840" w:type="dxa"/>
            <w:vAlign w:val="bottom"/>
            <w:tcBorders>
              <w:bottom w:val="single" w:sz="8" w:color="231F20"/>
              <w:right w:val="single" w:sz="8" w:color="231F20"/>
            </w:tcBorders>
          </w:tcPr>
          <w:p>
            <w:pPr>
              <w:spacing w:after="0"/>
              <w:rPr>
                <w:sz w:val="2"/>
                <w:szCs w:val="2"/>
                <w:color w:val="auto"/>
              </w:rPr>
            </w:pPr>
          </w:p>
        </w:tc>
        <w:tc>
          <w:tcPr>
            <w:tcW w:w="820" w:type="dxa"/>
            <w:vAlign w:val="bottom"/>
            <w:tcBorders>
              <w:bottom w:val="single" w:sz="8" w:color="231F20"/>
              <w:right w:val="single" w:sz="8" w:color="231F20"/>
            </w:tcBorders>
          </w:tcPr>
          <w:p>
            <w:pPr>
              <w:spacing w:after="0"/>
              <w:rPr>
                <w:sz w:val="2"/>
                <w:szCs w:val="2"/>
                <w:color w:val="auto"/>
              </w:rPr>
            </w:pPr>
          </w:p>
        </w:tc>
        <w:tc>
          <w:tcPr>
            <w:tcW w:w="860" w:type="dxa"/>
            <w:vAlign w:val="bottom"/>
            <w:tcBorders>
              <w:bottom w:val="single" w:sz="8" w:color="231F20"/>
              <w:right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3780" w:type="dxa"/>
            <w:vAlign w:val="bottom"/>
            <w:tcBorders>
              <w:right w:val="single" w:sz="8" w:color="231F20"/>
            </w:tcBorders>
            <w:vMerge w:val="restart"/>
          </w:tcPr>
          <w:p>
            <w:pPr>
              <w:ind w:left="440"/>
              <w:spacing w:after="0"/>
              <w:rPr>
                <w:sz w:val="20"/>
                <w:szCs w:val="20"/>
                <w:color w:val="auto"/>
              </w:rPr>
            </w:pPr>
            <w:r>
              <w:rPr>
                <w:rFonts w:ascii="Arial" w:cs="Arial" w:eastAsia="Arial" w:hAnsi="Arial"/>
                <w:sz w:val="18"/>
                <w:szCs w:val="18"/>
                <w:color w:val="231F20"/>
              </w:rPr>
              <w:t>REIT/Public Company Executive</w:t>
            </w:r>
          </w:p>
        </w:tc>
        <w:tc>
          <w:tcPr>
            <w:tcW w:w="480" w:type="dxa"/>
            <w:vAlign w:val="bottom"/>
          </w:tcPr>
          <w:p>
            <w:pPr>
              <w:jc w:val="center"/>
              <w:ind w:right="91"/>
              <w:spacing w:after="0"/>
              <w:rPr>
                <w:sz w:val="20"/>
                <w:szCs w:val="20"/>
                <w:color w:val="auto"/>
              </w:rPr>
            </w:pPr>
            <w:r>
              <w:rPr>
                <w:rFonts w:ascii="Arial" w:cs="Arial" w:eastAsia="Arial" w:hAnsi="Arial"/>
                <w:sz w:val="18"/>
                <w:szCs w:val="18"/>
                <w:color w:val="231F20"/>
                <w:w w:val="82"/>
              </w:rPr>
              <w:t>Š</w:t>
            </w:r>
          </w:p>
        </w:tc>
        <w:tc>
          <w:tcPr>
            <w:tcW w:w="100" w:type="dxa"/>
            <w:vAlign w:val="bottom"/>
            <w:tcBorders>
              <w:right w:val="single" w:sz="8" w:color="231F20"/>
            </w:tcBorders>
          </w:tcPr>
          <w:p>
            <w:pPr>
              <w:spacing w:after="0"/>
              <w:rPr>
                <w:sz w:val="22"/>
                <w:szCs w:val="22"/>
                <w:color w:val="auto"/>
              </w:rPr>
            </w:pPr>
          </w:p>
        </w:tc>
        <w:tc>
          <w:tcPr>
            <w:tcW w:w="980" w:type="dxa"/>
            <w:vAlign w:val="bottom"/>
            <w:tcBorders>
              <w:right w:val="single" w:sz="8" w:color="231F20"/>
            </w:tcBorders>
          </w:tcPr>
          <w:p>
            <w:pPr>
              <w:jc w:val="center"/>
              <w:ind w:right="151"/>
              <w:spacing w:after="0"/>
              <w:rPr>
                <w:sz w:val="20"/>
                <w:szCs w:val="20"/>
                <w:color w:val="auto"/>
              </w:rPr>
            </w:pPr>
            <w:r>
              <w:rPr>
                <w:rFonts w:ascii="Arial" w:cs="Arial" w:eastAsia="Arial" w:hAnsi="Arial"/>
                <w:sz w:val="18"/>
                <w:szCs w:val="18"/>
                <w:color w:val="231F20"/>
                <w:w w:val="82"/>
              </w:rPr>
              <w:t>Š</w:t>
            </w:r>
          </w:p>
        </w:tc>
        <w:tc>
          <w:tcPr>
            <w:tcW w:w="820" w:type="dxa"/>
            <w:vAlign w:val="bottom"/>
            <w:tcBorders>
              <w:right w:val="single" w:sz="8" w:color="231F20"/>
            </w:tcBorders>
          </w:tcPr>
          <w:p>
            <w:pPr>
              <w:spacing w:after="0"/>
              <w:rPr>
                <w:sz w:val="22"/>
                <w:szCs w:val="22"/>
                <w:color w:val="auto"/>
              </w:rPr>
            </w:pPr>
          </w:p>
        </w:tc>
        <w:tc>
          <w:tcPr>
            <w:tcW w:w="760" w:type="dxa"/>
            <w:vAlign w:val="bottom"/>
            <w:tcBorders>
              <w:right w:val="single" w:sz="8" w:color="231F20"/>
            </w:tcBorders>
          </w:tcPr>
          <w:p>
            <w:pPr>
              <w:ind w:left="140"/>
              <w:spacing w:after="0"/>
              <w:rPr>
                <w:sz w:val="20"/>
                <w:szCs w:val="20"/>
                <w:color w:val="auto"/>
              </w:rPr>
            </w:pPr>
            <w:r>
              <w:rPr>
                <w:rFonts w:ascii="Arial" w:cs="Arial" w:eastAsia="Arial" w:hAnsi="Arial"/>
                <w:sz w:val="18"/>
                <w:szCs w:val="18"/>
                <w:color w:val="231F20"/>
              </w:rPr>
              <w:t>Š</w:t>
            </w:r>
          </w:p>
        </w:tc>
        <w:tc>
          <w:tcPr>
            <w:tcW w:w="840" w:type="dxa"/>
            <w:vAlign w:val="bottom"/>
            <w:tcBorders>
              <w:right w:val="single" w:sz="8" w:color="231F20"/>
            </w:tcBorders>
          </w:tcPr>
          <w:p>
            <w:pPr>
              <w:spacing w:after="0"/>
              <w:rPr>
                <w:sz w:val="22"/>
                <w:szCs w:val="22"/>
                <w:color w:val="auto"/>
              </w:rPr>
            </w:pPr>
          </w:p>
        </w:tc>
        <w:tc>
          <w:tcPr>
            <w:tcW w:w="840" w:type="dxa"/>
            <w:vAlign w:val="bottom"/>
            <w:tcBorders>
              <w:right w:val="single" w:sz="8" w:color="231F20"/>
            </w:tcBorders>
          </w:tcPr>
          <w:p>
            <w:pPr>
              <w:spacing w:after="0"/>
              <w:rPr>
                <w:sz w:val="22"/>
                <w:szCs w:val="22"/>
                <w:color w:val="auto"/>
              </w:rPr>
            </w:pPr>
          </w:p>
        </w:tc>
        <w:tc>
          <w:tcPr>
            <w:tcW w:w="820" w:type="dxa"/>
            <w:vAlign w:val="bottom"/>
            <w:tcBorders>
              <w:right w:val="single" w:sz="8" w:color="231F20"/>
            </w:tcBorders>
          </w:tcPr>
          <w:p>
            <w:pPr>
              <w:spacing w:after="0"/>
              <w:rPr>
                <w:sz w:val="22"/>
                <w:szCs w:val="22"/>
                <w:color w:val="auto"/>
              </w:rPr>
            </w:pPr>
          </w:p>
        </w:tc>
        <w:tc>
          <w:tcPr>
            <w:tcW w:w="860" w:type="dxa"/>
            <w:vAlign w:val="bottom"/>
            <w:tcBorders>
              <w:right w:val="single" w:sz="8" w:color="231F20"/>
            </w:tcBorders>
          </w:tcPr>
          <w:p>
            <w:pPr>
              <w:jc w:val="center"/>
              <w:ind w:right="311"/>
              <w:spacing w:after="0"/>
              <w:rPr>
                <w:sz w:val="20"/>
                <w:szCs w:val="20"/>
                <w:color w:val="auto"/>
              </w:rPr>
            </w:pPr>
            <w:r>
              <w:rPr>
                <w:rFonts w:ascii="Arial" w:cs="Arial" w:eastAsia="Arial" w:hAnsi="Arial"/>
                <w:sz w:val="18"/>
                <w:szCs w:val="18"/>
                <w:color w:val="231F20"/>
                <w:w w:val="82"/>
              </w:rPr>
              <w:t>Š</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3780" w:type="dxa"/>
            <w:vAlign w:val="bottom"/>
            <w:tcBorders>
              <w:right w:val="single" w:sz="8" w:color="231F20"/>
            </w:tcBorders>
            <w:vMerge w:val="continue"/>
          </w:tcPr>
          <w:p>
            <w:pPr>
              <w:spacing w:after="0"/>
              <w:rPr>
                <w:sz w:val="6"/>
                <w:szCs w:val="6"/>
                <w:color w:val="auto"/>
              </w:rPr>
            </w:pPr>
          </w:p>
        </w:tc>
        <w:tc>
          <w:tcPr>
            <w:tcW w:w="480" w:type="dxa"/>
            <w:vAlign w:val="bottom"/>
          </w:tcPr>
          <w:p>
            <w:pPr>
              <w:spacing w:after="0"/>
              <w:rPr>
                <w:sz w:val="6"/>
                <w:szCs w:val="6"/>
                <w:color w:val="auto"/>
              </w:rPr>
            </w:pPr>
          </w:p>
        </w:tc>
        <w:tc>
          <w:tcPr>
            <w:tcW w:w="100" w:type="dxa"/>
            <w:vAlign w:val="bottom"/>
            <w:tcBorders>
              <w:right w:val="single" w:sz="8" w:color="231F20"/>
            </w:tcBorders>
          </w:tcPr>
          <w:p>
            <w:pPr>
              <w:spacing w:after="0"/>
              <w:rPr>
                <w:sz w:val="6"/>
                <w:szCs w:val="6"/>
                <w:color w:val="auto"/>
              </w:rPr>
            </w:pPr>
          </w:p>
        </w:tc>
        <w:tc>
          <w:tcPr>
            <w:tcW w:w="980" w:type="dxa"/>
            <w:vAlign w:val="bottom"/>
            <w:tcBorders>
              <w:right w:val="single" w:sz="8" w:color="231F20"/>
            </w:tcBorders>
          </w:tcPr>
          <w:p>
            <w:pPr>
              <w:spacing w:after="0"/>
              <w:rPr>
                <w:sz w:val="6"/>
                <w:szCs w:val="6"/>
                <w:color w:val="auto"/>
              </w:rPr>
            </w:pPr>
          </w:p>
        </w:tc>
        <w:tc>
          <w:tcPr>
            <w:tcW w:w="820" w:type="dxa"/>
            <w:vAlign w:val="bottom"/>
            <w:tcBorders>
              <w:right w:val="single" w:sz="8" w:color="231F20"/>
            </w:tcBorders>
          </w:tcPr>
          <w:p>
            <w:pPr>
              <w:spacing w:after="0"/>
              <w:rPr>
                <w:sz w:val="6"/>
                <w:szCs w:val="6"/>
                <w:color w:val="auto"/>
              </w:rPr>
            </w:pPr>
          </w:p>
        </w:tc>
        <w:tc>
          <w:tcPr>
            <w:tcW w:w="760" w:type="dxa"/>
            <w:vAlign w:val="bottom"/>
            <w:tcBorders>
              <w:right w:val="single" w:sz="8" w:color="231F20"/>
            </w:tcBorders>
          </w:tcPr>
          <w:p>
            <w:pPr>
              <w:spacing w:after="0"/>
              <w:rPr>
                <w:sz w:val="6"/>
                <w:szCs w:val="6"/>
                <w:color w:val="auto"/>
              </w:rPr>
            </w:pPr>
          </w:p>
        </w:tc>
        <w:tc>
          <w:tcPr>
            <w:tcW w:w="840" w:type="dxa"/>
            <w:vAlign w:val="bottom"/>
            <w:tcBorders>
              <w:right w:val="single" w:sz="8" w:color="231F20"/>
            </w:tcBorders>
          </w:tcPr>
          <w:p>
            <w:pPr>
              <w:spacing w:after="0"/>
              <w:rPr>
                <w:sz w:val="6"/>
                <w:szCs w:val="6"/>
                <w:color w:val="auto"/>
              </w:rPr>
            </w:pPr>
          </w:p>
        </w:tc>
        <w:tc>
          <w:tcPr>
            <w:tcW w:w="840" w:type="dxa"/>
            <w:vAlign w:val="bottom"/>
            <w:tcBorders>
              <w:right w:val="single" w:sz="8" w:color="231F20"/>
            </w:tcBorders>
          </w:tcPr>
          <w:p>
            <w:pPr>
              <w:spacing w:after="0"/>
              <w:rPr>
                <w:sz w:val="6"/>
                <w:szCs w:val="6"/>
                <w:color w:val="auto"/>
              </w:rPr>
            </w:pPr>
          </w:p>
        </w:tc>
        <w:tc>
          <w:tcPr>
            <w:tcW w:w="820" w:type="dxa"/>
            <w:vAlign w:val="bottom"/>
            <w:tcBorders>
              <w:right w:val="single" w:sz="8" w:color="231F20"/>
            </w:tcBorders>
          </w:tcPr>
          <w:p>
            <w:pPr>
              <w:spacing w:after="0"/>
              <w:rPr>
                <w:sz w:val="6"/>
                <w:szCs w:val="6"/>
                <w:color w:val="auto"/>
              </w:rPr>
            </w:pPr>
          </w:p>
        </w:tc>
        <w:tc>
          <w:tcPr>
            <w:tcW w:w="860" w:type="dxa"/>
            <w:vAlign w:val="bottom"/>
            <w:tcBorders>
              <w:right w:val="single" w:sz="8" w:color="231F20"/>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31F20"/>
            </w:tcBorders>
          </w:tcPr>
          <w:p>
            <w:pPr>
              <w:spacing w:after="0"/>
              <w:rPr>
                <w:sz w:val="3"/>
                <w:szCs w:val="3"/>
                <w:color w:val="auto"/>
              </w:rPr>
            </w:pPr>
          </w:p>
        </w:tc>
        <w:tc>
          <w:tcPr>
            <w:tcW w:w="3780" w:type="dxa"/>
            <w:vAlign w:val="bottom"/>
            <w:tcBorders>
              <w:bottom w:val="single" w:sz="8" w:color="231F20"/>
              <w:right w:val="single" w:sz="8" w:color="231F20"/>
            </w:tcBorders>
          </w:tcPr>
          <w:p>
            <w:pPr>
              <w:spacing w:after="0"/>
              <w:rPr>
                <w:sz w:val="3"/>
                <w:szCs w:val="3"/>
                <w:color w:val="auto"/>
              </w:rPr>
            </w:pPr>
          </w:p>
        </w:tc>
        <w:tc>
          <w:tcPr>
            <w:tcW w:w="480" w:type="dxa"/>
            <w:vAlign w:val="bottom"/>
            <w:tcBorders>
              <w:bottom w:val="single" w:sz="8" w:color="231F20"/>
            </w:tcBorders>
          </w:tcPr>
          <w:p>
            <w:pPr>
              <w:spacing w:after="0"/>
              <w:rPr>
                <w:sz w:val="3"/>
                <w:szCs w:val="3"/>
                <w:color w:val="auto"/>
              </w:rPr>
            </w:pPr>
          </w:p>
        </w:tc>
        <w:tc>
          <w:tcPr>
            <w:tcW w:w="100" w:type="dxa"/>
            <w:vAlign w:val="bottom"/>
            <w:tcBorders>
              <w:bottom w:val="single" w:sz="8" w:color="231F20"/>
              <w:right w:val="single" w:sz="8" w:color="231F20"/>
            </w:tcBorders>
          </w:tcPr>
          <w:p>
            <w:pPr>
              <w:spacing w:after="0"/>
              <w:rPr>
                <w:sz w:val="3"/>
                <w:szCs w:val="3"/>
                <w:color w:val="auto"/>
              </w:rPr>
            </w:pPr>
          </w:p>
        </w:tc>
        <w:tc>
          <w:tcPr>
            <w:tcW w:w="980" w:type="dxa"/>
            <w:vAlign w:val="bottom"/>
            <w:tcBorders>
              <w:bottom w:val="single" w:sz="8" w:color="231F20"/>
              <w:right w:val="single" w:sz="8" w:color="231F20"/>
            </w:tcBorders>
          </w:tcPr>
          <w:p>
            <w:pPr>
              <w:spacing w:after="0"/>
              <w:rPr>
                <w:sz w:val="3"/>
                <w:szCs w:val="3"/>
                <w:color w:val="auto"/>
              </w:rPr>
            </w:pPr>
          </w:p>
        </w:tc>
        <w:tc>
          <w:tcPr>
            <w:tcW w:w="820" w:type="dxa"/>
            <w:vAlign w:val="bottom"/>
            <w:tcBorders>
              <w:bottom w:val="single" w:sz="8" w:color="231F20"/>
              <w:right w:val="single" w:sz="8" w:color="231F20"/>
            </w:tcBorders>
          </w:tcPr>
          <w:p>
            <w:pPr>
              <w:spacing w:after="0"/>
              <w:rPr>
                <w:sz w:val="3"/>
                <w:szCs w:val="3"/>
                <w:color w:val="auto"/>
              </w:rPr>
            </w:pPr>
          </w:p>
        </w:tc>
        <w:tc>
          <w:tcPr>
            <w:tcW w:w="760" w:type="dxa"/>
            <w:vAlign w:val="bottom"/>
            <w:tcBorders>
              <w:bottom w:val="single" w:sz="8" w:color="231F20"/>
              <w:right w:val="single" w:sz="8" w:color="231F20"/>
            </w:tcBorders>
          </w:tcPr>
          <w:p>
            <w:pPr>
              <w:spacing w:after="0"/>
              <w:rPr>
                <w:sz w:val="3"/>
                <w:szCs w:val="3"/>
                <w:color w:val="auto"/>
              </w:rPr>
            </w:pPr>
          </w:p>
        </w:tc>
        <w:tc>
          <w:tcPr>
            <w:tcW w:w="840" w:type="dxa"/>
            <w:vAlign w:val="bottom"/>
            <w:tcBorders>
              <w:bottom w:val="single" w:sz="8" w:color="231F20"/>
              <w:right w:val="single" w:sz="8" w:color="231F20"/>
            </w:tcBorders>
          </w:tcPr>
          <w:p>
            <w:pPr>
              <w:spacing w:after="0"/>
              <w:rPr>
                <w:sz w:val="3"/>
                <w:szCs w:val="3"/>
                <w:color w:val="auto"/>
              </w:rPr>
            </w:pPr>
          </w:p>
        </w:tc>
        <w:tc>
          <w:tcPr>
            <w:tcW w:w="840" w:type="dxa"/>
            <w:vAlign w:val="bottom"/>
            <w:tcBorders>
              <w:bottom w:val="single" w:sz="8" w:color="231F20"/>
              <w:right w:val="single" w:sz="8" w:color="231F20"/>
            </w:tcBorders>
          </w:tcPr>
          <w:p>
            <w:pPr>
              <w:spacing w:after="0"/>
              <w:rPr>
                <w:sz w:val="3"/>
                <w:szCs w:val="3"/>
                <w:color w:val="auto"/>
              </w:rPr>
            </w:pPr>
          </w:p>
        </w:tc>
        <w:tc>
          <w:tcPr>
            <w:tcW w:w="820" w:type="dxa"/>
            <w:vAlign w:val="bottom"/>
            <w:tcBorders>
              <w:bottom w:val="single" w:sz="8" w:color="231F20"/>
              <w:right w:val="single" w:sz="8" w:color="231F20"/>
            </w:tcBorders>
          </w:tcPr>
          <w:p>
            <w:pPr>
              <w:spacing w:after="0"/>
              <w:rPr>
                <w:sz w:val="3"/>
                <w:szCs w:val="3"/>
                <w:color w:val="auto"/>
              </w:rPr>
            </w:pPr>
          </w:p>
        </w:tc>
        <w:tc>
          <w:tcPr>
            <w:tcW w:w="860" w:type="dxa"/>
            <w:vAlign w:val="bottom"/>
            <w:tcBorders>
              <w:bottom w:val="single" w:sz="8" w:color="231F20"/>
              <w:right w:val="single" w:sz="8" w:color="231F20"/>
            </w:tcBorders>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780" w:type="dxa"/>
            <w:vAlign w:val="bottom"/>
            <w:tcBorders>
              <w:right w:val="single" w:sz="8" w:color="231F20"/>
            </w:tcBorders>
            <w:vMerge w:val="restart"/>
          </w:tcPr>
          <w:p>
            <w:pPr>
              <w:ind w:left="440"/>
              <w:spacing w:after="0"/>
              <w:rPr>
                <w:sz w:val="20"/>
                <w:szCs w:val="20"/>
                <w:color w:val="auto"/>
              </w:rPr>
            </w:pPr>
            <w:r>
              <w:rPr>
                <w:rFonts w:ascii="Arial" w:cs="Arial" w:eastAsia="Arial" w:hAnsi="Arial"/>
                <w:sz w:val="18"/>
                <w:szCs w:val="18"/>
                <w:color w:val="231F20"/>
              </w:rPr>
              <w:t>Public Company Board Service</w:t>
            </w:r>
          </w:p>
        </w:tc>
        <w:tc>
          <w:tcPr>
            <w:tcW w:w="480" w:type="dxa"/>
            <w:vAlign w:val="bottom"/>
          </w:tcPr>
          <w:p>
            <w:pPr>
              <w:jc w:val="center"/>
              <w:ind w:right="91"/>
              <w:spacing w:after="0"/>
              <w:rPr>
                <w:sz w:val="20"/>
                <w:szCs w:val="20"/>
                <w:color w:val="auto"/>
              </w:rPr>
            </w:pPr>
            <w:r>
              <w:rPr>
                <w:rFonts w:ascii="Arial" w:cs="Arial" w:eastAsia="Arial" w:hAnsi="Arial"/>
                <w:sz w:val="18"/>
                <w:szCs w:val="18"/>
                <w:color w:val="231F20"/>
                <w:w w:val="82"/>
              </w:rPr>
              <w:t>Š</w:t>
            </w:r>
          </w:p>
        </w:tc>
        <w:tc>
          <w:tcPr>
            <w:tcW w:w="100" w:type="dxa"/>
            <w:vAlign w:val="bottom"/>
            <w:tcBorders>
              <w:right w:val="single" w:sz="8" w:color="231F20"/>
            </w:tcBorders>
          </w:tcPr>
          <w:p>
            <w:pPr>
              <w:spacing w:after="0"/>
              <w:rPr>
                <w:sz w:val="19"/>
                <w:szCs w:val="19"/>
                <w:color w:val="auto"/>
              </w:rPr>
            </w:pPr>
          </w:p>
        </w:tc>
        <w:tc>
          <w:tcPr>
            <w:tcW w:w="980" w:type="dxa"/>
            <w:vAlign w:val="bottom"/>
            <w:tcBorders>
              <w:right w:val="single" w:sz="8" w:color="231F20"/>
            </w:tcBorders>
          </w:tcPr>
          <w:p>
            <w:pPr>
              <w:jc w:val="center"/>
              <w:ind w:right="151"/>
              <w:spacing w:after="0"/>
              <w:rPr>
                <w:sz w:val="20"/>
                <w:szCs w:val="20"/>
                <w:color w:val="auto"/>
              </w:rPr>
            </w:pPr>
            <w:r>
              <w:rPr>
                <w:rFonts w:ascii="Arial" w:cs="Arial" w:eastAsia="Arial" w:hAnsi="Arial"/>
                <w:sz w:val="18"/>
                <w:szCs w:val="18"/>
                <w:color w:val="231F20"/>
                <w:w w:val="82"/>
              </w:rPr>
              <w:t>Š</w:t>
            </w:r>
          </w:p>
        </w:tc>
        <w:tc>
          <w:tcPr>
            <w:tcW w:w="820" w:type="dxa"/>
            <w:vAlign w:val="bottom"/>
            <w:tcBorders>
              <w:right w:val="single" w:sz="8" w:color="231F20"/>
            </w:tcBorders>
          </w:tcPr>
          <w:p>
            <w:pPr>
              <w:jc w:val="center"/>
              <w:ind w:right="391"/>
              <w:spacing w:after="0"/>
              <w:rPr>
                <w:sz w:val="20"/>
                <w:szCs w:val="20"/>
                <w:color w:val="auto"/>
              </w:rPr>
            </w:pPr>
            <w:r>
              <w:rPr>
                <w:rFonts w:ascii="Arial" w:cs="Arial" w:eastAsia="Arial" w:hAnsi="Arial"/>
                <w:sz w:val="18"/>
                <w:szCs w:val="18"/>
                <w:color w:val="231F20"/>
                <w:w w:val="82"/>
              </w:rPr>
              <w:t>Š</w:t>
            </w:r>
          </w:p>
        </w:tc>
        <w:tc>
          <w:tcPr>
            <w:tcW w:w="760" w:type="dxa"/>
            <w:vAlign w:val="bottom"/>
            <w:tcBorders>
              <w:right w:val="single" w:sz="8" w:color="231F20"/>
            </w:tcBorders>
          </w:tcPr>
          <w:p>
            <w:pPr>
              <w:ind w:left="140"/>
              <w:spacing w:after="0"/>
              <w:rPr>
                <w:sz w:val="20"/>
                <w:szCs w:val="20"/>
                <w:color w:val="auto"/>
              </w:rPr>
            </w:pPr>
            <w:r>
              <w:rPr>
                <w:rFonts w:ascii="Arial" w:cs="Arial" w:eastAsia="Arial" w:hAnsi="Arial"/>
                <w:sz w:val="18"/>
                <w:szCs w:val="18"/>
                <w:color w:val="231F20"/>
              </w:rPr>
              <w:t>Š</w:t>
            </w:r>
          </w:p>
        </w:tc>
        <w:tc>
          <w:tcPr>
            <w:tcW w:w="840" w:type="dxa"/>
            <w:vAlign w:val="bottom"/>
            <w:tcBorders>
              <w:right w:val="single" w:sz="8" w:color="231F20"/>
            </w:tcBorders>
          </w:tcPr>
          <w:p>
            <w:pPr>
              <w:ind w:left="200"/>
              <w:spacing w:after="0"/>
              <w:rPr>
                <w:sz w:val="20"/>
                <w:szCs w:val="20"/>
                <w:color w:val="auto"/>
              </w:rPr>
            </w:pPr>
            <w:r>
              <w:rPr>
                <w:rFonts w:ascii="Arial" w:cs="Arial" w:eastAsia="Arial" w:hAnsi="Arial"/>
                <w:sz w:val="18"/>
                <w:szCs w:val="18"/>
                <w:color w:val="231F20"/>
              </w:rPr>
              <w:t>Š</w:t>
            </w:r>
          </w:p>
        </w:tc>
        <w:tc>
          <w:tcPr>
            <w:tcW w:w="840" w:type="dxa"/>
            <w:vAlign w:val="bottom"/>
            <w:tcBorders>
              <w:right w:val="single" w:sz="8" w:color="231F20"/>
            </w:tcBorders>
          </w:tcPr>
          <w:p>
            <w:pPr>
              <w:jc w:val="center"/>
              <w:ind w:right="292"/>
              <w:spacing w:after="0"/>
              <w:rPr>
                <w:sz w:val="20"/>
                <w:szCs w:val="20"/>
                <w:color w:val="auto"/>
              </w:rPr>
            </w:pPr>
            <w:r>
              <w:rPr>
                <w:rFonts w:ascii="Arial" w:cs="Arial" w:eastAsia="Arial" w:hAnsi="Arial"/>
                <w:sz w:val="18"/>
                <w:szCs w:val="18"/>
                <w:color w:val="231F20"/>
                <w:w w:val="82"/>
              </w:rPr>
              <w:t>Š</w:t>
            </w:r>
          </w:p>
        </w:tc>
        <w:tc>
          <w:tcPr>
            <w:tcW w:w="820" w:type="dxa"/>
            <w:vAlign w:val="bottom"/>
            <w:tcBorders>
              <w:right w:val="single" w:sz="8" w:color="231F20"/>
            </w:tcBorders>
          </w:tcPr>
          <w:p>
            <w:pPr>
              <w:jc w:val="center"/>
              <w:ind w:right="312"/>
              <w:spacing w:after="0"/>
              <w:rPr>
                <w:sz w:val="20"/>
                <w:szCs w:val="20"/>
                <w:color w:val="auto"/>
              </w:rPr>
            </w:pPr>
            <w:r>
              <w:rPr>
                <w:rFonts w:ascii="Arial" w:cs="Arial" w:eastAsia="Arial" w:hAnsi="Arial"/>
                <w:sz w:val="18"/>
                <w:szCs w:val="18"/>
                <w:color w:val="231F20"/>
                <w:w w:val="82"/>
              </w:rPr>
              <w:t>Š</w:t>
            </w:r>
          </w:p>
        </w:tc>
        <w:tc>
          <w:tcPr>
            <w:tcW w:w="860" w:type="dxa"/>
            <w:vAlign w:val="bottom"/>
            <w:tcBorders>
              <w:right w:val="single" w:sz="8" w:color="231F20"/>
            </w:tcBorders>
          </w:tcPr>
          <w:p>
            <w:pPr>
              <w:jc w:val="center"/>
              <w:ind w:right="311"/>
              <w:spacing w:after="0"/>
              <w:rPr>
                <w:sz w:val="20"/>
                <w:szCs w:val="20"/>
                <w:color w:val="auto"/>
              </w:rPr>
            </w:pPr>
            <w:r>
              <w:rPr>
                <w:rFonts w:ascii="Arial" w:cs="Arial" w:eastAsia="Arial" w:hAnsi="Arial"/>
                <w:sz w:val="18"/>
                <w:szCs w:val="18"/>
                <w:color w:val="231F20"/>
                <w:w w:val="82"/>
              </w:rPr>
              <w:t>Š</w:t>
            </w:r>
          </w:p>
        </w:tc>
        <w:tc>
          <w:tcPr>
            <w:tcW w:w="0" w:type="dxa"/>
            <w:vAlign w:val="bottom"/>
          </w:tcPr>
          <w:p>
            <w:pPr>
              <w:spacing w:after="0"/>
              <w:rPr>
                <w:sz w:val="1"/>
                <w:szCs w:val="1"/>
                <w:color w:val="auto"/>
              </w:rPr>
            </w:pPr>
          </w:p>
        </w:tc>
      </w:tr>
      <w:tr>
        <w:trPr>
          <w:trHeight w:val="78"/>
        </w:trPr>
        <w:tc>
          <w:tcPr>
            <w:tcW w:w="20" w:type="dxa"/>
            <w:vAlign w:val="bottom"/>
            <w:tcBorders>
              <w:bottom w:val="single" w:sz="8" w:color="231F20"/>
            </w:tcBorders>
          </w:tcPr>
          <w:p>
            <w:pPr>
              <w:spacing w:after="0"/>
              <w:rPr>
                <w:sz w:val="6"/>
                <w:szCs w:val="6"/>
                <w:color w:val="auto"/>
              </w:rPr>
            </w:pPr>
          </w:p>
        </w:tc>
        <w:tc>
          <w:tcPr>
            <w:tcW w:w="3780" w:type="dxa"/>
            <w:vAlign w:val="bottom"/>
            <w:tcBorders>
              <w:bottom w:val="single" w:sz="8" w:color="231F20"/>
              <w:right w:val="single" w:sz="8" w:color="231F20"/>
            </w:tcBorders>
            <w:vMerge w:val="continue"/>
          </w:tcPr>
          <w:p>
            <w:pPr>
              <w:spacing w:after="0"/>
              <w:rPr>
                <w:sz w:val="6"/>
                <w:szCs w:val="6"/>
                <w:color w:val="auto"/>
              </w:rPr>
            </w:pPr>
          </w:p>
        </w:tc>
        <w:tc>
          <w:tcPr>
            <w:tcW w:w="480" w:type="dxa"/>
            <w:vAlign w:val="bottom"/>
            <w:tcBorders>
              <w:bottom w:val="single" w:sz="8" w:color="231F20"/>
            </w:tcBorders>
          </w:tcPr>
          <w:p>
            <w:pPr>
              <w:spacing w:after="0"/>
              <w:rPr>
                <w:sz w:val="6"/>
                <w:szCs w:val="6"/>
                <w:color w:val="auto"/>
              </w:rPr>
            </w:pPr>
          </w:p>
        </w:tc>
        <w:tc>
          <w:tcPr>
            <w:tcW w:w="100" w:type="dxa"/>
            <w:vAlign w:val="bottom"/>
            <w:tcBorders>
              <w:bottom w:val="single" w:sz="8" w:color="231F20"/>
              <w:right w:val="single" w:sz="8" w:color="231F20"/>
            </w:tcBorders>
          </w:tcPr>
          <w:p>
            <w:pPr>
              <w:spacing w:after="0"/>
              <w:rPr>
                <w:sz w:val="6"/>
                <w:szCs w:val="6"/>
                <w:color w:val="auto"/>
              </w:rPr>
            </w:pPr>
          </w:p>
        </w:tc>
        <w:tc>
          <w:tcPr>
            <w:tcW w:w="980" w:type="dxa"/>
            <w:vAlign w:val="bottom"/>
            <w:tcBorders>
              <w:bottom w:val="single" w:sz="8" w:color="231F20"/>
              <w:right w:val="single" w:sz="8" w:color="231F20"/>
            </w:tcBorders>
          </w:tcPr>
          <w:p>
            <w:pPr>
              <w:spacing w:after="0"/>
              <w:rPr>
                <w:sz w:val="6"/>
                <w:szCs w:val="6"/>
                <w:color w:val="auto"/>
              </w:rPr>
            </w:pPr>
          </w:p>
        </w:tc>
        <w:tc>
          <w:tcPr>
            <w:tcW w:w="820" w:type="dxa"/>
            <w:vAlign w:val="bottom"/>
            <w:tcBorders>
              <w:bottom w:val="single" w:sz="8" w:color="231F20"/>
              <w:right w:val="single" w:sz="8" w:color="231F20"/>
            </w:tcBorders>
          </w:tcPr>
          <w:p>
            <w:pPr>
              <w:spacing w:after="0"/>
              <w:rPr>
                <w:sz w:val="6"/>
                <w:szCs w:val="6"/>
                <w:color w:val="auto"/>
              </w:rPr>
            </w:pPr>
          </w:p>
        </w:tc>
        <w:tc>
          <w:tcPr>
            <w:tcW w:w="760" w:type="dxa"/>
            <w:vAlign w:val="bottom"/>
            <w:tcBorders>
              <w:bottom w:val="single" w:sz="8" w:color="231F20"/>
              <w:right w:val="single" w:sz="8" w:color="231F20"/>
            </w:tcBorders>
          </w:tcPr>
          <w:p>
            <w:pPr>
              <w:spacing w:after="0"/>
              <w:rPr>
                <w:sz w:val="6"/>
                <w:szCs w:val="6"/>
                <w:color w:val="auto"/>
              </w:rPr>
            </w:pPr>
          </w:p>
        </w:tc>
        <w:tc>
          <w:tcPr>
            <w:tcW w:w="840" w:type="dxa"/>
            <w:vAlign w:val="bottom"/>
            <w:tcBorders>
              <w:bottom w:val="single" w:sz="8" w:color="231F20"/>
              <w:right w:val="single" w:sz="8" w:color="231F20"/>
            </w:tcBorders>
          </w:tcPr>
          <w:p>
            <w:pPr>
              <w:spacing w:after="0"/>
              <w:rPr>
                <w:sz w:val="6"/>
                <w:szCs w:val="6"/>
                <w:color w:val="auto"/>
              </w:rPr>
            </w:pPr>
          </w:p>
        </w:tc>
        <w:tc>
          <w:tcPr>
            <w:tcW w:w="840" w:type="dxa"/>
            <w:vAlign w:val="bottom"/>
            <w:tcBorders>
              <w:bottom w:val="single" w:sz="8" w:color="231F20"/>
              <w:right w:val="single" w:sz="8" w:color="231F20"/>
            </w:tcBorders>
          </w:tcPr>
          <w:p>
            <w:pPr>
              <w:spacing w:after="0"/>
              <w:rPr>
                <w:sz w:val="6"/>
                <w:szCs w:val="6"/>
                <w:color w:val="auto"/>
              </w:rPr>
            </w:pPr>
          </w:p>
        </w:tc>
        <w:tc>
          <w:tcPr>
            <w:tcW w:w="820" w:type="dxa"/>
            <w:vAlign w:val="bottom"/>
            <w:tcBorders>
              <w:bottom w:val="single" w:sz="8" w:color="231F20"/>
              <w:right w:val="single" w:sz="8" w:color="231F20"/>
            </w:tcBorders>
          </w:tcPr>
          <w:p>
            <w:pPr>
              <w:spacing w:after="0"/>
              <w:rPr>
                <w:sz w:val="6"/>
                <w:szCs w:val="6"/>
                <w:color w:val="auto"/>
              </w:rPr>
            </w:pPr>
          </w:p>
        </w:tc>
        <w:tc>
          <w:tcPr>
            <w:tcW w:w="860" w:type="dxa"/>
            <w:vAlign w:val="bottom"/>
            <w:tcBorders>
              <w:bottom w:val="single" w:sz="8" w:color="231F20"/>
              <w:right w:val="single" w:sz="8" w:color="231F20"/>
            </w:tcBorders>
          </w:tcPr>
          <w:p>
            <w:pPr>
              <w:spacing w:after="0"/>
              <w:rPr>
                <w:sz w:val="6"/>
                <w:szCs w:val="6"/>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780" w:type="dxa"/>
            <w:vAlign w:val="bottom"/>
            <w:tcBorders>
              <w:right w:val="single" w:sz="8" w:color="231F20"/>
            </w:tcBorders>
            <w:vMerge w:val="restart"/>
          </w:tcPr>
          <w:p>
            <w:pPr>
              <w:ind w:left="440"/>
              <w:spacing w:after="0"/>
              <w:rPr>
                <w:sz w:val="20"/>
                <w:szCs w:val="20"/>
                <w:color w:val="auto"/>
              </w:rPr>
            </w:pPr>
            <w:r>
              <w:rPr>
                <w:rFonts w:ascii="Arial" w:cs="Arial" w:eastAsia="Arial" w:hAnsi="Arial"/>
                <w:sz w:val="18"/>
                <w:szCs w:val="18"/>
                <w:color w:val="231F20"/>
              </w:rPr>
              <w:t>Financial Expertise/Literacy</w:t>
            </w:r>
          </w:p>
        </w:tc>
        <w:tc>
          <w:tcPr>
            <w:tcW w:w="480" w:type="dxa"/>
            <w:vAlign w:val="bottom"/>
          </w:tcPr>
          <w:p>
            <w:pPr>
              <w:jc w:val="center"/>
              <w:ind w:right="91"/>
              <w:spacing w:after="0"/>
              <w:rPr>
                <w:sz w:val="20"/>
                <w:szCs w:val="20"/>
                <w:color w:val="auto"/>
              </w:rPr>
            </w:pPr>
            <w:r>
              <w:rPr>
                <w:rFonts w:ascii="Arial" w:cs="Arial" w:eastAsia="Arial" w:hAnsi="Arial"/>
                <w:sz w:val="18"/>
                <w:szCs w:val="18"/>
                <w:color w:val="231F20"/>
                <w:w w:val="82"/>
              </w:rPr>
              <w:t>Š</w:t>
            </w:r>
          </w:p>
        </w:tc>
        <w:tc>
          <w:tcPr>
            <w:tcW w:w="100" w:type="dxa"/>
            <w:vAlign w:val="bottom"/>
            <w:tcBorders>
              <w:right w:val="single" w:sz="8" w:color="231F20"/>
            </w:tcBorders>
          </w:tcPr>
          <w:p>
            <w:pPr>
              <w:spacing w:after="0"/>
              <w:rPr>
                <w:sz w:val="22"/>
                <w:szCs w:val="22"/>
                <w:color w:val="auto"/>
              </w:rPr>
            </w:pPr>
          </w:p>
        </w:tc>
        <w:tc>
          <w:tcPr>
            <w:tcW w:w="980" w:type="dxa"/>
            <w:vAlign w:val="bottom"/>
            <w:tcBorders>
              <w:right w:val="single" w:sz="8" w:color="231F20"/>
            </w:tcBorders>
          </w:tcPr>
          <w:p>
            <w:pPr>
              <w:jc w:val="center"/>
              <w:ind w:right="151"/>
              <w:spacing w:after="0"/>
              <w:rPr>
                <w:sz w:val="20"/>
                <w:szCs w:val="20"/>
                <w:color w:val="auto"/>
              </w:rPr>
            </w:pPr>
            <w:r>
              <w:rPr>
                <w:rFonts w:ascii="Arial" w:cs="Arial" w:eastAsia="Arial" w:hAnsi="Arial"/>
                <w:sz w:val="18"/>
                <w:szCs w:val="18"/>
                <w:color w:val="231F20"/>
                <w:w w:val="82"/>
              </w:rPr>
              <w:t>Š</w:t>
            </w:r>
          </w:p>
        </w:tc>
        <w:tc>
          <w:tcPr>
            <w:tcW w:w="820" w:type="dxa"/>
            <w:vAlign w:val="bottom"/>
            <w:tcBorders>
              <w:right w:val="single" w:sz="8" w:color="231F20"/>
            </w:tcBorders>
          </w:tcPr>
          <w:p>
            <w:pPr>
              <w:jc w:val="center"/>
              <w:ind w:right="391"/>
              <w:spacing w:after="0"/>
              <w:rPr>
                <w:sz w:val="20"/>
                <w:szCs w:val="20"/>
                <w:color w:val="auto"/>
              </w:rPr>
            </w:pPr>
            <w:r>
              <w:rPr>
                <w:rFonts w:ascii="Arial" w:cs="Arial" w:eastAsia="Arial" w:hAnsi="Arial"/>
                <w:sz w:val="18"/>
                <w:szCs w:val="18"/>
                <w:color w:val="231F20"/>
                <w:w w:val="82"/>
              </w:rPr>
              <w:t>Š</w:t>
            </w:r>
          </w:p>
        </w:tc>
        <w:tc>
          <w:tcPr>
            <w:tcW w:w="760" w:type="dxa"/>
            <w:vAlign w:val="bottom"/>
            <w:tcBorders>
              <w:right w:val="single" w:sz="8" w:color="231F20"/>
            </w:tcBorders>
          </w:tcPr>
          <w:p>
            <w:pPr>
              <w:spacing w:after="0"/>
              <w:rPr>
                <w:sz w:val="22"/>
                <w:szCs w:val="22"/>
                <w:color w:val="auto"/>
              </w:rPr>
            </w:pPr>
          </w:p>
        </w:tc>
        <w:tc>
          <w:tcPr>
            <w:tcW w:w="840" w:type="dxa"/>
            <w:vAlign w:val="bottom"/>
            <w:tcBorders>
              <w:right w:val="single" w:sz="8" w:color="231F20"/>
            </w:tcBorders>
          </w:tcPr>
          <w:p>
            <w:pPr>
              <w:ind w:left="200"/>
              <w:spacing w:after="0"/>
              <w:rPr>
                <w:sz w:val="20"/>
                <w:szCs w:val="20"/>
                <w:color w:val="auto"/>
              </w:rPr>
            </w:pPr>
            <w:r>
              <w:rPr>
                <w:rFonts w:ascii="Arial" w:cs="Arial" w:eastAsia="Arial" w:hAnsi="Arial"/>
                <w:sz w:val="18"/>
                <w:szCs w:val="18"/>
                <w:color w:val="231F20"/>
              </w:rPr>
              <w:t>Š</w:t>
            </w:r>
          </w:p>
        </w:tc>
        <w:tc>
          <w:tcPr>
            <w:tcW w:w="840" w:type="dxa"/>
            <w:vAlign w:val="bottom"/>
            <w:tcBorders>
              <w:right w:val="single" w:sz="8" w:color="231F20"/>
            </w:tcBorders>
          </w:tcPr>
          <w:p>
            <w:pPr>
              <w:jc w:val="center"/>
              <w:ind w:right="292"/>
              <w:spacing w:after="0"/>
              <w:rPr>
                <w:sz w:val="20"/>
                <w:szCs w:val="20"/>
                <w:color w:val="auto"/>
              </w:rPr>
            </w:pPr>
            <w:r>
              <w:rPr>
                <w:rFonts w:ascii="Arial" w:cs="Arial" w:eastAsia="Arial" w:hAnsi="Arial"/>
                <w:sz w:val="18"/>
                <w:szCs w:val="18"/>
                <w:color w:val="231F20"/>
                <w:w w:val="82"/>
              </w:rPr>
              <w:t>Š</w:t>
            </w:r>
          </w:p>
        </w:tc>
        <w:tc>
          <w:tcPr>
            <w:tcW w:w="820" w:type="dxa"/>
            <w:vAlign w:val="bottom"/>
            <w:tcBorders>
              <w:right w:val="single" w:sz="8" w:color="231F20"/>
            </w:tcBorders>
          </w:tcPr>
          <w:p>
            <w:pPr>
              <w:jc w:val="center"/>
              <w:ind w:right="312"/>
              <w:spacing w:after="0"/>
              <w:rPr>
                <w:sz w:val="20"/>
                <w:szCs w:val="20"/>
                <w:color w:val="auto"/>
              </w:rPr>
            </w:pPr>
            <w:r>
              <w:rPr>
                <w:rFonts w:ascii="Arial" w:cs="Arial" w:eastAsia="Arial" w:hAnsi="Arial"/>
                <w:sz w:val="18"/>
                <w:szCs w:val="18"/>
                <w:color w:val="231F20"/>
                <w:w w:val="82"/>
              </w:rPr>
              <w:t>Š</w:t>
            </w:r>
          </w:p>
        </w:tc>
        <w:tc>
          <w:tcPr>
            <w:tcW w:w="860" w:type="dxa"/>
            <w:vAlign w:val="bottom"/>
            <w:tcBorders>
              <w:right w:val="single" w:sz="8" w:color="231F20"/>
            </w:tcBorders>
          </w:tcPr>
          <w:p>
            <w:pPr>
              <w:jc w:val="center"/>
              <w:ind w:right="311"/>
              <w:spacing w:after="0"/>
              <w:rPr>
                <w:sz w:val="20"/>
                <w:szCs w:val="20"/>
                <w:color w:val="auto"/>
              </w:rPr>
            </w:pPr>
            <w:r>
              <w:rPr>
                <w:rFonts w:ascii="Arial" w:cs="Arial" w:eastAsia="Arial" w:hAnsi="Arial"/>
                <w:sz w:val="18"/>
                <w:szCs w:val="18"/>
                <w:color w:val="231F20"/>
                <w:w w:val="82"/>
              </w:rPr>
              <w:t>Š</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3780" w:type="dxa"/>
            <w:vAlign w:val="bottom"/>
            <w:tcBorders>
              <w:right w:val="single" w:sz="8" w:color="231F20"/>
            </w:tcBorders>
            <w:vMerge w:val="continue"/>
          </w:tcPr>
          <w:p>
            <w:pPr>
              <w:spacing w:after="0"/>
              <w:rPr>
                <w:sz w:val="6"/>
                <w:szCs w:val="6"/>
                <w:color w:val="auto"/>
              </w:rPr>
            </w:pPr>
          </w:p>
        </w:tc>
        <w:tc>
          <w:tcPr>
            <w:tcW w:w="480" w:type="dxa"/>
            <w:vAlign w:val="bottom"/>
          </w:tcPr>
          <w:p>
            <w:pPr>
              <w:spacing w:after="0"/>
              <w:rPr>
                <w:sz w:val="6"/>
                <w:szCs w:val="6"/>
                <w:color w:val="auto"/>
              </w:rPr>
            </w:pPr>
          </w:p>
        </w:tc>
        <w:tc>
          <w:tcPr>
            <w:tcW w:w="100" w:type="dxa"/>
            <w:vAlign w:val="bottom"/>
            <w:tcBorders>
              <w:right w:val="single" w:sz="8" w:color="231F20"/>
            </w:tcBorders>
          </w:tcPr>
          <w:p>
            <w:pPr>
              <w:spacing w:after="0"/>
              <w:rPr>
                <w:sz w:val="6"/>
                <w:szCs w:val="6"/>
                <w:color w:val="auto"/>
              </w:rPr>
            </w:pPr>
          </w:p>
        </w:tc>
        <w:tc>
          <w:tcPr>
            <w:tcW w:w="980" w:type="dxa"/>
            <w:vAlign w:val="bottom"/>
            <w:tcBorders>
              <w:right w:val="single" w:sz="8" w:color="231F20"/>
            </w:tcBorders>
          </w:tcPr>
          <w:p>
            <w:pPr>
              <w:spacing w:after="0"/>
              <w:rPr>
                <w:sz w:val="6"/>
                <w:szCs w:val="6"/>
                <w:color w:val="auto"/>
              </w:rPr>
            </w:pPr>
          </w:p>
        </w:tc>
        <w:tc>
          <w:tcPr>
            <w:tcW w:w="820" w:type="dxa"/>
            <w:vAlign w:val="bottom"/>
            <w:tcBorders>
              <w:right w:val="single" w:sz="8" w:color="231F20"/>
            </w:tcBorders>
          </w:tcPr>
          <w:p>
            <w:pPr>
              <w:spacing w:after="0"/>
              <w:rPr>
                <w:sz w:val="6"/>
                <w:szCs w:val="6"/>
                <w:color w:val="auto"/>
              </w:rPr>
            </w:pPr>
          </w:p>
        </w:tc>
        <w:tc>
          <w:tcPr>
            <w:tcW w:w="760" w:type="dxa"/>
            <w:vAlign w:val="bottom"/>
            <w:tcBorders>
              <w:right w:val="single" w:sz="8" w:color="231F20"/>
            </w:tcBorders>
          </w:tcPr>
          <w:p>
            <w:pPr>
              <w:spacing w:after="0"/>
              <w:rPr>
                <w:sz w:val="6"/>
                <w:szCs w:val="6"/>
                <w:color w:val="auto"/>
              </w:rPr>
            </w:pPr>
          </w:p>
        </w:tc>
        <w:tc>
          <w:tcPr>
            <w:tcW w:w="840" w:type="dxa"/>
            <w:vAlign w:val="bottom"/>
            <w:tcBorders>
              <w:right w:val="single" w:sz="8" w:color="231F20"/>
            </w:tcBorders>
          </w:tcPr>
          <w:p>
            <w:pPr>
              <w:spacing w:after="0"/>
              <w:rPr>
                <w:sz w:val="6"/>
                <w:szCs w:val="6"/>
                <w:color w:val="auto"/>
              </w:rPr>
            </w:pPr>
          </w:p>
        </w:tc>
        <w:tc>
          <w:tcPr>
            <w:tcW w:w="840" w:type="dxa"/>
            <w:vAlign w:val="bottom"/>
            <w:tcBorders>
              <w:right w:val="single" w:sz="8" w:color="231F20"/>
            </w:tcBorders>
          </w:tcPr>
          <w:p>
            <w:pPr>
              <w:spacing w:after="0"/>
              <w:rPr>
                <w:sz w:val="6"/>
                <w:szCs w:val="6"/>
                <w:color w:val="auto"/>
              </w:rPr>
            </w:pPr>
          </w:p>
        </w:tc>
        <w:tc>
          <w:tcPr>
            <w:tcW w:w="820" w:type="dxa"/>
            <w:vAlign w:val="bottom"/>
            <w:tcBorders>
              <w:right w:val="single" w:sz="8" w:color="231F20"/>
            </w:tcBorders>
          </w:tcPr>
          <w:p>
            <w:pPr>
              <w:spacing w:after="0"/>
              <w:rPr>
                <w:sz w:val="6"/>
                <w:szCs w:val="6"/>
                <w:color w:val="auto"/>
              </w:rPr>
            </w:pPr>
          </w:p>
        </w:tc>
        <w:tc>
          <w:tcPr>
            <w:tcW w:w="860" w:type="dxa"/>
            <w:vAlign w:val="bottom"/>
            <w:tcBorders>
              <w:right w:val="single" w:sz="8" w:color="231F20"/>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31F20"/>
            </w:tcBorders>
          </w:tcPr>
          <w:p>
            <w:pPr>
              <w:spacing w:after="0"/>
              <w:rPr>
                <w:sz w:val="3"/>
                <w:szCs w:val="3"/>
                <w:color w:val="auto"/>
              </w:rPr>
            </w:pPr>
          </w:p>
        </w:tc>
        <w:tc>
          <w:tcPr>
            <w:tcW w:w="3780" w:type="dxa"/>
            <w:vAlign w:val="bottom"/>
            <w:tcBorders>
              <w:bottom w:val="single" w:sz="8" w:color="231F20"/>
              <w:right w:val="single" w:sz="8" w:color="231F20"/>
            </w:tcBorders>
          </w:tcPr>
          <w:p>
            <w:pPr>
              <w:spacing w:after="0"/>
              <w:rPr>
                <w:sz w:val="3"/>
                <w:szCs w:val="3"/>
                <w:color w:val="auto"/>
              </w:rPr>
            </w:pPr>
          </w:p>
        </w:tc>
        <w:tc>
          <w:tcPr>
            <w:tcW w:w="480" w:type="dxa"/>
            <w:vAlign w:val="bottom"/>
            <w:tcBorders>
              <w:bottom w:val="single" w:sz="8" w:color="231F20"/>
            </w:tcBorders>
          </w:tcPr>
          <w:p>
            <w:pPr>
              <w:spacing w:after="0"/>
              <w:rPr>
                <w:sz w:val="3"/>
                <w:szCs w:val="3"/>
                <w:color w:val="auto"/>
              </w:rPr>
            </w:pPr>
          </w:p>
        </w:tc>
        <w:tc>
          <w:tcPr>
            <w:tcW w:w="100" w:type="dxa"/>
            <w:vAlign w:val="bottom"/>
            <w:tcBorders>
              <w:bottom w:val="single" w:sz="8" w:color="231F20"/>
              <w:right w:val="single" w:sz="8" w:color="231F20"/>
            </w:tcBorders>
          </w:tcPr>
          <w:p>
            <w:pPr>
              <w:spacing w:after="0"/>
              <w:rPr>
                <w:sz w:val="3"/>
                <w:szCs w:val="3"/>
                <w:color w:val="auto"/>
              </w:rPr>
            </w:pPr>
          </w:p>
        </w:tc>
        <w:tc>
          <w:tcPr>
            <w:tcW w:w="980" w:type="dxa"/>
            <w:vAlign w:val="bottom"/>
            <w:tcBorders>
              <w:bottom w:val="single" w:sz="8" w:color="231F20"/>
              <w:right w:val="single" w:sz="8" w:color="231F20"/>
            </w:tcBorders>
          </w:tcPr>
          <w:p>
            <w:pPr>
              <w:spacing w:after="0"/>
              <w:rPr>
                <w:sz w:val="3"/>
                <w:szCs w:val="3"/>
                <w:color w:val="auto"/>
              </w:rPr>
            </w:pPr>
          </w:p>
        </w:tc>
        <w:tc>
          <w:tcPr>
            <w:tcW w:w="820" w:type="dxa"/>
            <w:vAlign w:val="bottom"/>
            <w:tcBorders>
              <w:bottom w:val="single" w:sz="8" w:color="231F20"/>
              <w:right w:val="single" w:sz="8" w:color="231F20"/>
            </w:tcBorders>
          </w:tcPr>
          <w:p>
            <w:pPr>
              <w:spacing w:after="0"/>
              <w:rPr>
                <w:sz w:val="3"/>
                <w:szCs w:val="3"/>
                <w:color w:val="auto"/>
              </w:rPr>
            </w:pPr>
          </w:p>
        </w:tc>
        <w:tc>
          <w:tcPr>
            <w:tcW w:w="760" w:type="dxa"/>
            <w:vAlign w:val="bottom"/>
            <w:tcBorders>
              <w:bottom w:val="single" w:sz="8" w:color="231F20"/>
              <w:right w:val="single" w:sz="8" w:color="231F20"/>
            </w:tcBorders>
          </w:tcPr>
          <w:p>
            <w:pPr>
              <w:spacing w:after="0"/>
              <w:rPr>
                <w:sz w:val="3"/>
                <w:szCs w:val="3"/>
                <w:color w:val="auto"/>
              </w:rPr>
            </w:pPr>
          </w:p>
        </w:tc>
        <w:tc>
          <w:tcPr>
            <w:tcW w:w="840" w:type="dxa"/>
            <w:vAlign w:val="bottom"/>
            <w:tcBorders>
              <w:bottom w:val="single" w:sz="8" w:color="231F20"/>
              <w:right w:val="single" w:sz="8" w:color="231F20"/>
            </w:tcBorders>
          </w:tcPr>
          <w:p>
            <w:pPr>
              <w:spacing w:after="0"/>
              <w:rPr>
                <w:sz w:val="3"/>
                <w:szCs w:val="3"/>
                <w:color w:val="auto"/>
              </w:rPr>
            </w:pPr>
          </w:p>
        </w:tc>
        <w:tc>
          <w:tcPr>
            <w:tcW w:w="840" w:type="dxa"/>
            <w:vAlign w:val="bottom"/>
            <w:tcBorders>
              <w:bottom w:val="single" w:sz="8" w:color="231F20"/>
              <w:right w:val="single" w:sz="8" w:color="231F20"/>
            </w:tcBorders>
          </w:tcPr>
          <w:p>
            <w:pPr>
              <w:spacing w:after="0"/>
              <w:rPr>
                <w:sz w:val="3"/>
                <w:szCs w:val="3"/>
                <w:color w:val="auto"/>
              </w:rPr>
            </w:pPr>
          </w:p>
        </w:tc>
        <w:tc>
          <w:tcPr>
            <w:tcW w:w="820" w:type="dxa"/>
            <w:vAlign w:val="bottom"/>
            <w:tcBorders>
              <w:bottom w:val="single" w:sz="8" w:color="231F20"/>
              <w:right w:val="single" w:sz="8" w:color="231F20"/>
            </w:tcBorders>
          </w:tcPr>
          <w:p>
            <w:pPr>
              <w:spacing w:after="0"/>
              <w:rPr>
                <w:sz w:val="3"/>
                <w:szCs w:val="3"/>
                <w:color w:val="auto"/>
              </w:rPr>
            </w:pPr>
          </w:p>
        </w:tc>
        <w:tc>
          <w:tcPr>
            <w:tcW w:w="860" w:type="dxa"/>
            <w:vAlign w:val="bottom"/>
            <w:tcBorders>
              <w:bottom w:val="single" w:sz="8" w:color="231F20"/>
              <w:right w:val="single" w:sz="8" w:color="231F20"/>
            </w:tcBorders>
          </w:tcPr>
          <w:p>
            <w:pPr>
              <w:spacing w:after="0"/>
              <w:rPr>
                <w:sz w:val="3"/>
                <w:szCs w:val="3"/>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3780" w:type="dxa"/>
            <w:vAlign w:val="bottom"/>
            <w:tcBorders>
              <w:right w:val="single" w:sz="8" w:color="231F20"/>
            </w:tcBorders>
            <w:vMerge w:val="restart"/>
          </w:tcPr>
          <w:p>
            <w:pPr>
              <w:ind w:left="440"/>
              <w:spacing w:after="0"/>
              <w:rPr>
                <w:sz w:val="20"/>
                <w:szCs w:val="20"/>
                <w:color w:val="auto"/>
              </w:rPr>
            </w:pPr>
            <w:r>
              <w:rPr>
                <w:rFonts w:ascii="Arial" w:cs="Arial" w:eastAsia="Arial" w:hAnsi="Arial"/>
                <w:sz w:val="18"/>
                <w:szCs w:val="18"/>
                <w:color w:val="231F20"/>
              </w:rPr>
              <w:t>Real Estate Investing/Finance</w:t>
            </w:r>
          </w:p>
        </w:tc>
        <w:tc>
          <w:tcPr>
            <w:tcW w:w="480" w:type="dxa"/>
            <w:vAlign w:val="bottom"/>
          </w:tcPr>
          <w:p>
            <w:pPr>
              <w:jc w:val="center"/>
              <w:ind w:right="91"/>
              <w:spacing w:after="0"/>
              <w:rPr>
                <w:sz w:val="20"/>
                <w:szCs w:val="20"/>
                <w:color w:val="auto"/>
              </w:rPr>
            </w:pPr>
            <w:r>
              <w:rPr>
                <w:rFonts w:ascii="Arial" w:cs="Arial" w:eastAsia="Arial" w:hAnsi="Arial"/>
                <w:sz w:val="18"/>
                <w:szCs w:val="18"/>
                <w:color w:val="231F20"/>
                <w:w w:val="82"/>
              </w:rPr>
              <w:t>Š</w:t>
            </w:r>
          </w:p>
        </w:tc>
        <w:tc>
          <w:tcPr>
            <w:tcW w:w="100" w:type="dxa"/>
            <w:vAlign w:val="bottom"/>
            <w:tcBorders>
              <w:right w:val="single" w:sz="8" w:color="231F20"/>
            </w:tcBorders>
          </w:tcPr>
          <w:p>
            <w:pPr>
              <w:spacing w:after="0"/>
              <w:rPr>
                <w:sz w:val="22"/>
                <w:szCs w:val="22"/>
                <w:color w:val="auto"/>
              </w:rPr>
            </w:pPr>
          </w:p>
        </w:tc>
        <w:tc>
          <w:tcPr>
            <w:tcW w:w="980" w:type="dxa"/>
            <w:vAlign w:val="bottom"/>
            <w:tcBorders>
              <w:right w:val="single" w:sz="8" w:color="231F20"/>
            </w:tcBorders>
          </w:tcPr>
          <w:p>
            <w:pPr>
              <w:jc w:val="center"/>
              <w:ind w:right="151"/>
              <w:spacing w:after="0"/>
              <w:rPr>
                <w:sz w:val="20"/>
                <w:szCs w:val="20"/>
                <w:color w:val="auto"/>
              </w:rPr>
            </w:pPr>
            <w:r>
              <w:rPr>
                <w:rFonts w:ascii="Arial" w:cs="Arial" w:eastAsia="Arial" w:hAnsi="Arial"/>
                <w:sz w:val="18"/>
                <w:szCs w:val="18"/>
                <w:color w:val="231F20"/>
                <w:w w:val="82"/>
              </w:rPr>
              <w:t>Š</w:t>
            </w:r>
          </w:p>
        </w:tc>
        <w:tc>
          <w:tcPr>
            <w:tcW w:w="820" w:type="dxa"/>
            <w:vAlign w:val="bottom"/>
            <w:tcBorders>
              <w:right w:val="single" w:sz="8" w:color="231F20"/>
            </w:tcBorders>
          </w:tcPr>
          <w:p>
            <w:pPr>
              <w:jc w:val="center"/>
              <w:ind w:right="391"/>
              <w:spacing w:after="0"/>
              <w:rPr>
                <w:sz w:val="20"/>
                <w:szCs w:val="20"/>
                <w:color w:val="auto"/>
              </w:rPr>
            </w:pPr>
            <w:r>
              <w:rPr>
                <w:rFonts w:ascii="Arial" w:cs="Arial" w:eastAsia="Arial" w:hAnsi="Arial"/>
                <w:sz w:val="18"/>
                <w:szCs w:val="18"/>
                <w:color w:val="231F20"/>
                <w:w w:val="82"/>
              </w:rPr>
              <w:t>Š</w:t>
            </w:r>
          </w:p>
        </w:tc>
        <w:tc>
          <w:tcPr>
            <w:tcW w:w="760" w:type="dxa"/>
            <w:vAlign w:val="bottom"/>
            <w:tcBorders>
              <w:right w:val="single" w:sz="8" w:color="231F20"/>
            </w:tcBorders>
          </w:tcPr>
          <w:p>
            <w:pPr>
              <w:spacing w:after="0"/>
              <w:rPr>
                <w:sz w:val="22"/>
                <w:szCs w:val="22"/>
                <w:color w:val="auto"/>
              </w:rPr>
            </w:pPr>
          </w:p>
        </w:tc>
        <w:tc>
          <w:tcPr>
            <w:tcW w:w="840" w:type="dxa"/>
            <w:vAlign w:val="bottom"/>
            <w:tcBorders>
              <w:right w:val="single" w:sz="8" w:color="231F20"/>
            </w:tcBorders>
          </w:tcPr>
          <w:p>
            <w:pPr>
              <w:spacing w:after="0"/>
              <w:rPr>
                <w:sz w:val="22"/>
                <w:szCs w:val="22"/>
                <w:color w:val="auto"/>
              </w:rPr>
            </w:pPr>
          </w:p>
        </w:tc>
        <w:tc>
          <w:tcPr>
            <w:tcW w:w="840" w:type="dxa"/>
            <w:vAlign w:val="bottom"/>
            <w:tcBorders>
              <w:right w:val="single" w:sz="8" w:color="231F20"/>
            </w:tcBorders>
          </w:tcPr>
          <w:p>
            <w:pPr>
              <w:jc w:val="center"/>
              <w:ind w:right="292"/>
              <w:spacing w:after="0"/>
              <w:rPr>
                <w:sz w:val="20"/>
                <w:szCs w:val="20"/>
                <w:color w:val="auto"/>
              </w:rPr>
            </w:pPr>
            <w:r>
              <w:rPr>
                <w:rFonts w:ascii="Arial" w:cs="Arial" w:eastAsia="Arial" w:hAnsi="Arial"/>
                <w:sz w:val="18"/>
                <w:szCs w:val="18"/>
                <w:color w:val="231F20"/>
                <w:w w:val="82"/>
              </w:rPr>
              <w:t>Š</w:t>
            </w:r>
          </w:p>
        </w:tc>
        <w:tc>
          <w:tcPr>
            <w:tcW w:w="820" w:type="dxa"/>
            <w:vAlign w:val="bottom"/>
            <w:tcBorders>
              <w:right w:val="single" w:sz="8" w:color="231F20"/>
            </w:tcBorders>
          </w:tcPr>
          <w:p>
            <w:pPr>
              <w:spacing w:after="0"/>
              <w:rPr>
                <w:sz w:val="22"/>
                <w:szCs w:val="22"/>
                <w:color w:val="auto"/>
              </w:rPr>
            </w:pPr>
          </w:p>
        </w:tc>
        <w:tc>
          <w:tcPr>
            <w:tcW w:w="860" w:type="dxa"/>
            <w:vAlign w:val="bottom"/>
            <w:tcBorders>
              <w:right w:val="single" w:sz="8" w:color="231F20"/>
            </w:tcBorders>
          </w:tcPr>
          <w:p>
            <w:pPr>
              <w:jc w:val="center"/>
              <w:ind w:right="311"/>
              <w:spacing w:after="0"/>
              <w:rPr>
                <w:sz w:val="20"/>
                <w:szCs w:val="20"/>
                <w:color w:val="auto"/>
              </w:rPr>
            </w:pPr>
            <w:r>
              <w:rPr>
                <w:rFonts w:ascii="Arial" w:cs="Arial" w:eastAsia="Arial" w:hAnsi="Arial"/>
                <w:sz w:val="18"/>
                <w:szCs w:val="18"/>
                <w:color w:val="231F20"/>
                <w:w w:val="82"/>
              </w:rPr>
              <w:t>Š</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3780" w:type="dxa"/>
            <w:vAlign w:val="bottom"/>
            <w:tcBorders>
              <w:right w:val="single" w:sz="8" w:color="231F20"/>
            </w:tcBorders>
            <w:vMerge w:val="continue"/>
          </w:tcPr>
          <w:p>
            <w:pPr>
              <w:spacing w:after="0"/>
              <w:rPr>
                <w:sz w:val="6"/>
                <w:szCs w:val="6"/>
                <w:color w:val="auto"/>
              </w:rPr>
            </w:pPr>
          </w:p>
        </w:tc>
        <w:tc>
          <w:tcPr>
            <w:tcW w:w="480" w:type="dxa"/>
            <w:vAlign w:val="bottom"/>
          </w:tcPr>
          <w:p>
            <w:pPr>
              <w:spacing w:after="0"/>
              <w:rPr>
                <w:sz w:val="6"/>
                <w:szCs w:val="6"/>
                <w:color w:val="auto"/>
              </w:rPr>
            </w:pPr>
          </w:p>
        </w:tc>
        <w:tc>
          <w:tcPr>
            <w:tcW w:w="100" w:type="dxa"/>
            <w:vAlign w:val="bottom"/>
            <w:tcBorders>
              <w:right w:val="single" w:sz="8" w:color="231F20"/>
            </w:tcBorders>
          </w:tcPr>
          <w:p>
            <w:pPr>
              <w:spacing w:after="0"/>
              <w:rPr>
                <w:sz w:val="6"/>
                <w:szCs w:val="6"/>
                <w:color w:val="auto"/>
              </w:rPr>
            </w:pPr>
          </w:p>
        </w:tc>
        <w:tc>
          <w:tcPr>
            <w:tcW w:w="980" w:type="dxa"/>
            <w:vAlign w:val="bottom"/>
            <w:tcBorders>
              <w:right w:val="single" w:sz="8" w:color="231F20"/>
            </w:tcBorders>
          </w:tcPr>
          <w:p>
            <w:pPr>
              <w:spacing w:after="0"/>
              <w:rPr>
                <w:sz w:val="6"/>
                <w:szCs w:val="6"/>
                <w:color w:val="auto"/>
              </w:rPr>
            </w:pPr>
          </w:p>
        </w:tc>
        <w:tc>
          <w:tcPr>
            <w:tcW w:w="820" w:type="dxa"/>
            <w:vAlign w:val="bottom"/>
            <w:tcBorders>
              <w:right w:val="single" w:sz="8" w:color="231F20"/>
            </w:tcBorders>
          </w:tcPr>
          <w:p>
            <w:pPr>
              <w:spacing w:after="0"/>
              <w:rPr>
                <w:sz w:val="6"/>
                <w:szCs w:val="6"/>
                <w:color w:val="auto"/>
              </w:rPr>
            </w:pPr>
          </w:p>
        </w:tc>
        <w:tc>
          <w:tcPr>
            <w:tcW w:w="760" w:type="dxa"/>
            <w:vAlign w:val="bottom"/>
            <w:tcBorders>
              <w:right w:val="single" w:sz="8" w:color="231F20"/>
            </w:tcBorders>
          </w:tcPr>
          <w:p>
            <w:pPr>
              <w:spacing w:after="0"/>
              <w:rPr>
                <w:sz w:val="6"/>
                <w:szCs w:val="6"/>
                <w:color w:val="auto"/>
              </w:rPr>
            </w:pPr>
          </w:p>
        </w:tc>
        <w:tc>
          <w:tcPr>
            <w:tcW w:w="840" w:type="dxa"/>
            <w:vAlign w:val="bottom"/>
            <w:tcBorders>
              <w:right w:val="single" w:sz="8" w:color="231F20"/>
            </w:tcBorders>
          </w:tcPr>
          <w:p>
            <w:pPr>
              <w:spacing w:after="0"/>
              <w:rPr>
                <w:sz w:val="6"/>
                <w:szCs w:val="6"/>
                <w:color w:val="auto"/>
              </w:rPr>
            </w:pPr>
          </w:p>
        </w:tc>
        <w:tc>
          <w:tcPr>
            <w:tcW w:w="840" w:type="dxa"/>
            <w:vAlign w:val="bottom"/>
            <w:tcBorders>
              <w:right w:val="single" w:sz="8" w:color="231F20"/>
            </w:tcBorders>
          </w:tcPr>
          <w:p>
            <w:pPr>
              <w:spacing w:after="0"/>
              <w:rPr>
                <w:sz w:val="6"/>
                <w:szCs w:val="6"/>
                <w:color w:val="auto"/>
              </w:rPr>
            </w:pPr>
          </w:p>
        </w:tc>
        <w:tc>
          <w:tcPr>
            <w:tcW w:w="820" w:type="dxa"/>
            <w:vAlign w:val="bottom"/>
            <w:tcBorders>
              <w:right w:val="single" w:sz="8" w:color="231F20"/>
            </w:tcBorders>
          </w:tcPr>
          <w:p>
            <w:pPr>
              <w:spacing w:after="0"/>
              <w:rPr>
                <w:sz w:val="6"/>
                <w:szCs w:val="6"/>
                <w:color w:val="auto"/>
              </w:rPr>
            </w:pPr>
          </w:p>
        </w:tc>
        <w:tc>
          <w:tcPr>
            <w:tcW w:w="860" w:type="dxa"/>
            <w:vAlign w:val="bottom"/>
            <w:tcBorders>
              <w:right w:val="single" w:sz="8" w:color="231F20"/>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31F20"/>
            </w:tcBorders>
          </w:tcPr>
          <w:p>
            <w:pPr>
              <w:spacing w:after="0"/>
              <w:rPr>
                <w:sz w:val="3"/>
                <w:szCs w:val="3"/>
                <w:color w:val="auto"/>
              </w:rPr>
            </w:pPr>
          </w:p>
        </w:tc>
        <w:tc>
          <w:tcPr>
            <w:tcW w:w="3780" w:type="dxa"/>
            <w:vAlign w:val="bottom"/>
            <w:tcBorders>
              <w:bottom w:val="single" w:sz="8" w:color="231F20"/>
              <w:right w:val="single" w:sz="8" w:color="231F20"/>
            </w:tcBorders>
          </w:tcPr>
          <w:p>
            <w:pPr>
              <w:spacing w:after="0"/>
              <w:rPr>
                <w:sz w:val="3"/>
                <w:szCs w:val="3"/>
                <w:color w:val="auto"/>
              </w:rPr>
            </w:pPr>
          </w:p>
        </w:tc>
        <w:tc>
          <w:tcPr>
            <w:tcW w:w="480" w:type="dxa"/>
            <w:vAlign w:val="bottom"/>
            <w:tcBorders>
              <w:bottom w:val="single" w:sz="8" w:color="231F20"/>
            </w:tcBorders>
          </w:tcPr>
          <w:p>
            <w:pPr>
              <w:spacing w:after="0"/>
              <w:rPr>
                <w:sz w:val="3"/>
                <w:szCs w:val="3"/>
                <w:color w:val="auto"/>
              </w:rPr>
            </w:pPr>
          </w:p>
        </w:tc>
        <w:tc>
          <w:tcPr>
            <w:tcW w:w="100" w:type="dxa"/>
            <w:vAlign w:val="bottom"/>
            <w:tcBorders>
              <w:bottom w:val="single" w:sz="8" w:color="231F20"/>
              <w:right w:val="single" w:sz="8" w:color="231F20"/>
            </w:tcBorders>
          </w:tcPr>
          <w:p>
            <w:pPr>
              <w:spacing w:after="0"/>
              <w:rPr>
                <w:sz w:val="3"/>
                <w:szCs w:val="3"/>
                <w:color w:val="auto"/>
              </w:rPr>
            </w:pPr>
          </w:p>
        </w:tc>
        <w:tc>
          <w:tcPr>
            <w:tcW w:w="980" w:type="dxa"/>
            <w:vAlign w:val="bottom"/>
            <w:tcBorders>
              <w:bottom w:val="single" w:sz="8" w:color="231F20"/>
              <w:right w:val="single" w:sz="8" w:color="231F20"/>
            </w:tcBorders>
          </w:tcPr>
          <w:p>
            <w:pPr>
              <w:spacing w:after="0"/>
              <w:rPr>
                <w:sz w:val="3"/>
                <w:szCs w:val="3"/>
                <w:color w:val="auto"/>
              </w:rPr>
            </w:pPr>
          </w:p>
        </w:tc>
        <w:tc>
          <w:tcPr>
            <w:tcW w:w="820" w:type="dxa"/>
            <w:vAlign w:val="bottom"/>
            <w:tcBorders>
              <w:bottom w:val="single" w:sz="8" w:color="231F20"/>
              <w:right w:val="single" w:sz="8" w:color="231F20"/>
            </w:tcBorders>
          </w:tcPr>
          <w:p>
            <w:pPr>
              <w:spacing w:after="0"/>
              <w:rPr>
                <w:sz w:val="3"/>
                <w:szCs w:val="3"/>
                <w:color w:val="auto"/>
              </w:rPr>
            </w:pPr>
          </w:p>
        </w:tc>
        <w:tc>
          <w:tcPr>
            <w:tcW w:w="760" w:type="dxa"/>
            <w:vAlign w:val="bottom"/>
            <w:tcBorders>
              <w:bottom w:val="single" w:sz="8" w:color="231F20"/>
              <w:right w:val="single" w:sz="8" w:color="231F20"/>
            </w:tcBorders>
          </w:tcPr>
          <w:p>
            <w:pPr>
              <w:spacing w:after="0"/>
              <w:rPr>
                <w:sz w:val="3"/>
                <w:szCs w:val="3"/>
                <w:color w:val="auto"/>
              </w:rPr>
            </w:pPr>
          </w:p>
        </w:tc>
        <w:tc>
          <w:tcPr>
            <w:tcW w:w="840" w:type="dxa"/>
            <w:vAlign w:val="bottom"/>
            <w:tcBorders>
              <w:bottom w:val="single" w:sz="8" w:color="231F20"/>
              <w:right w:val="single" w:sz="8" w:color="231F20"/>
            </w:tcBorders>
          </w:tcPr>
          <w:p>
            <w:pPr>
              <w:spacing w:after="0"/>
              <w:rPr>
                <w:sz w:val="3"/>
                <w:szCs w:val="3"/>
                <w:color w:val="auto"/>
              </w:rPr>
            </w:pPr>
          </w:p>
        </w:tc>
        <w:tc>
          <w:tcPr>
            <w:tcW w:w="840" w:type="dxa"/>
            <w:vAlign w:val="bottom"/>
            <w:tcBorders>
              <w:bottom w:val="single" w:sz="8" w:color="231F20"/>
              <w:right w:val="single" w:sz="8" w:color="231F20"/>
            </w:tcBorders>
          </w:tcPr>
          <w:p>
            <w:pPr>
              <w:spacing w:after="0"/>
              <w:rPr>
                <w:sz w:val="3"/>
                <w:szCs w:val="3"/>
                <w:color w:val="auto"/>
              </w:rPr>
            </w:pPr>
          </w:p>
        </w:tc>
        <w:tc>
          <w:tcPr>
            <w:tcW w:w="820" w:type="dxa"/>
            <w:vAlign w:val="bottom"/>
            <w:tcBorders>
              <w:bottom w:val="single" w:sz="8" w:color="231F20"/>
              <w:right w:val="single" w:sz="8" w:color="231F20"/>
            </w:tcBorders>
          </w:tcPr>
          <w:p>
            <w:pPr>
              <w:spacing w:after="0"/>
              <w:rPr>
                <w:sz w:val="3"/>
                <w:szCs w:val="3"/>
                <w:color w:val="auto"/>
              </w:rPr>
            </w:pPr>
          </w:p>
        </w:tc>
        <w:tc>
          <w:tcPr>
            <w:tcW w:w="860" w:type="dxa"/>
            <w:vAlign w:val="bottom"/>
            <w:tcBorders>
              <w:bottom w:val="single" w:sz="8" w:color="231F20"/>
              <w:right w:val="single" w:sz="8" w:color="231F20"/>
            </w:tcBorders>
          </w:tcPr>
          <w:p>
            <w:pPr>
              <w:spacing w:after="0"/>
              <w:rPr>
                <w:sz w:val="3"/>
                <w:szCs w:val="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780" w:type="dxa"/>
            <w:vAlign w:val="bottom"/>
            <w:tcBorders>
              <w:right w:val="single" w:sz="8" w:color="231F20"/>
            </w:tcBorders>
            <w:vMerge w:val="restart"/>
          </w:tcPr>
          <w:p>
            <w:pPr>
              <w:ind w:left="440"/>
              <w:spacing w:after="0"/>
              <w:rPr>
                <w:sz w:val="20"/>
                <w:szCs w:val="20"/>
                <w:color w:val="auto"/>
              </w:rPr>
            </w:pPr>
            <w:r>
              <w:rPr>
                <w:rFonts w:ascii="Arial" w:cs="Arial" w:eastAsia="Arial" w:hAnsi="Arial"/>
                <w:sz w:val="18"/>
                <w:szCs w:val="18"/>
                <w:color w:val="231F20"/>
              </w:rPr>
              <w:t>Retail Industry</w:t>
            </w:r>
          </w:p>
        </w:tc>
        <w:tc>
          <w:tcPr>
            <w:tcW w:w="480" w:type="dxa"/>
            <w:vAlign w:val="bottom"/>
          </w:tcPr>
          <w:p>
            <w:pPr>
              <w:spacing w:after="0"/>
              <w:rPr>
                <w:sz w:val="23"/>
                <w:szCs w:val="23"/>
                <w:color w:val="auto"/>
              </w:rPr>
            </w:pPr>
          </w:p>
        </w:tc>
        <w:tc>
          <w:tcPr>
            <w:tcW w:w="100" w:type="dxa"/>
            <w:vAlign w:val="bottom"/>
            <w:tcBorders>
              <w:right w:val="single" w:sz="8" w:color="231F20"/>
            </w:tcBorders>
          </w:tcPr>
          <w:p>
            <w:pPr>
              <w:spacing w:after="0"/>
              <w:rPr>
                <w:sz w:val="23"/>
                <w:szCs w:val="23"/>
                <w:color w:val="auto"/>
              </w:rPr>
            </w:pPr>
          </w:p>
        </w:tc>
        <w:tc>
          <w:tcPr>
            <w:tcW w:w="980" w:type="dxa"/>
            <w:vAlign w:val="bottom"/>
            <w:tcBorders>
              <w:right w:val="single" w:sz="8" w:color="231F20"/>
            </w:tcBorders>
          </w:tcPr>
          <w:p>
            <w:pPr>
              <w:spacing w:after="0"/>
              <w:rPr>
                <w:sz w:val="23"/>
                <w:szCs w:val="23"/>
                <w:color w:val="auto"/>
              </w:rPr>
            </w:pPr>
          </w:p>
        </w:tc>
        <w:tc>
          <w:tcPr>
            <w:tcW w:w="820" w:type="dxa"/>
            <w:vAlign w:val="bottom"/>
            <w:tcBorders>
              <w:right w:val="single" w:sz="8" w:color="231F20"/>
            </w:tcBorders>
          </w:tcPr>
          <w:p>
            <w:pPr>
              <w:jc w:val="center"/>
              <w:ind w:right="391"/>
              <w:spacing w:after="0"/>
              <w:rPr>
                <w:sz w:val="20"/>
                <w:szCs w:val="20"/>
                <w:color w:val="auto"/>
              </w:rPr>
            </w:pPr>
            <w:r>
              <w:rPr>
                <w:rFonts w:ascii="Arial" w:cs="Arial" w:eastAsia="Arial" w:hAnsi="Arial"/>
                <w:sz w:val="18"/>
                <w:szCs w:val="18"/>
                <w:color w:val="231F20"/>
                <w:w w:val="82"/>
              </w:rPr>
              <w:t>Š</w:t>
            </w:r>
          </w:p>
        </w:tc>
        <w:tc>
          <w:tcPr>
            <w:tcW w:w="760" w:type="dxa"/>
            <w:vAlign w:val="bottom"/>
            <w:tcBorders>
              <w:right w:val="single" w:sz="8" w:color="231F20"/>
            </w:tcBorders>
          </w:tcPr>
          <w:p>
            <w:pPr>
              <w:spacing w:after="0"/>
              <w:rPr>
                <w:sz w:val="23"/>
                <w:szCs w:val="23"/>
                <w:color w:val="auto"/>
              </w:rPr>
            </w:pPr>
          </w:p>
        </w:tc>
        <w:tc>
          <w:tcPr>
            <w:tcW w:w="840" w:type="dxa"/>
            <w:vAlign w:val="bottom"/>
            <w:tcBorders>
              <w:right w:val="single" w:sz="8" w:color="231F20"/>
            </w:tcBorders>
          </w:tcPr>
          <w:p>
            <w:pPr>
              <w:spacing w:after="0"/>
              <w:rPr>
                <w:sz w:val="23"/>
                <w:szCs w:val="23"/>
                <w:color w:val="auto"/>
              </w:rPr>
            </w:pPr>
          </w:p>
        </w:tc>
        <w:tc>
          <w:tcPr>
            <w:tcW w:w="840" w:type="dxa"/>
            <w:vAlign w:val="bottom"/>
            <w:tcBorders>
              <w:right w:val="single" w:sz="8" w:color="231F20"/>
            </w:tcBorders>
          </w:tcPr>
          <w:p>
            <w:pPr>
              <w:jc w:val="center"/>
              <w:ind w:right="292"/>
              <w:spacing w:after="0"/>
              <w:rPr>
                <w:sz w:val="20"/>
                <w:szCs w:val="20"/>
                <w:color w:val="auto"/>
              </w:rPr>
            </w:pPr>
            <w:r>
              <w:rPr>
                <w:rFonts w:ascii="Arial" w:cs="Arial" w:eastAsia="Arial" w:hAnsi="Arial"/>
                <w:sz w:val="18"/>
                <w:szCs w:val="18"/>
                <w:color w:val="231F20"/>
                <w:w w:val="82"/>
              </w:rPr>
              <w:t>Š</w:t>
            </w:r>
          </w:p>
        </w:tc>
        <w:tc>
          <w:tcPr>
            <w:tcW w:w="820" w:type="dxa"/>
            <w:vAlign w:val="bottom"/>
            <w:tcBorders>
              <w:right w:val="single" w:sz="8" w:color="231F20"/>
            </w:tcBorders>
          </w:tcPr>
          <w:p>
            <w:pPr>
              <w:spacing w:after="0"/>
              <w:rPr>
                <w:sz w:val="23"/>
                <w:szCs w:val="23"/>
                <w:color w:val="auto"/>
              </w:rPr>
            </w:pPr>
          </w:p>
        </w:tc>
        <w:tc>
          <w:tcPr>
            <w:tcW w:w="860" w:type="dxa"/>
            <w:vAlign w:val="bottom"/>
            <w:tcBorders>
              <w:right w:val="single" w:sz="8" w:color="231F20"/>
            </w:tcBorders>
          </w:tcPr>
          <w:p>
            <w:pPr>
              <w:spacing w:after="0"/>
              <w:rPr>
                <w:sz w:val="23"/>
                <w:szCs w:val="23"/>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3780" w:type="dxa"/>
            <w:vAlign w:val="bottom"/>
            <w:tcBorders>
              <w:right w:val="single" w:sz="8" w:color="231F20"/>
            </w:tcBorders>
            <w:vMerge w:val="continue"/>
          </w:tcPr>
          <w:p>
            <w:pPr>
              <w:spacing w:after="0"/>
              <w:rPr>
                <w:sz w:val="6"/>
                <w:szCs w:val="6"/>
                <w:color w:val="auto"/>
              </w:rPr>
            </w:pPr>
          </w:p>
        </w:tc>
        <w:tc>
          <w:tcPr>
            <w:tcW w:w="480" w:type="dxa"/>
            <w:vAlign w:val="bottom"/>
          </w:tcPr>
          <w:p>
            <w:pPr>
              <w:spacing w:after="0"/>
              <w:rPr>
                <w:sz w:val="6"/>
                <w:szCs w:val="6"/>
                <w:color w:val="auto"/>
              </w:rPr>
            </w:pPr>
          </w:p>
        </w:tc>
        <w:tc>
          <w:tcPr>
            <w:tcW w:w="100" w:type="dxa"/>
            <w:vAlign w:val="bottom"/>
            <w:tcBorders>
              <w:right w:val="single" w:sz="8" w:color="231F20"/>
            </w:tcBorders>
          </w:tcPr>
          <w:p>
            <w:pPr>
              <w:spacing w:after="0"/>
              <w:rPr>
                <w:sz w:val="6"/>
                <w:szCs w:val="6"/>
                <w:color w:val="auto"/>
              </w:rPr>
            </w:pPr>
          </w:p>
        </w:tc>
        <w:tc>
          <w:tcPr>
            <w:tcW w:w="980" w:type="dxa"/>
            <w:vAlign w:val="bottom"/>
            <w:tcBorders>
              <w:right w:val="single" w:sz="8" w:color="231F20"/>
            </w:tcBorders>
          </w:tcPr>
          <w:p>
            <w:pPr>
              <w:spacing w:after="0"/>
              <w:rPr>
                <w:sz w:val="6"/>
                <w:szCs w:val="6"/>
                <w:color w:val="auto"/>
              </w:rPr>
            </w:pPr>
          </w:p>
        </w:tc>
        <w:tc>
          <w:tcPr>
            <w:tcW w:w="820" w:type="dxa"/>
            <w:vAlign w:val="bottom"/>
            <w:tcBorders>
              <w:right w:val="single" w:sz="8" w:color="231F20"/>
            </w:tcBorders>
          </w:tcPr>
          <w:p>
            <w:pPr>
              <w:spacing w:after="0"/>
              <w:rPr>
                <w:sz w:val="6"/>
                <w:szCs w:val="6"/>
                <w:color w:val="auto"/>
              </w:rPr>
            </w:pPr>
          </w:p>
        </w:tc>
        <w:tc>
          <w:tcPr>
            <w:tcW w:w="760" w:type="dxa"/>
            <w:vAlign w:val="bottom"/>
            <w:tcBorders>
              <w:right w:val="single" w:sz="8" w:color="231F20"/>
            </w:tcBorders>
          </w:tcPr>
          <w:p>
            <w:pPr>
              <w:spacing w:after="0"/>
              <w:rPr>
                <w:sz w:val="6"/>
                <w:szCs w:val="6"/>
                <w:color w:val="auto"/>
              </w:rPr>
            </w:pPr>
          </w:p>
        </w:tc>
        <w:tc>
          <w:tcPr>
            <w:tcW w:w="840" w:type="dxa"/>
            <w:vAlign w:val="bottom"/>
            <w:tcBorders>
              <w:right w:val="single" w:sz="8" w:color="231F20"/>
            </w:tcBorders>
          </w:tcPr>
          <w:p>
            <w:pPr>
              <w:spacing w:after="0"/>
              <w:rPr>
                <w:sz w:val="6"/>
                <w:szCs w:val="6"/>
                <w:color w:val="auto"/>
              </w:rPr>
            </w:pPr>
          </w:p>
        </w:tc>
        <w:tc>
          <w:tcPr>
            <w:tcW w:w="840" w:type="dxa"/>
            <w:vAlign w:val="bottom"/>
            <w:tcBorders>
              <w:right w:val="single" w:sz="8" w:color="231F20"/>
            </w:tcBorders>
          </w:tcPr>
          <w:p>
            <w:pPr>
              <w:spacing w:after="0"/>
              <w:rPr>
                <w:sz w:val="6"/>
                <w:szCs w:val="6"/>
                <w:color w:val="auto"/>
              </w:rPr>
            </w:pPr>
          </w:p>
        </w:tc>
        <w:tc>
          <w:tcPr>
            <w:tcW w:w="820" w:type="dxa"/>
            <w:vAlign w:val="bottom"/>
            <w:tcBorders>
              <w:right w:val="single" w:sz="8" w:color="231F20"/>
            </w:tcBorders>
          </w:tcPr>
          <w:p>
            <w:pPr>
              <w:spacing w:after="0"/>
              <w:rPr>
                <w:sz w:val="6"/>
                <w:szCs w:val="6"/>
                <w:color w:val="auto"/>
              </w:rPr>
            </w:pPr>
          </w:p>
        </w:tc>
        <w:tc>
          <w:tcPr>
            <w:tcW w:w="860" w:type="dxa"/>
            <w:vAlign w:val="bottom"/>
            <w:tcBorders>
              <w:right w:val="single" w:sz="8" w:color="231F20"/>
            </w:tcBorders>
          </w:tcPr>
          <w:p>
            <w:pPr>
              <w:spacing w:after="0"/>
              <w:rPr>
                <w:sz w:val="6"/>
                <w:szCs w:val="6"/>
                <w:color w:val="auto"/>
              </w:rPr>
            </w:pPr>
          </w:p>
        </w:tc>
        <w:tc>
          <w:tcPr>
            <w:tcW w:w="0" w:type="dxa"/>
            <w:vAlign w:val="bottom"/>
          </w:tcPr>
          <w:p>
            <w:pPr>
              <w:spacing w:after="0"/>
              <w:rPr>
                <w:sz w:val="1"/>
                <w:szCs w:val="1"/>
                <w:color w:val="auto"/>
              </w:rPr>
            </w:pPr>
          </w:p>
        </w:tc>
      </w:tr>
      <w:tr>
        <w:trPr>
          <w:trHeight w:val="54"/>
        </w:trPr>
        <w:tc>
          <w:tcPr>
            <w:tcW w:w="20" w:type="dxa"/>
            <w:vAlign w:val="bottom"/>
            <w:tcBorders>
              <w:bottom w:val="single" w:sz="8" w:color="231F20"/>
            </w:tcBorders>
          </w:tcPr>
          <w:p>
            <w:pPr>
              <w:spacing w:after="0"/>
              <w:rPr>
                <w:sz w:val="4"/>
                <w:szCs w:val="4"/>
                <w:color w:val="auto"/>
              </w:rPr>
            </w:pPr>
          </w:p>
        </w:tc>
        <w:tc>
          <w:tcPr>
            <w:tcW w:w="3780" w:type="dxa"/>
            <w:vAlign w:val="bottom"/>
            <w:tcBorders>
              <w:bottom w:val="single" w:sz="8" w:color="231F20"/>
              <w:right w:val="single" w:sz="8" w:color="231F20"/>
            </w:tcBorders>
          </w:tcPr>
          <w:p>
            <w:pPr>
              <w:spacing w:after="0"/>
              <w:rPr>
                <w:sz w:val="4"/>
                <w:szCs w:val="4"/>
                <w:color w:val="auto"/>
              </w:rPr>
            </w:pPr>
          </w:p>
        </w:tc>
        <w:tc>
          <w:tcPr>
            <w:tcW w:w="480" w:type="dxa"/>
            <w:vAlign w:val="bottom"/>
            <w:tcBorders>
              <w:bottom w:val="single" w:sz="8" w:color="231F20"/>
            </w:tcBorders>
          </w:tcPr>
          <w:p>
            <w:pPr>
              <w:spacing w:after="0"/>
              <w:rPr>
                <w:sz w:val="4"/>
                <w:szCs w:val="4"/>
                <w:color w:val="auto"/>
              </w:rPr>
            </w:pPr>
          </w:p>
        </w:tc>
        <w:tc>
          <w:tcPr>
            <w:tcW w:w="100" w:type="dxa"/>
            <w:vAlign w:val="bottom"/>
            <w:tcBorders>
              <w:bottom w:val="single" w:sz="8" w:color="231F20"/>
              <w:right w:val="single" w:sz="8" w:color="231F20"/>
            </w:tcBorders>
          </w:tcPr>
          <w:p>
            <w:pPr>
              <w:spacing w:after="0"/>
              <w:rPr>
                <w:sz w:val="4"/>
                <w:szCs w:val="4"/>
                <w:color w:val="auto"/>
              </w:rPr>
            </w:pPr>
          </w:p>
        </w:tc>
        <w:tc>
          <w:tcPr>
            <w:tcW w:w="980" w:type="dxa"/>
            <w:vAlign w:val="bottom"/>
            <w:tcBorders>
              <w:bottom w:val="single" w:sz="8" w:color="231F20"/>
              <w:right w:val="single" w:sz="8" w:color="231F20"/>
            </w:tcBorders>
          </w:tcPr>
          <w:p>
            <w:pPr>
              <w:spacing w:after="0"/>
              <w:rPr>
                <w:sz w:val="4"/>
                <w:szCs w:val="4"/>
                <w:color w:val="auto"/>
              </w:rPr>
            </w:pPr>
          </w:p>
        </w:tc>
        <w:tc>
          <w:tcPr>
            <w:tcW w:w="820" w:type="dxa"/>
            <w:vAlign w:val="bottom"/>
            <w:tcBorders>
              <w:bottom w:val="single" w:sz="8" w:color="231F20"/>
              <w:right w:val="single" w:sz="8" w:color="231F20"/>
            </w:tcBorders>
          </w:tcPr>
          <w:p>
            <w:pPr>
              <w:spacing w:after="0"/>
              <w:rPr>
                <w:sz w:val="4"/>
                <w:szCs w:val="4"/>
                <w:color w:val="auto"/>
              </w:rPr>
            </w:pPr>
          </w:p>
        </w:tc>
        <w:tc>
          <w:tcPr>
            <w:tcW w:w="760" w:type="dxa"/>
            <w:vAlign w:val="bottom"/>
            <w:tcBorders>
              <w:bottom w:val="single" w:sz="8" w:color="231F20"/>
              <w:right w:val="single" w:sz="8" w:color="231F20"/>
            </w:tcBorders>
          </w:tcPr>
          <w:p>
            <w:pPr>
              <w:spacing w:after="0"/>
              <w:rPr>
                <w:sz w:val="4"/>
                <w:szCs w:val="4"/>
                <w:color w:val="auto"/>
              </w:rPr>
            </w:pPr>
          </w:p>
        </w:tc>
        <w:tc>
          <w:tcPr>
            <w:tcW w:w="840" w:type="dxa"/>
            <w:vAlign w:val="bottom"/>
            <w:tcBorders>
              <w:bottom w:val="single" w:sz="8" w:color="231F20"/>
              <w:right w:val="single" w:sz="8" w:color="231F20"/>
            </w:tcBorders>
          </w:tcPr>
          <w:p>
            <w:pPr>
              <w:spacing w:after="0"/>
              <w:rPr>
                <w:sz w:val="4"/>
                <w:szCs w:val="4"/>
                <w:color w:val="auto"/>
              </w:rPr>
            </w:pPr>
          </w:p>
        </w:tc>
        <w:tc>
          <w:tcPr>
            <w:tcW w:w="840" w:type="dxa"/>
            <w:vAlign w:val="bottom"/>
            <w:tcBorders>
              <w:bottom w:val="single" w:sz="8" w:color="231F20"/>
              <w:right w:val="single" w:sz="8" w:color="231F20"/>
            </w:tcBorders>
          </w:tcPr>
          <w:p>
            <w:pPr>
              <w:spacing w:after="0"/>
              <w:rPr>
                <w:sz w:val="4"/>
                <w:szCs w:val="4"/>
                <w:color w:val="auto"/>
              </w:rPr>
            </w:pPr>
          </w:p>
        </w:tc>
        <w:tc>
          <w:tcPr>
            <w:tcW w:w="820" w:type="dxa"/>
            <w:vAlign w:val="bottom"/>
            <w:tcBorders>
              <w:bottom w:val="single" w:sz="8" w:color="231F20"/>
              <w:right w:val="single" w:sz="8" w:color="231F20"/>
            </w:tcBorders>
          </w:tcPr>
          <w:p>
            <w:pPr>
              <w:spacing w:after="0"/>
              <w:rPr>
                <w:sz w:val="4"/>
                <w:szCs w:val="4"/>
                <w:color w:val="auto"/>
              </w:rPr>
            </w:pPr>
          </w:p>
        </w:tc>
        <w:tc>
          <w:tcPr>
            <w:tcW w:w="860" w:type="dxa"/>
            <w:vAlign w:val="bottom"/>
            <w:tcBorders>
              <w:bottom w:val="single" w:sz="8" w:color="231F20"/>
              <w:right w:val="single" w:sz="8" w:color="231F20"/>
            </w:tcBorders>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780" w:type="dxa"/>
            <w:vAlign w:val="bottom"/>
            <w:tcBorders>
              <w:right w:val="single" w:sz="8" w:color="231F20"/>
            </w:tcBorders>
            <w:vMerge w:val="restart"/>
          </w:tcPr>
          <w:p>
            <w:pPr>
              <w:ind w:left="440"/>
              <w:spacing w:after="0"/>
              <w:rPr>
                <w:sz w:val="20"/>
                <w:szCs w:val="20"/>
                <w:color w:val="auto"/>
              </w:rPr>
            </w:pPr>
            <w:r>
              <w:rPr>
                <w:rFonts w:ascii="Arial" w:cs="Arial" w:eastAsia="Arial" w:hAnsi="Arial"/>
                <w:sz w:val="18"/>
                <w:szCs w:val="18"/>
                <w:color w:val="231F20"/>
              </w:rPr>
              <w:t>Risk Management</w:t>
            </w:r>
          </w:p>
        </w:tc>
        <w:tc>
          <w:tcPr>
            <w:tcW w:w="480" w:type="dxa"/>
            <w:vAlign w:val="bottom"/>
          </w:tcPr>
          <w:p>
            <w:pPr>
              <w:jc w:val="center"/>
              <w:ind w:right="91"/>
              <w:spacing w:after="0"/>
              <w:rPr>
                <w:sz w:val="20"/>
                <w:szCs w:val="20"/>
                <w:color w:val="auto"/>
              </w:rPr>
            </w:pPr>
            <w:r>
              <w:rPr>
                <w:rFonts w:ascii="Arial" w:cs="Arial" w:eastAsia="Arial" w:hAnsi="Arial"/>
                <w:sz w:val="18"/>
                <w:szCs w:val="18"/>
                <w:color w:val="231F20"/>
                <w:w w:val="82"/>
              </w:rPr>
              <w:t>Š</w:t>
            </w:r>
          </w:p>
        </w:tc>
        <w:tc>
          <w:tcPr>
            <w:tcW w:w="100" w:type="dxa"/>
            <w:vAlign w:val="bottom"/>
            <w:tcBorders>
              <w:right w:val="single" w:sz="8" w:color="231F20"/>
            </w:tcBorders>
          </w:tcPr>
          <w:p>
            <w:pPr>
              <w:spacing w:after="0"/>
              <w:rPr>
                <w:sz w:val="23"/>
                <w:szCs w:val="23"/>
                <w:color w:val="auto"/>
              </w:rPr>
            </w:pPr>
          </w:p>
        </w:tc>
        <w:tc>
          <w:tcPr>
            <w:tcW w:w="980" w:type="dxa"/>
            <w:vAlign w:val="bottom"/>
            <w:tcBorders>
              <w:right w:val="single" w:sz="8" w:color="231F20"/>
            </w:tcBorders>
          </w:tcPr>
          <w:p>
            <w:pPr>
              <w:jc w:val="center"/>
              <w:ind w:right="151"/>
              <w:spacing w:after="0"/>
              <w:rPr>
                <w:sz w:val="20"/>
                <w:szCs w:val="20"/>
                <w:color w:val="auto"/>
              </w:rPr>
            </w:pPr>
            <w:r>
              <w:rPr>
                <w:rFonts w:ascii="Arial" w:cs="Arial" w:eastAsia="Arial" w:hAnsi="Arial"/>
                <w:sz w:val="18"/>
                <w:szCs w:val="18"/>
                <w:color w:val="231F20"/>
                <w:w w:val="82"/>
              </w:rPr>
              <w:t>Š</w:t>
            </w:r>
          </w:p>
        </w:tc>
        <w:tc>
          <w:tcPr>
            <w:tcW w:w="820" w:type="dxa"/>
            <w:vAlign w:val="bottom"/>
            <w:tcBorders>
              <w:right w:val="single" w:sz="8" w:color="231F20"/>
            </w:tcBorders>
          </w:tcPr>
          <w:p>
            <w:pPr>
              <w:jc w:val="center"/>
              <w:ind w:right="391"/>
              <w:spacing w:after="0"/>
              <w:rPr>
                <w:sz w:val="20"/>
                <w:szCs w:val="20"/>
                <w:color w:val="auto"/>
              </w:rPr>
            </w:pPr>
            <w:r>
              <w:rPr>
                <w:rFonts w:ascii="Arial" w:cs="Arial" w:eastAsia="Arial" w:hAnsi="Arial"/>
                <w:sz w:val="18"/>
                <w:szCs w:val="18"/>
                <w:color w:val="231F20"/>
                <w:w w:val="82"/>
              </w:rPr>
              <w:t>Š</w:t>
            </w:r>
          </w:p>
        </w:tc>
        <w:tc>
          <w:tcPr>
            <w:tcW w:w="760" w:type="dxa"/>
            <w:vAlign w:val="bottom"/>
            <w:tcBorders>
              <w:right w:val="single" w:sz="8" w:color="231F20"/>
            </w:tcBorders>
          </w:tcPr>
          <w:p>
            <w:pPr>
              <w:ind w:left="140"/>
              <w:spacing w:after="0"/>
              <w:rPr>
                <w:sz w:val="20"/>
                <w:szCs w:val="20"/>
                <w:color w:val="auto"/>
              </w:rPr>
            </w:pPr>
            <w:r>
              <w:rPr>
                <w:rFonts w:ascii="Arial" w:cs="Arial" w:eastAsia="Arial" w:hAnsi="Arial"/>
                <w:sz w:val="18"/>
                <w:szCs w:val="18"/>
                <w:color w:val="231F20"/>
              </w:rPr>
              <w:t>Š</w:t>
            </w:r>
          </w:p>
        </w:tc>
        <w:tc>
          <w:tcPr>
            <w:tcW w:w="840" w:type="dxa"/>
            <w:vAlign w:val="bottom"/>
            <w:tcBorders>
              <w:right w:val="single" w:sz="8" w:color="231F20"/>
            </w:tcBorders>
          </w:tcPr>
          <w:p>
            <w:pPr>
              <w:ind w:left="200"/>
              <w:spacing w:after="0"/>
              <w:rPr>
                <w:sz w:val="20"/>
                <w:szCs w:val="20"/>
                <w:color w:val="auto"/>
              </w:rPr>
            </w:pPr>
            <w:r>
              <w:rPr>
                <w:rFonts w:ascii="Arial" w:cs="Arial" w:eastAsia="Arial" w:hAnsi="Arial"/>
                <w:sz w:val="18"/>
                <w:szCs w:val="18"/>
                <w:color w:val="231F20"/>
              </w:rPr>
              <w:t>Š</w:t>
            </w:r>
          </w:p>
        </w:tc>
        <w:tc>
          <w:tcPr>
            <w:tcW w:w="840" w:type="dxa"/>
            <w:vAlign w:val="bottom"/>
            <w:tcBorders>
              <w:right w:val="single" w:sz="8" w:color="231F20"/>
            </w:tcBorders>
          </w:tcPr>
          <w:p>
            <w:pPr>
              <w:jc w:val="center"/>
              <w:ind w:right="292"/>
              <w:spacing w:after="0"/>
              <w:rPr>
                <w:sz w:val="20"/>
                <w:szCs w:val="20"/>
                <w:color w:val="auto"/>
              </w:rPr>
            </w:pPr>
            <w:r>
              <w:rPr>
                <w:rFonts w:ascii="Arial" w:cs="Arial" w:eastAsia="Arial" w:hAnsi="Arial"/>
                <w:sz w:val="18"/>
                <w:szCs w:val="18"/>
                <w:color w:val="231F20"/>
                <w:w w:val="82"/>
              </w:rPr>
              <w:t>Š</w:t>
            </w:r>
          </w:p>
        </w:tc>
        <w:tc>
          <w:tcPr>
            <w:tcW w:w="820" w:type="dxa"/>
            <w:vAlign w:val="bottom"/>
            <w:tcBorders>
              <w:right w:val="single" w:sz="8" w:color="231F20"/>
            </w:tcBorders>
          </w:tcPr>
          <w:p>
            <w:pPr>
              <w:jc w:val="center"/>
              <w:ind w:right="312"/>
              <w:spacing w:after="0"/>
              <w:rPr>
                <w:sz w:val="20"/>
                <w:szCs w:val="20"/>
                <w:color w:val="auto"/>
              </w:rPr>
            </w:pPr>
            <w:r>
              <w:rPr>
                <w:rFonts w:ascii="Arial" w:cs="Arial" w:eastAsia="Arial" w:hAnsi="Arial"/>
                <w:sz w:val="18"/>
                <w:szCs w:val="18"/>
                <w:color w:val="231F20"/>
                <w:w w:val="82"/>
              </w:rPr>
              <w:t>Š</w:t>
            </w:r>
          </w:p>
        </w:tc>
        <w:tc>
          <w:tcPr>
            <w:tcW w:w="860" w:type="dxa"/>
            <w:vAlign w:val="bottom"/>
            <w:tcBorders>
              <w:right w:val="single" w:sz="8" w:color="231F20"/>
            </w:tcBorders>
          </w:tcPr>
          <w:p>
            <w:pPr>
              <w:jc w:val="center"/>
              <w:ind w:right="311"/>
              <w:spacing w:after="0"/>
              <w:rPr>
                <w:sz w:val="20"/>
                <w:szCs w:val="20"/>
                <w:color w:val="auto"/>
              </w:rPr>
            </w:pPr>
            <w:r>
              <w:rPr>
                <w:rFonts w:ascii="Arial" w:cs="Arial" w:eastAsia="Arial" w:hAnsi="Arial"/>
                <w:sz w:val="18"/>
                <w:szCs w:val="18"/>
                <w:color w:val="231F20"/>
                <w:w w:val="82"/>
              </w:rPr>
              <w:t>Š</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3780" w:type="dxa"/>
            <w:vAlign w:val="bottom"/>
            <w:tcBorders>
              <w:right w:val="single" w:sz="8" w:color="231F20"/>
            </w:tcBorders>
            <w:vMerge w:val="continue"/>
          </w:tcPr>
          <w:p>
            <w:pPr>
              <w:spacing w:after="0"/>
              <w:rPr>
                <w:sz w:val="6"/>
                <w:szCs w:val="6"/>
                <w:color w:val="auto"/>
              </w:rPr>
            </w:pPr>
          </w:p>
        </w:tc>
        <w:tc>
          <w:tcPr>
            <w:tcW w:w="480" w:type="dxa"/>
            <w:vAlign w:val="bottom"/>
          </w:tcPr>
          <w:p>
            <w:pPr>
              <w:spacing w:after="0"/>
              <w:rPr>
                <w:sz w:val="6"/>
                <w:szCs w:val="6"/>
                <w:color w:val="auto"/>
              </w:rPr>
            </w:pPr>
          </w:p>
        </w:tc>
        <w:tc>
          <w:tcPr>
            <w:tcW w:w="100" w:type="dxa"/>
            <w:vAlign w:val="bottom"/>
            <w:tcBorders>
              <w:right w:val="single" w:sz="8" w:color="231F20"/>
            </w:tcBorders>
          </w:tcPr>
          <w:p>
            <w:pPr>
              <w:spacing w:after="0"/>
              <w:rPr>
                <w:sz w:val="6"/>
                <w:szCs w:val="6"/>
                <w:color w:val="auto"/>
              </w:rPr>
            </w:pPr>
          </w:p>
        </w:tc>
        <w:tc>
          <w:tcPr>
            <w:tcW w:w="980" w:type="dxa"/>
            <w:vAlign w:val="bottom"/>
            <w:tcBorders>
              <w:right w:val="single" w:sz="8" w:color="231F20"/>
            </w:tcBorders>
          </w:tcPr>
          <w:p>
            <w:pPr>
              <w:spacing w:after="0"/>
              <w:rPr>
                <w:sz w:val="6"/>
                <w:szCs w:val="6"/>
                <w:color w:val="auto"/>
              </w:rPr>
            </w:pPr>
          </w:p>
        </w:tc>
        <w:tc>
          <w:tcPr>
            <w:tcW w:w="820" w:type="dxa"/>
            <w:vAlign w:val="bottom"/>
            <w:tcBorders>
              <w:right w:val="single" w:sz="8" w:color="231F20"/>
            </w:tcBorders>
          </w:tcPr>
          <w:p>
            <w:pPr>
              <w:spacing w:after="0"/>
              <w:rPr>
                <w:sz w:val="6"/>
                <w:szCs w:val="6"/>
                <w:color w:val="auto"/>
              </w:rPr>
            </w:pPr>
          </w:p>
        </w:tc>
        <w:tc>
          <w:tcPr>
            <w:tcW w:w="760" w:type="dxa"/>
            <w:vAlign w:val="bottom"/>
            <w:tcBorders>
              <w:right w:val="single" w:sz="8" w:color="231F20"/>
            </w:tcBorders>
          </w:tcPr>
          <w:p>
            <w:pPr>
              <w:spacing w:after="0"/>
              <w:rPr>
                <w:sz w:val="6"/>
                <w:szCs w:val="6"/>
                <w:color w:val="auto"/>
              </w:rPr>
            </w:pPr>
          </w:p>
        </w:tc>
        <w:tc>
          <w:tcPr>
            <w:tcW w:w="840" w:type="dxa"/>
            <w:vAlign w:val="bottom"/>
            <w:tcBorders>
              <w:right w:val="single" w:sz="8" w:color="231F20"/>
            </w:tcBorders>
          </w:tcPr>
          <w:p>
            <w:pPr>
              <w:spacing w:after="0"/>
              <w:rPr>
                <w:sz w:val="6"/>
                <w:szCs w:val="6"/>
                <w:color w:val="auto"/>
              </w:rPr>
            </w:pPr>
          </w:p>
        </w:tc>
        <w:tc>
          <w:tcPr>
            <w:tcW w:w="840" w:type="dxa"/>
            <w:vAlign w:val="bottom"/>
            <w:tcBorders>
              <w:right w:val="single" w:sz="8" w:color="231F20"/>
            </w:tcBorders>
          </w:tcPr>
          <w:p>
            <w:pPr>
              <w:spacing w:after="0"/>
              <w:rPr>
                <w:sz w:val="6"/>
                <w:szCs w:val="6"/>
                <w:color w:val="auto"/>
              </w:rPr>
            </w:pPr>
          </w:p>
        </w:tc>
        <w:tc>
          <w:tcPr>
            <w:tcW w:w="820" w:type="dxa"/>
            <w:vAlign w:val="bottom"/>
            <w:tcBorders>
              <w:right w:val="single" w:sz="8" w:color="231F20"/>
            </w:tcBorders>
          </w:tcPr>
          <w:p>
            <w:pPr>
              <w:spacing w:after="0"/>
              <w:rPr>
                <w:sz w:val="6"/>
                <w:szCs w:val="6"/>
                <w:color w:val="auto"/>
              </w:rPr>
            </w:pPr>
          </w:p>
        </w:tc>
        <w:tc>
          <w:tcPr>
            <w:tcW w:w="860" w:type="dxa"/>
            <w:vAlign w:val="bottom"/>
            <w:tcBorders>
              <w:right w:val="single" w:sz="8" w:color="231F20"/>
            </w:tcBorders>
          </w:tcPr>
          <w:p>
            <w:pPr>
              <w:spacing w:after="0"/>
              <w:rPr>
                <w:sz w:val="6"/>
                <w:szCs w:val="6"/>
                <w:color w:val="auto"/>
              </w:rPr>
            </w:pPr>
          </w:p>
        </w:tc>
        <w:tc>
          <w:tcPr>
            <w:tcW w:w="0" w:type="dxa"/>
            <w:vAlign w:val="bottom"/>
          </w:tcPr>
          <w:p>
            <w:pPr>
              <w:spacing w:after="0"/>
              <w:rPr>
                <w:sz w:val="1"/>
                <w:szCs w:val="1"/>
                <w:color w:val="auto"/>
              </w:rPr>
            </w:pPr>
          </w:p>
        </w:tc>
      </w:tr>
      <w:tr>
        <w:trPr>
          <w:trHeight w:val="54"/>
        </w:trPr>
        <w:tc>
          <w:tcPr>
            <w:tcW w:w="20" w:type="dxa"/>
            <w:vAlign w:val="bottom"/>
            <w:tcBorders>
              <w:bottom w:val="single" w:sz="8" w:color="231F20"/>
            </w:tcBorders>
          </w:tcPr>
          <w:p>
            <w:pPr>
              <w:spacing w:after="0"/>
              <w:rPr>
                <w:sz w:val="4"/>
                <w:szCs w:val="4"/>
                <w:color w:val="auto"/>
              </w:rPr>
            </w:pPr>
          </w:p>
        </w:tc>
        <w:tc>
          <w:tcPr>
            <w:tcW w:w="3780" w:type="dxa"/>
            <w:vAlign w:val="bottom"/>
            <w:tcBorders>
              <w:bottom w:val="single" w:sz="8" w:color="231F20"/>
              <w:right w:val="single" w:sz="8" w:color="231F20"/>
            </w:tcBorders>
          </w:tcPr>
          <w:p>
            <w:pPr>
              <w:spacing w:after="0"/>
              <w:rPr>
                <w:sz w:val="4"/>
                <w:szCs w:val="4"/>
                <w:color w:val="auto"/>
              </w:rPr>
            </w:pPr>
          </w:p>
        </w:tc>
        <w:tc>
          <w:tcPr>
            <w:tcW w:w="480" w:type="dxa"/>
            <w:vAlign w:val="bottom"/>
            <w:tcBorders>
              <w:bottom w:val="single" w:sz="8" w:color="231F20"/>
            </w:tcBorders>
          </w:tcPr>
          <w:p>
            <w:pPr>
              <w:spacing w:after="0"/>
              <w:rPr>
                <w:sz w:val="4"/>
                <w:szCs w:val="4"/>
                <w:color w:val="auto"/>
              </w:rPr>
            </w:pPr>
          </w:p>
        </w:tc>
        <w:tc>
          <w:tcPr>
            <w:tcW w:w="100" w:type="dxa"/>
            <w:vAlign w:val="bottom"/>
            <w:tcBorders>
              <w:bottom w:val="single" w:sz="8" w:color="231F20"/>
              <w:right w:val="single" w:sz="8" w:color="231F20"/>
            </w:tcBorders>
          </w:tcPr>
          <w:p>
            <w:pPr>
              <w:spacing w:after="0"/>
              <w:rPr>
                <w:sz w:val="4"/>
                <w:szCs w:val="4"/>
                <w:color w:val="auto"/>
              </w:rPr>
            </w:pPr>
          </w:p>
        </w:tc>
        <w:tc>
          <w:tcPr>
            <w:tcW w:w="980" w:type="dxa"/>
            <w:vAlign w:val="bottom"/>
            <w:tcBorders>
              <w:bottom w:val="single" w:sz="8" w:color="231F20"/>
              <w:right w:val="single" w:sz="8" w:color="231F20"/>
            </w:tcBorders>
          </w:tcPr>
          <w:p>
            <w:pPr>
              <w:spacing w:after="0"/>
              <w:rPr>
                <w:sz w:val="4"/>
                <w:szCs w:val="4"/>
                <w:color w:val="auto"/>
              </w:rPr>
            </w:pPr>
          </w:p>
        </w:tc>
        <w:tc>
          <w:tcPr>
            <w:tcW w:w="820" w:type="dxa"/>
            <w:vAlign w:val="bottom"/>
            <w:tcBorders>
              <w:bottom w:val="single" w:sz="8" w:color="231F20"/>
              <w:right w:val="single" w:sz="8" w:color="231F20"/>
            </w:tcBorders>
          </w:tcPr>
          <w:p>
            <w:pPr>
              <w:spacing w:after="0"/>
              <w:rPr>
                <w:sz w:val="4"/>
                <w:szCs w:val="4"/>
                <w:color w:val="auto"/>
              </w:rPr>
            </w:pPr>
          </w:p>
        </w:tc>
        <w:tc>
          <w:tcPr>
            <w:tcW w:w="760" w:type="dxa"/>
            <w:vAlign w:val="bottom"/>
            <w:tcBorders>
              <w:bottom w:val="single" w:sz="8" w:color="231F20"/>
              <w:right w:val="single" w:sz="8" w:color="231F20"/>
            </w:tcBorders>
          </w:tcPr>
          <w:p>
            <w:pPr>
              <w:spacing w:after="0"/>
              <w:rPr>
                <w:sz w:val="4"/>
                <w:szCs w:val="4"/>
                <w:color w:val="auto"/>
              </w:rPr>
            </w:pPr>
          </w:p>
        </w:tc>
        <w:tc>
          <w:tcPr>
            <w:tcW w:w="840" w:type="dxa"/>
            <w:vAlign w:val="bottom"/>
            <w:tcBorders>
              <w:bottom w:val="single" w:sz="8" w:color="231F20"/>
              <w:right w:val="single" w:sz="8" w:color="231F20"/>
            </w:tcBorders>
          </w:tcPr>
          <w:p>
            <w:pPr>
              <w:spacing w:after="0"/>
              <w:rPr>
                <w:sz w:val="4"/>
                <w:szCs w:val="4"/>
                <w:color w:val="auto"/>
              </w:rPr>
            </w:pPr>
          </w:p>
        </w:tc>
        <w:tc>
          <w:tcPr>
            <w:tcW w:w="840" w:type="dxa"/>
            <w:vAlign w:val="bottom"/>
            <w:tcBorders>
              <w:bottom w:val="single" w:sz="8" w:color="231F20"/>
              <w:right w:val="single" w:sz="8" w:color="231F20"/>
            </w:tcBorders>
          </w:tcPr>
          <w:p>
            <w:pPr>
              <w:spacing w:after="0"/>
              <w:rPr>
                <w:sz w:val="4"/>
                <w:szCs w:val="4"/>
                <w:color w:val="auto"/>
              </w:rPr>
            </w:pPr>
          </w:p>
        </w:tc>
        <w:tc>
          <w:tcPr>
            <w:tcW w:w="820" w:type="dxa"/>
            <w:vAlign w:val="bottom"/>
            <w:tcBorders>
              <w:bottom w:val="single" w:sz="8" w:color="231F20"/>
              <w:right w:val="single" w:sz="8" w:color="231F20"/>
            </w:tcBorders>
          </w:tcPr>
          <w:p>
            <w:pPr>
              <w:spacing w:after="0"/>
              <w:rPr>
                <w:sz w:val="4"/>
                <w:szCs w:val="4"/>
                <w:color w:val="auto"/>
              </w:rPr>
            </w:pPr>
          </w:p>
        </w:tc>
        <w:tc>
          <w:tcPr>
            <w:tcW w:w="860" w:type="dxa"/>
            <w:vAlign w:val="bottom"/>
            <w:tcBorders>
              <w:bottom w:val="single" w:sz="8" w:color="231F20"/>
              <w:right w:val="single" w:sz="8" w:color="231F20"/>
            </w:tcBorders>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780" w:type="dxa"/>
            <w:vAlign w:val="bottom"/>
            <w:tcBorders>
              <w:right w:val="single" w:sz="8" w:color="231F20"/>
            </w:tcBorders>
            <w:vMerge w:val="restart"/>
          </w:tcPr>
          <w:p>
            <w:pPr>
              <w:ind w:left="440"/>
              <w:spacing w:after="0"/>
              <w:rPr>
                <w:sz w:val="20"/>
                <w:szCs w:val="20"/>
                <w:color w:val="auto"/>
              </w:rPr>
            </w:pPr>
            <w:r>
              <w:rPr>
                <w:rFonts w:ascii="Arial" w:cs="Arial" w:eastAsia="Arial" w:hAnsi="Arial"/>
                <w:sz w:val="18"/>
                <w:szCs w:val="18"/>
                <w:color w:val="231F20"/>
              </w:rPr>
              <w:t>Human Capital Management</w:t>
            </w:r>
          </w:p>
        </w:tc>
        <w:tc>
          <w:tcPr>
            <w:tcW w:w="480" w:type="dxa"/>
            <w:vAlign w:val="bottom"/>
          </w:tcPr>
          <w:p>
            <w:pPr>
              <w:jc w:val="center"/>
              <w:ind w:right="91"/>
              <w:spacing w:after="0"/>
              <w:rPr>
                <w:sz w:val="20"/>
                <w:szCs w:val="20"/>
                <w:color w:val="auto"/>
              </w:rPr>
            </w:pPr>
            <w:r>
              <w:rPr>
                <w:rFonts w:ascii="Arial" w:cs="Arial" w:eastAsia="Arial" w:hAnsi="Arial"/>
                <w:sz w:val="18"/>
                <w:szCs w:val="18"/>
                <w:color w:val="231F20"/>
                <w:w w:val="82"/>
              </w:rPr>
              <w:t>Š</w:t>
            </w:r>
          </w:p>
        </w:tc>
        <w:tc>
          <w:tcPr>
            <w:tcW w:w="100" w:type="dxa"/>
            <w:vAlign w:val="bottom"/>
            <w:tcBorders>
              <w:right w:val="single" w:sz="8" w:color="231F20"/>
            </w:tcBorders>
          </w:tcPr>
          <w:p>
            <w:pPr>
              <w:spacing w:after="0"/>
              <w:rPr>
                <w:sz w:val="23"/>
                <w:szCs w:val="23"/>
                <w:color w:val="auto"/>
              </w:rPr>
            </w:pPr>
          </w:p>
        </w:tc>
        <w:tc>
          <w:tcPr>
            <w:tcW w:w="980" w:type="dxa"/>
            <w:vAlign w:val="bottom"/>
            <w:tcBorders>
              <w:right w:val="single" w:sz="8" w:color="231F20"/>
            </w:tcBorders>
          </w:tcPr>
          <w:p>
            <w:pPr>
              <w:jc w:val="center"/>
              <w:ind w:right="151"/>
              <w:spacing w:after="0"/>
              <w:rPr>
                <w:sz w:val="20"/>
                <w:szCs w:val="20"/>
                <w:color w:val="auto"/>
              </w:rPr>
            </w:pPr>
            <w:r>
              <w:rPr>
                <w:rFonts w:ascii="Arial" w:cs="Arial" w:eastAsia="Arial" w:hAnsi="Arial"/>
                <w:sz w:val="18"/>
                <w:szCs w:val="18"/>
                <w:color w:val="231F20"/>
                <w:w w:val="82"/>
              </w:rPr>
              <w:t>Š</w:t>
            </w:r>
          </w:p>
        </w:tc>
        <w:tc>
          <w:tcPr>
            <w:tcW w:w="820" w:type="dxa"/>
            <w:vAlign w:val="bottom"/>
            <w:tcBorders>
              <w:right w:val="single" w:sz="8" w:color="231F20"/>
            </w:tcBorders>
          </w:tcPr>
          <w:p>
            <w:pPr>
              <w:jc w:val="center"/>
              <w:ind w:right="391"/>
              <w:spacing w:after="0"/>
              <w:rPr>
                <w:sz w:val="20"/>
                <w:szCs w:val="20"/>
                <w:color w:val="auto"/>
              </w:rPr>
            </w:pPr>
            <w:r>
              <w:rPr>
                <w:rFonts w:ascii="Arial" w:cs="Arial" w:eastAsia="Arial" w:hAnsi="Arial"/>
                <w:sz w:val="18"/>
                <w:szCs w:val="18"/>
                <w:color w:val="231F20"/>
                <w:w w:val="82"/>
              </w:rPr>
              <w:t>Š</w:t>
            </w:r>
          </w:p>
        </w:tc>
        <w:tc>
          <w:tcPr>
            <w:tcW w:w="760" w:type="dxa"/>
            <w:vAlign w:val="bottom"/>
            <w:tcBorders>
              <w:right w:val="single" w:sz="8" w:color="231F20"/>
            </w:tcBorders>
          </w:tcPr>
          <w:p>
            <w:pPr>
              <w:ind w:left="140"/>
              <w:spacing w:after="0"/>
              <w:rPr>
                <w:sz w:val="20"/>
                <w:szCs w:val="20"/>
                <w:color w:val="auto"/>
              </w:rPr>
            </w:pPr>
            <w:r>
              <w:rPr>
                <w:rFonts w:ascii="Arial" w:cs="Arial" w:eastAsia="Arial" w:hAnsi="Arial"/>
                <w:sz w:val="18"/>
                <w:szCs w:val="18"/>
                <w:color w:val="231F20"/>
              </w:rPr>
              <w:t>Š</w:t>
            </w:r>
          </w:p>
        </w:tc>
        <w:tc>
          <w:tcPr>
            <w:tcW w:w="840" w:type="dxa"/>
            <w:vAlign w:val="bottom"/>
            <w:tcBorders>
              <w:right w:val="single" w:sz="8" w:color="231F20"/>
            </w:tcBorders>
          </w:tcPr>
          <w:p>
            <w:pPr>
              <w:ind w:left="200"/>
              <w:spacing w:after="0"/>
              <w:rPr>
                <w:sz w:val="20"/>
                <w:szCs w:val="20"/>
                <w:color w:val="auto"/>
              </w:rPr>
            </w:pPr>
            <w:r>
              <w:rPr>
                <w:rFonts w:ascii="Arial" w:cs="Arial" w:eastAsia="Arial" w:hAnsi="Arial"/>
                <w:sz w:val="18"/>
                <w:szCs w:val="18"/>
                <w:color w:val="231F20"/>
              </w:rPr>
              <w:t>Š</w:t>
            </w:r>
          </w:p>
        </w:tc>
        <w:tc>
          <w:tcPr>
            <w:tcW w:w="840" w:type="dxa"/>
            <w:vAlign w:val="bottom"/>
            <w:tcBorders>
              <w:right w:val="single" w:sz="8" w:color="231F20"/>
            </w:tcBorders>
          </w:tcPr>
          <w:p>
            <w:pPr>
              <w:jc w:val="center"/>
              <w:ind w:right="292"/>
              <w:spacing w:after="0"/>
              <w:rPr>
                <w:sz w:val="20"/>
                <w:szCs w:val="20"/>
                <w:color w:val="auto"/>
              </w:rPr>
            </w:pPr>
            <w:r>
              <w:rPr>
                <w:rFonts w:ascii="Arial" w:cs="Arial" w:eastAsia="Arial" w:hAnsi="Arial"/>
                <w:sz w:val="18"/>
                <w:szCs w:val="18"/>
                <w:color w:val="231F20"/>
                <w:w w:val="82"/>
              </w:rPr>
              <w:t>Š</w:t>
            </w:r>
          </w:p>
        </w:tc>
        <w:tc>
          <w:tcPr>
            <w:tcW w:w="820" w:type="dxa"/>
            <w:vAlign w:val="bottom"/>
            <w:tcBorders>
              <w:right w:val="single" w:sz="8" w:color="231F20"/>
            </w:tcBorders>
          </w:tcPr>
          <w:p>
            <w:pPr>
              <w:jc w:val="center"/>
              <w:ind w:right="312"/>
              <w:spacing w:after="0"/>
              <w:rPr>
                <w:sz w:val="20"/>
                <w:szCs w:val="20"/>
                <w:color w:val="auto"/>
              </w:rPr>
            </w:pPr>
            <w:r>
              <w:rPr>
                <w:rFonts w:ascii="Arial" w:cs="Arial" w:eastAsia="Arial" w:hAnsi="Arial"/>
                <w:sz w:val="18"/>
                <w:szCs w:val="18"/>
                <w:color w:val="231F20"/>
                <w:w w:val="82"/>
              </w:rPr>
              <w:t>Š</w:t>
            </w:r>
          </w:p>
        </w:tc>
        <w:tc>
          <w:tcPr>
            <w:tcW w:w="860" w:type="dxa"/>
            <w:vAlign w:val="bottom"/>
            <w:tcBorders>
              <w:right w:val="single" w:sz="8" w:color="231F20"/>
            </w:tcBorders>
          </w:tcPr>
          <w:p>
            <w:pPr>
              <w:jc w:val="center"/>
              <w:ind w:right="311"/>
              <w:spacing w:after="0"/>
              <w:rPr>
                <w:sz w:val="20"/>
                <w:szCs w:val="20"/>
                <w:color w:val="auto"/>
              </w:rPr>
            </w:pPr>
            <w:r>
              <w:rPr>
                <w:rFonts w:ascii="Arial" w:cs="Arial" w:eastAsia="Arial" w:hAnsi="Arial"/>
                <w:sz w:val="18"/>
                <w:szCs w:val="18"/>
                <w:color w:val="231F20"/>
                <w:w w:val="82"/>
              </w:rPr>
              <w:t>Š</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3780" w:type="dxa"/>
            <w:vAlign w:val="bottom"/>
            <w:tcBorders>
              <w:right w:val="single" w:sz="8" w:color="231F20"/>
            </w:tcBorders>
            <w:vMerge w:val="continue"/>
          </w:tcPr>
          <w:p>
            <w:pPr>
              <w:spacing w:after="0"/>
              <w:rPr>
                <w:sz w:val="6"/>
                <w:szCs w:val="6"/>
                <w:color w:val="auto"/>
              </w:rPr>
            </w:pPr>
          </w:p>
        </w:tc>
        <w:tc>
          <w:tcPr>
            <w:tcW w:w="480" w:type="dxa"/>
            <w:vAlign w:val="bottom"/>
          </w:tcPr>
          <w:p>
            <w:pPr>
              <w:spacing w:after="0"/>
              <w:rPr>
                <w:sz w:val="6"/>
                <w:szCs w:val="6"/>
                <w:color w:val="auto"/>
              </w:rPr>
            </w:pPr>
          </w:p>
        </w:tc>
        <w:tc>
          <w:tcPr>
            <w:tcW w:w="100" w:type="dxa"/>
            <w:vAlign w:val="bottom"/>
            <w:tcBorders>
              <w:right w:val="single" w:sz="8" w:color="231F20"/>
            </w:tcBorders>
          </w:tcPr>
          <w:p>
            <w:pPr>
              <w:spacing w:after="0"/>
              <w:rPr>
                <w:sz w:val="6"/>
                <w:szCs w:val="6"/>
                <w:color w:val="auto"/>
              </w:rPr>
            </w:pPr>
          </w:p>
        </w:tc>
        <w:tc>
          <w:tcPr>
            <w:tcW w:w="980" w:type="dxa"/>
            <w:vAlign w:val="bottom"/>
            <w:tcBorders>
              <w:right w:val="single" w:sz="8" w:color="231F20"/>
            </w:tcBorders>
          </w:tcPr>
          <w:p>
            <w:pPr>
              <w:spacing w:after="0"/>
              <w:rPr>
                <w:sz w:val="6"/>
                <w:szCs w:val="6"/>
                <w:color w:val="auto"/>
              </w:rPr>
            </w:pPr>
          </w:p>
        </w:tc>
        <w:tc>
          <w:tcPr>
            <w:tcW w:w="820" w:type="dxa"/>
            <w:vAlign w:val="bottom"/>
            <w:tcBorders>
              <w:right w:val="single" w:sz="8" w:color="231F20"/>
            </w:tcBorders>
          </w:tcPr>
          <w:p>
            <w:pPr>
              <w:spacing w:after="0"/>
              <w:rPr>
                <w:sz w:val="6"/>
                <w:szCs w:val="6"/>
                <w:color w:val="auto"/>
              </w:rPr>
            </w:pPr>
          </w:p>
        </w:tc>
        <w:tc>
          <w:tcPr>
            <w:tcW w:w="760" w:type="dxa"/>
            <w:vAlign w:val="bottom"/>
            <w:tcBorders>
              <w:right w:val="single" w:sz="8" w:color="231F20"/>
            </w:tcBorders>
          </w:tcPr>
          <w:p>
            <w:pPr>
              <w:spacing w:after="0"/>
              <w:rPr>
                <w:sz w:val="6"/>
                <w:szCs w:val="6"/>
                <w:color w:val="auto"/>
              </w:rPr>
            </w:pPr>
          </w:p>
        </w:tc>
        <w:tc>
          <w:tcPr>
            <w:tcW w:w="840" w:type="dxa"/>
            <w:vAlign w:val="bottom"/>
            <w:tcBorders>
              <w:right w:val="single" w:sz="8" w:color="231F20"/>
            </w:tcBorders>
          </w:tcPr>
          <w:p>
            <w:pPr>
              <w:spacing w:after="0"/>
              <w:rPr>
                <w:sz w:val="6"/>
                <w:szCs w:val="6"/>
                <w:color w:val="auto"/>
              </w:rPr>
            </w:pPr>
          </w:p>
        </w:tc>
        <w:tc>
          <w:tcPr>
            <w:tcW w:w="840" w:type="dxa"/>
            <w:vAlign w:val="bottom"/>
            <w:tcBorders>
              <w:right w:val="single" w:sz="8" w:color="231F20"/>
            </w:tcBorders>
          </w:tcPr>
          <w:p>
            <w:pPr>
              <w:spacing w:after="0"/>
              <w:rPr>
                <w:sz w:val="6"/>
                <w:szCs w:val="6"/>
                <w:color w:val="auto"/>
              </w:rPr>
            </w:pPr>
          </w:p>
        </w:tc>
        <w:tc>
          <w:tcPr>
            <w:tcW w:w="820" w:type="dxa"/>
            <w:vAlign w:val="bottom"/>
            <w:tcBorders>
              <w:right w:val="single" w:sz="8" w:color="231F20"/>
            </w:tcBorders>
          </w:tcPr>
          <w:p>
            <w:pPr>
              <w:spacing w:after="0"/>
              <w:rPr>
                <w:sz w:val="6"/>
                <w:szCs w:val="6"/>
                <w:color w:val="auto"/>
              </w:rPr>
            </w:pPr>
          </w:p>
        </w:tc>
        <w:tc>
          <w:tcPr>
            <w:tcW w:w="860" w:type="dxa"/>
            <w:vAlign w:val="bottom"/>
            <w:tcBorders>
              <w:right w:val="single" w:sz="8" w:color="231F20"/>
            </w:tcBorders>
          </w:tcPr>
          <w:p>
            <w:pPr>
              <w:spacing w:after="0"/>
              <w:rPr>
                <w:sz w:val="6"/>
                <w:szCs w:val="6"/>
                <w:color w:val="auto"/>
              </w:rPr>
            </w:pPr>
          </w:p>
        </w:tc>
        <w:tc>
          <w:tcPr>
            <w:tcW w:w="0" w:type="dxa"/>
            <w:vAlign w:val="bottom"/>
          </w:tcPr>
          <w:p>
            <w:pPr>
              <w:spacing w:after="0"/>
              <w:rPr>
                <w:sz w:val="1"/>
                <w:szCs w:val="1"/>
                <w:color w:val="auto"/>
              </w:rPr>
            </w:pPr>
          </w:p>
        </w:tc>
      </w:tr>
      <w:tr>
        <w:trPr>
          <w:trHeight w:val="54"/>
        </w:trPr>
        <w:tc>
          <w:tcPr>
            <w:tcW w:w="20" w:type="dxa"/>
            <w:vAlign w:val="bottom"/>
            <w:tcBorders>
              <w:bottom w:val="single" w:sz="8" w:color="231F20"/>
            </w:tcBorders>
          </w:tcPr>
          <w:p>
            <w:pPr>
              <w:spacing w:after="0"/>
              <w:rPr>
                <w:sz w:val="4"/>
                <w:szCs w:val="4"/>
                <w:color w:val="auto"/>
              </w:rPr>
            </w:pPr>
          </w:p>
        </w:tc>
        <w:tc>
          <w:tcPr>
            <w:tcW w:w="3780" w:type="dxa"/>
            <w:vAlign w:val="bottom"/>
            <w:tcBorders>
              <w:bottom w:val="single" w:sz="8" w:color="231F20"/>
              <w:right w:val="single" w:sz="8" w:color="231F20"/>
            </w:tcBorders>
          </w:tcPr>
          <w:p>
            <w:pPr>
              <w:spacing w:after="0"/>
              <w:rPr>
                <w:sz w:val="4"/>
                <w:szCs w:val="4"/>
                <w:color w:val="auto"/>
              </w:rPr>
            </w:pPr>
          </w:p>
        </w:tc>
        <w:tc>
          <w:tcPr>
            <w:tcW w:w="480" w:type="dxa"/>
            <w:vAlign w:val="bottom"/>
            <w:tcBorders>
              <w:bottom w:val="single" w:sz="8" w:color="231F20"/>
            </w:tcBorders>
          </w:tcPr>
          <w:p>
            <w:pPr>
              <w:spacing w:after="0"/>
              <w:rPr>
                <w:sz w:val="4"/>
                <w:szCs w:val="4"/>
                <w:color w:val="auto"/>
              </w:rPr>
            </w:pPr>
          </w:p>
        </w:tc>
        <w:tc>
          <w:tcPr>
            <w:tcW w:w="100" w:type="dxa"/>
            <w:vAlign w:val="bottom"/>
            <w:tcBorders>
              <w:bottom w:val="single" w:sz="8" w:color="231F20"/>
              <w:right w:val="single" w:sz="8" w:color="231F20"/>
            </w:tcBorders>
          </w:tcPr>
          <w:p>
            <w:pPr>
              <w:spacing w:after="0"/>
              <w:rPr>
                <w:sz w:val="4"/>
                <w:szCs w:val="4"/>
                <w:color w:val="auto"/>
              </w:rPr>
            </w:pPr>
          </w:p>
        </w:tc>
        <w:tc>
          <w:tcPr>
            <w:tcW w:w="980" w:type="dxa"/>
            <w:vAlign w:val="bottom"/>
            <w:tcBorders>
              <w:bottom w:val="single" w:sz="8" w:color="231F20"/>
              <w:right w:val="single" w:sz="8" w:color="231F20"/>
            </w:tcBorders>
          </w:tcPr>
          <w:p>
            <w:pPr>
              <w:spacing w:after="0"/>
              <w:rPr>
                <w:sz w:val="4"/>
                <w:szCs w:val="4"/>
                <w:color w:val="auto"/>
              </w:rPr>
            </w:pPr>
          </w:p>
        </w:tc>
        <w:tc>
          <w:tcPr>
            <w:tcW w:w="820" w:type="dxa"/>
            <w:vAlign w:val="bottom"/>
            <w:tcBorders>
              <w:bottom w:val="single" w:sz="8" w:color="231F20"/>
              <w:right w:val="single" w:sz="8" w:color="231F20"/>
            </w:tcBorders>
          </w:tcPr>
          <w:p>
            <w:pPr>
              <w:spacing w:after="0"/>
              <w:rPr>
                <w:sz w:val="4"/>
                <w:szCs w:val="4"/>
                <w:color w:val="auto"/>
              </w:rPr>
            </w:pPr>
          </w:p>
        </w:tc>
        <w:tc>
          <w:tcPr>
            <w:tcW w:w="760" w:type="dxa"/>
            <w:vAlign w:val="bottom"/>
            <w:tcBorders>
              <w:bottom w:val="single" w:sz="8" w:color="231F20"/>
              <w:right w:val="single" w:sz="8" w:color="231F20"/>
            </w:tcBorders>
          </w:tcPr>
          <w:p>
            <w:pPr>
              <w:spacing w:after="0"/>
              <w:rPr>
                <w:sz w:val="4"/>
                <w:szCs w:val="4"/>
                <w:color w:val="auto"/>
              </w:rPr>
            </w:pPr>
          </w:p>
        </w:tc>
        <w:tc>
          <w:tcPr>
            <w:tcW w:w="840" w:type="dxa"/>
            <w:vAlign w:val="bottom"/>
            <w:tcBorders>
              <w:bottom w:val="single" w:sz="8" w:color="231F20"/>
              <w:right w:val="single" w:sz="8" w:color="231F20"/>
            </w:tcBorders>
          </w:tcPr>
          <w:p>
            <w:pPr>
              <w:spacing w:after="0"/>
              <w:rPr>
                <w:sz w:val="4"/>
                <w:szCs w:val="4"/>
                <w:color w:val="auto"/>
              </w:rPr>
            </w:pPr>
          </w:p>
        </w:tc>
        <w:tc>
          <w:tcPr>
            <w:tcW w:w="840" w:type="dxa"/>
            <w:vAlign w:val="bottom"/>
            <w:tcBorders>
              <w:bottom w:val="single" w:sz="8" w:color="231F20"/>
              <w:right w:val="single" w:sz="8" w:color="231F20"/>
            </w:tcBorders>
          </w:tcPr>
          <w:p>
            <w:pPr>
              <w:spacing w:after="0"/>
              <w:rPr>
                <w:sz w:val="4"/>
                <w:szCs w:val="4"/>
                <w:color w:val="auto"/>
              </w:rPr>
            </w:pPr>
          </w:p>
        </w:tc>
        <w:tc>
          <w:tcPr>
            <w:tcW w:w="820" w:type="dxa"/>
            <w:vAlign w:val="bottom"/>
            <w:tcBorders>
              <w:bottom w:val="single" w:sz="8" w:color="231F20"/>
              <w:right w:val="single" w:sz="8" w:color="231F20"/>
            </w:tcBorders>
          </w:tcPr>
          <w:p>
            <w:pPr>
              <w:spacing w:after="0"/>
              <w:rPr>
                <w:sz w:val="4"/>
                <w:szCs w:val="4"/>
                <w:color w:val="auto"/>
              </w:rPr>
            </w:pPr>
          </w:p>
        </w:tc>
        <w:tc>
          <w:tcPr>
            <w:tcW w:w="860" w:type="dxa"/>
            <w:vAlign w:val="bottom"/>
            <w:tcBorders>
              <w:bottom w:val="single" w:sz="8" w:color="231F20"/>
              <w:right w:val="single" w:sz="8" w:color="231F20"/>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80" w:type="dxa"/>
            <w:vAlign w:val="bottom"/>
            <w:tcBorders>
              <w:right w:val="single" w:sz="8" w:color="231F20"/>
            </w:tcBorders>
            <w:vMerge w:val="restart"/>
          </w:tcPr>
          <w:p>
            <w:pPr>
              <w:ind w:left="440"/>
              <w:spacing w:after="0"/>
              <w:rPr>
                <w:sz w:val="20"/>
                <w:szCs w:val="20"/>
                <w:color w:val="auto"/>
              </w:rPr>
            </w:pPr>
            <w:r>
              <w:rPr>
                <w:rFonts w:ascii="Arial" w:cs="Arial" w:eastAsia="Arial" w:hAnsi="Arial"/>
                <w:sz w:val="18"/>
                <w:szCs w:val="18"/>
                <w:color w:val="231F20"/>
              </w:rPr>
              <w:t>Corporate Governance</w:t>
            </w:r>
          </w:p>
        </w:tc>
        <w:tc>
          <w:tcPr>
            <w:tcW w:w="480" w:type="dxa"/>
            <w:vAlign w:val="bottom"/>
          </w:tcPr>
          <w:p>
            <w:pPr>
              <w:jc w:val="center"/>
              <w:ind w:right="91"/>
              <w:spacing w:after="0"/>
              <w:rPr>
                <w:sz w:val="20"/>
                <w:szCs w:val="20"/>
                <w:color w:val="auto"/>
              </w:rPr>
            </w:pPr>
            <w:r>
              <w:rPr>
                <w:rFonts w:ascii="Arial" w:cs="Arial" w:eastAsia="Arial" w:hAnsi="Arial"/>
                <w:sz w:val="18"/>
                <w:szCs w:val="18"/>
                <w:color w:val="231F20"/>
                <w:w w:val="82"/>
              </w:rPr>
              <w:t>Š</w:t>
            </w:r>
          </w:p>
        </w:tc>
        <w:tc>
          <w:tcPr>
            <w:tcW w:w="100" w:type="dxa"/>
            <w:vAlign w:val="bottom"/>
            <w:tcBorders>
              <w:right w:val="single" w:sz="8" w:color="231F20"/>
            </w:tcBorders>
          </w:tcPr>
          <w:p>
            <w:pPr>
              <w:spacing w:after="0"/>
              <w:rPr>
                <w:sz w:val="20"/>
                <w:szCs w:val="20"/>
                <w:color w:val="auto"/>
              </w:rPr>
            </w:pPr>
          </w:p>
        </w:tc>
        <w:tc>
          <w:tcPr>
            <w:tcW w:w="980" w:type="dxa"/>
            <w:vAlign w:val="bottom"/>
            <w:tcBorders>
              <w:right w:val="single" w:sz="8" w:color="231F20"/>
            </w:tcBorders>
          </w:tcPr>
          <w:p>
            <w:pPr>
              <w:jc w:val="center"/>
              <w:ind w:right="151"/>
              <w:spacing w:after="0"/>
              <w:rPr>
                <w:sz w:val="20"/>
                <w:szCs w:val="20"/>
                <w:color w:val="auto"/>
              </w:rPr>
            </w:pPr>
            <w:r>
              <w:rPr>
                <w:rFonts w:ascii="Arial" w:cs="Arial" w:eastAsia="Arial" w:hAnsi="Arial"/>
                <w:sz w:val="18"/>
                <w:szCs w:val="18"/>
                <w:color w:val="231F20"/>
                <w:w w:val="82"/>
              </w:rPr>
              <w:t>Š</w:t>
            </w:r>
          </w:p>
        </w:tc>
        <w:tc>
          <w:tcPr>
            <w:tcW w:w="820" w:type="dxa"/>
            <w:vAlign w:val="bottom"/>
            <w:tcBorders>
              <w:right w:val="single" w:sz="8" w:color="231F20"/>
            </w:tcBorders>
          </w:tcPr>
          <w:p>
            <w:pPr>
              <w:jc w:val="center"/>
              <w:ind w:right="391"/>
              <w:spacing w:after="0"/>
              <w:rPr>
                <w:sz w:val="20"/>
                <w:szCs w:val="20"/>
                <w:color w:val="auto"/>
              </w:rPr>
            </w:pPr>
            <w:r>
              <w:rPr>
                <w:rFonts w:ascii="Arial" w:cs="Arial" w:eastAsia="Arial" w:hAnsi="Arial"/>
                <w:sz w:val="18"/>
                <w:szCs w:val="18"/>
                <w:color w:val="231F20"/>
                <w:w w:val="82"/>
              </w:rPr>
              <w:t>Š</w:t>
            </w:r>
          </w:p>
        </w:tc>
        <w:tc>
          <w:tcPr>
            <w:tcW w:w="760" w:type="dxa"/>
            <w:vAlign w:val="bottom"/>
            <w:tcBorders>
              <w:right w:val="single" w:sz="8" w:color="231F20"/>
            </w:tcBorders>
          </w:tcPr>
          <w:p>
            <w:pPr>
              <w:ind w:left="140"/>
              <w:spacing w:after="0"/>
              <w:rPr>
                <w:sz w:val="20"/>
                <w:szCs w:val="20"/>
                <w:color w:val="auto"/>
              </w:rPr>
            </w:pPr>
            <w:r>
              <w:rPr>
                <w:rFonts w:ascii="Arial" w:cs="Arial" w:eastAsia="Arial" w:hAnsi="Arial"/>
                <w:sz w:val="18"/>
                <w:szCs w:val="18"/>
                <w:color w:val="231F20"/>
              </w:rPr>
              <w:t>Š</w:t>
            </w:r>
          </w:p>
        </w:tc>
        <w:tc>
          <w:tcPr>
            <w:tcW w:w="840" w:type="dxa"/>
            <w:vAlign w:val="bottom"/>
            <w:tcBorders>
              <w:right w:val="single" w:sz="8" w:color="231F20"/>
            </w:tcBorders>
          </w:tcPr>
          <w:p>
            <w:pPr>
              <w:ind w:left="200"/>
              <w:spacing w:after="0"/>
              <w:rPr>
                <w:sz w:val="20"/>
                <w:szCs w:val="20"/>
                <w:color w:val="auto"/>
              </w:rPr>
            </w:pPr>
            <w:r>
              <w:rPr>
                <w:rFonts w:ascii="Arial" w:cs="Arial" w:eastAsia="Arial" w:hAnsi="Arial"/>
                <w:sz w:val="18"/>
                <w:szCs w:val="18"/>
                <w:color w:val="231F20"/>
              </w:rPr>
              <w:t>Š</w:t>
            </w:r>
          </w:p>
        </w:tc>
        <w:tc>
          <w:tcPr>
            <w:tcW w:w="840" w:type="dxa"/>
            <w:vAlign w:val="bottom"/>
            <w:tcBorders>
              <w:right w:val="single" w:sz="8" w:color="231F20"/>
            </w:tcBorders>
          </w:tcPr>
          <w:p>
            <w:pPr>
              <w:jc w:val="center"/>
              <w:ind w:right="292"/>
              <w:spacing w:after="0"/>
              <w:rPr>
                <w:sz w:val="20"/>
                <w:szCs w:val="20"/>
                <w:color w:val="auto"/>
              </w:rPr>
            </w:pPr>
            <w:r>
              <w:rPr>
                <w:rFonts w:ascii="Arial" w:cs="Arial" w:eastAsia="Arial" w:hAnsi="Arial"/>
                <w:sz w:val="18"/>
                <w:szCs w:val="18"/>
                <w:color w:val="231F20"/>
                <w:w w:val="82"/>
              </w:rPr>
              <w:t>Š</w:t>
            </w:r>
          </w:p>
        </w:tc>
        <w:tc>
          <w:tcPr>
            <w:tcW w:w="820" w:type="dxa"/>
            <w:vAlign w:val="bottom"/>
            <w:tcBorders>
              <w:right w:val="single" w:sz="8" w:color="231F20"/>
            </w:tcBorders>
          </w:tcPr>
          <w:p>
            <w:pPr>
              <w:jc w:val="center"/>
              <w:ind w:right="312"/>
              <w:spacing w:after="0"/>
              <w:rPr>
                <w:sz w:val="20"/>
                <w:szCs w:val="20"/>
                <w:color w:val="auto"/>
              </w:rPr>
            </w:pPr>
            <w:r>
              <w:rPr>
                <w:rFonts w:ascii="Arial" w:cs="Arial" w:eastAsia="Arial" w:hAnsi="Arial"/>
                <w:sz w:val="18"/>
                <w:szCs w:val="18"/>
                <w:color w:val="231F20"/>
                <w:w w:val="82"/>
              </w:rPr>
              <w:t>Š</w:t>
            </w:r>
          </w:p>
        </w:tc>
        <w:tc>
          <w:tcPr>
            <w:tcW w:w="860" w:type="dxa"/>
            <w:vAlign w:val="bottom"/>
            <w:tcBorders>
              <w:right w:val="single" w:sz="8" w:color="231F20"/>
            </w:tcBorders>
          </w:tcPr>
          <w:p>
            <w:pPr>
              <w:jc w:val="center"/>
              <w:ind w:right="311"/>
              <w:spacing w:after="0"/>
              <w:rPr>
                <w:sz w:val="20"/>
                <w:szCs w:val="20"/>
                <w:color w:val="auto"/>
              </w:rPr>
            </w:pPr>
            <w:r>
              <w:rPr>
                <w:rFonts w:ascii="Arial" w:cs="Arial" w:eastAsia="Arial" w:hAnsi="Arial"/>
                <w:sz w:val="18"/>
                <w:szCs w:val="18"/>
                <w:color w:val="231F20"/>
                <w:w w:val="82"/>
              </w:rPr>
              <w:t>Š</w:t>
            </w:r>
          </w:p>
        </w:tc>
        <w:tc>
          <w:tcPr>
            <w:tcW w:w="0" w:type="dxa"/>
            <w:vAlign w:val="bottom"/>
          </w:tcPr>
          <w:p>
            <w:pPr>
              <w:spacing w:after="0"/>
              <w:rPr>
                <w:sz w:val="1"/>
                <w:szCs w:val="1"/>
                <w:color w:val="auto"/>
              </w:rPr>
            </w:pPr>
          </w:p>
        </w:tc>
      </w:tr>
      <w:tr>
        <w:trPr>
          <w:trHeight w:val="83"/>
        </w:trPr>
        <w:tc>
          <w:tcPr>
            <w:tcW w:w="20" w:type="dxa"/>
            <w:vAlign w:val="bottom"/>
            <w:tcBorders>
              <w:bottom w:val="single" w:sz="8" w:color="231F20"/>
            </w:tcBorders>
          </w:tcPr>
          <w:p>
            <w:pPr>
              <w:spacing w:after="0"/>
              <w:rPr>
                <w:sz w:val="7"/>
                <w:szCs w:val="7"/>
                <w:color w:val="auto"/>
              </w:rPr>
            </w:pPr>
          </w:p>
        </w:tc>
        <w:tc>
          <w:tcPr>
            <w:tcW w:w="3780" w:type="dxa"/>
            <w:vAlign w:val="bottom"/>
            <w:tcBorders>
              <w:bottom w:val="single" w:sz="8" w:color="231F20"/>
              <w:right w:val="single" w:sz="8" w:color="231F20"/>
            </w:tcBorders>
            <w:vMerge w:val="continue"/>
          </w:tcPr>
          <w:p>
            <w:pPr>
              <w:spacing w:after="0"/>
              <w:rPr>
                <w:sz w:val="7"/>
                <w:szCs w:val="7"/>
                <w:color w:val="auto"/>
              </w:rPr>
            </w:pPr>
          </w:p>
        </w:tc>
        <w:tc>
          <w:tcPr>
            <w:tcW w:w="480" w:type="dxa"/>
            <w:vAlign w:val="bottom"/>
            <w:tcBorders>
              <w:bottom w:val="single" w:sz="8" w:color="231F20"/>
            </w:tcBorders>
          </w:tcPr>
          <w:p>
            <w:pPr>
              <w:spacing w:after="0"/>
              <w:rPr>
                <w:sz w:val="7"/>
                <w:szCs w:val="7"/>
                <w:color w:val="auto"/>
              </w:rPr>
            </w:pPr>
          </w:p>
        </w:tc>
        <w:tc>
          <w:tcPr>
            <w:tcW w:w="100" w:type="dxa"/>
            <w:vAlign w:val="bottom"/>
            <w:tcBorders>
              <w:bottom w:val="single" w:sz="8" w:color="231F20"/>
              <w:right w:val="single" w:sz="8" w:color="231F20"/>
            </w:tcBorders>
          </w:tcPr>
          <w:p>
            <w:pPr>
              <w:spacing w:after="0"/>
              <w:rPr>
                <w:sz w:val="7"/>
                <w:szCs w:val="7"/>
                <w:color w:val="auto"/>
              </w:rPr>
            </w:pPr>
          </w:p>
        </w:tc>
        <w:tc>
          <w:tcPr>
            <w:tcW w:w="980" w:type="dxa"/>
            <w:vAlign w:val="bottom"/>
            <w:tcBorders>
              <w:bottom w:val="single" w:sz="8" w:color="231F20"/>
              <w:right w:val="single" w:sz="8" w:color="231F20"/>
            </w:tcBorders>
          </w:tcPr>
          <w:p>
            <w:pPr>
              <w:spacing w:after="0"/>
              <w:rPr>
                <w:sz w:val="7"/>
                <w:szCs w:val="7"/>
                <w:color w:val="auto"/>
              </w:rPr>
            </w:pPr>
          </w:p>
        </w:tc>
        <w:tc>
          <w:tcPr>
            <w:tcW w:w="820" w:type="dxa"/>
            <w:vAlign w:val="bottom"/>
            <w:tcBorders>
              <w:bottom w:val="single" w:sz="8" w:color="231F20"/>
              <w:right w:val="single" w:sz="8" w:color="231F20"/>
            </w:tcBorders>
          </w:tcPr>
          <w:p>
            <w:pPr>
              <w:spacing w:after="0"/>
              <w:rPr>
                <w:sz w:val="7"/>
                <w:szCs w:val="7"/>
                <w:color w:val="auto"/>
              </w:rPr>
            </w:pPr>
          </w:p>
        </w:tc>
        <w:tc>
          <w:tcPr>
            <w:tcW w:w="760" w:type="dxa"/>
            <w:vAlign w:val="bottom"/>
            <w:tcBorders>
              <w:bottom w:val="single" w:sz="8" w:color="231F20"/>
              <w:right w:val="single" w:sz="8" w:color="231F20"/>
            </w:tcBorders>
          </w:tcPr>
          <w:p>
            <w:pPr>
              <w:spacing w:after="0"/>
              <w:rPr>
                <w:sz w:val="7"/>
                <w:szCs w:val="7"/>
                <w:color w:val="auto"/>
              </w:rPr>
            </w:pPr>
          </w:p>
        </w:tc>
        <w:tc>
          <w:tcPr>
            <w:tcW w:w="840" w:type="dxa"/>
            <w:vAlign w:val="bottom"/>
            <w:tcBorders>
              <w:bottom w:val="single" w:sz="8" w:color="231F20"/>
              <w:right w:val="single" w:sz="8" w:color="231F20"/>
            </w:tcBorders>
          </w:tcPr>
          <w:p>
            <w:pPr>
              <w:spacing w:after="0"/>
              <w:rPr>
                <w:sz w:val="7"/>
                <w:szCs w:val="7"/>
                <w:color w:val="auto"/>
              </w:rPr>
            </w:pPr>
          </w:p>
        </w:tc>
        <w:tc>
          <w:tcPr>
            <w:tcW w:w="840" w:type="dxa"/>
            <w:vAlign w:val="bottom"/>
            <w:tcBorders>
              <w:bottom w:val="single" w:sz="8" w:color="231F20"/>
              <w:right w:val="single" w:sz="8" w:color="231F20"/>
            </w:tcBorders>
          </w:tcPr>
          <w:p>
            <w:pPr>
              <w:spacing w:after="0"/>
              <w:rPr>
                <w:sz w:val="7"/>
                <w:szCs w:val="7"/>
                <w:color w:val="auto"/>
              </w:rPr>
            </w:pPr>
          </w:p>
        </w:tc>
        <w:tc>
          <w:tcPr>
            <w:tcW w:w="820" w:type="dxa"/>
            <w:vAlign w:val="bottom"/>
            <w:tcBorders>
              <w:bottom w:val="single" w:sz="8" w:color="231F20"/>
              <w:right w:val="single" w:sz="8" w:color="231F20"/>
            </w:tcBorders>
          </w:tcPr>
          <w:p>
            <w:pPr>
              <w:spacing w:after="0"/>
              <w:rPr>
                <w:sz w:val="7"/>
                <w:szCs w:val="7"/>
                <w:color w:val="auto"/>
              </w:rPr>
            </w:pPr>
          </w:p>
        </w:tc>
        <w:tc>
          <w:tcPr>
            <w:tcW w:w="860" w:type="dxa"/>
            <w:vAlign w:val="bottom"/>
            <w:tcBorders>
              <w:bottom w:val="single" w:sz="8" w:color="231F20"/>
              <w:right w:val="single" w:sz="8" w:color="231F20"/>
            </w:tcBorders>
          </w:tcPr>
          <w:p>
            <w:pPr>
              <w:spacing w:after="0"/>
              <w:rPr>
                <w:sz w:val="7"/>
                <w:szCs w:val="7"/>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3780" w:type="dxa"/>
            <w:vAlign w:val="bottom"/>
            <w:tcBorders>
              <w:right w:val="single" w:sz="8" w:color="231F20"/>
            </w:tcBorders>
            <w:vMerge w:val="restart"/>
          </w:tcPr>
          <w:p>
            <w:pPr>
              <w:ind w:left="440"/>
              <w:spacing w:after="0"/>
              <w:rPr>
                <w:sz w:val="20"/>
                <w:szCs w:val="20"/>
                <w:color w:val="auto"/>
              </w:rPr>
            </w:pPr>
            <w:r>
              <w:rPr>
                <w:rFonts w:ascii="Arial" w:cs="Arial" w:eastAsia="Arial" w:hAnsi="Arial"/>
                <w:sz w:val="18"/>
                <w:szCs w:val="18"/>
                <w:color w:val="231F20"/>
              </w:rPr>
              <w:t>Sustainability</w:t>
            </w:r>
          </w:p>
        </w:tc>
        <w:tc>
          <w:tcPr>
            <w:tcW w:w="480" w:type="dxa"/>
            <w:vAlign w:val="bottom"/>
          </w:tcPr>
          <w:p>
            <w:pPr>
              <w:jc w:val="center"/>
              <w:ind w:right="91"/>
              <w:spacing w:after="0"/>
              <w:rPr>
                <w:sz w:val="20"/>
                <w:szCs w:val="20"/>
                <w:color w:val="auto"/>
              </w:rPr>
            </w:pPr>
            <w:r>
              <w:rPr>
                <w:rFonts w:ascii="Arial" w:cs="Arial" w:eastAsia="Arial" w:hAnsi="Arial"/>
                <w:sz w:val="18"/>
                <w:szCs w:val="18"/>
                <w:color w:val="231F20"/>
                <w:w w:val="82"/>
              </w:rPr>
              <w:t>Š</w:t>
            </w:r>
          </w:p>
        </w:tc>
        <w:tc>
          <w:tcPr>
            <w:tcW w:w="100" w:type="dxa"/>
            <w:vAlign w:val="bottom"/>
            <w:tcBorders>
              <w:right w:val="single" w:sz="8" w:color="231F20"/>
            </w:tcBorders>
          </w:tcPr>
          <w:p>
            <w:pPr>
              <w:spacing w:after="0"/>
              <w:rPr>
                <w:sz w:val="24"/>
                <w:szCs w:val="24"/>
                <w:color w:val="auto"/>
              </w:rPr>
            </w:pPr>
          </w:p>
        </w:tc>
        <w:tc>
          <w:tcPr>
            <w:tcW w:w="980" w:type="dxa"/>
            <w:vAlign w:val="bottom"/>
            <w:tcBorders>
              <w:right w:val="single" w:sz="8" w:color="231F20"/>
            </w:tcBorders>
          </w:tcPr>
          <w:p>
            <w:pPr>
              <w:jc w:val="center"/>
              <w:ind w:right="151"/>
              <w:spacing w:after="0"/>
              <w:rPr>
                <w:sz w:val="20"/>
                <w:szCs w:val="20"/>
                <w:color w:val="auto"/>
              </w:rPr>
            </w:pPr>
            <w:r>
              <w:rPr>
                <w:rFonts w:ascii="Arial" w:cs="Arial" w:eastAsia="Arial" w:hAnsi="Arial"/>
                <w:sz w:val="18"/>
                <w:szCs w:val="18"/>
                <w:color w:val="231F20"/>
                <w:w w:val="82"/>
              </w:rPr>
              <w:t>Š</w:t>
            </w:r>
          </w:p>
        </w:tc>
        <w:tc>
          <w:tcPr>
            <w:tcW w:w="820" w:type="dxa"/>
            <w:vAlign w:val="bottom"/>
            <w:tcBorders>
              <w:right w:val="single" w:sz="8" w:color="231F20"/>
            </w:tcBorders>
          </w:tcPr>
          <w:p>
            <w:pPr>
              <w:jc w:val="center"/>
              <w:ind w:right="391"/>
              <w:spacing w:after="0"/>
              <w:rPr>
                <w:sz w:val="20"/>
                <w:szCs w:val="20"/>
                <w:color w:val="auto"/>
              </w:rPr>
            </w:pPr>
            <w:r>
              <w:rPr>
                <w:rFonts w:ascii="Arial" w:cs="Arial" w:eastAsia="Arial" w:hAnsi="Arial"/>
                <w:sz w:val="18"/>
                <w:szCs w:val="18"/>
                <w:color w:val="231F20"/>
                <w:w w:val="82"/>
              </w:rPr>
              <w:t>Š</w:t>
            </w:r>
          </w:p>
        </w:tc>
        <w:tc>
          <w:tcPr>
            <w:tcW w:w="760" w:type="dxa"/>
            <w:vAlign w:val="bottom"/>
            <w:tcBorders>
              <w:right w:val="single" w:sz="8" w:color="231F20"/>
            </w:tcBorders>
          </w:tcPr>
          <w:p>
            <w:pPr>
              <w:spacing w:after="0"/>
              <w:rPr>
                <w:sz w:val="24"/>
                <w:szCs w:val="24"/>
                <w:color w:val="auto"/>
              </w:rPr>
            </w:pPr>
          </w:p>
        </w:tc>
        <w:tc>
          <w:tcPr>
            <w:tcW w:w="840" w:type="dxa"/>
            <w:vAlign w:val="bottom"/>
            <w:tcBorders>
              <w:right w:val="single" w:sz="8" w:color="231F20"/>
            </w:tcBorders>
          </w:tcPr>
          <w:p>
            <w:pPr>
              <w:spacing w:after="0"/>
              <w:rPr>
                <w:sz w:val="24"/>
                <w:szCs w:val="24"/>
                <w:color w:val="auto"/>
              </w:rPr>
            </w:pPr>
          </w:p>
        </w:tc>
        <w:tc>
          <w:tcPr>
            <w:tcW w:w="840" w:type="dxa"/>
            <w:vAlign w:val="bottom"/>
            <w:tcBorders>
              <w:right w:val="single" w:sz="8" w:color="231F20"/>
            </w:tcBorders>
          </w:tcPr>
          <w:p>
            <w:pPr>
              <w:spacing w:after="0"/>
              <w:rPr>
                <w:sz w:val="24"/>
                <w:szCs w:val="24"/>
                <w:color w:val="auto"/>
              </w:rPr>
            </w:pPr>
          </w:p>
        </w:tc>
        <w:tc>
          <w:tcPr>
            <w:tcW w:w="820" w:type="dxa"/>
            <w:vAlign w:val="bottom"/>
            <w:tcBorders>
              <w:right w:val="single" w:sz="8" w:color="231F20"/>
            </w:tcBorders>
          </w:tcPr>
          <w:p>
            <w:pPr>
              <w:spacing w:after="0"/>
              <w:rPr>
                <w:sz w:val="24"/>
                <w:szCs w:val="24"/>
                <w:color w:val="auto"/>
              </w:rPr>
            </w:pPr>
          </w:p>
        </w:tc>
        <w:tc>
          <w:tcPr>
            <w:tcW w:w="860" w:type="dxa"/>
            <w:vAlign w:val="bottom"/>
            <w:tcBorders>
              <w:right w:val="single" w:sz="8" w:color="231F20"/>
            </w:tcBorders>
          </w:tcPr>
          <w:p>
            <w:pPr>
              <w:jc w:val="center"/>
              <w:ind w:right="311"/>
              <w:spacing w:after="0"/>
              <w:rPr>
                <w:sz w:val="20"/>
                <w:szCs w:val="20"/>
                <w:color w:val="auto"/>
              </w:rPr>
            </w:pPr>
            <w:r>
              <w:rPr>
                <w:rFonts w:ascii="Arial" w:cs="Arial" w:eastAsia="Arial" w:hAnsi="Arial"/>
                <w:sz w:val="18"/>
                <w:szCs w:val="18"/>
                <w:color w:val="231F20"/>
                <w:w w:val="82"/>
              </w:rPr>
              <w:t>Š</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3780" w:type="dxa"/>
            <w:vAlign w:val="bottom"/>
            <w:tcBorders>
              <w:right w:val="single" w:sz="8" w:color="231F20"/>
            </w:tcBorders>
            <w:vMerge w:val="continue"/>
          </w:tcPr>
          <w:p>
            <w:pPr>
              <w:spacing w:after="0"/>
              <w:rPr>
                <w:sz w:val="6"/>
                <w:szCs w:val="6"/>
                <w:color w:val="auto"/>
              </w:rPr>
            </w:pPr>
          </w:p>
        </w:tc>
        <w:tc>
          <w:tcPr>
            <w:tcW w:w="480" w:type="dxa"/>
            <w:vAlign w:val="bottom"/>
          </w:tcPr>
          <w:p>
            <w:pPr>
              <w:spacing w:after="0"/>
              <w:rPr>
                <w:sz w:val="6"/>
                <w:szCs w:val="6"/>
                <w:color w:val="auto"/>
              </w:rPr>
            </w:pPr>
          </w:p>
        </w:tc>
        <w:tc>
          <w:tcPr>
            <w:tcW w:w="100" w:type="dxa"/>
            <w:vAlign w:val="bottom"/>
            <w:tcBorders>
              <w:right w:val="single" w:sz="8" w:color="231F20"/>
            </w:tcBorders>
          </w:tcPr>
          <w:p>
            <w:pPr>
              <w:spacing w:after="0"/>
              <w:rPr>
                <w:sz w:val="6"/>
                <w:szCs w:val="6"/>
                <w:color w:val="auto"/>
              </w:rPr>
            </w:pPr>
          </w:p>
        </w:tc>
        <w:tc>
          <w:tcPr>
            <w:tcW w:w="980" w:type="dxa"/>
            <w:vAlign w:val="bottom"/>
            <w:tcBorders>
              <w:right w:val="single" w:sz="8" w:color="231F20"/>
            </w:tcBorders>
          </w:tcPr>
          <w:p>
            <w:pPr>
              <w:spacing w:after="0"/>
              <w:rPr>
                <w:sz w:val="6"/>
                <w:szCs w:val="6"/>
                <w:color w:val="auto"/>
              </w:rPr>
            </w:pPr>
          </w:p>
        </w:tc>
        <w:tc>
          <w:tcPr>
            <w:tcW w:w="820" w:type="dxa"/>
            <w:vAlign w:val="bottom"/>
            <w:tcBorders>
              <w:right w:val="single" w:sz="8" w:color="231F20"/>
            </w:tcBorders>
          </w:tcPr>
          <w:p>
            <w:pPr>
              <w:spacing w:after="0"/>
              <w:rPr>
                <w:sz w:val="6"/>
                <w:szCs w:val="6"/>
                <w:color w:val="auto"/>
              </w:rPr>
            </w:pPr>
          </w:p>
        </w:tc>
        <w:tc>
          <w:tcPr>
            <w:tcW w:w="760" w:type="dxa"/>
            <w:vAlign w:val="bottom"/>
            <w:tcBorders>
              <w:right w:val="single" w:sz="8" w:color="231F20"/>
            </w:tcBorders>
          </w:tcPr>
          <w:p>
            <w:pPr>
              <w:spacing w:after="0"/>
              <w:rPr>
                <w:sz w:val="6"/>
                <w:szCs w:val="6"/>
                <w:color w:val="auto"/>
              </w:rPr>
            </w:pPr>
          </w:p>
        </w:tc>
        <w:tc>
          <w:tcPr>
            <w:tcW w:w="840" w:type="dxa"/>
            <w:vAlign w:val="bottom"/>
            <w:tcBorders>
              <w:right w:val="single" w:sz="8" w:color="231F20"/>
            </w:tcBorders>
          </w:tcPr>
          <w:p>
            <w:pPr>
              <w:spacing w:after="0"/>
              <w:rPr>
                <w:sz w:val="6"/>
                <w:szCs w:val="6"/>
                <w:color w:val="auto"/>
              </w:rPr>
            </w:pPr>
          </w:p>
        </w:tc>
        <w:tc>
          <w:tcPr>
            <w:tcW w:w="840" w:type="dxa"/>
            <w:vAlign w:val="bottom"/>
            <w:tcBorders>
              <w:right w:val="single" w:sz="8" w:color="231F20"/>
            </w:tcBorders>
          </w:tcPr>
          <w:p>
            <w:pPr>
              <w:spacing w:after="0"/>
              <w:rPr>
                <w:sz w:val="6"/>
                <w:szCs w:val="6"/>
                <w:color w:val="auto"/>
              </w:rPr>
            </w:pPr>
          </w:p>
        </w:tc>
        <w:tc>
          <w:tcPr>
            <w:tcW w:w="820" w:type="dxa"/>
            <w:vAlign w:val="bottom"/>
            <w:tcBorders>
              <w:right w:val="single" w:sz="8" w:color="231F20"/>
            </w:tcBorders>
          </w:tcPr>
          <w:p>
            <w:pPr>
              <w:spacing w:after="0"/>
              <w:rPr>
                <w:sz w:val="6"/>
                <w:szCs w:val="6"/>
                <w:color w:val="auto"/>
              </w:rPr>
            </w:pPr>
          </w:p>
        </w:tc>
        <w:tc>
          <w:tcPr>
            <w:tcW w:w="860" w:type="dxa"/>
            <w:vAlign w:val="bottom"/>
            <w:tcBorders>
              <w:right w:val="single" w:sz="8" w:color="231F20"/>
            </w:tcBorders>
          </w:tcPr>
          <w:p>
            <w:pPr>
              <w:spacing w:after="0"/>
              <w:rPr>
                <w:sz w:val="6"/>
                <w:szCs w:val="6"/>
                <w:color w:val="auto"/>
              </w:rPr>
            </w:pPr>
          </w:p>
        </w:tc>
        <w:tc>
          <w:tcPr>
            <w:tcW w:w="0" w:type="dxa"/>
            <w:vAlign w:val="bottom"/>
          </w:tcPr>
          <w:p>
            <w:pPr>
              <w:spacing w:after="0"/>
              <w:rPr>
                <w:sz w:val="1"/>
                <w:szCs w:val="1"/>
                <w:color w:val="auto"/>
              </w:rPr>
            </w:pPr>
          </w:p>
        </w:tc>
      </w:tr>
      <w:tr>
        <w:trPr>
          <w:trHeight w:val="59"/>
        </w:trPr>
        <w:tc>
          <w:tcPr>
            <w:tcW w:w="20" w:type="dxa"/>
            <w:vAlign w:val="bottom"/>
            <w:tcBorders>
              <w:bottom w:val="single" w:sz="8" w:color="EF3E2A"/>
            </w:tcBorders>
          </w:tcPr>
          <w:p>
            <w:pPr>
              <w:spacing w:after="0"/>
              <w:rPr>
                <w:sz w:val="5"/>
                <w:szCs w:val="5"/>
                <w:color w:val="auto"/>
              </w:rPr>
            </w:pPr>
          </w:p>
        </w:tc>
        <w:tc>
          <w:tcPr>
            <w:tcW w:w="3780" w:type="dxa"/>
            <w:vAlign w:val="bottom"/>
            <w:tcBorders>
              <w:bottom w:val="single" w:sz="8" w:color="EF3E2A"/>
              <w:right w:val="single" w:sz="8" w:color="231F20"/>
            </w:tcBorders>
          </w:tcPr>
          <w:p>
            <w:pPr>
              <w:spacing w:after="0"/>
              <w:rPr>
                <w:sz w:val="5"/>
                <w:szCs w:val="5"/>
                <w:color w:val="auto"/>
              </w:rPr>
            </w:pPr>
          </w:p>
        </w:tc>
        <w:tc>
          <w:tcPr>
            <w:tcW w:w="480" w:type="dxa"/>
            <w:vAlign w:val="bottom"/>
            <w:tcBorders>
              <w:bottom w:val="single" w:sz="8" w:color="231F20"/>
            </w:tcBorders>
          </w:tcPr>
          <w:p>
            <w:pPr>
              <w:spacing w:after="0"/>
              <w:rPr>
                <w:sz w:val="5"/>
                <w:szCs w:val="5"/>
                <w:color w:val="auto"/>
              </w:rPr>
            </w:pPr>
          </w:p>
        </w:tc>
        <w:tc>
          <w:tcPr>
            <w:tcW w:w="100" w:type="dxa"/>
            <w:vAlign w:val="bottom"/>
            <w:tcBorders>
              <w:bottom w:val="single" w:sz="8" w:color="231F20"/>
              <w:right w:val="single" w:sz="8" w:color="231F20"/>
            </w:tcBorders>
          </w:tcPr>
          <w:p>
            <w:pPr>
              <w:spacing w:after="0"/>
              <w:rPr>
                <w:sz w:val="5"/>
                <w:szCs w:val="5"/>
                <w:color w:val="auto"/>
              </w:rPr>
            </w:pPr>
          </w:p>
        </w:tc>
        <w:tc>
          <w:tcPr>
            <w:tcW w:w="980" w:type="dxa"/>
            <w:vAlign w:val="bottom"/>
            <w:tcBorders>
              <w:bottom w:val="single" w:sz="8" w:color="231F20"/>
              <w:right w:val="single" w:sz="8" w:color="231F20"/>
            </w:tcBorders>
          </w:tcPr>
          <w:p>
            <w:pPr>
              <w:spacing w:after="0"/>
              <w:rPr>
                <w:sz w:val="5"/>
                <w:szCs w:val="5"/>
                <w:color w:val="auto"/>
              </w:rPr>
            </w:pPr>
          </w:p>
        </w:tc>
        <w:tc>
          <w:tcPr>
            <w:tcW w:w="820" w:type="dxa"/>
            <w:vAlign w:val="bottom"/>
            <w:tcBorders>
              <w:bottom w:val="single" w:sz="8" w:color="231F20"/>
              <w:right w:val="single" w:sz="8" w:color="231F20"/>
            </w:tcBorders>
          </w:tcPr>
          <w:p>
            <w:pPr>
              <w:spacing w:after="0"/>
              <w:rPr>
                <w:sz w:val="5"/>
                <w:szCs w:val="5"/>
                <w:color w:val="auto"/>
              </w:rPr>
            </w:pPr>
          </w:p>
        </w:tc>
        <w:tc>
          <w:tcPr>
            <w:tcW w:w="760" w:type="dxa"/>
            <w:vAlign w:val="bottom"/>
            <w:tcBorders>
              <w:bottom w:val="single" w:sz="8" w:color="231F20"/>
              <w:right w:val="single" w:sz="8" w:color="231F20"/>
            </w:tcBorders>
          </w:tcPr>
          <w:p>
            <w:pPr>
              <w:spacing w:after="0"/>
              <w:rPr>
                <w:sz w:val="5"/>
                <w:szCs w:val="5"/>
                <w:color w:val="auto"/>
              </w:rPr>
            </w:pPr>
          </w:p>
        </w:tc>
        <w:tc>
          <w:tcPr>
            <w:tcW w:w="840" w:type="dxa"/>
            <w:vAlign w:val="bottom"/>
            <w:tcBorders>
              <w:bottom w:val="single" w:sz="8" w:color="231F20"/>
              <w:right w:val="single" w:sz="8" w:color="231F20"/>
            </w:tcBorders>
          </w:tcPr>
          <w:p>
            <w:pPr>
              <w:spacing w:after="0"/>
              <w:rPr>
                <w:sz w:val="5"/>
                <w:szCs w:val="5"/>
                <w:color w:val="auto"/>
              </w:rPr>
            </w:pPr>
          </w:p>
        </w:tc>
        <w:tc>
          <w:tcPr>
            <w:tcW w:w="840" w:type="dxa"/>
            <w:vAlign w:val="bottom"/>
            <w:tcBorders>
              <w:bottom w:val="single" w:sz="8" w:color="231F20"/>
              <w:right w:val="single" w:sz="8" w:color="231F20"/>
            </w:tcBorders>
          </w:tcPr>
          <w:p>
            <w:pPr>
              <w:spacing w:after="0"/>
              <w:rPr>
                <w:sz w:val="5"/>
                <w:szCs w:val="5"/>
                <w:color w:val="auto"/>
              </w:rPr>
            </w:pPr>
          </w:p>
        </w:tc>
        <w:tc>
          <w:tcPr>
            <w:tcW w:w="820" w:type="dxa"/>
            <w:vAlign w:val="bottom"/>
            <w:tcBorders>
              <w:bottom w:val="single" w:sz="8" w:color="231F20"/>
              <w:right w:val="single" w:sz="8" w:color="231F20"/>
            </w:tcBorders>
          </w:tcPr>
          <w:p>
            <w:pPr>
              <w:spacing w:after="0"/>
              <w:rPr>
                <w:sz w:val="5"/>
                <w:szCs w:val="5"/>
                <w:color w:val="auto"/>
              </w:rPr>
            </w:pPr>
          </w:p>
        </w:tc>
        <w:tc>
          <w:tcPr>
            <w:tcW w:w="860" w:type="dxa"/>
            <w:vAlign w:val="bottom"/>
            <w:tcBorders>
              <w:bottom w:val="single" w:sz="8" w:color="231F20"/>
              <w:right w:val="single" w:sz="8" w:color="231F20"/>
            </w:tcBorders>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20" w:type="dxa"/>
            <w:vAlign w:val="bottom"/>
            <w:tcBorders>
              <w:bottom w:val="single" w:sz="8" w:color="EF3E2A"/>
            </w:tcBorders>
            <w:shd w:val="clear" w:color="auto" w:fill="EF3E2A"/>
          </w:tcPr>
          <w:p>
            <w:pPr>
              <w:spacing w:after="0"/>
              <w:rPr>
                <w:sz w:val="21"/>
                <w:szCs w:val="21"/>
                <w:color w:val="auto"/>
              </w:rPr>
            </w:pPr>
          </w:p>
        </w:tc>
        <w:tc>
          <w:tcPr>
            <w:tcW w:w="3780" w:type="dxa"/>
            <w:vAlign w:val="bottom"/>
            <w:tcBorders>
              <w:bottom w:val="single" w:sz="8" w:color="EF3E2A"/>
              <w:right w:val="single" w:sz="8" w:color="EF3E2A"/>
            </w:tcBorders>
            <w:shd w:val="clear" w:color="auto" w:fill="EF3E2A"/>
          </w:tcPr>
          <w:p>
            <w:pPr>
              <w:spacing w:after="0"/>
              <w:rPr>
                <w:sz w:val="21"/>
                <w:szCs w:val="21"/>
                <w:color w:val="auto"/>
              </w:rPr>
            </w:pPr>
          </w:p>
        </w:tc>
        <w:tc>
          <w:tcPr>
            <w:tcW w:w="480" w:type="dxa"/>
            <w:vAlign w:val="bottom"/>
            <w:tcBorders>
              <w:bottom w:val="single" w:sz="8" w:color="EF3E2A"/>
            </w:tcBorders>
            <w:shd w:val="clear" w:color="auto" w:fill="EF3E2A"/>
          </w:tcPr>
          <w:p>
            <w:pPr>
              <w:spacing w:after="0"/>
              <w:rPr>
                <w:sz w:val="21"/>
                <w:szCs w:val="21"/>
                <w:color w:val="auto"/>
              </w:rPr>
            </w:pPr>
          </w:p>
        </w:tc>
        <w:tc>
          <w:tcPr>
            <w:tcW w:w="2660" w:type="dxa"/>
            <w:vAlign w:val="bottom"/>
            <w:tcBorders>
              <w:bottom w:val="single" w:sz="8" w:color="EF3E2A"/>
              <w:right w:val="single" w:sz="8" w:color="EF3E2A"/>
            </w:tcBorders>
            <w:gridSpan w:val="4"/>
            <w:shd w:val="clear" w:color="auto" w:fill="EF3E2A"/>
          </w:tcPr>
          <w:p>
            <w:pPr>
              <w:ind w:left="60"/>
              <w:spacing w:after="0" w:line="225" w:lineRule="exact"/>
              <w:rPr>
                <w:sz w:val="20"/>
                <w:szCs w:val="20"/>
                <w:color w:val="auto"/>
              </w:rPr>
            </w:pPr>
            <w:r>
              <w:rPr>
                <w:rFonts w:ascii="Arial" w:cs="Arial" w:eastAsia="Arial" w:hAnsi="Arial"/>
                <w:sz w:val="20"/>
                <w:szCs w:val="20"/>
                <w:b w:val="1"/>
                <w:bCs w:val="1"/>
                <w:color w:val="FFFFFF"/>
              </w:rPr>
              <w:t>DEMOGRAPHICS</w:t>
            </w:r>
          </w:p>
        </w:tc>
        <w:tc>
          <w:tcPr>
            <w:tcW w:w="840" w:type="dxa"/>
            <w:vAlign w:val="bottom"/>
            <w:tcBorders>
              <w:bottom w:val="single" w:sz="8" w:color="EF3E2A"/>
              <w:right w:val="single" w:sz="8" w:color="EF3E2A"/>
            </w:tcBorders>
            <w:shd w:val="clear" w:color="auto" w:fill="EF3E2A"/>
          </w:tcPr>
          <w:p>
            <w:pPr>
              <w:spacing w:after="0"/>
              <w:rPr>
                <w:sz w:val="21"/>
                <w:szCs w:val="21"/>
                <w:color w:val="auto"/>
              </w:rPr>
            </w:pPr>
          </w:p>
        </w:tc>
        <w:tc>
          <w:tcPr>
            <w:tcW w:w="840" w:type="dxa"/>
            <w:vAlign w:val="bottom"/>
            <w:tcBorders>
              <w:bottom w:val="single" w:sz="8" w:color="EF3E2A"/>
              <w:right w:val="single" w:sz="8" w:color="EF3E2A"/>
            </w:tcBorders>
            <w:shd w:val="clear" w:color="auto" w:fill="EF3E2A"/>
          </w:tcPr>
          <w:p>
            <w:pPr>
              <w:spacing w:after="0"/>
              <w:rPr>
                <w:sz w:val="21"/>
                <w:szCs w:val="21"/>
                <w:color w:val="auto"/>
              </w:rPr>
            </w:pPr>
          </w:p>
        </w:tc>
        <w:tc>
          <w:tcPr>
            <w:tcW w:w="820" w:type="dxa"/>
            <w:vAlign w:val="bottom"/>
            <w:tcBorders>
              <w:bottom w:val="single" w:sz="8" w:color="EF3E2A"/>
              <w:right w:val="single" w:sz="8" w:color="EF3E2A"/>
            </w:tcBorders>
            <w:shd w:val="clear" w:color="auto" w:fill="EF3E2A"/>
          </w:tcPr>
          <w:p>
            <w:pPr>
              <w:spacing w:after="0"/>
              <w:rPr>
                <w:sz w:val="21"/>
                <w:szCs w:val="21"/>
                <w:color w:val="auto"/>
              </w:rPr>
            </w:pPr>
          </w:p>
        </w:tc>
        <w:tc>
          <w:tcPr>
            <w:tcW w:w="860" w:type="dxa"/>
            <w:vAlign w:val="bottom"/>
            <w:tcBorders>
              <w:bottom w:val="single" w:sz="8" w:color="EF3E2A"/>
              <w:right w:val="single" w:sz="8" w:color="EF3E2A"/>
            </w:tcBorders>
            <w:shd w:val="clear" w:color="auto" w:fill="EF3E2A"/>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0" w:type="dxa"/>
            <w:vAlign w:val="bottom"/>
            <w:shd w:val="clear" w:color="auto" w:fill="DCDDDE"/>
          </w:tcPr>
          <w:p>
            <w:pPr>
              <w:spacing w:after="0"/>
              <w:rPr>
                <w:sz w:val="22"/>
                <w:szCs w:val="22"/>
                <w:color w:val="auto"/>
              </w:rPr>
            </w:pPr>
          </w:p>
        </w:tc>
        <w:tc>
          <w:tcPr>
            <w:tcW w:w="3780" w:type="dxa"/>
            <w:vAlign w:val="bottom"/>
            <w:tcBorders>
              <w:right w:val="single" w:sz="8" w:color="DCDDDE"/>
            </w:tcBorders>
            <w:shd w:val="clear" w:color="auto" w:fill="DCDDDE"/>
          </w:tcPr>
          <w:p>
            <w:pPr>
              <w:ind w:left="20"/>
              <w:spacing w:after="0"/>
              <w:rPr>
                <w:sz w:val="20"/>
                <w:szCs w:val="20"/>
                <w:color w:val="auto"/>
              </w:rPr>
            </w:pPr>
            <w:r>
              <w:rPr>
                <w:rFonts w:ascii="Arial" w:cs="Arial" w:eastAsia="Arial" w:hAnsi="Arial"/>
                <w:sz w:val="18"/>
                <w:szCs w:val="18"/>
                <w:b w:val="1"/>
                <w:bCs w:val="1"/>
                <w:color w:val="231F20"/>
              </w:rPr>
              <w:t>Race/Ethnicity</w:t>
            </w:r>
          </w:p>
        </w:tc>
        <w:tc>
          <w:tcPr>
            <w:tcW w:w="480" w:type="dxa"/>
            <w:vAlign w:val="bottom"/>
            <w:shd w:val="clear" w:color="auto" w:fill="DCDDDE"/>
          </w:tcPr>
          <w:p>
            <w:pPr>
              <w:jc w:val="center"/>
              <w:spacing w:after="0"/>
              <w:rPr>
                <w:sz w:val="20"/>
                <w:szCs w:val="20"/>
                <w:color w:val="auto"/>
              </w:rPr>
            </w:pPr>
            <w:r>
              <w:rPr>
                <w:rFonts w:ascii="Arial" w:cs="Arial" w:eastAsia="Arial" w:hAnsi="Arial"/>
                <w:sz w:val="16"/>
                <w:szCs w:val="16"/>
                <w:color w:val="231F20"/>
                <w:w w:val="78"/>
              </w:rPr>
              <w:t>Faeder</w:t>
            </w:r>
          </w:p>
        </w:tc>
        <w:tc>
          <w:tcPr>
            <w:tcW w:w="100" w:type="dxa"/>
            <w:vAlign w:val="bottom"/>
            <w:tcBorders>
              <w:right w:val="single" w:sz="8" w:color="DCDDDE"/>
            </w:tcBorders>
            <w:shd w:val="clear" w:color="auto" w:fill="DCDDDE"/>
          </w:tcPr>
          <w:p>
            <w:pPr>
              <w:spacing w:after="0"/>
              <w:rPr>
                <w:sz w:val="22"/>
                <w:szCs w:val="22"/>
                <w:color w:val="auto"/>
              </w:rPr>
            </w:pPr>
          </w:p>
        </w:tc>
        <w:tc>
          <w:tcPr>
            <w:tcW w:w="980" w:type="dxa"/>
            <w:vAlign w:val="bottom"/>
            <w:tcBorders>
              <w:right w:val="single" w:sz="8" w:color="DCDDDE"/>
            </w:tcBorders>
            <w:shd w:val="clear" w:color="auto" w:fill="DCDDDE"/>
          </w:tcPr>
          <w:p>
            <w:pPr>
              <w:jc w:val="center"/>
              <w:ind w:right="171"/>
              <w:spacing w:after="0"/>
              <w:rPr>
                <w:sz w:val="20"/>
                <w:szCs w:val="20"/>
                <w:color w:val="auto"/>
              </w:rPr>
            </w:pPr>
            <w:r>
              <w:rPr>
                <w:rFonts w:ascii="Arial" w:cs="Arial" w:eastAsia="Arial" w:hAnsi="Arial"/>
                <w:sz w:val="16"/>
                <w:szCs w:val="16"/>
                <w:color w:val="231F20"/>
                <w:w w:val="98"/>
              </w:rPr>
              <w:t>Fisher</w:t>
            </w:r>
          </w:p>
        </w:tc>
        <w:tc>
          <w:tcPr>
            <w:tcW w:w="820" w:type="dxa"/>
            <w:vAlign w:val="bottom"/>
            <w:tcBorders>
              <w:right w:val="single" w:sz="8" w:color="DCDDDE"/>
            </w:tcBorders>
            <w:shd w:val="clear" w:color="auto" w:fill="DCDDDE"/>
          </w:tcPr>
          <w:p>
            <w:pPr>
              <w:jc w:val="center"/>
              <w:ind w:right="291"/>
              <w:spacing w:after="0"/>
              <w:rPr>
                <w:sz w:val="20"/>
                <w:szCs w:val="20"/>
                <w:color w:val="auto"/>
              </w:rPr>
            </w:pPr>
            <w:r>
              <w:rPr>
                <w:rFonts w:ascii="Arial" w:cs="Arial" w:eastAsia="Arial" w:hAnsi="Arial"/>
                <w:sz w:val="16"/>
                <w:szCs w:val="16"/>
                <w:color w:val="231F20"/>
                <w:w w:val="81"/>
              </w:rPr>
              <w:t>Holland</w:t>
            </w:r>
          </w:p>
        </w:tc>
        <w:tc>
          <w:tcPr>
            <w:tcW w:w="1600" w:type="dxa"/>
            <w:vAlign w:val="bottom"/>
            <w:tcBorders>
              <w:right w:val="single" w:sz="8" w:color="DCDDDE"/>
            </w:tcBorders>
            <w:gridSpan w:val="2"/>
            <w:shd w:val="clear" w:color="auto" w:fill="DCDDDE"/>
          </w:tcPr>
          <w:p>
            <w:pPr>
              <w:spacing w:after="0"/>
              <w:rPr>
                <w:sz w:val="20"/>
                <w:szCs w:val="20"/>
                <w:color w:val="auto"/>
              </w:rPr>
            </w:pPr>
            <w:r>
              <w:rPr>
                <w:rFonts w:ascii="Arial" w:cs="Arial" w:eastAsia="Arial" w:hAnsi="Arial"/>
                <w:sz w:val="16"/>
                <w:szCs w:val="16"/>
                <w:color w:val="231F20"/>
              </w:rPr>
              <w:t>Lamb-Hale McEachin</w:t>
            </w:r>
          </w:p>
        </w:tc>
        <w:tc>
          <w:tcPr>
            <w:tcW w:w="840" w:type="dxa"/>
            <w:vAlign w:val="bottom"/>
            <w:tcBorders>
              <w:right w:val="single" w:sz="8" w:color="DCDDDE"/>
            </w:tcBorders>
            <w:shd w:val="clear" w:color="auto" w:fill="DCDDDE"/>
          </w:tcPr>
          <w:p>
            <w:pPr>
              <w:jc w:val="center"/>
              <w:ind w:right="312"/>
              <w:spacing w:after="0"/>
              <w:rPr>
                <w:sz w:val="20"/>
                <w:szCs w:val="20"/>
                <w:color w:val="auto"/>
              </w:rPr>
            </w:pPr>
            <w:r>
              <w:rPr>
                <w:rFonts w:ascii="Arial" w:cs="Arial" w:eastAsia="Arial" w:hAnsi="Arial"/>
                <w:sz w:val="16"/>
                <w:szCs w:val="16"/>
                <w:color w:val="231F20"/>
              </w:rPr>
              <w:t>Nader</w:t>
            </w:r>
          </w:p>
        </w:tc>
        <w:tc>
          <w:tcPr>
            <w:tcW w:w="820" w:type="dxa"/>
            <w:vAlign w:val="bottom"/>
            <w:tcBorders>
              <w:right w:val="single" w:sz="8" w:color="DCDDDE"/>
            </w:tcBorders>
            <w:shd w:val="clear" w:color="auto" w:fill="DCDDDE"/>
          </w:tcPr>
          <w:p>
            <w:pPr>
              <w:jc w:val="center"/>
              <w:ind w:right="272"/>
              <w:spacing w:after="0"/>
              <w:rPr>
                <w:sz w:val="20"/>
                <w:szCs w:val="20"/>
                <w:color w:val="auto"/>
              </w:rPr>
            </w:pPr>
            <w:r>
              <w:rPr>
                <w:rFonts w:ascii="Arial" w:cs="Arial" w:eastAsia="Arial" w:hAnsi="Arial"/>
                <w:sz w:val="16"/>
                <w:szCs w:val="16"/>
                <w:color w:val="231F20"/>
                <w:w w:val="93"/>
              </w:rPr>
              <w:t>Steinel</w:t>
            </w:r>
          </w:p>
        </w:tc>
        <w:tc>
          <w:tcPr>
            <w:tcW w:w="860" w:type="dxa"/>
            <w:vAlign w:val="bottom"/>
            <w:tcBorders>
              <w:right w:val="single" w:sz="8" w:color="DCDDDE"/>
            </w:tcBorders>
            <w:shd w:val="clear" w:color="auto" w:fill="DCDDDE"/>
          </w:tcPr>
          <w:p>
            <w:pPr>
              <w:jc w:val="center"/>
              <w:ind w:right="311"/>
              <w:spacing w:after="0"/>
              <w:rPr>
                <w:sz w:val="20"/>
                <w:szCs w:val="20"/>
                <w:color w:val="auto"/>
              </w:rPr>
            </w:pPr>
            <w:r>
              <w:rPr>
                <w:rFonts w:ascii="Arial" w:cs="Arial" w:eastAsia="Arial" w:hAnsi="Arial"/>
                <w:sz w:val="16"/>
                <w:szCs w:val="16"/>
                <w:color w:val="231F20"/>
              </w:rPr>
              <w:t>Wood</w:t>
            </w:r>
          </w:p>
        </w:tc>
        <w:tc>
          <w:tcPr>
            <w:tcW w:w="0" w:type="dxa"/>
            <w:vAlign w:val="bottom"/>
          </w:tcPr>
          <w:p>
            <w:pPr>
              <w:spacing w:after="0"/>
              <w:rPr>
                <w:sz w:val="1"/>
                <w:szCs w:val="1"/>
                <w:color w:val="auto"/>
              </w:rPr>
            </w:pPr>
          </w:p>
        </w:tc>
      </w:tr>
      <w:tr>
        <w:trPr>
          <w:trHeight w:val="74"/>
        </w:trPr>
        <w:tc>
          <w:tcPr>
            <w:tcW w:w="20" w:type="dxa"/>
            <w:vAlign w:val="bottom"/>
            <w:tcBorders>
              <w:bottom w:val="single" w:sz="8" w:color="231F20"/>
            </w:tcBorders>
            <w:shd w:val="clear" w:color="auto" w:fill="DCDDDE"/>
          </w:tcPr>
          <w:p>
            <w:pPr>
              <w:spacing w:after="0"/>
              <w:rPr>
                <w:sz w:val="6"/>
                <w:szCs w:val="6"/>
                <w:color w:val="auto"/>
              </w:rPr>
            </w:pPr>
          </w:p>
        </w:tc>
        <w:tc>
          <w:tcPr>
            <w:tcW w:w="3780" w:type="dxa"/>
            <w:vAlign w:val="bottom"/>
            <w:tcBorders>
              <w:bottom w:val="single" w:sz="8" w:color="231F20"/>
              <w:right w:val="single" w:sz="8" w:color="DCDDDE"/>
            </w:tcBorders>
            <w:shd w:val="clear" w:color="auto" w:fill="DCDDDE"/>
          </w:tcPr>
          <w:p>
            <w:pPr>
              <w:spacing w:after="0"/>
              <w:rPr>
                <w:sz w:val="6"/>
                <w:szCs w:val="6"/>
                <w:color w:val="auto"/>
              </w:rPr>
            </w:pPr>
          </w:p>
        </w:tc>
        <w:tc>
          <w:tcPr>
            <w:tcW w:w="480" w:type="dxa"/>
            <w:vAlign w:val="bottom"/>
            <w:tcBorders>
              <w:bottom w:val="single" w:sz="8" w:color="231F20"/>
            </w:tcBorders>
            <w:shd w:val="clear" w:color="auto" w:fill="DCDDDE"/>
          </w:tcPr>
          <w:p>
            <w:pPr>
              <w:spacing w:after="0"/>
              <w:rPr>
                <w:sz w:val="6"/>
                <w:szCs w:val="6"/>
                <w:color w:val="auto"/>
              </w:rPr>
            </w:pPr>
          </w:p>
        </w:tc>
        <w:tc>
          <w:tcPr>
            <w:tcW w:w="100" w:type="dxa"/>
            <w:vAlign w:val="bottom"/>
            <w:tcBorders>
              <w:bottom w:val="single" w:sz="8" w:color="231F20"/>
              <w:right w:val="single" w:sz="8" w:color="DCDDDE"/>
            </w:tcBorders>
            <w:shd w:val="clear" w:color="auto" w:fill="DCDDDE"/>
          </w:tcPr>
          <w:p>
            <w:pPr>
              <w:spacing w:after="0"/>
              <w:rPr>
                <w:sz w:val="6"/>
                <w:szCs w:val="6"/>
                <w:color w:val="auto"/>
              </w:rPr>
            </w:pPr>
          </w:p>
        </w:tc>
        <w:tc>
          <w:tcPr>
            <w:tcW w:w="980" w:type="dxa"/>
            <w:vAlign w:val="bottom"/>
            <w:tcBorders>
              <w:bottom w:val="single" w:sz="8" w:color="231F20"/>
              <w:right w:val="single" w:sz="8" w:color="DCDDDE"/>
            </w:tcBorders>
            <w:shd w:val="clear" w:color="auto" w:fill="DCDDDE"/>
          </w:tcPr>
          <w:p>
            <w:pPr>
              <w:spacing w:after="0"/>
              <w:rPr>
                <w:sz w:val="6"/>
                <w:szCs w:val="6"/>
                <w:color w:val="auto"/>
              </w:rPr>
            </w:pPr>
          </w:p>
        </w:tc>
        <w:tc>
          <w:tcPr>
            <w:tcW w:w="820" w:type="dxa"/>
            <w:vAlign w:val="bottom"/>
            <w:tcBorders>
              <w:bottom w:val="single" w:sz="8" w:color="231F20"/>
              <w:right w:val="single" w:sz="8" w:color="DCDDDE"/>
            </w:tcBorders>
            <w:shd w:val="clear" w:color="auto" w:fill="DCDDDE"/>
          </w:tcPr>
          <w:p>
            <w:pPr>
              <w:spacing w:after="0"/>
              <w:rPr>
                <w:sz w:val="6"/>
                <w:szCs w:val="6"/>
                <w:color w:val="auto"/>
              </w:rPr>
            </w:pPr>
          </w:p>
        </w:tc>
        <w:tc>
          <w:tcPr>
            <w:tcW w:w="760" w:type="dxa"/>
            <w:vAlign w:val="bottom"/>
            <w:tcBorders>
              <w:bottom w:val="single" w:sz="8" w:color="231F20"/>
              <w:right w:val="single" w:sz="8" w:color="DCDDDE"/>
            </w:tcBorders>
            <w:shd w:val="clear" w:color="auto" w:fill="DCDDDE"/>
          </w:tcPr>
          <w:p>
            <w:pPr>
              <w:spacing w:after="0"/>
              <w:rPr>
                <w:sz w:val="6"/>
                <w:szCs w:val="6"/>
                <w:color w:val="auto"/>
              </w:rPr>
            </w:pPr>
          </w:p>
        </w:tc>
        <w:tc>
          <w:tcPr>
            <w:tcW w:w="840" w:type="dxa"/>
            <w:vAlign w:val="bottom"/>
            <w:tcBorders>
              <w:bottom w:val="single" w:sz="8" w:color="231F20"/>
              <w:right w:val="single" w:sz="8" w:color="DCDDDE"/>
            </w:tcBorders>
            <w:shd w:val="clear" w:color="auto" w:fill="DCDDDE"/>
          </w:tcPr>
          <w:p>
            <w:pPr>
              <w:spacing w:after="0"/>
              <w:rPr>
                <w:sz w:val="6"/>
                <w:szCs w:val="6"/>
                <w:color w:val="auto"/>
              </w:rPr>
            </w:pPr>
          </w:p>
        </w:tc>
        <w:tc>
          <w:tcPr>
            <w:tcW w:w="840" w:type="dxa"/>
            <w:vAlign w:val="bottom"/>
            <w:tcBorders>
              <w:bottom w:val="single" w:sz="8" w:color="231F20"/>
              <w:right w:val="single" w:sz="8" w:color="DCDDDE"/>
            </w:tcBorders>
            <w:shd w:val="clear" w:color="auto" w:fill="DCDDDE"/>
          </w:tcPr>
          <w:p>
            <w:pPr>
              <w:spacing w:after="0"/>
              <w:rPr>
                <w:sz w:val="6"/>
                <w:szCs w:val="6"/>
                <w:color w:val="auto"/>
              </w:rPr>
            </w:pPr>
          </w:p>
        </w:tc>
        <w:tc>
          <w:tcPr>
            <w:tcW w:w="820" w:type="dxa"/>
            <w:vAlign w:val="bottom"/>
            <w:tcBorders>
              <w:bottom w:val="single" w:sz="8" w:color="231F20"/>
              <w:right w:val="single" w:sz="8" w:color="DCDDDE"/>
            </w:tcBorders>
            <w:shd w:val="clear" w:color="auto" w:fill="DCDDDE"/>
          </w:tcPr>
          <w:p>
            <w:pPr>
              <w:spacing w:after="0"/>
              <w:rPr>
                <w:sz w:val="6"/>
                <w:szCs w:val="6"/>
                <w:color w:val="auto"/>
              </w:rPr>
            </w:pPr>
          </w:p>
        </w:tc>
        <w:tc>
          <w:tcPr>
            <w:tcW w:w="860" w:type="dxa"/>
            <w:vAlign w:val="bottom"/>
            <w:tcBorders>
              <w:bottom w:val="single" w:sz="8" w:color="231F20"/>
              <w:right w:val="single" w:sz="8" w:color="DCDDDE"/>
            </w:tcBorders>
            <w:shd w:val="clear" w:color="auto" w:fill="DCDDDE"/>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780" w:type="dxa"/>
            <w:vAlign w:val="bottom"/>
            <w:tcBorders>
              <w:right w:val="single" w:sz="8" w:color="231F20"/>
            </w:tcBorders>
          </w:tcPr>
          <w:p>
            <w:pPr>
              <w:ind w:left="200"/>
              <w:spacing w:after="0" w:line="190" w:lineRule="exact"/>
              <w:rPr>
                <w:sz w:val="20"/>
                <w:szCs w:val="20"/>
                <w:color w:val="auto"/>
              </w:rPr>
            </w:pPr>
            <w:r>
              <w:rPr>
                <w:rFonts w:ascii="Arial" w:cs="Arial" w:eastAsia="Arial" w:hAnsi="Arial"/>
                <w:sz w:val="18"/>
                <w:szCs w:val="18"/>
                <w:color w:val="231F20"/>
              </w:rPr>
              <w:t>Black or African American</w:t>
            </w:r>
          </w:p>
        </w:tc>
        <w:tc>
          <w:tcPr>
            <w:tcW w:w="480" w:type="dxa"/>
            <w:vAlign w:val="bottom"/>
          </w:tcPr>
          <w:p>
            <w:pPr>
              <w:spacing w:after="0"/>
              <w:rPr>
                <w:sz w:val="16"/>
                <w:szCs w:val="16"/>
                <w:color w:val="auto"/>
              </w:rPr>
            </w:pPr>
          </w:p>
        </w:tc>
        <w:tc>
          <w:tcPr>
            <w:tcW w:w="100" w:type="dxa"/>
            <w:vAlign w:val="bottom"/>
            <w:tcBorders>
              <w:right w:val="single" w:sz="8" w:color="231F20"/>
            </w:tcBorders>
          </w:tcPr>
          <w:p>
            <w:pPr>
              <w:spacing w:after="0"/>
              <w:rPr>
                <w:sz w:val="16"/>
                <w:szCs w:val="16"/>
                <w:color w:val="auto"/>
              </w:rPr>
            </w:pPr>
          </w:p>
        </w:tc>
        <w:tc>
          <w:tcPr>
            <w:tcW w:w="980" w:type="dxa"/>
            <w:vAlign w:val="bottom"/>
            <w:tcBorders>
              <w:right w:val="single" w:sz="8" w:color="231F20"/>
            </w:tcBorders>
          </w:tcPr>
          <w:p>
            <w:pPr>
              <w:spacing w:after="0"/>
              <w:rPr>
                <w:sz w:val="16"/>
                <w:szCs w:val="16"/>
                <w:color w:val="auto"/>
              </w:rPr>
            </w:pPr>
          </w:p>
        </w:tc>
        <w:tc>
          <w:tcPr>
            <w:tcW w:w="820" w:type="dxa"/>
            <w:vAlign w:val="bottom"/>
            <w:tcBorders>
              <w:right w:val="single" w:sz="8" w:color="231F20"/>
            </w:tcBorders>
          </w:tcPr>
          <w:p>
            <w:pPr>
              <w:spacing w:after="0"/>
              <w:rPr>
                <w:sz w:val="16"/>
                <w:szCs w:val="16"/>
                <w:color w:val="auto"/>
              </w:rPr>
            </w:pPr>
          </w:p>
        </w:tc>
        <w:tc>
          <w:tcPr>
            <w:tcW w:w="760" w:type="dxa"/>
            <w:vAlign w:val="bottom"/>
            <w:tcBorders>
              <w:right w:val="single" w:sz="8" w:color="231F20"/>
            </w:tcBorders>
          </w:tcPr>
          <w:p>
            <w:pPr>
              <w:ind w:left="140"/>
              <w:spacing w:after="0" w:line="190" w:lineRule="exact"/>
              <w:rPr>
                <w:sz w:val="20"/>
                <w:szCs w:val="20"/>
                <w:color w:val="auto"/>
              </w:rPr>
            </w:pPr>
            <w:r>
              <w:rPr>
                <w:rFonts w:ascii="Arial" w:cs="Arial" w:eastAsia="Arial" w:hAnsi="Arial"/>
                <w:sz w:val="18"/>
                <w:szCs w:val="18"/>
                <w:color w:val="231F20"/>
              </w:rPr>
              <w:t>Š</w:t>
            </w:r>
          </w:p>
        </w:tc>
        <w:tc>
          <w:tcPr>
            <w:tcW w:w="840" w:type="dxa"/>
            <w:vAlign w:val="bottom"/>
            <w:tcBorders>
              <w:right w:val="single" w:sz="8" w:color="231F20"/>
            </w:tcBorders>
          </w:tcPr>
          <w:p>
            <w:pPr>
              <w:ind w:left="200"/>
              <w:spacing w:after="0" w:line="190" w:lineRule="exact"/>
              <w:rPr>
                <w:sz w:val="20"/>
                <w:szCs w:val="20"/>
                <w:color w:val="auto"/>
              </w:rPr>
            </w:pPr>
            <w:r>
              <w:rPr>
                <w:rFonts w:ascii="Arial" w:cs="Arial" w:eastAsia="Arial" w:hAnsi="Arial"/>
                <w:sz w:val="18"/>
                <w:szCs w:val="18"/>
                <w:color w:val="231F20"/>
              </w:rPr>
              <w:t>Š</w:t>
            </w:r>
          </w:p>
        </w:tc>
        <w:tc>
          <w:tcPr>
            <w:tcW w:w="840" w:type="dxa"/>
            <w:vAlign w:val="bottom"/>
            <w:tcBorders>
              <w:right w:val="single" w:sz="8" w:color="231F20"/>
            </w:tcBorders>
          </w:tcPr>
          <w:p>
            <w:pPr>
              <w:spacing w:after="0"/>
              <w:rPr>
                <w:sz w:val="16"/>
                <w:szCs w:val="16"/>
                <w:color w:val="auto"/>
              </w:rPr>
            </w:pPr>
          </w:p>
        </w:tc>
        <w:tc>
          <w:tcPr>
            <w:tcW w:w="820" w:type="dxa"/>
            <w:vAlign w:val="bottom"/>
            <w:tcBorders>
              <w:right w:val="single" w:sz="8" w:color="231F20"/>
            </w:tcBorders>
          </w:tcPr>
          <w:p>
            <w:pPr>
              <w:spacing w:after="0"/>
              <w:rPr>
                <w:sz w:val="16"/>
                <w:szCs w:val="16"/>
                <w:color w:val="auto"/>
              </w:rPr>
            </w:pPr>
          </w:p>
        </w:tc>
        <w:tc>
          <w:tcPr>
            <w:tcW w:w="860" w:type="dxa"/>
            <w:vAlign w:val="bottom"/>
            <w:tcBorders>
              <w:right w:val="single" w:sz="8" w:color="231F20"/>
            </w:tcBorders>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20" w:type="dxa"/>
            <w:vAlign w:val="bottom"/>
            <w:tcBorders>
              <w:bottom w:val="single" w:sz="8" w:color="231F20"/>
            </w:tcBorders>
          </w:tcPr>
          <w:p>
            <w:pPr>
              <w:spacing w:after="0"/>
              <w:rPr>
                <w:sz w:val="4"/>
                <w:szCs w:val="4"/>
                <w:color w:val="auto"/>
              </w:rPr>
            </w:pPr>
          </w:p>
        </w:tc>
        <w:tc>
          <w:tcPr>
            <w:tcW w:w="3780" w:type="dxa"/>
            <w:vAlign w:val="bottom"/>
            <w:tcBorders>
              <w:bottom w:val="single" w:sz="8" w:color="231F20"/>
              <w:right w:val="single" w:sz="8" w:color="231F20"/>
            </w:tcBorders>
          </w:tcPr>
          <w:p>
            <w:pPr>
              <w:spacing w:after="0"/>
              <w:rPr>
                <w:sz w:val="4"/>
                <w:szCs w:val="4"/>
                <w:color w:val="auto"/>
              </w:rPr>
            </w:pPr>
          </w:p>
        </w:tc>
        <w:tc>
          <w:tcPr>
            <w:tcW w:w="480" w:type="dxa"/>
            <w:vAlign w:val="bottom"/>
            <w:tcBorders>
              <w:bottom w:val="single" w:sz="8" w:color="231F20"/>
            </w:tcBorders>
          </w:tcPr>
          <w:p>
            <w:pPr>
              <w:spacing w:after="0"/>
              <w:rPr>
                <w:sz w:val="4"/>
                <w:szCs w:val="4"/>
                <w:color w:val="auto"/>
              </w:rPr>
            </w:pPr>
          </w:p>
        </w:tc>
        <w:tc>
          <w:tcPr>
            <w:tcW w:w="100" w:type="dxa"/>
            <w:vAlign w:val="bottom"/>
            <w:tcBorders>
              <w:bottom w:val="single" w:sz="8" w:color="231F20"/>
              <w:right w:val="single" w:sz="8" w:color="231F20"/>
            </w:tcBorders>
          </w:tcPr>
          <w:p>
            <w:pPr>
              <w:spacing w:after="0"/>
              <w:rPr>
                <w:sz w:val="4"/>
                <w:szCs w:val="4"/>
                <w:color w:val="auto"/>
              </w:rPr>
            </w:pPr>
          </w:p>
        </w:tc>
        <w:tc>
          <w:tcPr>
            <w:tcW w:w="980" w:type="dxa"/>
            <w:vAlign w:val="bottom"/>
            <w:tcBorders>
              <w:bottom w:val="single" w:sz="8" w:color="231F20"/>
              <w:right w:val="single" w:sz="8" w:color="231F20"/>
            </w:tcBorders>
          </w:tcPr>
          <w:p>
            <w:pPr>
              <w:spacing w:after="0"/>
              <w:rPr>
                <w:sz w:val="4"/>
                <w:szCs w:val="4"/>
                <w:color w:val="auto"/>
              </w:rPr>
            </w:pPr>
          </w:p>
        </w:tc>
        <w:tc>
          <w:tcPr>
            <w:tcW w:w="820" w:type="dxa"/>
            <w:vAlign w:val="bottom"/>
            <w:tcBorders>
              <w:bottom w:val="single" w:sz="8" w:color="231F20"/>
              <w:right w:val="single" w:sz="8" w:color="231F20"/>
            </w:tcBorders>
          </w:tcPr>
          <w:p>
            <w:pPr>
              <w:spacing w:after="0"/>
              <w:rPr>
                <w:sz w:val="4"/>
                <w:szCs w:val="4"/>
                <w:color w:val="auto"/>
              </w:rPr>
            </w:pPr>
          </w:p>
        </w:tc>
        <w:tc>
          <w:tcPr>
            <w:tcW w:w="760" w:type="dxa"/>
            <w:vAlign w:val="bottom"/>
            <w:tcBorders>
              <w:bottom w:val="single" w:sz="8" w:color="231F20"/>
              <w:right w:val="single" w:sz="8" w:color="231F20"/>
            </w:tcBorders>
          </w:tcPr>
          <w:p>
            <w:pPr>
              <w:spacing w:after="0"/>
              <w:rPr>
                <w:sz w:val="4"/>
                <w:szCs w:val="4"/>
                <w:color w:val="auto"/>
              </w:rPr>
            </w:pPr>
          </w:p>
        </w:tc>
        <w:tc>
          <w:tcPr>
            <w:tcW w:w="840" w:type="dxa"/>
            <w:vAlign w:val="bottom"/>
            <w:tcBorders>
              <w:bottom w:val="single" w:sz="8" w:color="231F20"/>
              <w:right w:val="single" w:sz="8" w:color="231F20"/>
            </w:tcBorders>
          </w:tcPr>
          <w:p>
            <w:pPr>
              <w:spacing w:after="0"/>
              <w:rPr>
                <w:sz w:val="4"/>
                <w:szCs w:val="4"/>
                <w:color w:val="auto"/>
              </w:rPr>
            </w:pPr>
          </w:p>
        </w:tc>
        <w:tc>
          <w:tcPr>
            <w:tcW w:w="840" w:type="dxa"/>
            <w:vAlign w:val="bottom"/>
            <w:tcBorders>
              <w:bottom w:val="single" w:sz="8" w:color="231F20"/>
              <w:right w:val="single" w:sz="8" w:color="231F20"/>
            </w:tcBorders>
          </w:tcPr>
          <w:p>
            <w:pPr>
              <w:spacing w:after="0"/>
              <w:rPr>
                <w:sz w:val="4"/>
                <w:szCs w:val="4"/>
                <w:color w:val="auto"/>
              </w:rPr>
            </w:pPr>
          </w:p>
        </w:tc>
        <w:tc>
          <w:tcPr>
            <w:tcW w:w="820" w:type="dxa"/>
            <w:vAlign w:val="bottom"/>
            <w:tcBorders>
              <w:bottom w:val="single" w:sz="8" w:color="231F20"/>
              <w:right w:val="single" w:sz="8" w:color="231F20"/>
            </w:tcBorders>
          </w:tcPr>
          <w:p>
            <w:pPr>
              <w:spacing w:after="0"/>
              <w:rPr>
                <w:sz w:val="4"/>
                <w:szCs w:val="4"/>
                <w:color w:val="auto"/>
              </w:rPr>
            </w:pPr>
          </w:p>
        </w:tc>
        <w:tc>
          <w:tcPr>
            <w:tcW w:w="860" w:type="dxa"/>
            <w:vAlign w:val="bottom"/>
            <w:tcBorders>
              <w:bottom w:val="single" w:sz="8" w:color="231F20"/>
              <w:right w:val="single" w:sz="8" w:color="231F20"/>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780" w:type="dxa"/>
            <w:vAlign w:val="bottom"/>
            <w:tcBorders>
              <w:right w:val="single" w:sz="8" w:color="231F20"/>
            </w:tcBorders>
          </w:tcPr>
          <w:p>
            <w:pPr>
              <w:ind w:left="200"/>
              <w:spacing w:after="0" w:line="190" w:lineRule="exact"/>
              <w:rPr>
                <w:sz w:val="20"/>
                <w:szCs w:val="20"/>
                <w:color w:val="auto"/>
              </w:rPr>
            </w:pPr>
            <w:r>
              <w:rPr>
                <w:rFonts w:ascii="Arial" w:cs="Arial" w:eastAsia="Arial" w:hAnsi="Arial"/>
                <w:sz w:val="18"/>
                <w:szCs w:val="18"/>
                <w:color w:val="231F20"/>
              </w:rPr>
              <w:t>White</w:t>
            </w:r>
          </w:p>
        </w:tc>
        <w:tc>
          <w:tcPr>
            <w:tcW w:w="480" w:type="dxa"/>
            <w:vAlign w:val="bottom"/>
          </w:tcPr>
          <w:p>
            <w:pPr>
              <w:jc w:val="center"/>
              <w:ind w:right="91"/>
              <w:spacing w:after="0" w:line="190" w:lineRule="exact"/>
              <w:rPr>
                <w:sz w:val="20"/>
                <w:szCs w:val="20"/>
                <w:color w:val="auto"/>
              </w:rPr>
            </w:pPr>
            <w:r>
              <w:rPr>
                <w:rFonts w:ascii="Arial" w:cs="Arial" w:eastAsia="Arial" w:hAnsi="Arial"/>
                <w:sz w:val="18"/>
                <w:szCs w:val="18"/>
                <w:color w:val="231F20"/>
                <w:w w:val="82"/>
              </w:rPr>
              <w:t>Š</w:t>
            </w:r>
          </w:p>
        </w:tc>
        <w:tc>
          <w:tcPr>
            <w:tcW w:w="100" w:type="dxa"/>
            <w:vAlign w:val="bottom"/>
            <w:tcBorders>
              <w:right w:val="single" w:sz="8" w:color="231F20"/>
            </w:tcBorders>
          </w:tcPr>
          <w:p>
            <w:pPr>
              <w:spacing w:after="0"/>
              <w:rPr>
                <w:sz w:val="16"/>
                <w:szCs w:val="16"/>
                <w:color w:val="auto"/>
              </w:rPr>
            </w:pPr>
          </w:p>
        </w:tc>
        <w:tc>
          <w:tcPr>
            <w:tcW w:w="980" w:type="dxa"/>
            <w:vAlign w:val="bottom"/>
            <w:tcBorders>
              <w:right w:val="single" w:sz="8" w:color="231F20"/>
            </w:tcBorders>
          </w:tcPr>
          <w:p>
            <w:pPr>
              <w:jc w:val="center"/>
              <w:ind w:right="151"/>
              <w:spacing w:after="0" w:line="190" w:lineRule="exact"/>
              <w:rPr>
                <w:sz w:val="20"/>
                <w:szCs w:val="20"/>
                <w:color w:val="auto"/>
              </w:rPr>
            </w:pPr>
            <w:r>
              <w:rPr>
                <w:rFonts w:ascii="Arial" w:cs="Arial" w:eastAsia="Arial" w:hAnsi="Arial"/>
                <w:sz w:val="18"/>
                <w:szCs w:val="18"/>
                <w:color w:val="231F20"/>
                <w:w w:val="82"/>
              </w:rPr>
              <w:t>Š</w:t>
            </w:r>
          </w:p>
        </w:tc>
        <w:tc>
          <w:tcPr>
            <w:tcW w:w="820" w:type="dxa"/>
            <w:vAlign w:val="bottom"/>
            <w:tcBorders>
              <w:right w:val="single" w:sz="8" w:color="231F20"/>
            </w:tcBorders>
          </w:tcPr>
          <w:p>
            <w:pPr>
              <w:jc w:val="center"/>
              <w:ind w:right="391"/>
              <w:spacing w:after="0" w:line="190" w:lineRule="exact"/>
              <w:rPr>
                <w:sz w:val="20"/>
                <w:szCs w:val="20"/>
                <w:color w:val="auto"/>
              </w:rPr>
            </w:pPr>
            <w:r>
              <w:rPr>
                <w:rFonts w:ascii="Arial" w:cs="Arial" w:eastAsia="Arial" w:hAnsi="Arial"/>
                <w:sz w:val="18"/>
                <w:szCs w:val="18"/>
                <w:color w:val="231F20"/>
                <w:w w:val="82"/>
              </w:rPr>
              <w:t>Š</w:t>
            </w:r>
          </w:p>
        </w:tc>
        <w:tc>
          <w:tcPr>
            <w:tcW w:w="760" w:type="dxa"/>
            <w:vAlign w:val="bottom"/>
            <w:tcBorders>
              <w:right w:val="single" w:sz="8" w:color="231F20"/>
            </w:tcBorders>
          </w:tcPr>
          <w:p>
            <w:pPr>
              <w:spacing w:after="0"/>
              <w:rPr>
                <w:sz w:val="16"/>
                <w:szCs w:val="16"/>
                <w:color w:val="auto"/>
              </w:rPr>
            </w:pPr>
          </w:p>
        </w:tc>
        <w:tc>
          <w:tcPr>
            <w:tcW w:w="840" w:type="dxa"/>
            <w:vAlign w:val="bottom"/>
            <w:tcBorders>
              <w:right w:val="single" w:sz="8" w:color="231F20"/>
            </w:tcBorders>
          </w:tcPr>
          <w:p>
            <w:pPr>
              <w:spacing w:after="0"/>
              <w:rPr>
                <w:sz w:val="16"/>
                <w:szCs w:val="16"/>
                <w:color w:val="auto"/>
              </w:rPr>
            </w:pPr>
          </w:p>
        </w:tc>
        <w:tc>
          <w:tcPr>
            <w:tcW w:w="840" w:type="dxa"/>
            <w:vAlign w:val="bottom"/>
            <w:tcBorders>
              <w:right w:val="single" w:sz="8" w:color="231F20"/>
            </w:tcBorders>
          </w:tcPr>
          <w:p>
            <w:pPr>
              <w:jc w:val="center"/>
              <w:ind w:right="292"/>
              <w:spacing w:after="0" w:line="190" w:lineRule="exact"/>
              <w:rPr>
                <w:sz w:val="20"/>
                <w:szCs w:val="20"/>
                <w:color w:val="auto"/>
              </w:rPr>
            </w:pPr>
            <w:r>
              <w:rPr>
                <w:rFonts w:ascii="Arial" w:cs="Arial" w:eastAsia="Arial" w:hAnsi="Arial"/>
                <w:sz w:val="18"/>
                <w:szCs w:val="18"/>
                <w:color w:val="231F20"/>
                <w:w w:val="82"/>
              </w:rPr>
              <w:t>Š</w:t>
            </w:r>
          </w:p>
        </w:tc>
        <w:tc>
          <w:tcPr>
            <w:tcW w:w="820" w:type="dxa"/>
            <w:vAlign w:val="bottom"/>
            <w:tcBorders>
              <w:right w:val="single" w:sz="8" w:color="231F20"/>
            </w:tcBorders>
          </w:tcPr>
          <w:p>
            <w:pPr>
              <w:jc w:val="center"/>
              <w:ind w:right="312"/>
              <w:spacing w:after="0" w:line="190" w:lineRule="exact"/>
              <w:rPr>
                <w:sz w:val="20"/>
                <w:szCs w:val="20"/>
                <w:color w:val="auto"/>
              </w:rPr>
            </w:pPr>
            <w:r>
              <w:rPr>
                <w:rFonts w:ascii="Arial" w:cs="Arial" w:eastAsia="Arial" w:hAnsi="Arial"/>
                <w:sz w:val="18"/>
                <w:szCs w:val="18"/>
                <w:color w:val="231F20"/>
                <w:w w:val="82"/>
              </w:rPr>
              <w:t>Š</w:t>
            </w:r>
          </w:p>
        </w:tc>
        <w:tc>
          <w:tcPr>
            <w:tcW w:w="860" w:type="dxa"/>
            <w:vAlign w:val="bottom"/>
            <w:tcBorders>
              <w:right w:val="single" w:sz="8" w:color="231F20"/>
            </w:tcBorders>
          </w:tcPr>
          <w:p>
            <w:pPr>
              <w:jc w:val="center"/>
              <w:ind w:right="311"/>
              <w:spacing w:after="0" w:line="190" w:lineRule="exact"/>
              <w:rPr>
                <w:sz w:val="20"/>
                <w:szCs w:val="20"/>
                <w:color w:val="auto"/>
              </w:rPr>
            </w:pPr>
            <w:r>
              <w:rPr>
                <w:rFonts w:ascii="Arial" w:cs="Arial" w:eastAsia="Arial" w:hAnsi="Arial"/>
                <w:sz w:val="18"/>
                <w:szCs w:val="18"/>
                <w:color w:val="231F20"/>
                <w:w w:val="82"/>
              </w:rPr>
              <w:t>Š</w:t>
            </w:r>
          </w:p>
        </w:tc>
        <w:tc>
          <w:tcPr>
            <w:tcW w:w="0" w:type="dxa"/>
            <w:vAlign w:val="bottom"/>
          </w:tcPr>
          <w:p>
            <w:pPr>
              <w:spacing w:after="0"/>
              <w:rPr>
                <w:sz w:val="1"/>
                <w:szCs w:val="1"/>
                <w:color w:val="auto"/>
              </w:rPr>
            </w:pPr>
          </w:p>
        </w:tc>
      </w:tr>
      <w:tr>
        <w:trPr>
          <w:trHeight w:val="50"/>
        </w:trPr>
        <w:tc>
          <w:tcPr>
            <w:tcW w:w="20" w:type="dxa"/>
            <w:vAlign w:val="bottom"/>
            <w:tcBorders>
              <w:bottom w:val="single" w:sz="8" w:color="231F20"/>
            </w:tcBorders>
          </w:tcPr>
          <w:p>
            <w:pPr>
              <w:spacing w:after="0"/>
              <w:rPr>
                <w:sz w:val="4"/>
                <w:szCs w:val="4"/>
                <w:color w:val="auto"/>
              </w:rPr>
            </w:pPr>
          </w:p>
        </w:tc>
        <w:tc>
          <w:tcPr>
            <w:tcW w:w="3780" w:type="dxa"/>
            <w:vAlign w:val="bottom"/>
            <w:tcBorders>
              <w:bottom w:val="single" w:sz="8" w:color="231F20"/>
              <w:right w:val="single" w:sz="8" w:color="231F20"/>
            </w:tcBorders>
          </w:tcPr>
          <w:p>
            <w:pPr>
              <w:spacing w:after="0"/>
              <w:rPr>
                <w:sz w:val="4"/>
                <w:szCs w:val="4"/>
                <w:color w:val="auto"/>
              </w:rPr>
            </w:pPr>
          </w:p>
        </w:tc>
        <w:tc>
          <w:tcPr>
            <w:tcW w:w="480" w:type="dxa"/>
            <w:vAlign w:val="bottom"/>
            <w:tcBorders>
              <w:bottom w:val="single" w:sz="8" w:color="231F20"/>
            </w:tcBorders>
          </w:tcPr>
          <w:p>
            <w:pPr>
              <w:spacing w:after="0"/>
              <w:rPr>
                <w:sz w:val="4"/>
                <w:szCs w:val="4"/>
                <w:color w:val="auto"/>
              </w:rPr>
            </w:pPr>
          </w:p>
        </w:tc>
        <w:tc>
          <w:tcPr>
            <w:tcW w:w="100" w:type="dxa"/>
            <w:vAlign w:val="bottom"/>
            <w:tcBorders>
              <w:bottom w:val="single" w:sz="8" w:color="231F20"/>
              <w:right w:val="single" w:sz="8" w:color="231F20"/>
            </w:tcBorders>
          </w:tcPr>
          <w:p>
            <w:pPr>
              <w:spacing w:after="0"/>
              <w:rPr>
                <w:sz w:val="4"/>
                <w:szCs w:val="4"/>
                <w:color w:val="auto"/>
              </w:rPr>
            </w:pPr>
          </w:p>
        </w:tc>
        <w:tc>
          <w:tcPr>
            <w:tcW w:w="980" w:type="dxa"/>
            <w:vAlign w:val="bottom"/>
            <w:tcBorders>
              <w:bottom w:val="single" w:sz="8" w:color="231F20"/>
              <w:right w:val="single" w:sz="8" w:color="231F20"/>
            </w:tcBorders>
          </w:tcPr>
          <w:p>
            <w:pPr>
              <w:spacing w:after="0"/>
              <w:rPr>
                <w:sz w:val="4"/>
                <w:szCs w:val="4"/>
                <w:color w:val="auto"/>
              </w:rPr>
            </w:pPr>
          </w:p>
        </w:tc>
        <w:tc>
          <w:tcPr>
            <w:tcW w:w="820" w:type="dxa"/>
            <w:vAlign w:val="bottom"/>
            <w:tcBorders>
              <w:bottom w:val="single" w:sz="8" w:color="231F20"/>
              <w:right w:val="single" w:sz="8" w:color="231F20"/>
            </w:tcBorders>
          </w:tcPr>
          <w:p>
            <w:pPr>
              <w:spacing w:after="0"/>
              <w:rPr>
                <w:sz w:val="4"/>
                <w:szCs w:val="4"/>
                <w:color w:val="auto"/>
              </w:rPr>
            </w:pPr>
          </w:p>
        </w:tc>
        <w:tc>
          <w:tcPr>
            <w:tcW w:w="760" w:type="dxa"/>
            <w:vAlign w:val="bottom"/>
            <w:tcBorders>
              <w:bottom w:val="single" w:sz="8" w:color="231F20"/>
              <w:right w:val="single" w:sz="8" w:color="231F20"/>
            </w:tcBorders>
          </w:tcPr>
          <w:p>
            <w:pPr>
              <w:spacing w:after="0"/>
              <w:rPr>
                <w:sz w:val="4"/>
                <w:szCs w:val="4"/>
                <w:color w:val="auto"/>
              </w:rPr>
            </w:pPr>
          </w:p>
        </w:tc>
        <w:tc>
          <w:tcPr>
            <w:tcW w:w="840" w:type="dxa"/>
            <w:vAlign w:val="bottom"/>
            <w:tcBorders>
              <w:bottom w:val="single" w:sz="8" w:color="231F20"/>
              <w:right w:val="single" w:sz="8" w:color="231F20"/>
            </w:tcBorders>
          </w:tcPr>
          <w:p>
            <w:pPr>
              <w:spacing w:after="0"/>
              <w:rPr>
                <w:sz w:val="4"/>
                <w:szCs w:val="4"/>
                <w:color w:val="auto"/>
              </w:rPr>
            </w:pPr>
          </w:p>
        </w:tc>
        <w:tc>
          <w:tcPr>
            <w:tcW w:w="840" w:type="dxa"/>
            <w:vAlign w:val="bottom"/>
            <w:tcBorders>
              <w:bottom w:val="single" w:sz="8" w:color="231F20"/>
              <w:right w:val="single" w:sz="8" w:color="231F20"/>
            </w:tcBorders>
          </w:tcPr>
          <w:p>
            <w:pPr>
              <w:spacing w:after="0"/>
              <w:rPr>
                <w:sz w:val="4"/>
                <w:szCs w:val="4"/>
                <w:color w:val="auto"/>
              </w:rPr>
            </w:pPr>
          </w:p>
        </w:tc>
        <w:tc>
          <w:tcPr>
            <w:tcW w:w="820" w:type="dxa"/>
            <w:vAlign w:val="bottom"/>
            <w:tcBorders>
              <w:bottom w:val="single" w:sz="8" w:color="231F20"/>
              <w:right w:val="single" w:sz="8" w:color="231F20"/>
            </w:tcBorders>
          </w:tcPr>
          <w:p>
            <w:pPr>
              <w:spacing w:after="0"/>
              <w:rPr>
                <w:sz w:val="4"/>
                <w:szCs w:val="4"/>
                <w:color w:val="auto"/>
              </w:rPr>
            </w:pPr>
          </w:p>
        </w:tc>
        <w:tc>
          <w:tcPr>
            <w:tcW w:w="860" w:type="dxa"/>
            <w:vAlign w:val="bottom"/>
            <w:tcBorders>
              <w:bottom w:val="single" w:sz="8" w:color="231F20"/>
              <w:right w:val="single" w:sz="8" w:color="231F20"/>
            </w:tcBorders>
          </w:tcPr>
          <w:p>
            <w:pPr>
              <w:spacing w:after="0"/>
              <w:rPr>
                <w:sz w:val="4"/>
                <w:szCs w:val="4"/>
                <w:color w:val="auto"/>
              </w:rPr>
            </w:pPr>
          </w:p>
        </w:tc>
        <w:tc>
          <w:tcPr>
            <w:tcW w:w="0" w:type="dxa"/>
            <w:vAlign w:val="bottom"/>
          </w:tcPr>
          <w:p>
            <w:pPr>
              <w:spacing w:after="0"/>
              <w:rPr>
                <w:sz w:val="1"/>
                <w:szCs w:val="1"/>
                <w:color w:val="auto"/>
              </w:rPr>
            </w:pPr>
          </w:p>
        </w:tc>
      </w:tr>
      <w:tr>
        <w:trPr>
          <w:trHeight w:val="266"/>
        </w:trPr>
        <w:tc>
          <w:tcPr>
            <w:tcW w:w="20" w:type="dxa"/>
            <w:vAlign w:val="bottom"/>
            <w:shd w:val="clear" w:color="auto" w:fill="DCDDDE"/>
          </w:tcPr>
          <w:p>
            <w:pPr>
              <w:spacing w:after="0"/>
              <w:rPr>
                <w:sz w:val="23"/>
                <w:szCs w:val="23"/>
                <w:color w:val="auto"/>
              </w:rPr>
            </w:pPr>
          </w:p>
        </w:tc>
        <w:tc>
          <w:tcPr>
            <w:tcW w:w="3780" w:type="dxa"/>
            <w:vAlign w:val="bottom"/>
            <w:tcBorders>
              <w:right w:val="single" w:sz="8" w:color="DCDDDE"/>
            </w:tcBorders>
            <w:shd w:val="clear" w:color="auto" w:fill="DCDDDE"/>
          </w:tcPr>
          <w:p>
            <w:pPr>
              <w:ind w:left="20"/>
              <w:spacing w:after="0"/>
              <w:rPr>
                <w:sz w:val="20"/>
                <w:szCs w:val="20"/>
                <w:color w:val="auto"/>
              </w:rPr>
            </w:pPr>
            <w:r>
              <w:rPr>
                <w:rFonts w:ascii="Arial" w:cs="Arial" w:eastAsia="Arial" w:hAnsi="Arial"/>
                <w:sz w:val="18"/>
                <w:szCs w:val="18"/>
                <w:b w:val="1"/>
                <w:bCs w:val="1"/>
                <w:color w:val="231F20"/>
              </w:rPr>
              <w:t>Gender</w:t>
            </w:r>
          </w:p>
        </w:tc>
        <w:tc>
          <w:tcPr>
            <w:tcW w:w="480" w:type="dxa"/>
            <w:vAlign w:val="bottom"/>
            <w:shd w:val="clear" w:color="auto" w:fill="DCDDDE"/>
          </w:tcPr>
          <w:p>
            <w:pPr>
              <w:spacing w:after="0"/>
              <w:rPr>
                <w:sz w:val="23"/>
                <w:szCs w:val="23"/>
                <w:color w:val="auto"/>
              </w:rPr>
            </w:pPr>
          </w:p>
        </w:tc>
        <w:tc>
          <w:tcPr>
            <w:tcW w:w="100" w:type="dxa"/>
            <w:vAlign w:val="bottom"/>
            <w:tcBorders>
              <w:right w:val="single" w:sz="8" w:color="DCDDDE"/>
            </w:tcBorders>
            <w:shd w:val="clear" w:color="auto" w:fill="DCDDDE"/>
          </w:tcPr>
          <w:p>
            <w:pPr>
              <w:spacing w:after="0"/>
              <w:rPr>
                <w:sz w:val="23"/>
                <w:szCs w:val="23"/>
                <w:color w:val="auto"/>
              </w:rPr>
            </w:pPr>
          </w:p>
        </w:tc>
        <w:tc>
          <w:tcPr>
            <w:tcW w:w="980" w:type="dxa"/>
            <w:vAlign w:val="bottom"/>
            <w:tcBorders>
              <w:right w:val="single" w:sz="8" w:color="DCDDDE"/>
            </w:tcBorders>
            <w:shd w:val="clear" w:color="auto" w:fill="DCDDDE"/>
          </w:tcPr>
          <w:p>
            <w:pPr>
              <w:spacing w:after="0"/>
              <w:rPr>
                <w:sz w:val="23"/>
                <w:szCs w:val="23"/>
                <w:color w:val="auto"/>
              </w:rPr>
            </w:pPr>
          </w:p>
        </w:tc>
        <w:tc>
          <w:tcPr>
            <w:tcW w:w="820" w:type="dxa"/>
            <w:vAlign w:val="bottom"/>
            <w:tcBorders>
              <w:right w:val="single" w:sz="8" w:color="DCDDDE"/>
            </w:tcBorders>
            <w:shd w:val="clear" w:color="auto" w:fill="DCDDDE"/>
          </w:tcPr>
          <w:p>
            <w:pPr>
              <w:spacing w:after="0"/>
              <w:rPr>
                <w:sz w:val="23"/>
                <w:szCs w:val="23"/>
                <w:color w:val="auto"/>
              </w:rPr>
            </w:pPr>
          </w:p>
        </w:tc>
        <w:tc>
          <w:tcPr>
            <w:tcW w:w="760" w:type="dxa"/>
            <w:vAlign w:val="bottom"/>
            <w:tcBorders>
              <w:right w:val="single" w:sz="8" w:color="DCDDDE"/>
            </w:tcBorders>
            <w:shd w:val="clear" w:color="auto" w:fill="DCDDDE"/>
          </w:tcPr>
          <w:p>
            <w:pPr>
              <w:spacing w:after="0"/>
              <w:rPr>
                <w:sz w:val="23"/>
                <w:szCs w:val="23"/>
                <w:color w:val="auto"/>
              </w:rPr>
            </w:pPr>
          </w:p>
        </w:tc>
        <w:tc>
          <w:tcPr>
            <w:tcW w:w="840" w:type="dxa"/>
            <w:vAlign w:val="bottom"/>
            <w:tcBorders>
              <w:right w:val="single" w:sz="8" w:color="DCDDDE"/>
            </w:tcBorders>
            <w:shd w:val="clear" w:color="auto" w:fill="DCDDDE"/>
          </w:tcPr>
          <w:p>
            <w:pPr>
              <w:spacing w:after="0"/>
              <w:rPr>
                <w:sz w:val="23"/>
                <w:szCs w:val="23"/>
                <w:color w:val="auto"/>
              </w:rPr>
            </w:pPr>
          </w:p>
        </w:tc>
        <w:tc>
          <w:tcPr>
            <w:tcW w:w="840" w:type="dxa"/>
            <w:vAlign w:val="bottom"/>
            <w:tcBorders>
              <w:right w:val="single" w:sz="8" w:color="DCDDDE"/>
            </w:tcBorders>
            <w:shd w:val="clear" w:color="auto" w:fill="DCDDDE"/>
          </w:tcPr>
          <w:p>
            <w:pPr>
              <w:spacing w:after="0"/>
              <w:rPr>
                <w:sz w:val="23"/>
                <w:szCs w:val="23"/>
                <w:color w:val="auto"/>
              </w:rPr>
            </w:pPr>
          </w:p>
        </w:tc>
        <w:tc>
          <w:tcPr>
            <w:tcW w:w="820" w:type="dxa"/>
            <w:vAlign w:val="bottom"/>
            <w:tcBorders>
              <w:right w:val="single" w:sz="8" w:color="DCDDDE"/>
            </w:tcBorders>
            <w:shd w:val="clear" w:color="auto" w:fill="DCDDDE"/>
          </w:tcPr>
          <w:p>
            <w:pPr>
              <w:spacing w:after="0"/>
              <w:rPr>
                <w:sz w:val="23"/>
                <w:szCs w:val="23"/>
                <w:color w:val="auto"/>
              </w:rPr>
            </w:pPr>
          </w:p>
        </w:tc>
        <w:tc>
          <w:tcPr>
            <w:tcW w:w="860" w:type="dxa"/>
            <w:vAlign w:val="bottom"/>
            <w:tcBorders>
              <w:right w:val="single" w:sz="8" w:color="DCDDDE"/>
            </w:tcBorders>
            <w:shd w:val="clear" w:color="auto" w:fill="DCDDDE"/>
          </w:tcPr>
          <w:p>
            <w:pPr>
              <w:spacing w:after="0"/>
              <w:rPr>
                <w:sz w:val="23"/>
                <w:szCs w:val="23"/>
                <w:color w:val="auto"/>
              </w:rPr>
            </w:pPr>
          </w:p>
        </w:tc>
        <w:tc>
          <w:tcPr>
            <w:tcW w:w="0" w:type="dxa"/>
            <w:vAlign w:val="bottom"/>
          </w:tcPr>
          <w:p>
            <w:pPr>
              <w:spacing w:after="0"/>
              <w:rPr>
                <w:sz w:val="1"/>
                <w:szCs w:val="1"/>
                <w:color w:val="auto"/>
              </w:rPr>
            </w:pPr>
          </w:p>
        </w:tc>
      </w:tr>
      <w:tr>
        <w:trPr>
          <w:trHeight w:val="94"/>
        </w:trPr>
        <w:tc>
          <w:tcPr>
            <w:tcW w:w="20" w:type="dxa"/>
            <w:vAlign w:val="bottom"/>
            <w:tcBorders>
              <w:bottom w:val="single" w:sz="8" w:color="231F20"/>
            </w:tcBorders>
            <w:shd w:val="clear" w:color="auto" w:fill="DCDDDE"/>
          </w:tcPr>
          <w:p>
            <w:pPr>
              <w:spacing w:after="0"/>
              <w:rPr>
                <w:sz w:val="8"/>
                <w:szCs w:val="8"/>
                <w:color w:val="auto"/>
              </w:rPr>
            </w:pPr>
          </w:p>
        </w:tc>
        <w:tc>
          <w:tcPr>
            <w:tcW w:w="3780" w:type="dxa"/>
            <w:vAlign w:val="bottom"/>
            <w:tcBorders>
              <w:bottom w:val="single" w:sz="8" w:color="231F20"/>
              <w:right w:val="single" w:sz="8" w:color="DCDDDE"/>
            </w:tcBorders>
            <w:shd w:val="clear" w:color="auto" w:fill="DCDDDE"/>
          </w:tcPr>
          <w:p>
            <w:pPr>
              <w:spacing w:after="0"/>
              <w:rPr>
                <w:sz w:val="8"/>
                <w:szCs w:val="8"/>
                <w:color w:val="auto"/>
              </w:rPr>
            </w:pPr>
          </w:p>
        </w:tc>
        <w:tc>
          <w:tcPr>
            <w:tcW w:w="480" w:type="dxa"/>
            <w:vAlign w:val="bottom"/>
            <w:tcBorders>
              <w:bottom w:val="single" w:sz="8" w:color="231F20"/>
            </w:tcBorders>
            <w:shd w:val="clear" w:color="auto" w:fill="DCDDDE"/>
          </w:tcPr>
          <w:p>
            <w:pPr>
              <w:spacing w:after="0"/>
              <w:rPr>
                <w:sz w:val="8"/>
                <w:szCs w:val="8"/>
                <w:color w:val="auto"/>
              </w:rPr>
            </w:pPr>
          </w:p>
        </w:tc>
        <w:tc>
          <w:tcPr>
            <w:tcW w:w="100" w:type="dxa"/>
            <w:vAlign w:val="bottom"/>
            <w:tcBorders>
              <w:bottom w:val="single" w:sz="8" w:color="231F20"/>
              <w:right w:val="single" w:sz="8" w:color="DCDDDE"/>
            </w:tcBorders>
            <w:shd w:val="clear" w:color="auto" w:fill="DCDDDE"/>
          </w:tcPr>
          <w:p>
            <w:pPr>
              <w:spacing w:after="0"/>
              <w:rPr>
                <w:sz w:val="8"/>
                <w:szCs w:val="8"/>
                <w:color w:val="auto"/>
              </w:rPr>
            </w:pPr>
          </w:p>
        </w:tc>
        <w:tc>
          <w:tcPr>
            <w:tcW w:w="980" w:type="dxa"/>
            <w:vAlign w:val="bottom"/>
            <w:tcBorders>
              <w:bottom w:val="single" w:sz="8" w:color="231F20"/>
              <w:right w:val="single" w:sz="8" w:color="DCDDDE"/>
            </w:tcBorders>
            <w:shd w:val="clear" w:color="auto" w:fill="DCDDDE"/>
          </w:tcPr>
          <w:p>
            <w:pPr>
              <w:spacing w:after="0"/>
              <w:rPr>
                <w:sz w:val="8"/>
                <w:szCs w:val="8"/>
                <w:color w:val="auto"/>
              </w:rPr>
            </w:pPr>
          </w:p>
        </w:tc>
        <w:tc>
          <w:tcPr>
            <w:tcW w:w="820" w:type="dxa"/>
            <w:vAlign w:val="bottom"/>
            <w:tcBorders>
              <w:bottom w:val="single" w:sz="8" w:color="231F20"/>
              <w:right w:val="single" w:sz="8" w:color="DCDDDE"/>
            </w:tcBorders>
            <w:shd w:val="clear" w:color="auto" w:fill="DCDDDE"/>
          </w:tcPr>
          <w:p>
            <w:pPr>
              <w:spacing w:after="0"/>
              <w:rPr>
                <w:sz w:val="8"/>
                <w:szCs w:val="8"/>
                <w:color w:val="auto"/>
              </w:rPr>
            </w:pPr>
          </w:p>
        </w:tc>
        <w:tc>
          <w:tcPr>
            <w:tcW w:w="760" w:type="dxa"/>
            <w:vAlign w:val="bottom"/>
            <w:tcBorders>
              <w:bottom w:val="single" w:sz="8" w:color="231F20"/>
              <w:right w:val="single" w:sz="8" w:color="DCDDDE"/>
            </w:tcBorders>
            <w:shd w:val="clear" w:color="auto" w:fill="DCDDDE"/>
          </w:tcPr>
          <w:p>
            <w:pPr>
              <w:spacing w:after="0"/>
              <w:rPr>
                <w:sz w:val="8"/>
                <w:szCs w:val="8"/>
                <w:color w:val="auto"/>
              </w:rPr>
            </w:pPr>
          </w:p>
        </w:tc>
        <w:tc>
          <w:tcPr>
            <w:tcW w:w="840" w:type="dxa"/>
            <w:vAlign w:val="bottom"/>
            <w:tcBorders>
              <w:bottom w:val="single" w:sz="8" w:color="231F20"/>
              <w:right w:val="single" w:sz="8" w:color="DCDDDE"/>
            </w:tcBorders>
            <w:shd w:val="clear" w:color="auto" w:fill="DCDDDE"/>
          </w:tcPr>
          <w:p>
            <w:pPr>
              <w:spacing w:after="0"/>
              <w:rPr>
                <w:sz w:val="8"/>
                <w:szCs w:val="8"/>
                <w:color w:val="auto"/>
              </w:rPr>
            </w:pPr>
          </w:p>
        </w:tc>
        <w:tc>
          <w:tcPr>
            <w:tcW w:w="840" w:type="dxa"/>
            <w:vAlign w:val="bottom"/>
            <w:tcBorders>
              <w:bottom w:val="single" w:sz="8" w:color="231F20"/>
              <w:right w:val="single" w:sz="8" w:color="DCDDDE"/>
            </w:tcBorders>
            <w:shd w:val="clear" w:color="auto" w:fill="DCDDDE"/>
          </w:tcPr>
          <w:p>
            <w:pPr>
              <w:spacing w:after="0"/>
              <w:rPr>
                <w:sz w:val="8"/>
                <w:szCs w:val="8"/>
                <w:color w:val="auto"/>
              </w:rPr>
            </w:pPr>
          </w:p>
        </w:tc>
        <w:tc>
          <w:tcPr>
            <w:tcW w:w="820" w:type="dxa"/>
            <w:vAlign w:val="bottom"/>
            <w:tcBorders>
              <w:bottom w:val="single" w:sz="8" w:color="231F20"/>
              <w:right w:val="single" w:sz="8" w:color="DCDDDE"/>
            </w:tcBorders>
            <w:shd w:val="clear" w:color="auto" w:fill="DCDDDE"/>
          </w:tcPr>
          <w:p>
            <w:pPr>
              <w:spacing w:after="0"/>
              <w:rPr>
                <w:sz w:val="8"/>
                <w:szCs w:val="8"/>
                <w:color w:val="auto"/>
              </w:rPr>
            </w:pPr>
          </w:p>
        </w:tc>
        <w:tc>
          <w:tcPr>
            <w:tcW w:w="860" w:type="dxa"/>
            <w:vAlign w:val="bottom"/>
            <w:tcBorders>
              <w:bottom w:val="single" w:sz="8" w:color="231F20"/>
              <w:right w:val="single" w:sz="8" w:color="DCDDDE"/>
            </w:tcBorders>
            <w:shd w:val="clear" w:color="auto" w:fill="DCDDDE"/>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780" w:type="dxa"/>
            <w:vAlign w:val="bottom"/>
            <w:tcBorders>
              <w:right w:val="single" w:sz="8" w:color="231F20"/>
            </w:tcBorders>
          </w:tcPr>
          <w:p>
            <w:pPr>
              <w:ind w:left="200"/>
              <w:spacing w:after="0" w:line="190" w:lineRule="exact"/>
              <w:rPr>
                <w:sz w:val="20"/>
                <w:szCs w:val="20"/>
                <w:color w:val="auto"/>
              </w:rPr>
            </w:pPr>
            <w:r>
              <w:rPr>
                <w:rFonts w:ascii="Arial" w:cs="Arial" w:eastAsia="Arial" w:hAnsi="Arial"/>
                <w:sz w:val="18"/>
                <w:szCs w:val="18"/>
                <w:color w:val="231F20"/>
              </w:rPr>
              <w:t>Female</w:t>
            </w:r>
          </w:p>
        </w:tc>
        <w:tc>
          <w:tcPr>
            <w:tcW w:w="480" w:type="dxa"/>
            <w:vAlign w:val="bottom"/>
          </w:tcPr>
          <w:p>
            <w:pPr>
              <w:spacing w:after="0"/>
              <w:rPr>
                <w:sz w:val="16"/>
                <w:szCs w:val="16"/>
                <w:color w:val="auto"/>
              </w:rPr>
            </w:pPr>
          </w:p>
        </w:tc>
        <w:tc>
          <w:tcPr>
            <w:tcW w:w="100" w:type="dxa"/>
            <w:vAlign w:val="bottom"/>
            <w:tcBorders>
              <w:right w:val="single" w:sz="8" w:color="231F20"/>
            </w:tcBorders>
          </w:tcPr>
          <w:p>
            <w:pPr>
              <w:spacing w:after="0"/>
              <w:rPr>
                <w:sz w:val="16"/>
                <w:szCs w:val="16"/>
                <w:color w:val="auto"/>
              </w:rPr>
            </w:pPr>
          </w:p>
        </w:tc>
        <w:tc>
          <w:tcPr>
            <w:tcW w:w="980" w:type="dxa"/>
            <w:vAlign w:val="bottom"/>
            <w:tcBorders>
              <w:right w:val="single" w:sz="8" w:color="231F20"/>
            </w:tcBorders>
          </w:tcPr>
          <w:p>
            <w:pPr>
              <w:spacing w:after="0"/>
              <w:rPr>
                <w:sz w:val="16"/>
                <w:szCs w:val="16"/>
                <w:color w:val="auto"/>
              </w:rPr>
            </w:pPr>
          </w:p>
        </w:tc>
        <w:tc>
          <w:tcPr>
            <w:tcW w:w="820" w:type="dxa"/>
            <w:vAlign w:val="bottom"/>
            <w:tcBorders>
              <w:right w:val="single" w:sz="8" w:color="231F20"/>
            </w:tcBorders>
          </w:tcPr>
          <w:p>
            <w:pPr>
              <w:jc w:val="center"/>
              <w:ind w:right="391"/>
              <w:spacing w:after="0" w:line="190" w:lineRule="exact"/>
              <w:rPr>
                <w:sz w:val="20"/>
                <w:szCs w:val="20"/>
                <w:color w:val="auto"/>
              </w:rPr>
            </w:pPr>
            <w:r>
              <w:rPr>
                <w:rFonts w:ascii="Arial" w:cs="Arial" w:eastAsia="Arial" w:hAnsi="Arial"/>
                <w:sz w:val="18"/>
                <w:szCs w:val="18"/>
                <w:color w:val="231F20"/>
                <w:w w:val="82"/>
              </w:rPr>
              <w:t>Š</w:t>
            </w:r>
          </w:p>
        </w:tc>
        <w:tc>
          <w:tcPr>
            <w:tcW w:w="760" w:type="dxa"/>
            <w:vAlign w:val="bottom"/>
            <w:tcBorders>
              <w:right w:val="single" w:sz="8" w:color="231F20"/>
            </w:tcBorders>
          </w:tcPr>
          <w:p>
            <w:pPr>
              <w:ind w:left="140"/>
              <w:spacing w:after="0" w:line="190" w:lineRule="exact"/>
              <w:rPr>
                <w:sz w:val="20"/>
                <w:szCs w:val="20"/>
                <w:color w:val="auto"/>
              </w:rPr>
            </w:pPr>
            <w:r>
              <w:rPr>
                <w:rFonts w:ascii="Arial" w:cs="Arial" w:eastAsia="Arial" w:hAnsi="Arial"/>
                <w:sz w:val="18"/>
                <w:szCs w:val="18"/>
                <w:color w:val="231F20"/>
              </w:rPr>
              <w:t>Š</w:t>
            </w:r>
          </w:p>
        </w:tc>
        <w:tc>
          <w:tcPr>
            <w:tcW w:w="840" w:type="dxa"/>
            <w:vAlign w:val="bottom"/>
            <w:tcBorders>
              <w:right w:val="single" w:sz="8" w:color="231F20"/>
            </w:tcBorders>
          </w:tcPr>
          <w:p>
            <w:pPr>
              <w:spacing w:after="0"/>
              <w:rPr>
                <w:sz w:val="16"/>
                <w:szCs w:val="16"/>
                <w:color w:val="auto"/>
              </w:rPr>
            </w:pPr>
          </w:p>
        </w:tc>
        <w:tc>
          <w:tcPr>
            <w:tcW w:w="840" w:type="dxa"/>
            <w:vAlign w:val="bottom"/>
            <w:tcBorders>
              <w:right w:val="single" w:sz="8" w:color="231F20"/>
            </w:tcBorders>
          </w:tcPr>
          <w:p>
            <w:pPr>
              <w:spacing w:after="0"/>
              <w:rPr>
                <w:sz w:val="16"/>
                <w:szCs w:val="16"/>
                <w:color w:val="auto"/>
              </w:rPr>
            </w:pPr>
          </w:p>
        </w:tc>
        <w:tc>
          <w:tcPr>
            <w:tcW w:w="820" w:type="dxa"/>
            <w:vAlign w:val="bottom"/>
            <w:tcBorders>
              <w:right w:val="single" w:sz="8" w:color="231F20"/>
            </w:tcBorders>
          </w:tcPr>
          <w:p>
            <w:pPr>
              <w:jc w:val="center"/>
              <w:ind w:right="312"/>
              <w:spacing w:after="0" w:line="190" w:lineRule="exact"/>
              <w:rPr>
                <w:sz w:val="20"/>
                <w:szCs w:val="20"/>
                <w:color w:val="auto"/>
              </w:rPr>
            </w:pPr>
            <w:r>
              <w:rPr>
                <w:rFonts w:ascii="Arial" w:cs="Arial" w:eastAsia="Arial" w:hAnsi="Arial"/>
                <w:sz w:val="18"/>
                <w:szCs w:val="18"/>
                <w:color w:val="231F20"/>
                <w:w w:val="82"/>
              </w:rPr>
              <w:t>Š</w:t>
            </w:r>
          </w:p>
        </w:tc>
        <w:tc>
          <w:tcPr>
            <w:tcW w:w="860" w:type="dxa"/>
            <w:vAlign w:val="bottom"/>
            <w:tcBorders>
              <w:right w:val="single" w:sz="8" w:color="231F20"/>
            </w:tcBorders>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20" w:type="dxa"/>
            <w:vAlign w:val="bottom"/>
            <w:tcBorders>
              <w:bottom w:val="single" w:sz="8" w:color="231F20"/>
            </w:tcBorders>
          </w:tcPr>
          <w:p>
            <w:pPr>
              <w:spacing w:after="0"/>
              <w:rPr>
                <w:sz w:val="4"/>
                <w:szCs w:val="4"/>
                <w:color w:val="auto"/>
              </w:rPr>
            </w:pPr>
          </w:p>
        </w:tc>
        <w:tc>
          <w:tcPr>
            <w:tcW w:w="3780" w:type="dxa"/>
            <w:vAlign w:val="bottom"/>
            <w:tcBorders>
              <w:bottom w:val="single" w:sz="8" w:color="231F20"/>
              <w:right w:val="single" w:sz="8" w:color="231F20"/>
            </w:tcBorders>
          </w:tcPr>
          <w:p>
            <w:pPr>
              <w:spacing w:after="0"/>
              <w:rPr>
                <w:sz w:val="4"/>
                <w:szCs w:val="4"/>
                <w:color w:val="auto"/>
              </w:rPr>
            </w:pPr>
          </w:p>
        </w:tc>
        <w:tc>
          <w:tcPr>
            <w:tcW w:w="480" w:type="dxa"/>
            <w:vAlign w:val="bottom"/>
            <w:tcBorders>
              <w:bottom w:val="single" w:sz="8" w:color="231F20"/>
            </w:tcBorders>
          </w:tcPr>
          <w:p>
            <w:pPr>
              <w:spacing w:after="0"/>
              <w:rPr>
                <w:sz w:val="4"/>
                <w:szCs w:val="4"/>
                <w:color w:val="auto"/>
              </w:rPr>
            </w:pPr>
          </w:p>
        </w:tc>
        <w:tc>
          <w:tcPr>
            <w:tcW w:w="100" w:type="dxa"/>
            <w:vAlign w:val="bottom"/>
            <w:tcBorders>
              <w:bottom w:val="single" w:sz="8" w:color="231F20"/>
              <w:right w:val="single" w:sz="8" w:color="231F20"/>
            </w:tcBorders>
          </w:tcPr>
          <w:p>
            <w:pPr>
              <w:spacing w:after="0"/>
              <w:rPr>
                <w:sz w:val="4"/>
                <w:szCs w:val="4"/>
                <w:color w:val="auto"/>
              </w:rPr>
            </w:pPr>
          </w:p>
        </w:tc>
        <w:tc>
          <w:tcPr>
            <w:tcW w:w="980" w:type="dxa"/>
            <w:vAlign w:val="bottom"/>
            <w:tcBorders>
              <w:bottom w:val="single" w:sz="8" w:color="231F20"/>
              <w:right w:val="single" w:sz="8" w:color="231F20"/>
            </w:tcBorders>
          </w:tcPr>
          <w:p>
            <w:pPr>
              <w:spacing w:after="0"/>
              <w:rPr>
                <w:sz w:val="4"/>
                <w:szCs w:val="4"/>
                <w:color w:val="auto"/>
              </w:rPr>
            </w:pPr>
          </w:p>
        </w:tc>
        <w:tc>
          <w:tcPr>
            <w:tcW w:w="820" w:type="dxa"/>
            <w:vAlign w:val="bottom"/>
            <w:tcBorders>
              <w:bottom w:val="single" w:sz="8" w:color="231F20"/>
              <w:right w:val="single" w:sz="8" w:color="231F20"/>
            </w:tcBorders>
          </w:tcPr>
          <w:p>
            <w:pPr>
              <w:spacing w:after="0"/>
              <w:rPr>
                <w:sz w:val="4"/>
                <w:szCs w:val="4"/>
                <w:color w:val="auto"/>
              </w:rPr>
            </w:pPr>
          </w:p>
        </w:tc>
        <w:tc>
          <w:tcPr>
            <w:tcW w:w="760" w:type="dxa"/>
            <w:vAlign w:val="bottom"/>
            <w:tcBorders>
              <w:bottom w:val="single" w:sz="8" w:color="231F20"/>
              <w:right w:val="single" w:sz="8" w:color="231F20"/>
            </w:tcBorders>
          </w:tcPr>
          <w:p>
            <w:pPr>
              <w:spacing w:after="0"/>
              <w:rPr>
                <w:sz w:val="4"/>
                <w:szCs w:val="4"/>
                <w:color w:val="auto"/>
              </w:rPr>
            </w:pPr>
          </w:p>
        </w:tc>
        <w:tc>
          <w:tcPr>
            <w:tcW w:w="840" w:type="dxa"/>
            <w:vAlign w:val="bottom"/>
            <w:tcBorders>
              <w:bottom w:val="single" w:sz="8" w:color="231F20"/>
              <w:right w:val="single" w:sz="8" w:color="231F20"/>
            </w:tcBorders>
          </w:tcPr>
          <w:p>
            <w:pPr>
              <w:spacing w:after="0"/>
              <w:rPr>
                <w:sz w:val="4"/>
                <w:szCs w:val="4"/>
                <w:color w:val="auto"/>
              </w:rPr>
            </w:pPr>
          </w:p>
        </w:tc>
        <w:tc>
          <w:tcPr>
            <w:tcW w:w="840" w:type="dxa"/>
            <w:vAlign w:val="bottom"/>
            <w:tcBorders>
              <w:bottom w:val="single" w:sz="8" w:color="231F20"/>
              <w:right w:val="single" w:sz="8" w:color="231F20"/>
            </w:tcBorders>
          </w:tcPr>
          <w:p>
            <w:pPr>
              <w:spacing w:after="0"/>
              <w:rPr>
                <w:sz w:val="4"/>
                <w:szCs w:val="4"/>
                <w:color w:val="auto"/>
              </w:rPr>
            </w:pPr>
          </w:p>
        </w:tc>
        <w:tc>
          <w:tcPr>
            <w:tcW w:w="820" w:type="dxa"/>
            <w:vAlign w:val="bottom"/>
            <w:tcBorders>
              <w:bottom w:val="single" w:sz="8" w:color="231F20"/>
              <w:right w:val="single" w:sz="8" w:color="231F20"/>
            </w:tcBorders>
          </w:tcPr>
          <w:p>
            <w:pPr>
              <w:spacing w:after="0"/>
              <w:rPr>
                <w:sz w:val="4"/>
                <w:szCs w:val="4"/>
                <w:color w:val="auto"/>
              </w:rPr>
            </w:pPr>
          </w:p>
        </w:tc>
        <w:tc>
          <w:tcPr>
            <w:tcW w:w="860" w:type="dxa"/>
            <w:vAlign w:val="bottom"/>
            <w:tcBorders>
              <w:bottom w:val="single" w:sz="8" w:color="231F20"/>
              <w:right w:val="single" w:sz="8" w:color="231F20"/>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780" w:type="dxa"/>
            <w:vAlign w:val="bottom"/>
            <w:tcBorders>
              <w:right w:val="single" w:sz="8" w:color="231F20"/>
            </w:tcBorders>
            <w:vMerge w:val="restart"/>
          </w:tcPr>
          <w:p>
            <w:pPr>
              <w:ind w:left="200"/>
              <w:spacing w:after="0"/>
              <w:rPr>
                <w:sz w:val="20"/>
                <w:szCs w:val="20"/>
                <w:color w:val="auto"/>
              </w:rPr>
            </w:pPr>
            <w:r>
              <w:rPr>
                <w:rFonts w:ascii="Arial" w:cs="Arial" w:eastAsia="Arial" w:hAnsi="Arial"/>
                <w:sz w:val="18"/>
                <w:szCs w:val="18"/>
                <w:color w:val="231F20"/>
              </w:rPr>
              <w:t>Male</w:t>
            </w:r>
          </w:p>
        </w:tc>
        <w:tc>
          <w:tcPr>
            <w:tcW w:w="480" w:type="dxa"/>
            <w:vAlign w:val="bottom"/>
          </w:tcPr>
          <w:p>
            <w:pPr>
              <w:jc w:val="center"/>
              <w:ind w:right="91"/>
              <w:spacing w:after="0" w:line="180" w:lineRule="exact"/>
              <w:rPr>
                <w:sz w:val="20"/>
                <w:szCs w:val="20"/>
                <w:color w:val="auto"/>
              </w:rPr>
            </w:pPr>
            <w:r>
              <w:rPr>
                <w:rFonts w:ascii="Arial" w:cs="Arial" w:eastAsia="Arial" w:hAnsi="Arial"/>
                <w:sz w:val="18"/>
                <w:szCs w:val="18"/>
                <w:color w:val="231F20"/>
                <w:w w:val="82"/>
              </w:rPr>
              <w:t>Š</w:t>
            </w:r>
          </w:p>
        </w:tc>
        <w:tc>
          <w:tcPr>
            <w:tcW w:w="100" w:type="dxa"/>
            <w:vAlign w:val="bottom"/>
            <w:tcBorders>
              <w:right w:val="single" w:sz="8" w:color="231F20"/>
            </w:tcBorders>
          </w:tcPr>
          <w:p>
            <w:pPr>
              <w:spacing w:after="0"/>
              <w:rPr>
                <w:sz w:val="15"/>
                <w:szCs w:val="15"/>
                <w:color w:val="auto"/>
              </w:rPr>
            </w:pPr>
          </w:p>
        </w:tc>
        <w:tc>
          <w:tcPr>
            <w:tcW w:w="980" w:type="dxa"/>
            <w:vAlign w:val="bottom"/>
            <w:tcBorders>
              <w:right w:val="single" w:sz="8" w:color="231F20"/>
            </w:tcBorders>
          </w:tcPr>
          <w:p>
            <w:pPr>
              <w:jc w:val="center"/>
              <w:ind w:right="151"/>
              <w:spacing w:after="0" w:line="180" w:lineRule="exact"/>
              <w:rPr>
                <w:sz w:val="20"/>
                <w:szCs w:val="20"/>
                <w:color w:val="auto"/>
              </w:rPr>
            </w:pPr>
            <w:r>
              <w:rPr>
                <w:rFonts w:ascii="Arial" w:cs="Arial" w:eastAsia="Arial" w:hAnsi="Arial"/>
                <w:sz w:val="18"/>
                <w:szCs w:val="18"/>
                <w:color w:val="231F20"/>
                <w:w w:val="82"/>
              </w:rPr>
              <w:t>Š</w:t>
            </w:r>
          </w:p>
        </w:tc>
        <w:tc>
          <w:tcPr>
            <w:tcW w:w="820" w:type="dxa"/>
            <w:vAlign w:val="bottom"/>
            <w:tcBorders>
              <w:right w:val="single" w:sz="8" w:color="231F20"/>
            </w:tcBorders>
          </w:tcPr>
          <w:p>
            <w:pPr>
              <w:spacing w:after="0"/>
              <w:rPr>
                <w:sz w:val="15"/>
                <w:szCs w:val="15"/>
                <w:color w:val="auto"/>
              </w:rPr>
            </w:pPr>
          </w:p>
        </w:tc>
        <w:tc>
          <w:tcPr>
            <w:tcW w:w="760" w:type="dxa"/>
            <w:vAlign w:val="bottom"/>
            <w:tcBorders>
              <w:right w:val="single" w:sz="8" w:color="231F20"/>
            </w:tcBorders>
          </w:tcPr>
          <w:p>
            <w:pPr>
              <w:spacing w:after="0"/>
              <w:rPr>
                <w:sz w:val="15"/>
                <w:szCs w:val="15"/>
                <w:color w:val="auto"/>
              </w:rPr>
            </w:pPr>
          </w:p>
        </w:tc>
        <w:tc>
          <w:tcPr>
            <w:tcW w:w="840" w:type="dxa"/>
            <w:vAlign w:val="bottom"/>
            <w:tcBorders>
              <w:right w:val="single" w:sz="8" w:color="231F20"/>
            </w:tcBorders>
          </w:tcPr>
          <w:p>
            <w:pPr>
              <w:ind w:left="200"/>
              <w:spacing w:after="0" w:line="180" w:lineRule="exact"/>
              <w:rPr>
                <w:sz w:val="20"/>
                <w:szCs w:val="20"/>
                <w:color w:val="auto"/>
              </w:rPr>
            </w:pPr>
            <w:r>
              <w:rPr>
                <w:rFonts w:ascii="Arial" w:cs="Arial" w:eastAsia="Arial" w:hAnsi="Arial"/>
                <w:sz w:val="18"/>
                <w:szCs w:val="18"/>
                <w:color w:val="231F20"/>
              </w:rPr>
              <w:t>Š</w:t>
            </w:r>
          </w:p>
        </w:tc>
        <w:tc>
          <w:tcPr>
            <w:tcW w:w="840" w:type="dxa"/>
            <w:vAlign w:val="bottom"/>
            <w:tcBorders>
              <w:right w:val="single" w:sz="8" w:color="231F20"/>
            </w:tcBorders>
          </w:tcPr>
          <w:p>
            <w:pPr>
              <w:jc w:val="center"/>
              <w:ind w:right="292"/>
              <w:spacing w:after="0" w:line="180" w:lineRule="exact"/>
              <w:rPr>
                <w:sz w:val="20"/>
                <w:szCs w:val="20"/>
                <w:color w:val="auto"/>
              </w:rPr>
            </w:pPr>
            <w:r>
              <w:rPr>
                <w:rFonts w:ascii="Arial" w:cs="Arial" w:eastAsia="Arial" w:hAnsi="Arial"/>
                <w:sz w:val="18"/>
                <w:szCs w:val="18"/>
                <w:color w:val="231F20"/>
                <w:w w:val="82"/>
              </w:rPr>
              <w:t>Š</w:t>
            </w:r>
          </w:p>
        </w:tc>
        <w:tc>
          <w:tcPr>
            <w:tcW w:w="820" w:type="dxa"/>
            <w:vAlign w:val="bottom"/>
            <w:tcBorders>
              <w:right w:val="single" w:sz="8" w:color="231F20"/>
            </w:tcBorders>
          </w:tcPr>
          <w:p>
            <w:pPr>
              <w:spacing w:after="0"/>
              <w:rPr>
                <w:sz w:val="15"/>
                <w:szCs w:val="15"/>
                <w:color w:val="auto"/>
              </w:rPr>
            </w:pPr>
          </w:p>
        </w:tc>
        <w:tc>
          <w:tcPr>
            <w:tcW w:w="860" w:type="dxa"/>
            <w:vAlign w:val="bottom"/>
            <w:tcBorders>
              <w:right w:val="single" w:sz="8" w:color="231F20"/>
            </w:tcBorders>
          </w:tcPr>
          <w:p>
            <w:pPr>
              <w:jc w:val="center"/>
              <w:ind w:right="311"/>
              <w:spacing w:after="0" w:line="180" w:lineRule="exact"/>
              <w:rPr>
                <w:sz w:val="20"/>
                <w:szCs w:val="20"/>
                <w:color w:val="auto"/>
              </w:rPr>
            </w:pPr>
            <w:r>
              <w:rPr>
                <w:rFonts w:ascii="Arial" w:cs="Arial" w:eastAsia="Arial" w:hAnsi="Arial"/>
                <w:sz w:val="18"/>
                <w:szCs w:val="18"/>
                <w:color w:val="231F20"/>
                <w:w w:val="82"/>
              </w:rPr>
              <w:t>Š</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3780" w:type="dxa"/>
            <w:vAlign w:val="bottom"/>
            <w:tcBorders>
              <w:bottom w:val="single" w:sz="8" w:color="231F20"/>
              <w:right w:val="single" w:sz="8" w:color="231F20"/>
            </w:tcBorders>
            <w:vMerge w:val="continue"/>
          </w:tcPr>
          <w:p>
            <w:pPr>
              <w:spacing w:after="0"/>
              <w:rPr>
                <w:sz w:val="6"/>
                <w:szCs w:val="6"/>
                <w:color w:val="auto"/>
              </w:rPr>
            </w:pPr>
          </w:p>
        </w:tc>
        <w:tc>
          <w:tcPr>
            <w:tcW w:w="480" w:type="dxa"/>
            <w:vAlign w:val="bottom"/>
            <w:tcBorders>
              <w:bottom w:val="single" w:sz="8" w:color="231F20"/>
            </w:tcBorders>
          </w:tcPr>
          <w:p>
            <w:pPr>
              <w:spacing w:after="0"/>
              <w:rPr>
                <w:sz w:val="6"/>
                <w:szCs w:val="6"/>
                <w:color w:val="auto"/>
              </w:rPr>
            </w:pPr>
          </w:p>
        </w:tc>
        <w:tc>
          <w:tcPr>
            <w:tcW w:w="100" w:type="dxa"/>
            <w:vAlign w:val="bottom"/>
            <w:tcBorders>
              <w:bottom w:val="single" w:sz="8" w:color="231F20"/>
              <w:right w:val="single" w:sz="8" w:color="231F20"/>
            </w:tcBorders>
          </w:tcPr>
          <w:p>
            <w:pPr>
              <w:spacing w:after="0"/>
              <w:rPr>
                <w:sz w:val="6"/>
                <w:szCs w:val="6"/>
                <w:color w:val="auto"/>
              </w:rPr>
            </w:pPr>
          </w:p>
        </w:tc>
        <w:tc>
          <w:tcPr>
            <w:tcW w:w="980" w:type="dxa"/>
            <w:vAlign w:val="bottom"/>
            <w:tcBorders>
              <w:bottom w:val="single" w:sz="8" w:color="231F20"/>
              <w:right w:val="single" w:sz="8" w:color="231F20"/>
            </w:tcBorders>
          </w:tcPr>
          <w:p>
            <w:pPr>
              <w:spacing w:after="0"/>
              <w:rPr>
                <w:sz w:val="6"/>
                <w:szCs w:val="6"/>
                <w:color w:val="auto"/>
              </w:rPr>
            </w:pPr>
          </w:p>
        </w:tc>
        <w:tc>
          <w:tcPr>
            <w:tcW w:w="820" w:type="dxa"/>
            <w:vAlign w:val="bottom"/>
            <w:tcBorders>
              <w:bottom w:val="single" w:sz="8" w:color="231F20"/>
              <w:right w:val="single" w:sz="8" w:color="231F20"/>
            </w:tcBorders>
          </w:tcPr>
          <w:p>
            <w:pPr>
              <w:spacing w:after="0"/>
              <w:rPr>
                <w:sz w:val="6"/>
                <w:szCs w:val="6"/>
                <w:color w:val="auto"/>
              </w:rPr>
            </w:pPr>
          </w:p>
        </w:tc>
        <w:tc>
          <w:tcPr>
            <w:tcW w:w="760" w:type="dxa"/>
            <w:vAlign w:val="bottom"/>
            <w:tcBorders>
              <w:bottom w:val="single" w:sz="8" w:color="231F20"/>
              <w:right w:val="single" w:sz="8" w:color="231F20"/>
            </w:tcBorders>
          </w:tcPr>
          <w:p>
            <w:pPr>
              <w:spacing w:after="0"/>
              <w:rPr>
                <w:sz w:val="6"/>
                <w:szCs w:val="6"/>
                <w:color w:val="auto"/>
              </w:rPr>
            </w:pPr>
          </w:p>
        </w:tc>
        <w:tc>
          <w:tcPr>
            <w:tcW w:w="840" w:type="dxa"/>
            <w:vAlign w:val="bottom"/>
            <w:tcBorders>
              <w:bottom w:val="single" w:sz="8" w:color="231F20"/>
              <w:right w:val="single" w:sz="8" w:color="231F20"/>
            </w:tcBorders>
          </w:tcPr>
          <w:p>
            <w:pPr>
              <w:spacing w:after="0"/>
              <w:rPr>
                <w:sz w:val="6"/>
                <w:szCs w:val="6"/>
                <w:color w:val="auto"/>
              </w:rPr>
            </w:pPr>
          </w:p>
        </w:tc>
        <w:tc>
          <w:tcPr>
            <w:tcW w:w="840" w:type="dxa"/>
            <w:vAlign w:val="bottom"/>
            <w:tcBorders>
              <w:bottom w:val="single" w:sz="8" w:color="231F20"/>
              <w:right w:val="single" w:sz="8" w:color="231F20"/>
            </w:tcBorders>
          </w:tcPr>
          <w:p>
            <w:pPr>
              <w:spacing w:after="0"/>
              <w:rPr>
                <w:sz w:val="6"/>
                <w:szCs w:val="6"/>
                <w:color w:val="auto"/>
              </w:rPr>
            </w:pPr>
          </w:p>
        </w:tc>
        <w:tc>
          <w:tcPr>
            <w:tcW w:w="820" w:type="dxa"/>
            <w:vAlign w:val="bottom"/>
            <w:tcBorders>
              <w:bottom w:val="single" w:sz="8" w:color="231F20"/>
              <w:right w:val="single" w:sz="8" w:color="231F20"/>
            </w:tcBorders>
          </w:tcPr>
          <w:p>
            <w:pPr>
              <w:spacing w:after="0"/>
              <w:rPr>
                <w:sz w:val="6"/>
                <w:szCs w:val="6"/>
                <w:color w:val="auto"/>
              </w:rPr>
            </w:pPr>
          </w:p>
        </w:tc>
        <w:tc>
          <w:tcPr>
            <w:tcW w:w="860" w:type="dxa"/>
            <w:vAlign w:val="bottom"/>
            <w:tcBorders>
              <w:bottom w:val="single" w:sz="8" w:color="231F20"/>
              <w:right w:val="single" w:sz="8" w:color="231F20"/>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-4012565</wp:posOffset>
            </wp:positionV>
            <wp:extent cx="184785" cy="17145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62">
                      <a:extLst>
                        <a:ext uri="{28A0092B-C50C-407E-A947-70E740481C1C}"/>
                      </a:extLst>
                    </a:blip>
                    <a:srcRect/>
                    <a:stretch>
                      <a:fillRect/>
                    </a:stretch>
                  </pic:blipFill>
                  <pic:spPr bwMode="auto">
                    <a:xfrm>
                      <a:off x="0" y="0"/>
                      <a:ext cx="184785" cy="171450"/>
                    </a:xfrm>
                    <a:prstGeom prst="rect">
                      <a:avLst/>
                    </a:prstGeom>
                    <a:noFill/>
                  </pic:spPr>
                </pic:pic>
              </a:graphicData>
            </a:graphic>
          </wp:anchor>
        </w:drawing>
        <w:drawing>
          <wp:anchor simplePos="0" relativeHeight="251657728" behindDoc="1" locked="0" layoutInCell="0" allowOverlap="1">
            <wp:simplePos x="0" y="0"/>
            <wp:positionH relativeFrom="column">
              <wp:posOffset>37465</wp:posOffset>
            </wp:positionH>
            <wp:positionV relativeFrom="paragraph">
              <wp:posOffset>-3771265</wp:posOffset>
            </wp:positionV>
            <wp:extent cx="175260" cy="17208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63">
                      <a:extLst>
                        <a:ext uri="{28A0092B-C50C-407E-A947-70E740481C1C}"/>
                      </a:extLst>
                    </a:blip>
                    <a:srcRect/>
                    <a:stretch>
                      <a:fillRect/>
                    </a:stretch>
                  </pic:blipFill>
                  <pic:spPr bwMode="auto">
                    <a:xfrm>
                      <a:off x="0" y="0"/>
                      <a:ext cx="175260" cy="172085"/>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-3538220</wp:posOffset>
            </wp:positionV>
            <wp:extent cx="212090" cy="19304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64">
                      <a:extLst>
                        <a:ext uri="{28A0092B-C50C-407E-A947-70E740481C1C}"/>
                      </a:extLst>
                    </a:blip>
                    <a:srcRect/>
                    <a:stretch>
                      <a:fillRect/>
                    </a:stretch>
                  </pic:blipFill>
                  <pic:spPr bwMode="auto">
                    <a:xfrm>
                      <a:off x="0" y="0"/>
                      <a:ext cx="212090" cy="19304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-3286760</wp:posOffset>
            </wp:positionV>
            <wp:extent cx="202565" cy="13906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65">
                      <a:extLst>
                        <a:ext uri="{28A0092B-C50C-407E-A947-70E740481C1C}"/>
                      </a:extLst>
                    </a:blip>
                    <a:srcRect/>
                    <a:stretch>
                      <a:fillRect/>
                    </a:stretch>
                  </pic:blipFill>
                  <pic:spPr bwMode="auto">
                    <a:xfrm>
                      <a:off x="0" y="0"/>
                      <a:ext cx="202565" cy="139065"/>
                    </a:xfrm>
                    <a:prstGeom prst="rect">
                      <a:avLst/>
                    </a:prstGeom>
                    <a:noFill/>
                  </pic:spPr>
                </pic:pic>
              </a:graphicData>
            </a:graphic>
          </wp:anchor>
        </w:drawing>
        <w:drawing>
          <wp:anchor simplePos="0" relativeHeight="251657728" behindDoc="1" locked="0" layoutInCell="0" allowOverlap="1">
            <wp:simplePos x="0" y="0"/>
            <wp:positionH relativeFrom="column">
              <wp:posOffset>19050</wp:posOffset>
            </wp:positionH>
            <wp:positionV relativeFrom="paragraph">
              <wp:posOffset>-3090545</wp:posOffset>
            </wp:positionV>
            <wp:extent cx="212090" cy="20193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66">
                      <a:extLst>
                        <a:ext uri="{28A0092B-C50C-407E-A947-70E740481C1C}"/>
                      </a:extLst>
                    </a:blip>
                    <a:srcRect/>
                    <a:stretch>
                      <a:fillRect/>
                    </a:stretch>
                  </pic:blipFill>
                  <pic:spPr bwMode="auto">
                    <a:xfrm>
                      <a:off x="0" y="0"/>
                      <a:ext cx="212090" cy="201930"/>
                    </a:xfrm>
                    <a:prstGeom prst="rect">
                      <a:avLst/>
                    </a:prstGeom>
                    <a:noFill/>
                  </pic:spPr>
                </pic:pic>
              </a:graphicData>
            </a:graphic>
          </wp:anchor>
        </w:drawing>
        <w:drawing>
          <wp:anchor simplePos="0" relativeHeight="251657728" behindDoc="1" locked="0" layoutInCell="0" allowOverlap="1">
            <wp:simplePos x="0" y="0"/>
            <wp:positionH relativeFrom="column">
              <wp:posOffset>23495</wp:posOffset>
            </wp:positionH>
            <wp:positionV relativeFrom="paragraph">
              <wp:posOffset>-2827655</wp:posOffset>
            </wp:positionV>
            <wp:extent cx="202565" cy="19367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67">
                      <a:extLst>
                        <a:ext uri="{28A0092B-C50C-407E-A947-70E740481C1C}"/>
                      </a:extLst>
                    </a:blip>
                    <a:srcRect/>
                    <a:stretch>
                      <a:fillRect/>
                    </a:stretch>
                  </pic:blipFill>
                  <pic:spPr bwMode="auto">
                    <a:xfrm>
                      <a:off x="0" y="0"/>
                      <a:ext cx="202565" cy="19367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-2578735</wp:posOffset>
            </wp:positionV>
            <wp:extent cx="212090" cy="2120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68">
                      <a:extLst>
                        <a:ext uri="{28A0092B-C50C-407E-A947-70E740481C1C}"/>
                      </a:extLst>
                    </a:blip>
                    <a:srcRect/>
                    <a:stretch>
                      <a:fillRect/>
                    </a:stretch>
                  </pic:blipFill>
                  <pic:spPr bwMode="auto">
                    <a:xfrm>
                      <a:off x="0" y="0"/>
                      <a:ext cx="212090" cy="21209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-2312035</wp:posOffset>
            </wp:positionV>
            <wp:extent cx="212090" cy="2120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69">
                      <a:extLst>
                        <a:ext uri="{28A0092B-C50C-407E-A947-70E740481C1C}"/>
                      </a:extLst>
                    </a:blip>
                    <a:srcRect/>
                    <a:stretch>
                      <a:fillRect/>
                    </a:stretch>
                  </pic:blipFill>
                  <pic:spPr bwMode="auto">
                    <a:xfrm>
                      <a:off x="0" y="0"/>
                      <a:ext cx="212090" cy="212090"/>
                    </a:xfrm>
                    <a:prstGeom prst="rect">
                      <a:avLst/>
                    </a:prstGeom>
                    <a:noFill/>
                  </pic:spPr>
                </pic:pic>
              </a:graphicData>
            </a:graphic>
          </wp:anchor>
        </w:drawing>
        <w:drawing>
          <wp:anchor simplePos="0" relativeHeight="251657728" behindDoc="1" locked="0" layoutInCell="0" allowOverlap="1">
            <wp:simplePos x="0" y="0"/>
            <wp:positionH relativeFrom="column">
              <wp:posOffset>35560</wp:posOffset>
            </wp:positionH>
            <wp:positionV relativeFrom="paragraph">
              <wp:posOffset>-2039620</wp:posOffset>
            </wp:positionV>
            <wp:extent cx="175260" cy="20574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70">
                      <a:extLst>
                        <a:ext uri="{28A0092B-C50C-407E-A947-70E740481C1C}"/>
                      </a:extLst>
                    </a:blip>
                    <a:srcRect/>
                    <a:stretch>
                      <a:fillRect/>
                    </a:stretch>
                  </pic:blipFill>
                  <pic:spPr bwMode="auto">
                    <a:xfrm>
                      <a:off x="0" y="0"/>
                      <a:ext cx="175260" cy="205740"/>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-1784350</wp:posOffset>
            </wp:positionV>
            <wp:extent cx="220980" cy="16637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71">
                      <a:extLst>
                        <a:ext uri="{28A0092B-C50C-407E-A947-70E740481C1C}"/>
                      </a:extLst>
                    </a:blip>
                    <a:srcRect/>
                    <a:stretch>
                      <a:fillRect/>
                    </a:stretch>
                  </pic:blipFill>
                  <pic:spPr bwMode="auto">
                    <a:xfrm>
                      <a:off x="0" y="0"/>
                      <a:ext cx="220980" cy="16637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-1563370</wp:posOffset>
            </wp:positionV>
            <wp:extent cx="248285" cy="2120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72">
                      <a:extLst>
                        <a:ext uri="{28A0092B-C50C-407E-A947-70E740481C1C}"/>
                      </a:extLst>
                    </a:blip>
                    <a:srcRect/>
                    <a:stretch>
                      <a:fillRect/>
                    </a:stretch>
                  </pic:blipFill>
                  <pic:spPr bwMode="auto">
                    <a:xfrm>
                      <a:off x="0" y="0"/>
                      <a:ext cx="248285" cy="212090"/>
                    </a:xfrm>
                    <a:prstGeom prst="rect">
                      <a:avLst/>
                    </a:prstGeom>
                    <a:noFill/>
                  </pic:spPr>
                </pic:pic>
              </a:graphicData>
            </a:graphic>
          </wp:anchor>
        </w:drawing>
      </w:r>
    </w:p>
    <w:p>
      <w:pPr>
        <w:spacing w:after="0" w:line="277"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231F20"/>
        </w:rPr>
        <w:t>The Company’s Corporate Governance Guidelines provide that no trustee who is the CEO of a publicly traded company can serve on more than two public company boards, including the Board of the Company, and no other trustee who is not the CEO or a named executive officer of a public company can serve on more than four public company boards, including the Board of the Company. These limitations were considered before nominating our existing trustees to stand for reelection in 2026.</w:t>
      </w:r>
    </w:p>
    <w:p>
      <w:pPr>
        <w:spacing w:after="0" w:line="247"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231F20"/>
        </w:rPr>
        <w:t>To identify, recruit and evaluate qualified candidates for the Board, the Board first looks to individuals known to current Board members through business and other relationships. If the Board is not able to identify qualified candidates in the foregoing way, the services of a professional search firm would be used. In addition, any shareholder, or a group of up to 20 shareholders, that has continuously owned for 3 years at least 3% of the Company’s outstanding Common Shares can nominate and include in the Company’s annual meeting proxy materials up to the greater of two trustees or 20% of the number of trustees serving on the Board, provided that the shareholder(s) and the nominee(s) satisfy the requirements set forth in our Bylaws. For further information regarding submission of a trustee nominee using the Company’s proxy access Bylaw provision or otherwise, see the “Shareholder Proposals for the 2027 Annual Meeting” section later in this proxy statement.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1140460</wp:posOffset>
                </wp:positionV>
                <wp:extent cx="6400800" cy="177800"/>
                <wp:wrapNone/>
                <wp:docPr id="248" name="Shape 2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177800"/>
                        </a:xfrm>
                        <a:prstGeom prst="rect">
                          <a:avLst/>
                        </a:prstGeom>
                        <a:solidFill>
                          <a:srgbClr val="E8E7E5"/>
                        </a:solidFill>
                      </wps:spPr>
                      <wps:bodyPr/>
                    </wps:wsp>
                  </a:graphicData>
                </a:graphic>
              </wp:anchor>
            </w:drawing>
          </mc:Choice>
          <mc:Fallback>
            <w:pict>
              <v:rect id="Shape 248" o:spid="_x0000_s1273" style="position:absolute;margin-left:0pt;margin-top:89.8pt;width:504pt;height:1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8E7E5" stroked="f"/>
            </w:pict>
          </mc:Fallback>
        </mc:AlternateContent>
        <mc:AlternateContent>
          <mc:Choice Requires="wps">
            <w:drawing>
              <wp:anchor simplePos="0" relativeHeight="251657728" behindDoc="1" locked="0" layoutInCell="0" allowOverlap="1">
                <wp:simplePos x="0" y="0"/>
                <wp:positionH relativeFrom="column">
                  <wp:posOffset>6350</wp:posOffset>
                </wp:positionH>
                <wp:positionV relativeFrom="paragraph">
                  <wp:posOffset>1139825</wp:posOffset>
                </wp:positionV>
                <wp:extent cx="0" cy="177800"/>
                <wp:wrapNone/>
                <wp:docPr id="249" name="Shape 2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249" o:spid="_x0000_s12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pt,89.75pt" to="0.5pt,103.75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1146175</wp:posOffset>
                </wp:positionV>
                <wp:extent cx="6400800" cy="0"/>
                <wp:wrapNone/>
                <wp:docPr id="250" name="Shape 2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250" o:spid="_x0000_s12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90.25pt" to="504pt,90.25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6394450</wp:posOffset>
                </wp:positionH>
                <wp:positionV relativeFrom="paragraph">
                  <wp:posOffset>1139825</wp:posOffset>
                </wp:positionV>
                <wp:extent cx="0" cy="177800"/>
                <wp:wrapNone/>
                <wp:docPr id="251" name="Shape 2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251" o:spid="_x0000_s12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3.5pt,89.75pt" to="503.5pt,103.75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1311275</wp:posOffset>
                </wp:positionV>
                <wp:extent cx="6400800" cy="0"/>
                <wp:wrapNone/>
                <wp:docPr id="252" name="Shape 2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252" o:spid="_x0000_s12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03.25pt" to="504pt,103.25pt" o:allowincell="f" strokecolor="#231F20" strokeweight="1pt"/>
            </w:pict>
          </mc:Fallback>
        </mc:AlternateContent>
      </w:r>
    </w:p>
    <w:p>
      <w:pPr>
        <w:sectPr>
          <w:pgSz w:w="11880" w:h="15480" w:orient="portrait"/>
          <w:cols w:equalWidth="0" w:num="1">
            <w:col w:w="10080"/>
          </w:cols>
          <w:pgMar w:left="900" w:top="1270" w:right="900" w:bottom="76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80"/>
        <w:spacing w:after="0"/>
        <w:tabs>
          <w:tab w:leader="none" w:pos="1420" w:val="left"/>
          <w:tab w:leader="none" w:pos="3160" w:val="left"/>
        </w:tabs>
        <w:rPr>
          <w:sz w:val="20"/>
          <w:szCs w:val="20"/>
          <w:color w:val="auto"/>
        </w:rPr>
      </w:pPr>
      <w:r>
        <w:rPr>
          <w:rFonts w:ascii="Arial" w:cs="Arial" w:eastAsia="Arial" w:hAnsi="Arial"/>
          <w:sz w:val="16"/>
          <w:szCs w:val="16"/>
          <w:color w:val="EF3E2A"/>
        </w:rPr>
        <w:t>Federal Realty</w:t>
      </w:r>
      <w:r>
        <w:rPr>
          <w:sz w:val="20"/>
          <w:szCs w:val="20"/>
          <w:color w:val="auto"/>
        </w:rPr>
        <w:tab/>
      </w:r>
      <w:r>
        <w:rPr>
          <w:rFonts w:ascii="Arial" w:cs="Arial" w:eastAsia="Arial" w:hAnsi="Arial"/>
          <w:sz w:val="16"/>
          <w:szCs w:val="16"/>
          <w:color w:val="231F20"/>
        </w:rPr>
        <w:t>2026 Proxy Statement</w:t>
        <w:tab/>
        <w:t>12</w:t>
      </w:r>
    </w:p>
    <w:p>
      <w:pPr>
        <w:sectPr>
          <w:pgSz w:w="11880" w:h="15480" w:orient="portrait"/>
          <w:cols w:equalWidth="0" w:num="1">
            <w:col w:w="10080"/>
          </w:cols>
          <w:pgMar w:left="900" w:top="1270" w:right="900" w:bottom="763" w:gutter="0" w:footer="0" w:header="0"/>
          <w:type w:val="continuous"/>
        </w:sectPr>
      </w:pPr>
    </w:p>
    <w:bookmarkStart w:id="132" w:name="page133"/>
    <w:bookmarkEnd w:id="132"/>
    <w:p>
      <w:pPr>
        <w:spacing w:after="0" w:line="268" w:lineRule="exact"/>
        <w:rPr>
          <w:sz w:val="20"/>
          <w:szCs w:val="20"/>
          <w:color w:val="auto"/>
        </w:rPr>
      </w:pPr>
      <w:r>
        <w:rPr>
          <w:rFonts w:ascii="Arial Unicode MS" w:cs="Arial Unicode MS" w:eastAsia="Arial Unicode MS" w:hAnsi="Arial Unicode MS"/>
          <w:sz w:val="20"/>
          <w:szCs w:val="20"/>
          <w:color w:val="EF3E2A"/>
        </w:rPr>
        <w:t>➣</w:t>
      </w:r>
      <w:r>
        <w:rPr>
          <w:rFonts w:ascii="Arial" w:cs="Arial" w:eastAsia="Arial" w:hAnsi="Arial"/>
          <w:sz w:val="20"/>
          <w:szCs w:val="20"/>
          <w:b w:val="1"/>
          <w:bCs w:val="1"/>
          <w:color w:val="231F20"/>
        </w:rPr>
        <w:t xml:space="preserve"> NOMINEE DIVERSITY AND TENURE</w:t>
      </w:r>
    </w:p>
    <w:p>
      <w:pPr>
        <w:spacing w:after="0" w:line="257"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231F20"/>
        </w:rPr>
        <w:t>The Board believes that a mix of skills, qualifications, ages, tenure and diversity are important considerations in identifying nominees so that the Board as a whole has the different viewpoints needed to provide appropriate oversight of the Company’s business. Among the many items the Board takes into account, the Board specifically considers the gender and race/ethnicity of prospective nominees in order to ensure diverse representation on the Board.</w:t>
      </w:r>
    </w:p>
    <w:p>
      <w:pPr>
        <w:spacing w:after="0" w:line="245" w:lineRule="exact"/>
        <w:rPr>
          <w:sz w:val="20"/>
          <w:szCs w:val="20"/>
          <w:color w:val="auto"/>
        </w:rPr>
      </w:pPr>
    </w:p>
    <w:tbl>
      <w:tblPr>
        <w:tblLayout w:type="fixed"/>
        <w:tblInd w:w="130" w:type="dxa"/>
        <w:tblCellMar>
          <w:top w:w="0" w:type="dxa"/>
          <w:left w:w="0" w:type="dxa"/>
          <w:bottom w:w="0" w:type="dxa"/>
          <w:right w:w="0" w:type="dxa"/>
        </w:tblCellMar>
      </w:tblPr>
      <w:tr>
        <w:trPr>
          <w:trHeight w:val="230"/>
        </w:trPr>
        <w:tc>
          <w:tcPr>
            <w:tcW w:w="1080" w:type="dxa"/>
            <w:vAlign w:val="bottom"/>
          </w:tcPr>
          <w:p>
            <w:pPr>
              <w:spacing w:after="0"/>
              <w:rPr>
                <w:sz w:val="19"/>
                <w:szCs w:val="19"/>
                <w:color w:val="auto"/>
              </w:rPr>
            </w:pPr>
          </w:p>
        </w:tc>
        <w:tc>
          <w:tcPr>
            <w:tcW w:w="1460" w:type="dxa"/>
            <w:vAlign w:val="bottom"/>
          </w:tcPr>
          <w:p>
            <w:pPr>
              <w:jc w:val="center"/>
              <w:ind w:right="410"/>
              <w:spacing w:after="0"/>
              <w:rPr>
                <w:sz w:val="20"/>
                <w:szCs w:val="20"/>
                <w:color w:val="auto"/>
              </w:rPr>
            </w:pPr>
            <w:r>
              <w:rPr>
                <w:rFonts w:ascii="Arial" w:cs="Arial" w:eastAsia="Arial" w:hAnsi="Arial"/>
                <w:sz w:val="20"/>
                <w:szCs w:val="20"/>
                <w:color w:val="EF3E2A"/>
              </w:rPr>
              <w:t>AGE</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120" w:type="dxa"/>
            <w:vAlign w:val="bottom"/>
            <w:gridSpan w:val="3"/>
          </w:tcPr>
          <w:p>
            <w:pPr>
              <w:ind w:left="280"/>
              <w:spacing w:after="0"/>
              <w:rPr>
                <w:sz w:val="20"/>
                <w:szCs w:val="20"/>
                <w:color w:val="auto"/>
              </w:rPr>
            </w:pPr>
            <w:r>
              <w:rPr>
                <w:rFonts w:ascii="Arial" w:cs="Arial" w:eastAsia="Arial" w:hAnsi="Arial"/>
                <w:sz w:val="20"/>
                <w:szCs w:val="20"/>
                <w:color w:val="EF3E2A"/>
                <w:w w:val="99"/>
              </w:rPr>
              <w:t>TENURE</w:t>
            </w: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40" w:type="dxa"/>
            <w:vAlign w:val="bottom"/>
            <w:gridSpan w:val="5"/>
          </w:tcPr>
          <w:p>
            <w:pPr>
              <w:jc w:val="center"/>
              <w:spacing w:after="0"/>
              <w:rPr>
                <w:sz w:val="20"/>
                <w:szCs w:val="20"/>
                <w:color w:val="auto"/>
              </w:rPr>
            </w:pPr>
            <w:r>
              <w:rPr>
                <w:rFonts w:ascii="Arial" w:cs="Arial" w:eastAsia="Arial" w:hAnsi="Arial"/>
                <w:sz w:val="20"/>
                <w:szCs w:val="20"/>
                <w:color w:val="EF3E2A"/>
                <w:w w:val="99"/>
              </w:rPr>
              <w:t>GENDER &amp; ETHNIC DIVERSITY</w:t>
            </w:r>
          </w:p>
        </w:tc>
        <w:tc>
          <w:tcPr>
            <w:tcW w:w="0" w:type="dxa"/>
            <w:vAlign w:val="bottom"/>
          </w:tcPr>
          <w:p>
            <w:pPr>
              <w:spacing w:after="0"/>
              <w:rPr>
                <w:sz w:val="1"/>
                <w:szCs w:val="1"/>
                <w:color w:val="auto"/>
              </w:rPr>
            </w:pPr>
          </w:p>
        </w:tc>
      </w:tr>
      <w:tr>
        <w:trPr>
          <w:trHeight w:val="68"/>
        </w:trPr>
        <w:tc>
          <w:tcPr>
            <w:tcW w:w="1080" w:type="dxa"/>
            <w:vAlign w:val="bottom"/>
            <w:tcBorders>
              <w:bottom w:val="single" w:sz="8" w:color="231F20"/>
            </w:tcBorders>
          </w:tcPr>
          <w:p>
            <w:pPr>
              <w:spacing w:after="0"/>
              <w:rPr>
                <w:sz w:val="5"/>
                <w:szCs w:val="5"/>
                <w:color w:val="auto"/>
              </w:rPr>
            </w:pPr>
          </w:p>
        </w:tc>
        <w:tc>
          <w:tcPr>
            <w:tcW w:w="1460" w:type="dxa"/>
            <w:vAlign w:val="bottom"/>
            <w:tcBorders>
              <w:bottom w:val="single" w:sz="8" w:color="231F20"/>
            </w:tcBorders>
          </w:tcPr>
          <w:p>
            <w:pPr>
              <w:spacing w:after="0"/>
              <w:rPr>
                <w:sz w:val="5"/>
                <w:szCs w:val="5"/>
                <w:color w:val="auto"/>
              </w:rPr>
            </w:pPr>
          </w:p>
        </w:tc>
        <w:tc>
          <w:tcPr>
            <w:tcW w:w="100" w:type="dxa"/>
            <w:vAlign w:val="bottom"/>
            <w:tcBorders>
              <w:bottom w:val="single" w:sz="8" w:color="231F20"/>
            </w:tcBorders>
          </w:tcPr>
          <w:p>
            <w:pPr>
              <w:spacing w:after="0"/>
              <w:rPr>
                <w:sz w:val="5"/>
                <w:szCs w:val="5"/>
                <w:color w:val="auto"/>
              </w:rPr>
            </w:pPr>
          </w:p>
        </w:tc>
        <w:tc>
          <w:tcPr>
            <w:tcW w:w="480" w:type="dxa"/>
            <w:vAlign w:val="bottom"/>
            <w:tcBorders>
              <w:bottom w:val="single" w:sz="8" w:color="231F20"/>
            </w:tcBorders>
          </w:tcPr>
          <w:p>
            <w:pPr>
              <w:spacing w:after="0"/>
              <w:rPr>
                <w:sz w:val="5"/>
                <w:szCs w:val="5"/>
                <w:color w:val="auto"/>
              </w:rPr>
            </w:pPr>
          </w:p>
        </w:tc>
        <w:tc>
          <w:tcPr>
            <w:tcW w:w="260" w:type="dxa"/>
            <w:vAlign w:val="bottom"/>
          </w:tcPr>
          <w:p>
            <w:pPr>
              <w:spacing w:after="0"/>
              <w:rPr>
                <w:sz w:val="5"/>
                <w:szCs w:val="5"/>
                <w:color w:val="auto"/>
              </w:rPr>
            </w:pPr>
          </w:p>
        </w:tc>
        <w:tc>
          <w:tcPr>
            <w:tcW w:w="880" w:type="dxa"/>
            <w:vAlign w:val="bottom"/>
            <w:tcBorders>
              <w:bottom w:val="single" w:sz="8" w:color="231F20"/>
            </w:tcBorders>
          </w:tcPr>
          <w:p>
            <w:pPr>
              <w:spacing w:after="0"/>
              <w:rPr>
                <w:sz w:val="5"/>
                <w:szCs w:val="5"/>
                <w:color w:val="auto"/>
              </w:rPr>
            </w:pPr>
          </w:p>
        </w:tc>
        <w:tc>
          <w:tcPr>
            <w:tcW w:w="1000" w:type="dxa"/>
            <w:vAlign w:val="bottom"/>
            <w:tcBorders>
              <w:bottom w:val="single" w:sz="8" w:color="231F20"/>
            </w:tcBorders>
          </w:tcPr>
          <w:p>
            <w:pPr>
              <w:spacing w:after="0"/>
              <w:rPr>
                <w:sz w:val="5"/>
                <w:szCs w:val="5"/>
                <w:color w:val="auto"/>
              </w:rPr>
            </w:pPr>
          </w:p>
        </w:tc>
        <w:tc>
          <w:tcPr>
            <w:tcW w:w="100" w:type="dxa"/>
            <w:vAlign w:val="bottom"/>
            <w:tcBorders>
              <w:bottom w:val="single" w:sz="8" w:color="231F20"/>
            </w:tcBorders>
          </w:tcPr>
          <w:p>
            <w:pPr>
              <w:spacing w:after="0"/>
              <w:rPr>
                <w:sz w:val="5"/>
                <w:szCs w:val="5"/>
                <w:color w:val="auto"/>
              </w:rPr>
            </w:pPr>
          </w:p>
        </w:tc>
        <w:tc>
          <w:tcPr>
            <w:tcW w:w="20" w:type="dxa"/>
            <w:vAlign w:val="bottom"/>
            <w:tcBorders>
              <w:bottom w:val="single" w:sz="8" w:color="231F20"/>
            </w:tcBorders>
          </w:tcPr>
          <w:p>
            <w:pPr>
              <w:spacing w:after="0"/>
              <w:rPr>
                <w:sz w:val="5"/>
                <w:szCs w:val="5"/>
                <w:color w:val="auto"/>
              </w:rPr>
            </w:pPr>
          </w:p>
        </w:tc>
        <w:tc>
          <w:tcPr>
            <w:tcW w:w="1180" w:type="dxa"/>
            <w:vAlign w:val="bottom"/>
            <w:tcBorders>
              <w:bottom w:val="single" w:sz="8" w:color="231F20"/>
            </w:tcBorders>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Borders>
              <w:bottom w:val="single" w:sz="8" w:color="231F20"/>
            </w:tcBorders>
          </w:tcPr>
          <w:p>
            <w:pPr>
              <w:spacing w:after="0"/>
              <w:rPr>
                <w:sz w:val="5"/>
                <w:szCs w:val="5"/>
                <w:color w:val="auto"/>
              </w:rPr>
            </w:pPr>
          </w:p>
        </w:tc>
        <w:tc>
          <w:tcPr>
            <w:tcW w:w="160" w:type="dxa"/>
            <w:vAlign w:val="bottom"/>
            <w:tcBorders>
              <w:bottom w:val="single" w:sz="8" w:color="231F20"/>
            </w:tcBorders>
          </w:tcPr>
          <w:p>
            <w:pPr>
              <w:spacing w:after="0"/>
              <w:rPr>
                <w:sz w:val="5"/>
                <w:szCs w:val="5"/>
                <w:color w:val="auto"/>
              </w:rPr>
            </w:pPr>
          </w:p>
        </w:tc>
        <w:tc>
          <w:tcPr>
            <w:tcW w:w="220" w:type="dxa"/>
            <w:vAlign w:val="bottom"/>
            <w:tcBorders>
              <w:bottom w:val="single" w:sz="8" w:color="231F20"/>
            </w:tcBorders>
          </w:tcPr>
          <w:p>
            <w:pPr>
              <w:spacing w:after="0"/>
              <w:rPr>
                <w:sz w:val="5"/>
                <w:szCs w:val="5"/>
                <w:color w:val="auto"/>
              </w:rPr>
            </w:pPr>
          </w:p>
        </w:tc>
        <w:tc>
          <w:tcPr>
            <w:tcW w:w="860" w:type="dxa"/>
            <w:vAlign w:val="bottom"/>
            <w:tcBorders>
              <w:bottom w:val="single" w:sz="8" w:color="231F20"/>
            </w:tcBorders>
          </w:tcPr>
          <w:p>
            <w:pPr>
              <w:spacing w:after="0"/>
              <w:rPr>
                <w:sz w:val="5"/>
                <w:szCs w:val="5"/>
                <w:color w:val="auto"/>
              </w:rPr>
            </w:pPr>
          </w:p>
        </w:tc>
        <w:tc>
          <w:tcPr>
            <w:tcW w:w="1540" w:type="dxa"/>
            <w:vAlign w:val="bottom"/>
            <w:tcBorders>
              <w:bottom w:val="single" w:sz="8" w:color="231F20"/>
            </w:tcBorders>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1080" w:type="dxa"/>
            <w:vAlign w:val="bottom"/>
            <w:tcBorders>
              <w:left w:val="single" w:sz="8" w:color="231F20"/>
            </w:tcBorders>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Borders>
              <w:right w:val="single" w:sz="8" w:color="231F20"/>
            </w:tcBorders>
            <w:vMerge w:val="restart"/>
          </w:tcPr>
          <w:p>
            <w:pPr>
              <w:ind w:left="40"/>
              <w:spacing w:after="0"/>
              <w:rPr>
                <w:sz w:val="20"/>
                <w:szCs w:val="20"/>
                <w:color w:val="auto"/>
              </w:rPr>
            </w:pPr>
            <w:r>
              <w:rPr>
                <w:rFonts w:ascii="Calibri" w:cs="Calibri" w:eastAsia="Calibri" w:hAnsi="Calibri"/>
                <w:sz w:val="17"/>
                <w:szCs w:val="17"/>
                <w:color w:val="77787B"/>
              </w:rPr>
              <w:t>40s</w:t>
            </w:r>
          </w:p>
        </w:tc>
        <w:tc>
          <w:tcPr>
            <w:tcW w:w="260" w:type="dxa"/>
            <w:vAlign w:val="bottom"/>
            <w:tcBorders>
              <w:right w:val="single" w:sz="8" w:color="231F20"/>
            </w:tcBorders>
          </w:tcPr>
          <w:p>
            <w:pPr>
              <w:spacing w:after="0"/>
              <w:rPr>
                <w:sz w:val="20"/>
                <w:szCs w:val="20"/>
                <w:color w:val="auto"/>
              </w:rPr>
            </w:pPr>
          </w:p>
        </w:tc>
        <w:tc>
          <w:tcPr>
            <w:tcW w:w="8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tcBorders>
              <w:right w:val="single" w:sz="8" w:color="231F20"/>
            </w:tcBorders>
          </w:tcPr>
          <w:p>
            <w:pPr>
              <w:spacing w:after="0"/>
              <w:rPr>
                <w:sz w:val="20"/>
                <w:szCs w:val="20"/>
                <w:color w:val="auto"/>
              </w:rPr>
            </w:pPr>
          </w:p>
        </w:tc>
        <w:tc>
          <w:tcPr>
            <w:tcW w:w="240" w:type="dxa"/>
            <w:vAlign w:val="bottom"/>
            <w:tcBorders>
              <w:right w:val="single" w:sz="8" w:color="231F20"/>
            </w:tcBorders>
          </w:tcPr>
          <w:p>
            <w:pPr>
              <w:spacing w:after="0"/>
              <w:rPr>
                <w:sz w:val="20"/>
                <w:szCs w:val="20"/>
                <w:color w:val="auto"/>
              </w:rPr>
            </w:pPr>
          </w:p>
        </w:tc>
        <w:tc>
          <w:tcPr>
            <w:tcW w:w="260" w:type="dxa"/>
            <w:vAlign w:val="bottom"/>
            <w:tcBorders>
              <w:bottom w:val="single" w:sz="8" w:color="231F20"/>
            </w:tcBorders>
          </w:tcPr>
          <w:p>
            <w:pPr>
              <w:spacing w:after="0"/>
              <w:rPr>
                <w:sz w:val="20"/>
                <w:szCs w:val="20"/>
                <w:color w:val="auto"/>
              </w:rPr>
            </w:pPr>
          </w:p>
        </w:tc>
        <w:tc>
          <w:tcPr>
            <w:tcW w:w="160" w:type="dxa"/>
            <w:vAlign w:val="bottom"/>
            <w:tcBorders>
              <w:bottom w:val="single" w:sz="8" w:color="231F20"/>
            </w:tcBorders>
          </w:tcPr>
          <w:p>
            <w:pPr>
              <w:spacing w:after="0"/>
              <w:rPr>
                <w:sz w:val="20"/>
                <w:szCs w:val="20"/>
                <w:color w:val="auto"/>
              </w:rPr>
            </w:pPr>
          </w:p>
        </w:tc>
        <w:tc>
          <w:tcPr>
            <w:tcW w:w="220" w:type="dxa"/>
            <w:vAlign w:val="bottom"/>
            <w:tcBorders>
              <w:bottom w:val="single" w:sz="8" w:color="231F20"/>
            </w:tcBorders>
          </w:tcPr>
          <w:p>
            <w:pPr>
              <w:spacing w:after="0"/>
              <w:rPr>
                <w:sz w:val="20"/>
                <w:szCs w:val="20"/>
                <w:color w:val="auto"/>
              </w:rPr>
            </w:pPr>
          </w:p>
        </w:tc>
        <w:tc>
          <w:tcPr>
            <w:tcW w:w="860" w:type="dxa"/>
            <w:vAlign w:val="bottom"/>
            <w:tcBorders>
              <w:bottom w:val="single" w:sz="8" w:color="231F20"/>
            </w:tcBorders>
          </w:tcPr>
          <w:p>
            <w:pPr>
              <w:spacing w:after="0"/>
              <w:rPr>
                <w:sz w:val="20"/>
                <w:szCs w:val="20"/>
                <w:color w:val="auto"/>
              </w:rPr>
            </w:pPr>
          </w:p>
        </w:tc>
        <w:tc>
          <w:tcPr>
            <w:tcW w:w="1540" w:type="dxa"/>
            <w:vAlign w:val="bottom"/>
            <w:tcBorders>
              <w:right w:val="single" w:sz="8" w:color="231F20"/>
            </w:tcBorders>
            <w:vMerge w:val="restart"/>
          </w:tcPr>
          <w:p>
            <w:pPr>
              <w:jc w:val="center"/>
              <w:ind w:right="275"/>
              <w:spacing w:after="0"/>
              <w:rPr>
                <w:sz w:val="20"/>
                <w:szCs w:val="20"/>
                <w:color w:val="auto"/>
              </w:rPr>
            </w:pPr>
            <w:r>
              <w:rPr>
                <w:rFonts w:ascii="Arial" w:cs="Arial" w:eastAsia="Arial" w:hAnsi="Arial"/>
                <w:sz w:val="17"/>
                <w:szCs w:val="17"/>
                <w:color w:val="EF3E29"/>
              </w:rPr>
              <w:t>Females</w:t>
            </w:r>
          </w:p>
        </w:tc>
        <w:tc>
          <w:tcPr>
            <w:tcW w:w="0" w:type="dxa"/>
            <w:vAlign w:val="bottom"/>
          </w:tcPr>
          <w:p>
            <w:pPr>
              <w:spacing w:after="0"/>
              <w:rPr>
                <w:sz w:val="1"/>
                <w:szCs w:val="1"/>
                <w:color w:val="auto"/>
              </w:rPr>
            </w:pPr>
          </w:p>
        </w:tc>
      </w:tr>
      <w:tr>
        <w:trPr>
          <w:trHeight w:val="95"/>
        </w:trPr>
        <w:tc>
          <w:tcPr>
            <w:tcW w:w="1080" w:type="dxa"/>
            <w:vAlign w:val="bottom"/>
            <w:tcBorders>
              <w:left w:val="single" w:sz="8" w:color="231F20"/>
            </w:tcBorders>
            <w:vMerge w:val="restart"/>
          </w:tcPr>
          <w:p>
            <w:pPr>
              <w:ind w:left="960"/>
              <w:spacing w:after="0"/>
              <w:rPr>
                <w:sz w:val="20"/>
                <w:szCs w:val="20"/>
                <w:color w:val="auto"/>
              </w:rPr>
            </w:pPr>
            <w:r>
              <w:rPr>
                <w:rFonts w:ascii="Calibri" w:cs="Calibri" w:eastAsia="Calibri" w:hAnsi="Calibri"/>
                <w:sz w:val="17"/>
                <w:szCs w:val="17"/>
                <w:b w:val="1"/>
                <w:bCs w:val="1"/>
                <w:color w:val="FFFFFF"/>
              </w:rPr>
              <w:t>1</w:t>
            </w:r>
          </w:p>
        </w:tc>
        <w:tc>
          <w:tcPr>
            <w:tcW w:w="1460" w:type="dxa"/>
            <w:vAlign w:val="bottom"/>
            <w:vMerge w:val="restart"/>
          </w:tcPr>
          <w:p>
            <w:pPr>
              <w:jc w:val="right"/>
              <w:ind w:right="990"/>
              <w:spacing w:after="0"/>
              <w:rPr>
                <w:sz w:val="20"/>
                <w:szCs w:val="20"/>
                <w:color w:val="auto"/>
              </w:rPr>
            </w:pPr>
            <w:r>
              <w:rPr>
                <w:rFonts w:ascii="Calibri" w:cs="Calibri" w:eastAsia="Calibri" w:hAnsi="Calibri"/>
                <w:sz w:val="17"/>
                <w:szCs w:val="17"/>
                <w:b w:val="1"/>
                <w:bCs w:val="1"/>
                <w:color w:val="FFFFFF"/>
              </w:rPr>
              <w:t>1</w:t>
            </w:r>
          </w:p>
        </w:tc>
        <w:tc>
          <w:tcPr>
            <w:tcW w:w="100" w:type="dxa"/>
            <w:vAlign w:val="bottom"/>
            <w:shd w:val="clear" w:color="auto" w:fill="EF3D27"/>
          </w:tcPr>
          <w:p>
            <w:pPr>
              <w:spacing w:after="0"/>
              <w:rPr>
                <w:sz w:val="8"/>
                <w:szCs w:val="8"/>
                <w:color w:val="auto"/>
              </w:rPr>
            </w:pPr>
          </w:p>
        </w:tc>
        <w:tc>
          <w:tcPr>
            <w:tcW w:w="480" w:type="dxa"/>
            <w:vAlign w:val="bottom"/>
            <w:tcBorders>
              <w:right w:val="single" w:sz="8" w:color="231F20"/>
            </w:tcBorders>
            <w:vMerge w:val="continue"/>
          </w:tcPr>
          <w:p>
            <w:pPr>
              <w:spacing w:after="0"/>
              <w:rPr>
                <w:sz w:val="8"/>
                <w:szCs w:val="8"/>
                <w:color w:val="auto"/>
              </w:rPr>
            </w:pPr>
          </w:p>
        </w:tc>
        <w:tc>
          <w:tcPr>
            <w:tcW w:w="260" w:type="dxa"/>
            <w:vAlign w:val="bottom"/>
            <w:tcBorders>
              <w:right w:val="single" w:sz="8" w:color="231F20"/>
            </w:tcBorders>
          </w:tcPr>
          <w:p>
            <w:pPr>
              <w:spacing w:after="0"/>
              <w:rPr>
                <w:sz w:val="8"/>
                <w:szCs w:val="8"/>
                <w:color w:val="auto"/>
              </w:rPr>
            </w:pPr>
          </w:p>
        </w:tc>
        <w:tc>
          <w:tcPr>
            <w:tcW w:w="8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180" w:type="dxa"/>
            <w:vAlign w:val="bottom"/>
            <w:tcBorders>
              <w:right w:val="single" w:sz="8" w:color="231F20"/>
            </w:tcBorders>
          </w:tcPr>
          <w:p>
            <w:pPr>
              <w:spacing w:after="0"/>
              <w:rPr>
                <w:sz w:val="8"/>
                <w:szCs w:val="8"/>
                <w:color w:val="auto"/>
              </w:rPr>
            </w:pPr>
          </w:p>
        </w:tc>
        <w:tc>
          <w:tcPr>
            <w:tcW w:w="240" w:type="dxa"/>
            <w:vAlign w:val="bottom"/>
            <w:tcBorders>
              <w:right w:val="single" w:sz="8" w:color="231F20"/>
            </w:tcBorders>
          </w:tcPr>
          <w:p>
            <w:pPr>
              <w:spacing w:after="0"/>
              <w:rPr>
                <w:sz w:val="8"/>
                <w:szCs w:val="8"/>
                <w:color w:val="auto"/>
              </w:rPr>
            </w:pPr>
          </w:p>
        </w:tc>
        <w:tc>
          <w:tcPr>
            <w:tcW w:w="260" w:type="dxa"/>
            <w:vAlign w:val="bottom"/>
            <w:tcBorders>
              <w:top w:val="single" w:sz="8" w:color="EF3E29"/>
            </w:tcBorders>
            <w:shd w:val="clear" w:color="auto" w:fill="EF3E29"/>
          </w:tcPr>
          <w:p>
            <w:pPr>
              <w:spacing w:after="0"/>
              <w:rPr>
                <w:sz w:val="8"/>
                <w:szCs w:val="8"/>
                <w:color w:val="auto"/>
              </w:rPr>
            </w:pPr>
          </w:p>
        </w:tc>
        <w:tc>
          <w:tcPr>
            <w:tcW w:w="160" w:type="dxa"/>
            <w:vAlign w:val="bottom"/>
            <w:tcBorders>
              <w:top w:val="single" w:sz="8" w:color="EF3E29"/>
            </w:tcBorders>
            <w:vMerge w:val="restart"/>
            <w:shd w:val="clear" w:color="auto" w:fill="EF3E29"/>
          </w:tcPr>
          <w:p>
            <w:pPr>
              <w:jc w:val="right"/>
              <w:spacing w:after="0"/>
              <w:rPr>
                <w:sz w:val="20"/>
                <w:szCs w:val="20"/>
                <w:color w:val="auto"/>
              </w:rPr>
            </w:pPr>
            <w:r>
              <w:rPr>
                <w:rFonts w:ascii="Arial" w:cs="Arial" w:eastAsia="Arial" w:hAnsi="Arial"/>
                <w:sz w:val="19"/>
                <w:szCs w:val="19"/>
                <w:color w:val="FFFFFF"/>
                <w:w w:val="75"/>
              </w:rPr>
              <w:t>3</w:t>
            </w:r>
          </w:p>
        </w:tc>
        <w:tc>
          <w:tcPr>
            <w:tcW w:w="220" w:type="dxa"/>
            <w:vAlign w:val="bottom"/>
            <w:tcBorders>
              <w:top w:val="single" w:sz="8" w:color="EF3E29"/>
            </w:tcBorders>
            <w:shd w:val="clear" w:color="auto" w:fill="EF3E29"/>
          </w:tcPr>
          <w:p>
            <w:pPr>
              <w:spacing w:after="0"/>
              <w:rPr>
                <w:sz w:val="8"/>
                <w:szCs w:val="8"/>
                <w:color w:val="auto"/>
              </w:rPr>
            </w:pPr>
          </w:p>
        </w:tc>
        <w:tc>
          <w:tcPr>
            <w:tcW w:w="860" w:type="dxa"/>
            <w:vAlign w:val="bottom"/>
            <w:tcBorders>
              <w:right w:val="single" w:sz="8" w:color="231F20"/>
            </w:tcBorders>
            <w:vMerge w:val="restart"/>
          </w:tcPr>
          <w:p>
            <w:pPr>
              <w:spacing w:after="0"/>
              <w:rPr>
                <w:sz w:val="8"/>
                <w:szCs w:val="8"/>
                <w:color w:val="auto"/>
              </w:rPr>
            </w:pPr>
          </w:p>
        </w:tc>
        <w:tc>
          <w:tcPr>
            <w:tcW w:w="1540" w:type="dxa"/>
            <w:vAlign w:val="bottom"/>
            <w:tcBorders>
              <w:right w:val="single" w:sz="8" w:color="231F20"/>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8"/>
        </w:trPr>
        <w:tc>
          <w:tcPr>
            <w:tcW w:w="1080" w:type="dxa"/>
            <w:vAlign w:val="bottom"/>
            <w:tcBorders>
              <w:left w:val="single" w:sz="8" w:color="231F20"/>
            </w:tcBorders>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Borders>
              <w:right w:val="single" w:sz="8" w:color="231F20"/>
            </w:tcBorders>
            <w:vMerge w:val="continue"/>
          </w:tcPr>
          <w:p>
            <w:pPr>
              <w:spacing w:after="0"/>
              <w:rPr>
                <w:sz w:val="5"/>
                <w:szCs w:val="5"/>
                <w:color w:val="auto"/>
              </w:rPr>
            </w:pPr>
          </w:p>
        </w:tc>
        <w:tc>
          <w:tcPr>
            <w:tcW w:w="260" w:type="dxa"/>
            <w:vAlign w:val="bottom"/>
            <w:tcBorders>
              <w:right w:val="single" w:sz="8" w:color="231F20"/>
            </w:tcBorders>
          </w:tcPr>
          <w:p>
            <w:pPr>
              <w:spacing w:after="0"/>
              <w:rPr>
                <w:sz w:val="5"/>
                <w:szCs w:val="5"/>
                <w:color w:val="auto"/>
              </w:rPr>
            </w:pPr>
          </w:p>
        </w:tc>
        <w:tc>
          <w:tcPr>
            <w:tcW w:w="8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180" w:type="dxa"/>
            <w:vAlign w:val="bottom"/>
            <w:tcBorders>
              <w:right w:val="single" w:sz="8" w:color="231F20"/>
            </w:tcBorders>
          </w:tcPr>
          <w:p>
            <w:pPr>
              <w:spacing w:after="0"/>
              <w:rPr>
                <w:sz w:val="5"/>
                <w:szCs w:val="5"/>
                <w:color w:val="auto"/>
              </w:rPr>
            </w:pPr>
          </w:p>
        </w:tc>
        <w:tc>
          <w:tcPr>
            <w:tcW w:w="240" w:type="dxa"/>
            <w:vAlign w:val="bottom"/>
            <w:tcBorders>
              <w:right w:val="single" w:sz="8" w:color="231F20"/>
            </w:tcBorders>
          </w:tcPr>
          <w:p>
            <w:pPr>
              <w:spacing w:after="0"/>
              <w:rPr>
                <w:sz w:val="5"/>
                <w:szCs w:val="5"/>
                <w:color w:val="auto"/>
              </w:rPr>
            </w:pPr>
          </w:p>
        </w:tc>
        <w:tc>
          <w:tcPr>
            <w:tcW w:w="260" w:type="dxa"/>
            <w:vAlign w:val="bottom"/>
            <w:shd w:val="clear" w:color="auto" w:fill="EF3E29"/>
          </w:tcPr>
          <w:p>
            <w:pPr>
              <w:spacing w:after="0"/>
              <w:rPr>
                <w:sz w:val="5"/>
                <w:szCs w:val="5"/>
                <w:color w:val="auto"/>
              </w:rPr>
            </w:pPr>
          </w:p>
        </w:tc>
        <w:tc>
          <w:tcPr>
            <w:tcW w:w="160" w:type="dxa"/>
            <w:vAlign w:val="bottom"/>
            <w:vMerge w:val="continue"/>
            <w:shd w:val="clear" w:color="auto" w:fill="EF3E29"/>
          </w:tcPr>
          <w:p>
            <w:pPr>
              <w:spacing w:after="0"/>
              <w:rPr>
                <w:sz w:val="5"/>
                <w:szCs w:val="5"/>
                <w:color w:val="auto"/>
              </w:rPr>
            </w:pPr>
          </w:p>
        </w:tc>
        <w:tc>
          <w:tcPr>
            <w:tcW w:w="220" w:type="dxa"/>
            <w:vAlign w:val="bottom"/>
            <w:shd w:val="clear" w:color="auto" w:fill="EF3E29"/>
          </w:tcPr>
          <w:p>
            <w:pPr>
              <w:spacing w:after="0"/>
              <w:rPr>
                <w:sz w:val="5"/>
                <w:szCs w:val="5"/>
                <w:color w:val="auto"/>
              </w:rPr>
            </w:pPr>
          </w:p>
        </w:tc>
        <w:tc>
          <w:tcPr>
            <w:tcW w:w="860" w:type="dxa"/>
            <w:vAlign w:val="bottom"/>
            <w:tcBorders>
              <w:right w:val="single" w:sz="8" w:color="231F20"/>
            </w:tcBorders>
            <w:vMerge w:val="continue"/>
          </w:tcPr>
          <w:p>
            <w:pPr>
              <w:spacing w:after="0"/>
              <w:rPr>
                <w:sz w:val="5"/>
                <w:szCs w:val="5"/>
                <w:color w:val="auto"/>
              </w:rPr>
            </w:pPr>
          </w:p>
        </w:tc>
        <w:tc>
          <w:tcPr>
            <w:tcW w:w="1540" w:type="dxa"/>
            <w:vAlign w:val="bottom"/>
            <w:tcBorders>
              <w:right w:val="single" w:sz="8" w:color="231F20"/>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4"/>
        </w:trPr>
        <w:tc>
          <w:tcPr>
            <w:tcW w:w="1080" w:type="dxa"/>
            <w:vAlign w:val="bottom"/>
            <w:tcBorders>
              <w:left w:val="single" w:sz="8" w:color="231F20"/>
            </w:tcBorders>
            <w:vMerge w:val="continue"/>
          </w:tcPr>
          <w:p>
            <w:pPr>
              <w:spacing w:after="0"/>
              <w:rPr>
                <w:sz w:val="13"/>
                <w:szCs w:val="13"/>
                <w:color w:val="auto"/>
              </w:rPr>
            </w:pPr>
          </w:p>
        </w:tc>
        <w:tc>
          <w:tcPr>
            <w:tcW w:w="14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Borders>
              <w:right w:val="single" w:sz="8" w:color="231F20"/>
            </w:tcBorders>
            <w:vMerge w:val="restart"/>
          </w:tcPr>
          <w:p>
            <w:pPr>
              <w:ind w:left="40"/>
              <w:spacing w:after="0"/>
              <w:rPr>
                <w:sz w:val="20"/>
                <w:szCs w:val="20"/>
                <w:color w:val="auto"/>
              </w:rPr>
            </w:pPr>
            <w:r>
              <w:rPr>
                <w:rFonts w:ascii="Calibri" w:cs="Calibri" w:eastAsia="Calibri" w:hAnsi="Calibri"/>
                <w:sz w:val="17"/>
                <w:szCs w:val="17"/>
                <w:color w:val="77787B"/>
              </w:rPr>
              <w:t>50s</w:t>
            </w:r>
          </w:p>
        </w:tc>
        <w:tc>
          <w:tcPr>
            <w:tcW w:w="260" w:type="dxa"/>
            <w:vAlign w:val="bottom"/>
            <w:tcBorders>
              <w:right w:val="single" w:sz="8" w:color="231F20"/>
            </w:tcBorders>
          </w:tcPr>
          <w:p>
            <w:pPr>
              <w:spacing w:after="0"/>
              <w:rPr>
                <w:sz w:val="13"/>
                <w:szCs w:val="13"/>
                <w:color w:val="auto"/>
              </w:rPr>
            </w:pPr>
          </w:p>
        </w:tc>
        <w:tc>
          <w:tcPr>
            <w:tcW w:w="880" w:type="dxa"/>
            <w:vAlign w:val="bottom"/>
          </w:tcPr>
          <w:p>
            <w:pPr>
              <w:spacing w:after="0"/>
              <w:rPr>
                <w:sz w:val="13"/>
                <w:szCs w:val="13"/>
                <w:color w:val="auto"/>
              </w:rPr>
            </w:pPr>
          </w:p>
        </w:tc>
        <w:tc>
          <w:tcPr>
            <w:tcW w:w="1000" w:type="dxa"/>
            <w:vAlign w:val="bottom"/>
            <w:vMerge w:val="restart"/>
          </w:tcPr>
          <w:p>
            <w:pPr>
              <w:jc w:val="right"/>
              <w:ind w:right="323"/>
              <w:spacing w:after="0"/>
              <w:rPr>
                <w:sz w:val="20"/>
                <w:szCs w:val="20"/>
                <w:color w:val="auto"/>
              </w:rPr>
            </w:pPr>
            <w:r>
              <w:rPr>
                <w:rFonts w:ascii="Calibri" w:cs="Calibri" w:eastAsia="Calibri" w:hAnsi="Calibri"/>
                <w:sz w:val="20"/>
                <w:szCs w:val="20"/>
                <w:b w:val="1"/>
                <w:bCs w:val="1"/>
                <w:color w:val="FFFFFF"/>
              </w:rPr>
              <w:t>2</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80" w:type="dxa"/>
            <w:vAlign w:val="bottom"/>
            <w:tcBorders>
              <w:right w:val="single" w:sz="8" w:color="231F20"/>
            </w:tcBorders>
            <w:vMerge w:val="restart"/>
          </w:tcPr>
          <w:p>
            <w:pPr>
              <w:ind w:left="20"/>
              <w:spacing w:after="0"/>
              <w:rPr>
                <w:sz w:val="20"/>
                <w:szCs w:val="20"/>
                <w:color w:val="auto"/>
              </w:rPr>
            </w:pPr>
            <w:r>
              <w:rPr>
                <w:rFonts w:ascii="Calibri" w:cs="Calibri" w:eastAsia="Calibri" w:hAnsi="Calibri"/>
                <w:sz w:val="17"/>
                <w:szCs w:val="17"/>
                <w:color w:val="77787B"/>
              </w:rPr>
              <w:t>&lt; 5 years</w:t>
            </w:r>
          </w:p>
        </w:tc>
        <w:tc>
          <w:tcPr>
            <w:tcW w:w="240" w:type="dxa"/>
            <w:vAlign w:val="bottom"/>
            <w:tcBorders>
              <w:right w:val="single" w:sz="8" w:color="231F20"/>
            </w:tcBorders>
          </w:tcPr>
          <w:p>
            <w:pPr>
              <w:spacing w:after="0"/>
              <w:rPr>
                <w:sz w:val="13"/>
                <w:szCs w:val="13"/>
                <w:color w:val="auto"/>
              </w:rPr>
            </w:pPr>
          </w:p>
        </w:tc>
        <w:tc>
          <w:tcPr>
            <w:tcW w:w="260" w:type="dxa"/>
            <w:vAlign w:val="bottom"/>
            <w:shd w:val="clear" w:color="auto" w:fill="EF3E29"/>
          </w:tcPr>
          <w:p>
            <w:pPr>
              <w:spacing w:after="0"/>
              <w:rPr>
                <w:sz w:val="13"/>
                <w:szCs w:val="13"/>
                <w:color w:val="auto"/>
              </w:rPr>
            </w:pPr>
          </w:p>
        </w:tc>
        <w:tc>
          <w:tcPr>
            <w:tcW w:w="160" w:type="dxa"/>
            <w:vAlign w:val="bottom"/>
            <w:vMerge w:val="continue"/>
            <w:shd w:val="clear" w:color="auto" w:fill="EF3E29"/>
          </w:tcPr>
          <w:p>
            <w:pPr>
              <w:spacing w:after="0"/>
              <w:rPr>
                <w:sz w:val="13"/>
                <w:szCs w:val="13"/>
                <w:color w:val="auto"/>
              </w:rPr>
            </w:pPr>
          </w:p>
        </w:tc>
        <w:tc>
          <w:tcPr>
            <w:tcW w:w="220" w:type="dxa"/>
            <w:vAlign w:val="bottom"/>
            <w:shd w:val="clear" w:color="auto" w:fill="EF3E29"/>
          </w:tcPr>
          <w:p>
            <w:pPr>
              <w:spacing w:after="0"/>
              <w:rPr>
                <w:sz w:val="13"/>
                <w:szCs w:val="13"/>
                <w:color w:val="auto"/>
              </w:rPr>
            </w:pPr>
          </w:p>
        </w:tc>
        <w:tc>
          <w:tcPr>
            <w:tcW w:w="860" w:type="dxa"/>
            <w:vAlign w:val="bottom"/>
            <w:tcBorders>
              <w:right w:val="single" w:sz="8" w:color="231F20"/>
            </w:tcBorders>
          </w:tcPr>
          <w:p>
            <w:pPr>
              <w:spacing w:after="0"/>
              <w:rPr>
                <w:sz w:val="13"/>
                <w:szCs w:val="13"/>
                <w:color w:val="auto"/>
              </w:rPr>
            </w:pPr>
          </w:p>
        </w:tc>
        <w:tc>
          <w:tcPr>
            <w:tcW w:w="1540" w:type="dxa"/>
            <w:vAlign w:val="bottom"/>
            <w:tcBorders>
              <w:right w:val="single" w:sz="8" w:color="231F20"/>
            </w:tcBorders>
            <w:vMerge w:val="restart"/>
          </w:tcPr>
          <w:p>
            <w:pPr>
              <w:jc w:val="center"/>
              <w:ind w:right="295"/>
              <w:spacing w:after="0"/>
              <w:rPr>
                <w:sz w:val="20"/>
                <w:szCs w:val="20"/>
                <w:color w:val="auto"/>
              </w:rPr>
            </w:pPr>
            <w:r>
              <w:rPr>
                <w:rFonts w:ascii="Arial" w:cs="Arial" w:eastAsia="Arial" w:hAnsi="Arial"/>
                <w:sz w:val="17"/>
                <w:szCs w:val="17"/>
                <w:color w:val="EF3E29"/>
              </w:rPr>
              <w:t>38%</w:t>
            </w:r>
          </w:p>
        </w:tc>
        <w:tc>
          <w:tcPr>
            <w:tcW w:w="0" w:type="dxa"/>
            <w:vAlign w:val="bottom"/>
          </w:tcPr>
          <w:p>
            <w:pPr>
              <w:spacing w:after="0"/>
              <w:rPr>
                <w:sz w:val="1"/>
                <w:szCs w:val="1"/>
                <w:color w:val="auto"/>
              </w:rPr>
            </w:pPr>
          </w:p>
        </w:tc>
      </w:tr>
      <w:tr>
        <w:trPr>
          <w:trHeight w:val="135"/>
        </w:trPr>
        <w:tc>
          <w:tcPr>
            <w:tcW w:w="1080" w:type="dxa"/>
            <w:vAlign w:val="bottom"/>
            <w:tcBorders>
              <w:left w:val="single" w:sz="8" w:color="231F20"/>
            </w:tcBorders>
          </w:tcPr>
          <w:p>
            <w:pPr>
              <w:spacing w:after="0"/>
              <w:rPr>
                <w:sz w:val="11"/>
                <w:szCs w:val="11"/>
                <w:color w:val="auto"/>
              </w:rPr>
            </w:pPr>
          </w:p>
        </w:tc>
        <w:tc>
          <w:tcPr>
            <w:tcW w:w="1460" w:type="dxa"/>
            <w:vAlign w:val="bottom"/>
            <w:vMerge w:val="restart"/>
          </w:tcPr>
          <w:p>
            <w:pPr>
              <w:jc w:val="right"/>
              <w:ind w:right="730"/>
              <w:spacing w:after="0"/>
              <w:rPr>
                <w:sz w:val="20"/>
                <w:szCs w:val="20"/>
                <w:color w:val="auto"/>
              </w:rPr>
            </w:pPr>
            <w:r>
              <w:rPr>
                <w:rFonts w:ascii="Calibri" w:cs="Calibri" w:eastAsia="Calibri" w:hAnsi="Calibri"/>
                <w:sz w:val="17"/>
                <w:szCs w:val="17"/>
                <w:b w:val="1"/>
                <w:bCs w:val="1"/>
                <w:color w:val="231F20"/>
              </w:rPr>
              <w:t>1</w:t>
            </w:r>
          </w:p>
        </w:tc>
        <w:tc>
          <w:tcPr>
            <w:tcW w:w="100" w:type="dxa"/>
            <w:vAlign w:val="bottom"/>
            <w:tcBorders>
              <w:bottom w:val="single" w:sz="8" w:color="B2B4B6"/>
            </w:tcBorders>
            <w:shd w:val="clear" w:color="auto" w:fill="B2B4B6"/>
          </w:tcPr>
          <w:p>
            <w:pPr>
              <w:spacing w:after="0"/>
              <w:rPr>
                <w:sz w:val="11"/>
                <w:szCs w:val="11"/>
                <w:color w:val="auto"/>
              </w:rPr>
            </w:pPr>
          </w:p>
        </w:tc>
        <w:tc>
          <w:tcPr>
            <w:tcW w:w="480" w:type="dxa"/>
            <w:vAlign w:val="bottom"/>
            <w:tcBorders>
              <w:right w:val="single" w:sz="8" w:color="231F20"/>
            </w:tcBorders>
            <w:vMerge w:val="continue"/>
          </w:tcPr>
          <w:p>
            <w:pPr>
              <w:spacing w:after="0"/>
              <w:rPr>
                <w:sz w:val="11"/>
                <w:szCs w:val="11"/>
                <w:color w:val="auto"/>
              </w:rPr>
            </w:pPr>
          </w:p>
        </w:tc>
        <w:tc>
          <w:tcPr>
            <w:tcW w:w="260" w:type="dxa"/>
            <w:vAlign w:val="bottom"/>
            <w:tcBorders>
              <w:right w:val="single" w:sz="8" w:color="231F20"/>
            </w:tcBorders>
          </w:tcPr>
          <w:p>
            <w:pPr>
              <w:spacing w:after="0"/>
              <w:rPr>
                <w:sz w:val="11"/>
                <w:szCs w:val="11"/>
                <w:color w:val="auto"/>
              </w:rPr>
            </w:pPr>
          </w:p>
        </w:tc>
        <w:tc>
          <w:tcPr>
            <w:tcW w:w="880" w:type="dxa"/>
            <w:vAlign w:val="bottom"/>
            <w:vMerge w:val="restart"/>
          </w:tcPr>
          <w:p>
            <w:pPr>
              <w:jc w:val="right"/>
              <w:ind w:right="206"/>
              <w:spacing w:after="0"/>
              <w:rPr>
                <w:sz w:val="20"/>
                <w:szCs w:val="20"/>
                <w:color w:val="auto"/>
              </w:rPr>
            </w:pPr>
            <w:r>
              <w:rPr>
                <w:rFonts w:ascii="Calibri" w:cs="Calibri" w:eastAsia="Calibri" w:hAnsi="Calibri"/>
                <w:sz w:val="20"/>
                <w:szCs w:val="20"/>
                <w:b w:val="1"/>
                <w:bCs w:val="1"/>
                <w:color w:val="FFFFFF"/>
              </w:rPr>
              <w:t>3</w:t>
            </w:r>
          </w:p>
        </w:tc>
        <w:tc>
          <w:tcPr>
            <w:tcW w:w="1000" w:type="dxa"/>
            <w:vAlign w:val="bottom"/>
            <w:vMerge w:val="continue"/>
          </w:tcPr>
          <w:p>
            <w:pPr>
              <w:spacing w:after="0"/>
              <w:rPr>
                <w:sz w:val="11"/>
                <w:szCs w:val="11"/>
                <w:color w:val="auto"/>
              </w:rPr>
            </w:pPr>
          </w:p>
        </w:tc>
        <w:tc>
          <w:tcPr>
            <w:tcW w:w="100" w:type="dxa"/>
            <w:vAlign w:val="bottom"/>
            <w:shd w:val="clear" w:color="auto" w:fill="EF3D27"/>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tcBorders>
              <w:right w:val="single" w:sz="8" w:color="231F20"/>
            </w:tcBorders>
            <w:vMerge w:val="continue"/>
          </w:tcPr>
          <w:p>
            <w:pPr>
              <w:spacing w:after="0"/>
              <w:rPr>
                <w:sz w:val="11"/>
                <w:szCs w:val="11"/>
                <w:color w:val="auto"/>
              </w:rPr>
            </w:pPr>
          </w:p>
        </w:tc>
        <w:tc>
          <w:tcPr>
            <w:tcW w:w="240" w:type="dxa"/>
            <w:vAlign w:val="bottom"/>
            <w:tcBorders>
              <w:right w:val="single" w:sz="8" w:color="231F20"/>
            </w:tcBorders>
          </w:tcPr>
          <w:p>
            <w:pPr>
              <w:spacing w:after="0"/>
              <w:rPr>
                <w:sz w:val="11"/>
                <w:szCs w:val="11"/>
                <w:color w:val="auto"/>
              </w:rPr>
            </w:pPr>
          </w:p>
        </w:tc>
        <w:tc>
          <w:tcPr>
            <w:tcW w:w="260" w:type="dxa"/>
            <w:vAlign w:val="bottom"/>
            <w:tcBorders>
              <w:bottom w:val="single" w:sz="8" w:color="EF3E29"/>
            </w:tcBorders>
            <w:shd w:val="clear" w:color="auto" w:fill="EF3E29"/>
          </w:tcPr>
          <w:p>
            <w:pPr>
              <w:spacing w:after="0"/>
              <w:rPr>
                <w:sz w:val="11"/>
                <w:szCs w:val="11"/>
                <w:color w:val="auto"/>
              </w:rPr>
            </w:pPr>
          </w:p>
        </w:tc>
        <w:tc>
          <w:tcPr>
            <w:tcW w:w="160" w:type="dxa"/>
            <w:vAlign w:val="bottom"/>
            <w:tcBorders>
              <w:bottom w:val="single" w:sz="8" w:color="EF3E29"/>
            </w:tcBorders>
            <w:shd w:val="clear" w:color="auto" w:fill="EF3E29"/>
          </w:tcPr>
          <w:p>
            <w:pPr>
              <w:spacing w:after="0"/>
              <w:rPr>
                <w:sz w:val="11"/>
                <w:szCs w:val="11"/>
                <w:color w:val="auto"/>
              </w:rPr>
            </w:pPr>
          </w:p>
        </w:tc>
        <w:tc>
          <w:tcPr>
            <w:tcW w:w="220" w:type="dxa"/>
            <w:vAlign w:val="bottom"/>
            <w:tcBorders>
              <w:bottom w:val="single" w:sz="8" w:color="EF3E29"/>
            </w:tcBorders>
            <w:shd w:val="clear" w:color="auto" w:fill="EF3E29"/>
          </w:tcPr>
          <w:p>
            <w:pPr>
              <w:spacing w:after="0"/>
              <w:rPr>
                <w:sz w:val="11"/>
                <w:szCs w:val="11"/>
                <w:color w:val="auto"/>
              </w:rPr>
            </w:pPr>
          </w:p>
        </w:tc>
        <w:tc>
          <w:tcPr>
            <w:tcW w:w="860" w:type="dxa"/>
            <w:vAlign w:val="bottom"/>
            <w:tcBorders>
              <w:right w:val="single" w:sz="8" w:color="231F20"/>
            </w:tcBorders>
          </w:tcPr>
          <w:p>
            <w:pPr>
              <w:spacing w:after="0"/>
              <w:rPr>
                <w:sz w:val="11"/>
                <w:szCs w:val="11"/>
                <w:color w:val="auto"/>
              </w:rPr>
            </w:pPr>
          </w:p>
        </w:tc>
        <w:tc>
          <w:tcPr>
            <w:tcW w:w="1540" w:type="dxa"/>
            <w:vAlign w:val="bottom"/>
            <w:tcBorders>
              <w:right w:val="single" w:sz="8" w:color="231F20"/>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1080" w:type="dxa"/>
            <w:vAlign w:val="bottom"/>
            <w:tcBorders>
              <w:left w:val="single" w:sz="8" w:color="231F20"/>
            </w:tcBorders>
          </w:tcPr>
          <w:p>
            <w:pPr>
              <w:spacing w:after="0"/>
              <w:rPr>
                <w:sz w:val="14"/>
                <w:szCs w:val="14"/>
                <w:color w:val="auto"/>
              </w:rPr>
            </w:pPr>
          </w:p>
        </w:tc>
        <w:tc>
          <w:tcPr>
            <w:tcW w:w="14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Borders>
              <w:right w:val="single" w:sz="8" w:color="231F20"/>
            </w:tcBorders>
            <w:vMerge w:val="restart"/>
          </w:tcPr>
          <w:p>
            <w:pPr>
              <w:ind w:left="40"/>
              <w:spacing w:after="0"/>
              <w:rPr>
                <w:sz w:val="20"/>
                <w:szCs w:val="20"/>
                <w:color w:val="auto"/>
              </w:rPr>
            </w:pPr>
            <w:r>
              <w:rPr>
                <w:rFonts w:ascii="Calibri" w:cs="Calibri" w:eastAsia="Calibri" w:hAnsi="Calibri"/>
                <w:sz w:val="17"/>
                <w:szCs w:val="17"/>
                <w:color w:val="77787B"/>
              </w:rPr>
              <w:t>60s</w:t>
            </w:r>
          </w:p>
        </w:tc>
        <w:tc>
          <w:tcPr>
            <w:tcW w:w="260" w:type="dxa"/>
            <w:vAlign w:val="bottom"/>
            <w:tcBorders>
              <w:right w:val="single" w:sz="8" w:color="231F20"/>
            </w:tcBorders>
          </w:tcPr>
          <w:p>
            <w:pPr>
              <w:spacing w:after="0"/>
              <w:rPr>
                <w:sz w:val="14"/>
                <w:szCs w:val="14"/>
                <w:color w:val="auto"/>
              </w:rPr>
            </w:pPr>
          </w:p>
        </w:tc>
        <w:tc>
          <w:tcPr>
            <w:tcW w:w="880" w:type="dxa"/>
            <w:vAlign w:val="bottom"/>
            <w:vMerge w:val="continue"/>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tcBorders>
              <w:right w:val="single" w:sz="8" w:color="231F20"/>
            </w:tcBorders>
            <w:vMerge w:val="restart"/>
          </w:tcPr>
          <w:p>
            <w:pPr>
              <w:ind w:left="20"/>
              <w:spacing w:after="0"/>
              <w:rPr>
                <w:sz w:val="20"/>
                <w:szCs w:val="20"/>
                <w:color w:val="auto"/>
              </w:rPr>
            </w:pPr>
            <w:r>
              <w:rPr>
                <w:rFonts w:ascii="Calibri" w:cs="Calibri" w:eastAsia="Calibri" w:hAnsi="Calibri"/>
                <w:sz w:val="17"/>
                <w:szCs w:val="17"/>
                <w:color w:val="77787B"/>
              </w:rPr>
              <w:t>5-10 years</w:t>
            </w:r>
          </w:p>
        </w:tc>
        <w:tc>
          <w:tcPr>
            <w:tcW w:w="240" w:type="dxa"/>
            <w:vAlign w:val="bottom"/>
            <w:tcBorders>
              <w:right w:val="single" w:sz="8" w:color="231F20"/>
            </w:tcBorders>
          </w:tcPr>
          <w:p>
            <w:pPr>
              <w:spacing w:after="0"/>
              <w:rPr>
                <w:sz w:val="14"/>
                <w:szCs w:val="14"/>
                <w:color w:val="auto"/>
              </w:rPr>
            </w:pPr>
          </w:p>
        </w:tc>
        <w:tc>
          <w:tcPr>
            <w:tcW w:w="260" w:type="dxa"/>
            <w:vAlign w:val="bottom"/>
            <w:tcBorders>
              <w:top w:val="single" w:sz="8" w:color="231F20"/>
            </w:tcBorders>
          </w:tcPr>
          <w:p>
            <w:pPr>
              <w:spacing w:after="0"/>
              <w:rPr>
                <w:sz w:val="14"/>
                <w:szCs w:val="14"/>
                <w:color w:val="auto"/>
              </w:rPr>
            </w:pPr>
          </w:p>
        </w:tc>
        <w:tc>
          <w:tcPr>
            <w:tcW w:w="160" w:type="dxa"/>
            <w:vAlign w:val="bottom"/>
            <w:tcBorders>
              <w:top w:val="single" w:sz="8" w:color="231F20"/>
            </w:tcBorders>
          </w:tcPr>
          <w:p>
            <w:pPr>
              <w:spacing w:after="0"/>
              <w:rPr>
                <w:sz w:val="14"/>
                <w:szCs w:val="14"/>
                <w:color w:val="auto"/>
              </w:rPr>
            </w:pPr>
          </w:p>
        </w:tc>
        <w:tc>
          <w:tcPr>
            <w:tcW w:w="220" w:type="dxa"/>
            <w:vAlign w:val="bottom"/>
            <w:tcBorders>
              <w:top w:val="single" w:sz="8" w:color="231F20"/>
            </w:tcBorders>
          </w:tcPr>
          <w:p>
            <w:pPr>
              <w:spacing w:after="0"/>
              <w:rPr>
                <w:sz w:val="14"/>
                <w:szCs w:val="14"/>
                <w:color w:val="auto"/>
              </w:rPr>
            </w:pPr>
          </w:p>
        </w:tc>
        <w:tc>
          <w:tcPr>
            <w:tcW w:w="860" w:type="dxa"/>
            <w:vAlign w:val="bottom"/>
            <w:tcBorders>
              <w:top w:val="single" w:sz="8" w:color="231F20"/>
            </w:tcBorders>
          </w:tcPr>
          <w:p>
            <w:pPr>
              <w:spacing w:after="0"/>
              <w:rPr>
                <w:sz w:val="14"/>
                <w:szCs w:val="14"/>
                <w:color w:val="auto"/>
              </w:rPr>
            </w:pPr>
          </w:p>
        </w:tc>
        <w:tc>
          <w:tcPr>
            <w:tcW w:w="1540" w:type="dxa"/>
            <w:vAlign w:val="bottom"/>
            <w:tcBorders>
              <w:right w:val="single" w:sz="8" w:color="231F20"/>
            </w:tcBorders>
            <w:vMerge w:val="restart"/>
          </w:tcPr>
          <w:p>
            <w:pPr>
              <w:jc w:val="center"/>
              <w:ind w:right="295"/>
              <w:spacing w:after="0"/>
              <w:rPr>
                <w:sz w:val="20"/>
                <w:szCs w:val="20"/>
                <w:color w:val="auto"/>
              </w:rPr>
            </w:pPr>
            <w:r>
              <w:rPr>
                <w:rFonts w:ascii="Arial" w:cs="Arial" w:eastAsia="Arial" w:hAnsi="Arial"/>
                <w:sz w:val="17"/>
                <w:szCs w:val="17"/>
                <w:color w:val="EF3E29"/>
              </w:rPr>
              <w:t>Ethnic</w:t>
            </w:r>
          </w:p>
        </w:tc>
        <w:tc>
          <w:tcPr>
            <w:tcW w:w="0" w:type="dxa"/>
            <w:vAlign w:val="bottom"/>
          </w:tcPr>
          <w:p>
            <w:pPr>
              <w:spacing w:after="0"/>
              <w:rPr>
                <w:sz w:val="1"/>
                <w:szCs w:val="1"/>
                <w:color w:val="auto"/>
              </w:rPr>
            </w:pPr>
          </w:p>
        </w:tc>
      </w:tr>
      <w:tr>
        <w:trPr>
          <w:trHeight w:val="108"/>
        </w:trPr>
        <w:tc>
          <w:tcPr>
            <w:tcW w:w="1080" w:type="dxa"/>
            <w:vAlign w:val="bottom"/>
            <w:tcBorders>
              <w:left w:val="single" w:sz="8" w:color="231F20"/>
            </w:tcBorders>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shd w:val="clear" w:color="auto" w:fill="262525"/>
          </w:tcPr>
          <w:p>
            <w:pPr>
              <w:spacing w:after="0"/>
              <w:rPr>
                <w:sz w:val="9"/>
                <w:szCs w:val="9"/>
                <w:color w:val="auto"/>
              </w:rPr>
            </w:pPr>
          </w:p>
        </w:tc>
        <w:tc>
          <w:tcPr>
            <w:tcW w:w="480" w:type="dxa"/>
            <w:vAlign w:val="bottom"/>
            <w:tcBorders>
              <w:right w:val="single" w:sz="8" w:color="231F20"/>
            </w:tcBorders>
            <w:vMerge w:val="continue"/>
          </w:tcPr>
          <w:p>
            <w:pPr>
              <w:spacing w:after="0"/>
              <w:rPr>
                <w:sz w:val="9"/>
                <w:szCs w:val="9"/>
                <w:color w:val="auto"/>
              </w:rPr>
            </w:pPr>
          </w:p>
        </w:tc>
        <w:tc>
          <w:tcPr>
            <w:tcW w:w="260" w:type="dxa"/>
            <w:vAlign w:val="bottom"/>
            <w:tcBorders>
              <w:right w:val="single" w:sz="8" w:color="231F20"/>
            </w:tcBorders>
          </w:tcPr>
          <w:p>
            <w:pPr>
              <w:spacing w:after="0"/>
              <w:rPr>
                <w:sz w:val="9"/>
                <w:szCs w:val="9"/>
                <w:color w:val="auto"/>
              </w:rPr>
            </w:pPr>
          </w:p>
        </w:tc>
        <w:tc>
          <w:tcPr>
            <w:tcW w:w="8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shd w:val="clear" w:color="auto" w:fill="B2B4B6"/>
          </w:tcPr>
          <w:p>
            <w:pPr>
              <w:spacing w:after="0"/>
              <w:rPr>
                <w:sz w:val="9"/>
                <w:szCs w:val="9"/>
                <w:color w:val="auto"/>
              </w:rPr>
            </w:pPr>
          </w:p>
        </w:tc>
        <w:tc>
          <w:tcPr>
            <w:tcW w:w="20" w:type="dxa"/>
            <w:vAlign w:val="bottom"/>
          </w:tcPr>
          <w:p>
            <w:pPr>
              <w:spacing w:after="0"/>
              <w:rPr>
                <w:sz w:val="9"/>
                <w:szCs w:val="9"/>
                <w:color w:val="auto"/>
              </w:rPr>
            </w:pPr>
          </w:p>
        </w:tc>
        <w:tc>
          <w:tcPr>
            <w:tcW w:w="1180" w:type="dxa"/>
            <w:vAlign w:val="bottom"/>
            <w:tcBorders>
              <w:right w:val="single" w:sz="8" w:color="231F20"/>
            </w:tcBorders>
            <w:vMerge w:val="continue"/>
          </w:tcPr>
          <w:p>
            <w:pPr>
              <w:spacing w:after="0"/>
              <w:rPr>
                <w:sz w:val="9"/>
                <w:szCs w:val="9"/>
                <w:color w:val="auto"/>
              </w:rPr>
            </w:pPr>
          </w:p>
        </w:tc>
        <w:tc>
          <w:tcPr>
            <w:tcW w:w="240" w:type="dxa"/>
            <w:vAlign w:val="bottom"/>
            <w:tcBorders>
              <w:right w:val="single" w:sz="8" w:color="231F20"/>
            </w:tcBorders>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540" w:type="dxa"/>
            <w:vAlign w:val="bottom"/>
            <w:tcBorders>
              <w:right w:val="single" w:sz="8" w:color="231F20"/>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1080" w:type="dxa"/>
            <w:vAlign w:val="bottom"/>
            <w:tcBorders>
              <w:left w:val="single" w:sz="8" w:color="231F20"/>
            </w:tcBorders>
          </w:tcPr>
          <w:p>
            <w:pPr>
              <w:spacing w:after="0"/>
              <w:rPr>
                <w:sz w:val="4"/>
                <w:szCs w:val="4"/>
                <w:color w:val="auto"/>
              </w:rPr>
            </w:pPr>
          </w:p>
        </w:tc>
        <w:tc>
          <w:tcPr>
            <w:tcW w:w="1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Borders>
              <w:right w:val="single" w:sz="8" w:color="231F20"/>
            </w:tcBorders>
            <w:vMerge w:val="continue"/>
          </w:tcPr>
          <w:p>
            <w:pPr>
              <w:spacing w:after="0"/>
              <w:rPr>
                <w:sz w:val="4"/>
                <w:szCs w:val="4"/>
                <w:color w:val="auto"/>
              </w:rPr>
            </w:pPr>
          </w:p>
        </w:tc>
        <w:tc>
          <w:tcPr>
            <w:tcW w:w="260" w:type="dxa"/>
            <w:vAlign w:val="bottom"/>
            <w:tcBorders>
              <w:right w:val="single" w:sz="8" w:color="231F20"/>
            </w:tcBorders>
          </w:tcPr>
          <w:p>
            <w:pPr>
              <w:spacing w:after="0"/>
              <w:rPr>
                <w:sz w:val="4"/>
                <w:szCs w:val="4"/>
                <w:color w:val="auto"/>
              </w:rPr>
            </w:pPr>
          </w:p>
        </w:tc>
        <w:tc>
          <w:tcPr>
            <w:tcW w:w="8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180" w:type="dxa"/>
            <w:vAlign w:val="bottom"/>
            <w:tcBorders>
              <w:right w:val="single" w:sz="8" w:color="231F20"/>
            </w:tcBorders>
            <w:vMerge w:val="continue"/>
          </w:tcPr>
          <w:p>
            <w:pPr>
              <w:spacing w:after="0"/>
              <w:rPr>
                <w:sz w:val="4"/>
                <w:szCs w:val="4"/>
                <w:color w:val="auto"/>
              </w:rPr>
            </w:pPr>
          </w:p>
        </w:tc>
        <w:tc>
          <w:tcPr>
            <w:tcW w:w="240" w:type="dxa"/>
            <w:vAlign w:val="bottom"/>
            <w:tcBorders>
              <w:right w:val="single" w:sz="8" w:color="231F20"/>
            </w:tcBorders>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540" w:type="dxa"/>
            <w:vAlign w:val="bottom"/>
            <w:tcBorders>
              <w:right w:val="single" w:sz="8" w:color="231F20"/>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9"/>
        </w:trPr>
        <w:tc>
          <w:tcPr>
            <w:tcW w:w="1080" w:type="dxa"/>
            <w:vAlign w:val="bottom"/>
            <w:tcBorders>
              <w:left w:val="single" w:sz="8" w:color="231F20"/>
            </w:tcBorders>
            <w:vMerge w:val="restart"/>
          </w:tcPr>
          <w:p>
            <w:pPr>
              <w:ind w:left="940"/>
              <w:spacing w:after="0"/>
              <w:rPr>
                <w:sz w:val="20"/>
                <w:szCs w:val="20"/>
                <w:color w:val="auto"/>
              </w:rPr>
            </w:pPr>
            <w:r>
              <w:rPr>
                <w:rFonts w:ascii="Calibri" w:cs="Calibri" w:eastAsia="Calibri" w:hAnsi="Calibri"/>
                <w:sz w:val="17"/>
                <w:szCs w:val="17"/>
                <w:b w:val="1"/>
                <w:bCs w:val="1"/>
                <w:color w:val="FFFFFF"/>
              </w:rPr>
              <w:t>5</w:t>
            </w: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Borders>
              <w:right w:val="single" w:sz="8" w:color="231F20"/>
            </w:tcBorders>
            <w:vMerge w:val="restart"/>
          </w:tcPr>
          <w:p>
            <w:pPr>
              <w:ind w:left="40"/>
              <w:spacing w:after="0"/>
              <w:rPr>
                <w:sz w:val="20"/>
                <w:szCs w:val="20"/>
                <w:color w:val="auto"/>
              </w:rPr>
            </w:pPr>
            <w:r>
              <w:rPr>
                <w:rFonts w:ascii="Calibri" w:cs="Calibri" w:eastAsia="Calibri" w:hAnsi="Calibri"/>
                <w:sz w:val="17"/>
                <w:szCs w:val="17"/>
                <w:color w:val="77787B"/>
              </w:rPr>
              <w:t>70s</w:t>
            </w:r>
          </w:p>
        </w:tc>
        <w:tc>
          <w:tcPr>
            <w:tcW w:w="260" w:type="dxa"/>
            <w:vAlign w:val="bottom"/>
            <w:tcBorders>
              <w:right w:val="single" w:sz="8" w:color="231F20"/>
            </w:tcBorders>
          </w:tcPr>
          <w:p>
            <w:pPr>
              <w:spacing w:after="0"/>
              <w:rPr>
                <w:sz w:val="12"/>
                <w:szCs w:val="12"/>
                <w:color w:val="auto"/>
              </w:rPr>
            </w:pPr>
          </w:p>
        </w:tc>
        <w:tc>
          <w:tcPr>
            <w:tcW w:w="880" w:type="dxa"/>
            <w:vAlign w:val="bottom"/>
          </w:tcPr>
          <w:p>
            <w:pPr>
              <w:spacing w:after="0"/>
              <w:rPr>
                <w:sz w:val="12"/>
                <w:szCs w:val="12"/>
                <w:color w:val="auto"/>
              </w:rPr>
            </w:pPr>
          </w:p>
        </w:tc>
        <w:tc>
          <w:tcPr>
            <w:tcW w:w="1000" w:type="dxa"/>
            <w:vAlign w:val="bottom"/>
            <w:vMerge w:val="restart"/>
          </w:tcPr>
          <w:p>
            <w:pPr>
              <w:ind w:left="300"/>
              <w:spacing w:after="0"/>
              <w:rPr>
                <w:sz w:val="20"/>
                <w:szCs w:val="20"/>
                <w:color w:val="auto"/>
              </w:rPr>
            </w:pPr>
            <w:r>
              <w:rPr>
                <w:rFonts w:ascii="Calibri" w:cs="Calibri" w:eastAsia="Calibri" w:hAnsi="Calibri"/>
                <w:sz w:val="20"/>
                <w:szCs w:val="20"/>
                <w:b w:val="1"/>
                <w:bCs w:val="1"/>
                <w:color w:val="231F20"/>
              </w:rPr>
              <w:t>3</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tcBorders>
              <w:right w:val="single" w:sz="8" w:color="231F20"/>
            </w:tcBorders>
            <w:vMerge w:val="restart"/>
          </w:tcPr>
          <w:p>
            <w:pPr>
              <w:ind w:left="20"/>
              <w:spacing w:after="0"/>
              <w:rPr>
                <w:sz w:val="20"/>
                <w:szCs w:val="20"/>
                <w:color w:val="auto"/>
              </w:rPr>
            </w:pPr>
            <w:r>
              <w:rPr>
                <w:rFonts w:ascii="Calibri" w:cs="Calibri" w:eastAsia="Calibri" w:hAnsi="Calibri"/>
                <w:sz w:val="17"/>
                <w:szCs w:val="17"/>
                <w:color w:val="77787B"/>
              </w:rPr>
              <w:t>&gt; 10 years</w:t>
            </w:r>
          </w:p>
        </w:tc>
        <w:tc>
          <w:tcPr>
            <w:tcW w:w="240" w:type="dxa"/>
            <w:vAlign w:val="bottom"/>
            <w:tcBorders>
              <w:right w:val="single" w:sz="8" w:color="231F20"/>
            </w:tcBorders>
          </w:tcPr>
          <w:p>
            <w:pPr>
              <w:spacing w:after="0"/>
              <w:rPr>
                <w:sz w:val="12"/>
                <w:szCs w:val="12"/>
                <w:color w:val="auto"/>
              </w:rPr>
            </w:pPr>
          </w:p>
        </w:tc>
        <w:tc>
          <w:tcPr>
            <w:tcW w:w="260" w:type="dxa"/>
            <w:vAlign w:val="bottom"/>
            <w:tcBorders>
              <w:bottom w:val="single" w:sz="8" w:color="231F20"/>
            </w:tcBorders>
          </w:tcPr>
          <w:p>
            <w:pPr>
              <w:spacing w:after="0"/>
              <w:rPr>
                <w:sz w:val="12"/>
                <w:szCs w:val="12"/>
                <w:color w:val="auto"/>
              </w:rPr>
            </w:pPr>
          </w:p>
        </w:tc>
        <w:tc>
          <w:tcPr>
            <w:tcW w:w="160" w:type="dxa"/>
            <w:vAlign w:val="bottom"/>
            <w:tcBorders>
              <w:bottom w:val="single" w:sz="8" w:color="231F20"/>
            </w:tcBorders>
          </w:tcPr>
          <w:p>
            <w:pPr>
              <w:spacing w:after="0"/>
              <w:rPr>
                <w:sz w:val="12"/>
                <w:szCs w:val="12"/>
                <w:color w:val="auto"/>
              </w:rPr>
            </w:pPr>
          </w:p>
        </w:tc>
        <w:tc>
          <w:tcPr>
            <w:tcW w:w="220" w:type="dxa"/>
            <w:vAlign w:val="bottom"/>
            <w:tcBorders>
              <w:bottom w:val="single" w:sz="8" w:color="231F20"/>
            </w:tcBorders>
          </w:tcPr>
          <w:p>
            <w:pPr>
              <w:spacing w:after="0"/>
              <w:rPr>
                <w:sz w:val="12"/>
                <w:szCs w:val="12"/>
                <w:color w:val="auto"/>
              </w:rPr>
            </w:pPr>
          </w:p>
        </w:tc>
        <w:tc>
          <w:tcPr>
            <w:tcW w:w="860" w:type="dxa"/>
            <w:vAlign w:val="bottom"/>
            <w:tcBorders>
              <w:bottom w:val="single" w:sz="8" w:color="231F20"/>
            </w:tcBorders>
          </w:tcPr>
          <w:p>
            <w:pPr>
              <w:spacing w:after="0"/>
              <w:rPr>
                <w:sz w:val="12"/>
                <w:szCs w:val="12"/>
                <w:color w:val="auto"/>
              </w:rPr>
            </w:pPr>
          </w:p>
        </w:tc>
        <w:tc>
          <w:tcPr>
            <w:tcW w:w="1540" w:type="dxa"/>
            <w:vAlign w:val="bottom"/>
            <w:tcBorders>
              <w:right w:val="single" w:sz="8" w:color="231F20"/>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3"/>
        </w:trPr>
        <w:tc>
          <w:tcPr>
            <w:tcW w:w="1080" w:type="dxa"/>
            <w:vAlign w:val="bottom"/>
            <w:tcBorders>
              <w:left w:val="single" w:sz="8" w:color="231F20"/>
            </w:tcBorders>
            <w:vMerge w:val="continue"/>
          </w:tcPr>
          <w:p>
            <w:pPr>
              <w:spacing w:after="0"/>
              <w:rPr>
                <w:sz w:val="8"/>
                <w:szCs w:val="8"/>
                <w:color w:val="auto"/>
              </w:rPr>
            </w:pPr>
          </w:p>
        </w:tc>
        <w:tc>
          <w:tcPr>
            <w:tcW w:w="1460" w:type="dxa"/>
            <w:vAlign w:val="bottom"/>
          </w:tcPr>
          <w:p>
            <w:pPr>
              <w:spacing w:after="0"/>
              <w:rPr>
                <w:sz w:val="8"/>
                <w:szCs w:val="8"/>
                <w:color w:val="auto"/>
              </w:rPr>
            </w:pPr>
          </w:p>
        </w:tc>
        <w:tc>
          <w:tcPr>
            <w:tcW w:w="100" w:type="dxa"/>
            <w:vAlign w:val="bottom"/>
            <w:tcBorders>
              <w:bottom w:val="single" w:sz="8" w:color="FEBF0F"/>
            </w:tcBorders>
            <w:shd w:val="clear" w:color="auto" w:fill="FEBF0F"/>
          </w:tcPr>
          <w:p>
            <w:pPr>
              <w:spacing w:after="0"/>
              <w:rPr>
                <w:sz w:val="8"/>
                <w:szCs w:val="8"/>
                <w:color w:val="auto"/>
              </w:rPr>
            </w:pPr>
          </w:p>
        </w:tc>
        <w:tc>
          <w:tcPr>
            <w:tcW w:w="480" w:type="dxa"/>
            <w:vAlign w:val="bottom"/>
            <w:tcBorders>
              <w:right w:val="single" w:sz="8" w:color="231F20"/>
            </w:tcBorders>
            <w:vMerge w:val="continue"/>
          </w:tcPr>
          <w:p>
            <w:pPr>
              <w:spacing w:after="0"/>
              <w:rPr>
                <w:sz w:val="8"/>
                <w:szCs w:val="8"/>
                <w:color w:val="auto"/>
              </w:rPr>
            </w:pPr>
          </w:p>
        </w:tc>
        <w:tc>
          <w:tcPr>
            <w:tcW w:w="260" w:type="dxa"/>
            <w:vAlign w:val="bottom"/>
            <w:tcBorders>
              <w:right w:val="single" w:sz="8" w:color="231F20"/>
            </w:tcBorders>
          </w:tcPr>
          <w:p>
            <w:pPr>
              <w:spacing w:after="0"/>
              <w:rPr>
                <w:sz w:val="8"/>
                <w:szCs w:val="8"/>
                <w:color w:val="auto"/>
              </w:rPr>
            </w:pPr>
          </w:p>
        </w:tc>
        <w:tc>
          <w:tcPr>
            <w:tcW w:w="88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100" w:type="dxa"/>
            <w:vAlign w:val="bottom"/>
            <w:shd w:val="clear" w:color="auto" w:fill="262525"/>
          </w:tcPr>
          <w:p>
            <w:pPr>
              <w:spacing w:after="0"/>
              <w:rPr>
                <w:sz w:val="8"/>
                <w:szCs w:val="8"/>
                <w:color w:val="auto"/>
              </w:rPr>
            </w:pPr>
          </w:p>
        </w:tc>
        <w:tc>
          <w:tcPr>
            <w:tcW w:w="20" w:type="dxa"/>
            <w:vAlign w:val="bottom"/>
          </w:tcPr>
          <w:p>
            <w:pPr>
              <w:spacing w:after="0"/>
              <w:rPr>
                <w:sz w:val="8"/>
                <w:szCs w:val="8"/>
                <w:color w:val="auto"/>
              </w:rPr>
            </w:pPr>
          </w:p>
        </w:tc>
        <w:tc>
          <w:tcPr>
            <w:tcW w:w="1180" w:type="dxa"/>
            <w:vAlign w:val="bottom"/>
            <w:tcBorders>
              <w:right w:val="single" w:sz="8" w:color="231F20"/>
            </w:tcBorders>
            <w:vMerge w:val="continue"/>
          </w:tcPr>
          <w:p>
            <w:pPr>
              <w:spacing w:after="0"/>
              <w:rPr>
                <w:sz w:val="8"/>
                <w:szCs w:val="8"/>
                <w:color w:val="auto"/>
              </w:rPr>
            </w:pPr>
          </w:p>
        </w:tc>
        <w:tc>
          <w:tcPr>
            <w:tcW w:w="240" w:type="dxa"/>
            <w:vAlign w:val="bottom"/>
            <w:tcBorders>
              <w:right w:val="single" w:sz="8" w:color="231F20"/>
            </w:tcBorders>
          </w:tcPr>
          <w:p>
            <w:pPr>
              <w:spacing w:after="0"/>
              <w:rPr>
                <w:sz w:val="8"/>
                <w:szCs w:val="8"/>
                <w:color w:val="auto"/>
              </w:rPr>
            </w:pPr>
          </w:p>
        </w:tc>
        <w:tc>
          <w:tcPr>
            <w:tcW w:w="260" w:type="dxa"/>
            <w:vAlign w:val="bottom"/>
            <w:tcBorders>
              <w:bottom w:val="single" w:sz="8" w:color="231F20"/>
            </w:tcBorders>
            <w:shd w:val="clear" w:color="auto" w:fill="231F20"/>
          </w:tcPr>
          <w:p>
            <w:pPr>
              <w:spacing w:after="0"/>
              <w:rPr>
                <w:sz w:val="8"/>
                <w:szCs w:val="8"/>
                <w:color w:val="auto"/>
              </w:rPr>
            </w:pPr>
          </w:p>
        </w:tc>
        <w:tc>
          <w:tcPr>
            <w:tcW w:w="160" w:type="dxa"/>
            <w:vAlign w:val="bottom"/>
            <w:tcBorders>
              <w:bottom w:val="single" w:sz="8" w:color="231F20"/>
            </w:tcBorders>
            <w:shd w:val="clear" w:color="auto" w:fill="231F20"/>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Borders>
              <w:right w:val="single" w:sz="8" w:color="231F20"/>
            </w:tcBorders>
          </w:tcPr>
          <w:p>
            <w:pPr>
              <w:spacing w:after="0"/>
              <w:rPr>
                <w:sz w:val="8"/>
                <w:szCs w:val="8"/>
                <w:color w:val="auto"/>
              </w:rPr>
            </w:pPr>
          </w:p>
        </w:tc>
        <w:tc>
          <w:tcPr>
            <w:tcW w:w="1540" w:type="dxa"/>
            <w:vAlign w:val="bottom"/>
            <w:tcBorders>
              <w:right w:val="single" w:sz="8" w:color="231F20"/>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9"/>
        </w:trPr>
        <w:tc>
          <w:tcPr>
            <w:tcW w:w="1080" w:type="dxa"/>
            <w:vAlign w:val="bottom"/>
            <w:tcBorders>
              <w:left w:val="single" w:sz="8" w:color="231F20"/>
            </w:tcBorders>
            <w:vMerge w:val="continue"/>
          </w:tcPr>
          <w:p>
            <w:pPr>
              <w:spacing w:after="0"/>
              <w:rPr>
                <w:sz w:val="4"/>
                <w:szCs w:val="4"/>
                <w:color w:val="auto"/>
              </w:rPr>
            </w:pPr>
          </w:p>
        </w:tc>
        <w:tc>
          <w:tcPr>
            <w:tcW w:w="1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Borders>
              <w:right w:val="single" w:sz="8" w:color="231F20"/>
            </w:tcBorders>
            <w:vMerge w:val="continue"/>
          </w:tcPr>
          <w:p>
            <w:pPr>
              <w:spacing w:after="0"/>
              <w:rPr>
                <w:sz w:val="4"/>
                <w:szCs w:val="4"/>
                <w:color w:val="auto"/>
              </w:rPr>
            </w:pPr>
          </w:p>
        </w:tc>
        <w:tc>
          <w:tcPr>
            <w:tcW w:w="260" w:type="dxa"/>
            <w:vAlign w:val="bottom"/>
            <w:tcBorders>
              <w:right w:val="single" w:sz="8" w:color="231F20"/>
            </w:tcBorders>
          </w:tcPr>
          <w:p>
            <w:pPr>
              <w:spacing w:after="0"/>
              <w:rPr>
                <w:sz w:val="4"/>
                <w:szCs w:val="4"/>
                <w:color w:val="auto"/>
              </w:rPr>
            </w:pPr>
          </w:p>
        </w:tc>
        <w:tc>
          <w:tcPr>
            <w:tcW w:w="880" w:type="dxa"/>
            <w:vAlign w:val="bottom"/>
          </w:tcPr>
          <w:p>
            <w:pPr>
              <w:spacing w:after="0"/>
              <w:rPr>
                <w:sz w:val="4"/>
                <w:szCs w:val="4"/>
                <w:color w:val="auto"/>
              </w:rPr>
            </w:pPr>
          </w:p>
        </w:tc>
        <w:tc>
          <w:tcPr>
            <w:tcW w:w="10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180" w:type="dxa"/>
            <w:vAlign w:val="bottom"/>
            <w:tcBorders>
              <w:right w:val="single" w:sz="8" w:color="231F20"/>
            </w:tcBorders>
            <w:vMerge w:val="continue"/>
          </w:tcPr>
          <w:p>
            <w:pPr>
              <w:spacing w:after="0"/>
              <w:rPr>
                <w:sz w:val="4"/>
                <w:szCs w:val="4"/>
                <w:color w:val="auto"/>
              </w:rPr>
            </w:pPr>
          </w:p>
        </w:tc>
        <w:tc>
          <w:tcPr>
            <w:tcW w:w="240" w:type="dxa"/>
            <w:vAlign w:val="bottom"/>
            <w:tcBorders>
              <w:right w:val="single" w:sz="8" w:color="231F20"/>
            </w:tcBorders>
          </w:tcPr>
          <w:p>
            <w:pPr>
              <w:spacing w:after="0"/>
              <w:rPr>
                <w:sz w:val="4"/>
                <w:szCs w:val="4"/>
                <w:color w:val="auto"/>
              </w:rPr>
            </w:pPr>
          </w:p>
        </w:tc>
        <w:tc>
          <w:tcPr>
            <w:tcW w:w="260" w:type="dxa"/>
            <w:vAlign w:val="bottom"/>
            <w:vMerge w:val="restart"/>
            <w:shd w:val="clear" w:color="auto" w:fill="231F20"/>
          </w:tcPr>
          <w:p>
            <w:pPr>
              <w:jc w:val="right"/>
              <w:spacing w:after="0" w:line="167" w:lineRule="exact"/>
              <w:rPr>
                <w:sz w:val="20"/>
                <w:szCs w:val="20"/>
                <w:color w:val="auto"/>
              </w:rPr>
            </w:pPr>
            <w:r>
              <w:rPr>
                <w:rFonts w:ascii="Arial" w:cs="Arial" w:eastAsia="Arial" w:hAnsi="Arial"/>
                <w:sz w:val="19"/>
                <w:szCs w:val="19"/>
                <w:color w:val="FFFFFF"/>
              </w:rPr>
              <w:t>2</w:t>
            </w:r>
          </w:p>
        </w:tc>
        <w:tc>
          <w:tcPr>
            <w:tcW w:w="160" w:type="dxa"/>
            <w:vAlign w:val="bottom"/>
            <w:shd w:val="clear" w:color="auto" w:fill="231F20"/>
          </w:tcPr>
          <w:p>
            <w:pPr>
              <w:spacing w:after="0"/>
              <w:rPr>
                <w:sz w:val="4"/>
                <w:szCs w:val="4"/>
                <w:color w:val="auto"/>
              </w:rPr>
            </w:pPr>
          </w:p>
        </w:tc>
        <w:tc>
          <w:tcPr>
            <w:tcW w:w="220" w:type="dxa"/>
            <w:vAlign w:val="bottom"/>
          </w:tcPr>
          <w:p>
            <w:pPr>
              <w:spacing w:after="0"/>
              <w:rPr>
                <w:sz w:val="4"/>
                <w:szCs w:val="4"/>
                <w:color w:val="auto"/>
              </w:rPr>
            </w:pPr>
          </w:p>
        </w:tc>
        <w:tc>
          <w:tcPr>
            <w:tcW w:w="860" w:type="dxa"/>
            <w:vAlign w:val="bottom"/>
            <w:tcBorders>
              <w:right w:val="single" w:sz="8" w:color="231F20"/>
            </w:tcBorders>
          </w:tcPr>
          <w:p>
            <w:pPr>
              <w:spacing w:after="0"/>
              <w:rPr>
                <w:sz w:val="4"/>
                <w:szCs w:val="4"/>
                <w:color w:val="auto"/>
              </w:rPr>
            </w:pPr>
          </w:p>
        </w:tc>
        <w:tc>
          <w:tcPr>
            <w:tcW w:w="1540" w:type="dxa"/>
            <w:vAlign w:val="bottom"/>
            <w:tcBorders>
              <w:right w:val="single" w:sz="8" w:color="231F20"/>
            </w:tcBorders>
            <w:vMerge w:val="restart"/>
          </w:tcPr>
          <w:p>
            <w:pPr>
              <w:jc w:val="center"/>
              <w:ind w:right="295"/>
              <w:spacing w:after="0" w:line="167" w:lineRule="exact"/>
              <w:rPr>
                <w:sz w:val="20"/>
                <w:szCs w:val="20"/>
                <w:color w:val="auto"/>
              </w:rPr>
            </w:pPr>
            <w:r>
              <w:rPr>
                <w:rFonts w:ascii="Arial" w:cs="Arial" w:eastAsia="Arial" w:hAnsi="Arial"/>
                <w:sz w:val="17"/>
                <w:szCs w:val="17"/>
                <w:color w:val="EF3E29"/>
              </w:rPr>
              <w:t>Minority</w:t>
            </w:r>
          </w:p>
        </w:tc>
        <w:tc>
          <w:tcPr>
            <w:tcW w:w="0" w:type="dxa"/>
            <w:vAlign w:val="bottom"/>
          </w:tcPr>
          <w:p>
            <w:pPr>
              <w:spacing w:after="0"/>
              <w:rPr>
                <w:sz w:val="1"/>
                <w:szCs w:val="1"/>
                <w:color w:val="auto"/>
              </w:rPr>
            </w:pPr>
          </w:p>
        </w:tc>
      </w:tr>
      <w:tr>
        <w:trPr>
          <w:trHeight w:val="118"/>
        </w:trPr>
        <w:tc>
          <w:tcPr>
            <w:tcW w:w="1080" w:type="dxa"/>
            <w:vAlign w:val="bottom"/>
            <w:tcBorders>
              <w:left w:val="single" w:sz="8" w:color="231F20"/>
            </w:tcBorders>
            <w:vMerge w:val="continue"/>
          </w:tcPr>
          <w:p>
            <w:pPr>
              <w:spacing w:after="0"/>
              <w:rPr>
                <w:sz w:val="10"/>
                <w:szCs w:val="10"/>
                <w:color w:val="auto"/>
              </w:rPr>
            </w:pPr>
          </w:p>
        </w:tc>
        <w:tc>
          <w:tcPr>
            <w:tcW w:w="1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Borders>
              <w:right w:val="single" w:sz="8" w:color="231F20"/>
            </w:tcBorders>
          </w:tcPr>
          <w:p>
            <w:pPr>
              <w:spacing w:after="0"/>
              <w:rPr>
                <w:sz w:val="10"/>
                <w:szCs w:val="10"/>
                <w:color w:val="auto"/>
              </w:rPr>
            </w:pPr>
          </w:p>
        </w:tc>
        <w:tc>
          <w:tcPr>
            <w:tcW w:w="260" w:type="dxa"/>
            <w:vAlign w:val="bottom"/>
            <w:tcBorders>
              <w:right w:val="single" w:sz="8" w:color="231F20"/>
            </w:tcBorders>
          </w:tcPr>
          <w:p>
            <w:pPr>
              <w:spacing w:after="0"/>
              <w:rPr>
                <w:sz w:val="10"/>
                <w:szCs w:val="10"/>
                <w:color w:val="auto"/>
              </w:rPr>
            </w:pPr>
          </w:p>
        </w:tc>
        <w:tc>
          <w:tcPr>
            <w:tcW w:w="88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tcBorders>
              <w:right w:val="single" w:sz="8" w:color="231F20"/>
            </w:tcBorders>
          </w:tcPr>
          <w:p>
            <w:pPr>
              <w:spacing w:after="0"/>
              <w:rPr>
                <w:sz w:val="10"/>
                <w:szCs w:val="10"/>
                <w:color w:val="auto"/>
              </w:rPr>
            </w:pPr>
          </w:p>
        </w:tc>
        <w:tc>
          <w:tcPr>
            <w:tcW w:w="240" w:type="dxa"/>
            <w:vAlign w:val="bottom"/>
            <w:tcBorders>
              <w:right w:val="single" w:sz="8" w:color="231F20"/>
            </w:tcBorders>
          </w:tcPr>
          <w:p>
            <w:pPr>
              <w:spacing w:after="0"/>
              <w:rPr>
                <w:sz w:val="10"/>
                <w:szCs w:val="10"/>
                <w:color w:val="auto"/>
              </w:rPr>
            </w:pPr>
          </w:p>
        </w:tc>
        <w:tc>
          <w:tcPr>
            <w:tcW w:w="260" w:type="dxa"/>
            <w:vAlign w:val="bottom"/>
            <w:vMerge w:val="continue"/>
            <w:shd w:val="clear" w:color="auto" w:fill="231F20"/>
          </w:tcPr>
          <w:p>
            <w:pPr>
              <w:spacing w:after="0"/>
              <w:rPr>
                <w:sz w:val="10"/>
                <w:szCs w:val="10"/>
                <w:color w:val="auto"/>
              </w:rPr>
            </w:pPr>
          </w:p>
        </w:tc>
        <w:tc>
          <w:tcPr>
            <w:tcW w:w="160" w:type="dxa"/>
            <w:vAlign w:val="bottom"/>
            <w:shd w:val="clear" w:color="auto" w:fill="231F20"/>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Borders>
              <w:right w:val="single" w:sz="8" w:color="231F20"/>
            </w:tcBorders>
          </w:tcPr>
          <w:p>
            <w:pPr>
              <w:spacing w:after="0"/>
              <w:rPr>
                <w:sz w:val="10"/>
                <w:szCs w:val="10"/>
                <w:color w:val="auto"/>
              </w:rPr>
            </w:pPr>
          </w:p>
        </w:tc>
        <w:tc>
          <w:tcPr>
            <w:tcW w:w="1540" w:type="dxa"/>
            <w:vAlign w:val="bottom"/>
            <w:tcBorders>
              <w:right w:val="single" w:sz="8" w:color="231F20"/>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080" w:type="dxa"/>
            <w:vAlign w:val="bottom"/>
            <w:tcBorders>
              <w:left w:val="single" w:sz="8" w:color="231F20"/>
            </w:tcBorders>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Borders>
              <w:right w:val="single" w:sz="8" w:color="231F20"/>
            </w:tcBorders>
          </w:tcPr>
          <w:p>
            <w:pPr>
              <w:spacing w:after="0"/>
              <w:rPr>
                <w:sz w:val="14"/>
                <w:szCs w:val="14"/>
                <w:color w:val="auto"/>
              </w:rPr>
            </w:pPr>
          </w:p>
        </w:tc>
        <w:tc>
          <w:tcPr>
            <w:tcW w:w="260" w:type="dxa"/>
            <w:vAlign w:val="bottom"/>
            <w:tcBorders>
              <w:right w:val="single" w:sz="8" w:color="231F20"/>
            </w:tcBorders>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tcBorders>
              <w:right w:val="single" w:sz="8" w:color="231F20"/>
            </w:tcBorders>
          </w:tcPr>
          <w:p>
            <w:pPr>
              <w:spacing w:after="0"/>
              <w:rPr>
                <w:sz w:val="14"/>
                <w:szCs w:val="14"/>
                <w:color w:val="auto"/>
              </w:rPr>
            </w:pPr>
          </w:p>
        </w:tc>
        <w:tc>
          <w:tcPr>
            <w:tcW w:w="240" w:type="dxa"/>
            <w:vAlign w:val="bottom"/>
            <w:tcBorders>
              <w:right w:val="single" w:sz="8" w:color="231F20"/>
            </w:tcBorders>
          </w:tcPr>
          <w:p>
            <w:pPr>
              <w:spacing w:after="0"/>
              <w:rPr>
                <w:sz w:val="14"/>
                <w:szCs w:val="14"/>
                <w:color w:val="auto"/>
              </w:rPr>
            </w:pPr>
          </w:p>
        </w:tc>
        <w:tc>
          <w:tcPr>
            <w:tcW w:w="260" w:type="dxa"/>
            <w:vAlign w:val="bottom"/>
            <w:tcBorders>
              <w:bottom w:val="single" w:sz="8" w:color="231F20"/>
            </w:tcBorders>
            <w:shd w:val="clear" w:color="auto" w:fill="231F20"/>
          </w:tcPr>
          <w:p>
            <w:pPr>
              <w:spacing w:after="0"/>
              <w:rPr>
                <w:sz w:val="14"/>
                <w:szCs w:val="14"/>
                <w:color w:val="auto"/>
              </w:rPr>
            </w:pPr>
          </w:p>
        </w:tc>
        <w:tc>
          <w:tcPr>
            <w:tcW w:w="160" w:type="dxa"/>
            <w:vAlign w:val="bottom"/>
            <w:tcBorders>
              <w:bottom w:val="single" w:sz="8" w:color="231F20"/>
            </w:tcBorders>
            <w:shd w:val="clear" w:color="auto" w:fill="231F20"/>
          </w:tcPr>
          <w:p>
            <w:pPr>
              <w:spacing w:after="0"/>
              <w:rPr>
                <w:sz w:val="14"/>
                <w:szCs w:val="14"/>
                <w:color w:val="auto"/>
              </w:rPr>
            </w:pPr>
          </w:p>
        </w:tc>
        <w:tc>
          <w:tcPr>
            <w:tcW w:w="220" w:type="dxa"/>
            <w:vAlign w:val="bottom"/>
            <w:tcBorders>
              <w:bottom w:val="single" w:sz="8" w:color="231F20"/>
            </w:tcBorders>
          </w:tcPr>
          <w:p>
            <w:pPr>
              <w:spacing w:after="0"/>
              <w:rPr>
                <w:sz w:val="14"/>
                <w:szCs w:val="14"/>
                <w:color w:val="auto"/>
              </w:rPr>
            </w:pPr>
          </w:p>
        </w:tc>
        <w:tc>
          <w:tcPr>
            <w:tcW w:w="860" w:type="dxa"/>
            <w:vAlign w:val="bottom"/>
            <w:tcBorders>
              <w:bottom w:val="single" w:sz="8" w:color="231F20"/>
              <w:right w:val="single" w:sz="8" w:color="231F20"/>
            </w:tcBorders>
          </w:tcPr>
          <w:p>
            <w:pPr>
              <w:spacing w:after="0"/>
              <w:rPr>
                <w:sz w:val="14"/>
                <w:szCs w:val="14"/>
                <w:color w:val="auto"/>
              </w:rPr>
            </w:pPr>
          </w:p>
        </w:tc>
        <w:tc>
          <w:tcPr>
            <w:tcW w:w="1540" w:type="dxa"/>
            <w:vAlign w:val="bottom"/>
            <w:tcBorders>
              <w:right w:val="single" w:sz="8" w:color="231F20"/>
            </w:tcBorders>
          </w:tcPr>
          <w:p>
            <w:pPr>
              <w:jc w:val="center"/>
              <w:ind w:right="295"/>
              <w:spacing w:after="0" w:line="165" w:lineRule="exact"/>
              <w:rPr>
                <w:sz w:val="20"/>
                <w:szCs w:val="20"/>
                <w:color w:val="auto"/>
              </w:rPr>
            </w:pPr>
            <w:r>
              <w:rPr>
                <w:rFonts w:ascii="Arial" w:cs="Arial" w:eastAsia="Arial" w:hAnsi="Arial"/>
                <w:sz w:val="17"/>
                <w:szCs w:val="17"/>
                <w:color w:val="EF3E29"/>
              </w:rPr>
              <w:t>25%</w:t>
            </w:r>
          </w:p>
        </w:tc>
        <w:tc>
          <w:tcPr>
            <w:tcW w:w="0" w:type="dxa"/>
            <w:vAlign w:val="bottom"/>
          </w:tcPr>
          <w:p>
            <w:pPr>
              <w:spacing w:after="0"/>
              <w:rPr>
                <w:sz w:val="1"/>
                <w:szCs w:val="1"/>
                <w:color w:val="auto"/>
              </w:rPr>
            </w:pPr>
          </w:p>
        </w:tc>
      </w:tr>
      <w:tr>
        <w:trPr>
          <w:trHeight w:val="248"/>
        </w:trPr>
        <w:tc>
          <w:tcPr>
            <w:tcW w:w="1080" w:type="dxa"/>
            <w:vAlign w:val="bottom"/>
            <w:tcBorders>
              <w:left w:val="single" w:sz="8" w:color="231F20"/>
              <w:bottom w:val="single" w:sz="8" w:color="231F20"/>
            </w:tcBorders>
          </w:tcPr>
          <w:p>
            <w:pPr>
              <w:spacing w:after="0"/>
              <w:rPr>
                <w:sz w:val="21"/>
                <w:szCs w:val="21"/>
                <w:color w:val="auto"/>
              </w:rPr>
            </w:pPr>
          </w:p>
        </w:tc>
        <w:tc>
          <w:tcPr>
            <w:tcW w:w="1460" w:type="dxa"/>
            <w:vAlign w:val="bottom"/>
            <w:tcBorders>
              <w:bottom w:val="single" w:sz="8" w:color="231F20"/>
            </w:tcBorders>
          </w:tcPr>
          <w:p>
            <w:pPr>
              <w:spacing w:after="0"/>
              <w:rPr>
                <w:sz w:val="21"/>
                <w:szCs w:val="21"/>
                <w:color w:val="auto"/>
              </w:rPr>
            </w:pPr>
          </w:p>
        </w:tc>
        <w:tc>
          <w:tcPr>
            <w:tcW w:w="100" w:type="dxa"/>
            <w:vAlign w:val="bottom"/>
            <w:tcBorders>
              <w:bottom w:val="single" w:sz="8" w:color="231F20"/>
            </w:tcBorders>
          </w:tcPr>
          <w:p>
            <w:pPr>
              <w:spacing w:after="0"/>
              <w:rPr>
                <w:sz w:val="21"/>
                <w:szCs w:val="21"/>
                <w:color w:val="auto"/>
              </w:rPr>
            </w:pPr>
          </w:p>
        </w:tc>
        <w:tc>
          <w:tcPr>
            <w:tcW w:w="480" w:type="dxa"/>
            <w:vAlign w:val="bottom"/>
            <w:tcBorders>
              <w:bottom w:val="single" w:sz="8" w:color="231F20"/>
              <w:right w:val="single" w:sz="8" w:color="231F20"/>
            </w:tcBorders>
          </w:tcPr>
          <w:p>
            <w:pPr>
              <w:spacing w:after="0"/>
              <w:rPr>
                <w:sz w:val="21"/>
                <w:szCs w:val="21"/>
                <w:color w:val="auto"/>
              </w:rPr>
            </w:pPr>
          </w:p>
        </w:tc>
        <w:tc>
          <w:tcPr>
            <w:tcW w:w="260" w:type="dxa"/>
            <w:vAlign w:val="bottom"/>
            <w:tcBorders>
              <w:right w:val="single" w:sz="8" w:color="231F20"/>
            </w:tcBorders>
          </w:tcPr>
          <w:p>
            <w:pPr>
              <w:spacing w:after="0"/>
              <w:rPr>
                <w:sz w:val="21"/>
                <w:szCs w:val="21"/>
                <w:color w:val="auto"/>
              </w:rPr>
            </w:pPr>
          </w:p>
        </w:tc>
        <w:tc>
          <w:tcPr>
            <w:tcW w:w="880" w:type="dxa"/>
            <w:vAlign w:val="bottom"/>
            <w:tcBorders>
              <w:bottom w:val="single" w:sz="8" w:color="231F20"/>
            </w:tcBorders>
          </w:tcPr>
          <w:p>
            <w:pPr>
              <w:spacing w:after="0"/>
              <w:rPr>
                <w:sz w:val="21"/>
                <w:szCs w:val="21"/>
                <w:color w:val="auto"/>
              </w:rPr>
            </w:pPr>
          </w:p>
        </w:tc>
        <w:tc>
          <w:tcPr>
            <w:tcW w:w="1000" w:type="dxa"/>
            <w:vAlign w:val="bottom"/>
            <w:tcBorders>
              <w:bottom w:val="single" w:sz="8" w:color="231F20"/>
            </w:tcBorders>
          </w:tcPr>
          <w:p>
            <w:pPr>
              <w:spacing w:after="0"/>
              <w:rPr>
                <w:sz w:val="21"/>
                <w:szCs w:val="21"/>
                <w:color w:val="auto"/>
              </w:rPr>
            </w:pPr>
          </w:p>
        </w:tc>
        <w:tc>
          <w:tcPr>
            <w:tcW w:w="100" w:type="dxa"/>
            <w:vAlign w:val="bottom"/>
            <w:tcBorders>
              <w:bottom w:val="single" w:sz="8" w:color="231F20"/>
            </w:tcBorders>
          </w:tcPr>
          <w:p>
            <w:pPr>
              <w:spacing w:after="0"/>
              <w:rPr>
                <w:sz w:val="21"/>
                <w:szCs w:val="21"/>
                <w:color w:val="auto"/>
              </w:rPr>
            </w:pPr>
          </w:p>
        </w:tc>
        <w:tc>
          <w:tcPr>
            <w:tcW w:w="20" w:type="dxa"/>
            <w:vAlign w:val="bottom"/>
            <w:tcBorders>
              <w:bottom w:val="single" w:sz="8" w:color="231F20"/>
            </w:tcBorders>
          </w:tcPr>
          <w:p>
            <w:pPr>
              <w:spacing w:after="0"/>
              <w:rPr>
                <w:sz w:val="21"/>
                <w:szCs w:val="21"/>
                <w:color w:val="auto"/>
              </w:rPr>
            </w:pPr>
          </w:p>
        </w:tc>
        <w:tc>
          <w:tcPr>
            <w:tcW w:w="1180" w:type="dxa"/>
            <w:vAlign w:val="bottom"/>
            <w:tcBorders>
              <w:bottom w:val="single" w:sz="8" w:color="231F20"/>
              <w:right w:val="single" w:sz="8" w:color="231F20"/>
            </w:tcBorders>
          </w:tcPr>
          <w:p>
            <w:pPr>
              <w:spacing w:after="0"/>
              <w:rPr>
                <w:sz w:val="21"/>
                <w:szCs w:val="21"/>
                <w:color w:val="auto"/>
              </w:rPr>
            </w:pPr>
          </w:p>
        </w:tc>
        <w:tc>
          <w:tcPr>
            <w:tcW w:w="240" w:type="dxa"/>
            <w:vAlign w:val="bottom"/>
            <w:tcBorders>
              <w:right w:val="single" w:sz="8" w:color="231F20"/>
            </w:tcBorders>
          </w:tcPr>
          <w:p>
            <w:pPr>
              <w:spacing w:after="0"/>
              <w:rPr>
                <w:sz w:val="21"/>
                <w:szCs w:val="21"/>
                <w:color w:val="auto"/>
              </w:rPr>
            </w:pPr>
          </w:p>
        </w:tc>
        <w:tc>
          <w:tcPr>
            <w:tcW w:w="260" w:type="dxa"/>
            <w:vAlign w:val="bottom"/>
            <w:tcBorders>
              <w:bottom w:val="single" w:sz="8" w:color="231F20"/>
            </w:tcBorders>
          </w:tcPr>
          <w:p>
            <w:pPr>
              <w:spacing w:after="0"/>
              <w:rPr>
                <w:sz w:val="21"/>
                <w:szCs w:val="21"/>
                <w:color w:val="auto"/>
              </w:rPr>
            </w:pPr>
          </w:p>
        </w:tc>
        <w:tc>
          <w:tcPr>
            <w:tcW w:w="160" w:type="dxa"/>
            <w:vAlign w:val="bottom"/>
            <w:tcBorders>
              <w:bottom w:val="single" w:sz="8" w:color="231F20"/>
            </w:tcBorders>
          </w:tcPr>
          <w:p>
            <w:pPr>
              <w:spacing w:after="0"/>
              <w:rPr>
                <w:sz w:val="21"/>
                <w:szCs w:val="21"/>
                <w:color w:val="auto"/>
              </w:rPr>
            </w:pPr>
          </w:p>
        </w:tc>
        <w:tc>
          <w:tcPr>
            <w:tcW w:w="220" w:type="dxa"/>
            <w:vAlign w:val="bottom"/>
            <w:tcBorders>
              <w:bottom w:val="single" w:sz="8" w:color="231F20"/>
            </w:tcBorders>
          </w:tcPr>
          <w:p>
            <w:pPr>
              <w:spacing w:after="0"/>
              <w:rPr>
                <w:sz w:val="21"/>
                <w:szCs w:val="21"/>
                <w:color w:val="auto"/>
              </w:rPr>
            </w:pPr>
          </w:p>
        </w:tc>
        <w:tc>
          <w:tcPr>
            <w:tcW w:w="860" w:type="dxa"/>
            <w:vAlign w:val="bottom"/>
            <w:tcBorders>
              <w:bottom w:val="single" w:sz="8" w:color="231F20"/>
            </w:tcBorders>
          </w:tcPr>
          <w:p>
            <w:pPr>
              <w:spacing w:after="0"/>
              <w:rPr>
                <w:sz w:val="21"/>
                <w:szCs w:val="21"/>
                <w:color w:val="auto"/>
              </w:rPr>
            </w:pPr>
          </w:p>
        </w:tc>
        <w:tc>
          <w:tcPr>
            <w:tcW w:w="1540" w:type="dxa"/>
            <w:vAlign w:val="bottom"/>
            <w:tcBorders>
              <w:bottom w:val="single" w:sz="8" w:color="231F20"/>
              <w:right w:val="single" w:sz="8" w:color="231F20"/>
            </w:tcBorders>
          </w:tcPr>
          <w:p>
            <w:pPr>
              <w:spacing w:after="0"/>
              <w:rPr>
                <w:sz w:val="21"/>
                <w:szCs w:val="21"/>
                <w:color w:val="auto"/>
              </w:rPr>
            </w:pPr>
          </w:p>
        </w:tc>
        <w:tc>
          <w:tcPr>
            <w:tcW w:w="0" w:type="dxa"/>
            <w:vAlign w:val="bottom"/>
          </w:tcPr>
          <w:p>
            <w:pPr>
              <w:spacing w:after="0"/>
              <w:rPr>
                <w:sz w:val="1"/>
                <w:szCs w:val="1"/>
                <w:color w:val="auto"/>
              </w:rPr>
            </w:pPr>
          </w:p>
        </w:tc>
      </w:tr>
      <w:tr>
        <w:trPr>
          <w:trHeight w:val="376"/>
        </w:trPr>
        <w:tc>
          <w:tcPr>
            <w:tcW w:w="3120" w:type="dxa"/>
            <w:vAlign w:val="bottom"/>
            <w:gridSpan w:val="4"/>
          </w:tcPr>
          <w:p>
            <w:pPr>
              <w:jc w:val="center"/>
              <w:spacing w:after="0"/>
              <w:rPr>
                <w:sz w:val="20"/>
                <w:szCs w:val="20"/>
                <w:color w:val="auto"/>
              </w:rPr>
            </w:pPr>
            <w:r>
              <w:rPr>
                <w:rFonts w:ascii="Arial" w:cs="Arial" w:eastAsia="Arial" w:hAnsi="Arial"/>
                <w:sz w:val="18"/>
                <w:szCs w:val="18"/>
                <w:color w:val="231F20"/>
              </w:rPr>
              <w:t>Average age of independent trustees</w:t>
            </w:r>
          </w:p>
        </w:tc>
        <w:tc>
          <w:tcPr>
            <w:tcW w:w="260" w:type="dxa"/>
            <w:vAlign w:val="bottom"/>
          </w:tcPr>
          <w:p>
            <w:pPr>
              <w:spacing w:after="0"/>
              <w:rPr>
                <w:sz w:val="24"/>
                <w:szCs w:val="24"/>
                <w:color w:val="auto"/>
              </w:rPr>
            </w:pPr>
          </w:p>
        </w:tc>
        <w:tc>
          <w:tcPr>
            <w:tcW w:w="3180" w:type="dxa"/>
            <w:vAlign w:val="bottom"/>
            <w:gridSpan w:val="5"/>
          </w:tcPr>
          <w:p>
            <w:pPr>
              <w:spacing w:after="0"/>
              <w:rPr>
                <w:sz w:val="20"/>
                <w:szCs w:val="20"/>
                <w:color w:val="auto"/>
              </w:rPr>
            </w:pPr>
            <w:r>
              <w:rPr>
                <w:rFonts w:ascii="Arial" w:cs="Arial" w:eastAsia="Arial" w:hAnsi="Arial"/>
                <w:sz w:val="18"/>
                <w:szCs w:val="18"/>
                <w:color w:val="231F20"/>
                <w:w w:val="99"/>
              </w:rPr>
              <w:t>Average tenure of independent trustees</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780" w:type="dxa"/>
            <w:vAlign w:val="bottom"/>
            <w:gridSpan w:val="4"/>
          </w:tcPr>
          <w:p>
            <w:pPr>
              <w:jc w:val="center"/>
              <w:ind w:right="195"/>
              <w:spacing w:after="0"/>
              <w:rPr>
                <w:sz w:val="20"/>
                <w:szCs w:val="20"/>
                <w:color w:val="auto"/>
              </w:rPr>
            </w:pPr>
            <w:r>
              <w:rPr>
                <w:rFonts w:ascii="Arial" w:cs="Arial" w:eastAsia="Arial" w:hAnsi="Arial"/>
                <w:sz w:val="18"/>
                <w:szCs w:val="18"/>
                <w:color w:val="231F20"/>
                <w:w w:val="99"/>
              </w:rPr>
              <w:t>Committees chaired by women</w:t>
            </w:r>
          </w:p>
        </w:tc>
        <w:tc>
          <w:tcPr>
            <w:tcW w:w="0" w:type="dxa"/>
            <w:vAlign w:val="bottom"/>
          </w:tcPr>
          <w:p>
            <w:pPr>
              <w:spacing w:after="0"/>
              <w:rPr>
                <w:sz w:val="1"/>
                <w:szCs w:val="1"/>
                <w:color w:val="auto"/>
              </w:rPr>
            </w:pPr>
          </w:p>
        </w:tc>
      </w:tr>
      <w:tr>
        <w:trPr>
          <w:trHeight w:val="220"/>
        </w:trPr>
        <w:tc>
          <w:tcPr>
            <w:tcW w:w="1080" w:type="dxa"/>
            <w:vAlign w:val="bottom"/>
          </w:tcPr>
          <w:p>
            <w:pPr>
              <w:spacing w:after="0"/>
              <w:rPr>
                <w:sz w:val="19"/>
                <w:szCs w:val="19"/>
                <w:color w:val="auto"/>
              </w:rPr>
            </w:pPr>
          </w:p>
        </w:tc>
        <w:tc>
          <w:tcPr>
            <w:tcW w:w="1460" w:type="dxa"/>
            <w:vAlign w:val="bottom"/>
          </w:tcPr>
          <w:p>
            <w:pPr>
              <w:jc w:val="center"/>
              <w:ind w:right="410"/>
              <w:spacing w:after="0"/>
              <w:rPr>
                <w:sz w:val="20"/>
                <w:szCs w:val="20"/>
                <w:color w:val="auto"/>
              </w:rPr>
            </w:pPr>
            <w:r>
              <w:rPr>
                <w:rFonts w:ascii="Arial" w:cs="Arial" w:eastAsia="Arial" w:hAnsi="Arial"/>
                <w:sz w:val="18"/>
                <w:szCs w:val="18"/>
                <w:b w:val="1"/>
                <w:bCs w:val="1"/>
                <w:color w:val="EF3E2A"/>
              </w:rPr>
              <w:t>62.6 years</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120" w:type="dxa"/>
            <w:vAlign w:val="bottom"/>
            <w:gridSpan w:val="3"/>
          </w:tcPr>
          <w:p>
            <w:pPr>
              <w:ind w:left="300"/>
              <w:spacing w:after="0"/>
              <w:rPr>
                <w:sz w:val="20"/>
                <w:szCs w:val="20"/>
                <w:color w:val="auto"/>
              </w:rPr>
            </w:pPr>
            <w:r>
              <w:rPr>
                <w:rFonts w:ascii="Arial" w:cs="Arial" w:eastAsia="Arial" w:hAnsi="Arial"/>
                <w:sz w:val="18"/>
                <w:szCs w:val="18"/>
                <w:b w:val="1"/>
                <w:bCs w:val="1"/>
                <w:color w:val="EF3E2A"/>
              </w:rPr>
              <w:t>9.7 years</w:t>
            </w: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0" w:type="dxa"/>
            <w:vAlign w:val="bottom"/>
            <w:gridSpan w:val="2"/>
          </w:tcPr>
          <w:p>
            <w:pPr>
              <w:jc w:val="center"/>
              <w:ind w:right="555"/>
              <w:spacing w:after="0"/>
              <w:rPr>
                <w:sz w:val="20"/>
                <w:szCs w:val="20"/>
                <w:color w:val="auto"/>
              </w:rPr>
            </w:pPr>
            <w:r>
              <w:rPr>
                <w:rFonts w:ascii="Arial" w:cs="Arial" w:eastAsia="Arial" w:hAnsi="Arial"/>
                <w:sz w:val="18"/>
                <w:szCs w:val="18"/>
                <w:b w:val="1"/>
                <w:bCs w:val="1"/>
                <w:color w:val="EF3E2A"/>
                <w:w w:val="99"/>
              </w:rPr>
              <w:t>67%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wp:posOffset>
            </wp:positionH>
            <wp:positionV relativeFrom="paragraph">
              <wp:posOffset>-1445895</wp:posOffset>
            </wp:positionV>
            <wp:extent cx="870585" cy="87058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73">
                      <a:extLst>
                        <a:ext uri="{28A0092B-C50C-407E-A947-70E740481C1C}"/>
                      </a:extLst>
                    </a:blip>
                    <a:srcRect/>
                    <a:stretch>
                      <a:fillRect/>
                    </a:stretch>
                  </pic:blipFill>
                  <pic:spPr bwMode="auto">
                    <a:xfrm>
                      <a:off x="0" y="0"/>
                      <a:ext cx="870585" cy="870585"/>
                    </a:xfrm>
                    <a:prstGeom prst="rect">
                      <a:avLst/>
                    </a:prstGeom>
                    <a:noFill/>
                  </pic:spPr>
                </pic:pic>
              </a:graphicData>
            </a:graphic>
          </wp:anchor>
        </w:drawing>
        <w:drawing>
          <wp:anchor simplePos="0" relativeHeight="251657728" behindDoc="1" locked="0" layoutInCell="0" allowOverlap="1">
            <wp:simplePos x="0" y="0"/>
            <wp:positionH relativeFrom="column">
              <wp:posOffset>2359025</wp:posOffset>
            </wp:positionH>
            <wp:positionV relativeFrom="paragraph">
              <wp:posOffset>-1480185</wp:posOffset>
            </wp:positionV>
            <wp:extent cx="969645" cy="92900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74">
                      <a:extLst>
                        <a:ext uri="{28A0092B-C50C-407E-A947-70E740481C1C}"/>
                      </a:extLst>
                    </a:blip>
                    <a:srcRect/>
                    <a:stretch>
                      <a:fillRect/>
                    </a:stretch>
                  </pic:blipFill>
                  <pic:spPr bwMode="auto">
                    <a:xfrm>
                      <a:off x="0" y="0"/>
                      <a:ext cx="969645" cy="929005"/>
                    </a:xfrm>
                    <a:prstGeom prst="rect">
                      <a:avLst/>
                    </a:prstGeom>
                    <a:noFill/>
                  </pic:spPr>
                </pic:pic>
              </a:graphicData>
            </a:graphic>
          </wp:anchor>
        </w:drawing>
      </w:r>
    </w:p>
    <w:p>
      <w:pPr>
        <w:spacing w:after="0" w:line="198" w:lineRule="exact"/>
        <w:rPr>
          <w:sz w:val="20"/>
          <w:szCs w:val="20"/>
          <w:color w:val="auto"/>
        </w:rPr>
      </w:pPr>
    </w:p>
    <w:p>
      <w:pPr>
        <w:spacing w:after="0" w:line="268" w:lineRule="exact"/>
        <w:rPr>
          <w:sz w:val="20"/>
          <w:szCs w:val="20"/>
          <w:color w:val="auto"/>
        </w:rPr>
      </w:pPr>
      <w:r>
        <w:rPr>
          <w:rFonts w:ascii="Arial Unicode MS" w:cs="Arial Unicode MS" w:eastAsia="Arial Unicode MS" w:hAnsi="Arial Unicode MS"/>
          <w:sz w:val="20"/>
          <w:szCs w:val="20"/>
          <w:color w:val="EF3E2A"/>
        </w:rPr>
        <w:t>➣</w:t>
      </w:r>
      <w:r>
        <w:rPr>
          <w:rFonts w:ascii="Arial" w:cs="Arial" w:eastAsia="Arial" w:hAnsi="Arial"/>
          <w:sz w:val="20"/>
          <w:szCs w:val="20"/>
          <w:b w:val="1"/>
          <w:bCs w:val="1"/>
          <w:color w:val="231F20"/>
        </w:rPr>
        <w:t xml:space="preserve"> OUR NOMINEES</w:t>
      </w:r>
    </w:p>
    <w:p>
      <w:pPr>
        <w:spacing w:after="0" w:line="255"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231F20"/>
        </w:rPr>
        <w:t>The following biographical descriptions set forth certain information with respect to each nominee for election at the Annual Meeting as well as the specific experience, qualifications, attributes and skills that led to our Board’s conclusion that each nominee should serve as a trustee of our Company.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4057650</wp:posOffset>
                </wp:positionV>
                <wp:extent cx="6400800" cy="177800"/>
                <wp:wrapNone/>
                <wp:docPr id="255" name="Shape 2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177800"/>
                        </a:xfrm>
                        <a:prstGeom prst="rect">
                          <a:avLst/>
                        </a:prstGeom>
                        <a:solidFill>
                          <a:srgbClr val="E8E7E5"/>
                        </a:solidFill>
                      </wps:spPr>
                      <wps:bodyPr/>
                    </wps:wsp>
                  </a:graphicData>
                </a:graphic>
              </wp:anchor>
            </w:drawing>
          </mc:Choice>
          <mc:Fallback>
            <w:pict>
              <v:rect id="Shape 255" o:spid="_x0000_s1280" style="position:absolute;margin-left:0pt;margin-top:319.5pt;width:504pt;height:1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8E7E5" stroked="f"/>
            </w:pict>
          </mc:Fallback>
        </mc:AlternateContent>
        <mc:AlternateContent>
          <mc:Choice Requires="wps">
            <w:drawing>
              <wp:anchor simplePos="0" relativeHeight="251657728" behindDoc="1" locked="0" layoutInCell="0" allowOverlap="1">
                <wp:simplePos x="0" y="0"/>
                <wp:positionH relativeFrom="column">
                  <wp:posOffset>6350</wp:posOffset>
                </wp:positionH>
                <wp:positionV relativeFrom="paragraph">
                  <wp:posOffset>4057650</wp:posOffset>
                </wp:positionV>
                <wp:extent cx="0" cy="177800"/>
                <wp:wrapNone/>
                <wp:docPr id="256" name="Shape 2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256" o:spid="_x0000_s12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pt,319.5pt" to="0.5pt,333.5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4064000</wp:posOffset>
                </wp:positionV>
                <wp:extent cx="6400800" cy="0"/>
                <wp:wrapNone/>
                <wp:docPr id="257" name="Shape 2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257" o:spid="_x0000_s12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20pt" to="504pt,320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6394450</wp:posOffset>
                </wp:positionH>
                <wp:positionV relativeFrom="paragraph">
                  <wp:posOffset>4057650</wp:posOffset>
                </wp:positionV>
                <wp:extent cx="0" cy="177800"/>
                <wp:wrapNone/>
                <wp:docPr id="258" name="Shape 2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258" o:spid="_x0000_s12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3.5pt,319.5pt" to="503.5pt,333.5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4229100</wp:posOffset>
                </wp:positionV>
                <wp:extent cx="6400800" cy="0"/>
                <wp:wrapNone/>
                <wp:docPr id="259" name="Shape 2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259" o:spid="_x0000_s12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33pt" to="504pt,333pt" o:allowincell="f" strokecolor="#231F20" strokeweight="1pt"/>
            </w:pict>
          </mc:Fallback>
        </mc:AlternateContent>
      </w:r>
    </w:p>
    <w:p>
      <w:pPr>
        <w:sectPr>
          <w:pgSz w:w="11880" w:h="15480" w:orient="portrait"/>
          <w:cols w:equalWidth="0" w:num="1">
            <w:col w:w="10080"/>
          </w:cols>
          <w:pgMar w:left="900" w:top="1272" w:right="900" w:bottom="76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6720"/>
        <w:spacing w:after="0"/>
        <w:tabs>
          <w:tab w:leader="none" w:pos="8060" w:val="left"/>
          <w:tab w:leader="none" w:pos="9800" w:val="left"/>
        </w:tabs>
        <w:rPr>
          <w:sz w:val="20"/>
          <w:szCs w:val="20"/>
          <w:color w:val="auto"/>
        </w:rPr>
      </w:pPr>
      <w:r>
        <w:rPr>
          <w:rFonts w:ascii="Arial" w:cs="Arial" w:eastAsia="Arial" w:hAnsi="Arial"/>
          <w:sz w:val="16"/>
          <w:szCs w:val="16"/>
          <w:color w:val="EF3E2A"/>
        </w:rPr>
        <w:t>Federal Realty</w:t>
      </w:r>
      <w:r>
        <w:rPr>
          <w:sz w:val="20"/>
          <w:szCs w:val="20"/>
          <w:color w:val="auto"/>
        </w:rPr>
        <w:tab/>
      </w:r>
      <w:r>
        <w:rPr>
          <w:rFonts w:ascii="Arial" w:cs="Arial" w:eastAsia="Arial" w:hAnsi="Arial"/>
          <w:sz w:val="16"/>
          <w:szCs w:val="16"/>
          <w:color w:val="231F20"/>
        </w:rPr>
        <w:t>2026 Proxy Statement</w:t>
        <w:tab/>
        <w:t>13</w:t>
      </w:r>
    </w:p>
    <w:p>
      <w:pPr>
        <w:sectPr>
          <w:pgSz w:w="11880" w:h="15480" w:orient="portrait"/>
          <w:cols w:equalWidth="0" w:num="1">
            <w:col w:w="10080"/>
          </w:cols>
          <w:pgMar w:left="900" w:top="1272" w:right="900" w:bottom="763" w:gutter="0" w:footer="0" w:header="0"/>
          <w:type w:val="continuous"/>
        </w:sectPr>
      </w:pPr>
    </w:p>
    <w:bookmarkStart w:id="133" w:name="page134"/>
    <w:bookmarkEnd w:id="133"/>
    <w:p>
      <w:pPr>
        <w:spacing w:after="0" w:line="3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571500</wp:posOffset>
            </wp:positionH>
            <wp:positionV relativeFrom="page">
              <wp:posOffset>800100</wp:posOffset>
            </wp:positionV>
            <wp:extent cx="6400800" cy="76962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75">
                      <a:extLst>
                        <a:ext uri="{28A0092B-C50C-407E-A947-70E740481C1C}"/>
                      </a:extLst>
                    </a:blip>
                    <a:srcRect/>
                    <a:stretch>
                      <a:fillRect/>
                    </a:stretch>
                  </pic:blipFill>
                  <pic:spPr bwMode="auto">
                    <a:xfrm>
                      <a:off x="0" y="0"/>
                      <a:ext cx="6400800" cy="7696200"/>
                    </a:xfrm>
                    <a:prstGeom prst="rect">
                      <a:avLst/>
                    </a:prstGeom>
                    <a:noFill/>
                  </pic:spPr>
                </pic:pic>
              </a:graphicData>
            </a:graphic>
          </wp:anchor>
        </w:drawing>
      </w:r>
    </w:p>
    <w:p>
      <w:pPr>
        <w:ind w:left="2420"/>
        <w:spacing w:after="0"/>
        <w:rPr>
          <w:sz w:val="20"/>
          <w:szCs w:val="20"/>
          <w:color w:val="auto"/>
        </w:rPr>
      </w:pPr>
      <w:r>
        <w:rPr>
          <w:rFonts w:ascii="Arial" w:cs="Arial" w:eastAsia="Arial" w:hAnsi="Arial"/>
          <w:sz w:val="20"/>
          <w:szCs w:val="20"/>
          <w:b w:val="1"/>
          <w:bCs w:val="1"/>
          <w:color w:val="231F20"/>
        </w:rPr>
        <w:t>DAVID W. FAEDER</w:t>
      </w:r>
    </w:p>
    <w:p>
      <w:pPr>
        <w:ind w:left="2420"/>
        <w:spacing w:after="0" w:line="225" w:lineRule="auto"/>
        <w:rPr>
          <w:sz w:val="20"/>
          <w:szCs w:val="20"/>
          <w:color w:val="auto"/>
        </w:rPr>
      </w:pPr>
      <w:r>
        <w:rPr>
          <w:rFonts w:ascii="Arial" w:cs="Arial" w:eastAsia="Arial" w:hAnsi="Arial"/>
          <w:sz w:val="20"/>
          <w:szCs w:val="20"/>
          <w:color w:val="231F20"/>
        </w:rPr>
        <w:t>Age: 69</w:t>
      </w:r>
    </w:p>
    <w:p>
      <w:pPr>
        <w:ind w:left="2420"/>
        <w:spacing w:after="0" w:line="225" w:lineRule="auto"/>
        <w:rPr>
          <w:sz w:val="20"/>
          <w:szCs w:val="20"/>
          <w:color w:val="auto"/>
        </w:rPr>
      </w:pPr>
      <w:r>
        <w:rPr>
          <w:rFonts w:ascii="Arial" w:cs="Arial" w:eastAsia="Arial" w:hAnsi="Arial"/>
          <w:sz w:val="20"/>
          <w:szCs w:val="20"/>
          <w:color w:val="231F20"/>
        </w:rPr>
        <w:t>Trustee Since: 2003</w:t>
      </w:r>
    </w:p>
    <w:p>
      <w:pPr>
        <w:ind w:left="2420"/>
        <w:spacing w:after="0" w:line="228" w:lineRule="auto"/>
        <w:rPr>
          <w:sz w:val="20"/>
          <w:szCs w:val="20"/>
          <w:color w:val="auto"/>
        </w:rPr>
      </w:pPr>
      <w:r>
        <w:rPr>
          <w:rFonts w:ascii="Arial" w:cs="Arial" w:eastAsia="Arial" w:hAnsi="Arial"/>
          <w:sz w:val="20"/>
          <w:szCs w:val="20"/>
          <w:b w:val="1"/>
          <w:bCs w:val="1"/>
          <w:color w:val="231F20"/>
        </w:rPr>
        <w:t>Non-Executive Chairman</w:t>
      </w:r>
    </w:p>
    <w:p>
      <w:pPr>
        <w:ind w:left="2420"/>
        <w:spacing w:after="0" w:line="225" w:lineRule="auto"/>
        <w:rPr>
          <w:sz w:val="20"/>
          <w:szCs w:val="20"/>
          <w:color w:val="auto"/>
        </w:rPr>
      </w:pPr>
      <w:r>
        <w:rPr>
          <w:rFonts w:ascii="Arial" w:cs="Arial" w:eastAsia="Arial" w:hAnsi="Arial"/>
          <w:sz w:val="20"/>
          <w:szCs w:val="20"/>
          <w:color w:val="231F20"/>
        </w:rPr>
        <w:t>Managing Partner of</w:t>
      </w:r>
    </w:p>
    <w:p>
      <w:pPr>
        <w:ind w:left="2420"/>
        <w:spacing w:after="0" w:line="235" w:lineRule="auto"/>
        <w:rPr>
          <w:sz w:val="20"/>
          <w:szCs w:val="20"/>
          <w:color w:val="auto"/>
        </w:rPr>
      </w:pPr>
      <w:r>
        <w:rPr>
          <w:rFonts w:ascii="Arial" w:cs="Arial" w:eastAsia="Arial" w:hAnsi="Arial"/>
          <w:sz w:val="19"/>
          <w:szCs w:val="19"/>
          <w:color w:val="231F20"/>
        </w:rPr>
        <w:t>Fountain Square Properties</w:t>
      </w:r>
    </w:p>
    <w:p>
      <w:pPr>
        <w:ind w:left="2420"/>
        <w:spacing w:after="0" w:line="226" w:lineRule="auto"/>
        <w:rPr>
          <w:sz w:val="20"/>
          <w:szCs w:val="20"/>
          <w:color w:val="auto"/>
        </w:rPr>
      </w:pPr>
      <w:r>
        <w:rPr>
          <w:rFonts w:ascii="Arial" w:cs="Arial" w:eastAsia="Arial" w:hAnsi="Arial"/>
          <w:sz w:val="20"/>
          <w:szCs w:val="20"/>
          <w:color w:val="231F20"/>
        </w:rPr>
        <w:t>and Managing Member of</w:t>
      </w:r>
    </w:p>
    <w:p>
      <w:pPr>
        <w:ind w:left="2420"/>
        <w:spacing w:after="0" w:line="225" w:lineRule="auto"/>
        <w:rPr>
          <w:sz w:val="20"/>
          <w:szCs w:val="20"/>
          <w:color w:val="auto"/>
        </w:rPr>
      </w:pPr>
      <w:r>
        <w:rPr>
          <w:rFonts w:ascii="Arial" w:cs="Arial" w:eastAsia="Arial" w:hAnsi="Arial"/>
          <w:sz w:val="20"/>
          <w:szCs w:val="20"/>
          <w:color w:val="231F20"/>
        </w:rPr>
        <w:t>Kensington Senior Living</w:t>
      </w:r>
    </w:p>
    <w:p>
      <w:pPr>
        <w:spacing w:after="0" w:line="350" w:lineRule="exact"/>
        <w:rPr>
          <w:sz w:val="20"/>
          <w:szCs w:val="20"/>
          <w:color w:val="auto"/>
        </w:rPr>
      </w:pPr>
    </w:p>
    <w:p>
      <w:pPr>
        <w:jc w:val="both"/>
        <w:ind w:left="340" w:right="60"/>
        <w:spacing w:after="0" w:line="217" w:lineRule="auto"/>
        <w:rPr>
          <w:sz w:val="20"/>
          <w:szCs w:val="20"/>
          <w:color w:val="auto"/>
        </w:rPr>
      </w:pPr>
      <w:r>
        <w:rPr>
          <w:rFonts w:ascii="Arial" w:cs="Arial" w:eastAsia="Arial" w:hAnsi="Arial"/>
          <w:sz w:val="20"/>
          <w:szCs w:val="20"/>
          <w:color w:val="231F20"/>
        </w:rPr>
        <w:t>Mr. Faeder has been the managing partner of Fountain Square Properties since 2003 and managing member of Kensington Senior Living since 2011, both of which are focused on the ownership, operation and development of senior housing. Prior to that, he held various positions at Sunrise Senior Living from 1993 to 2003. Those positions included Vice Chairman, President and Executive Vice President-Chief Financial Officer. Mr. Faeder began his career in public accounting before moving into investment banking immediately prior to joining Sunrise. Mr. Faeder received a BS in Business Administration from Old Dominion University and an MBA from the Colgate Darden Graduate School of Business at the University of Virginia. Mr. Faeder has been designated by the Board as an audit committee financial expert in accordance with the SEC definition.</w:t>
      </w:r>
    </w:p>
    <w:p>
      <w:pPr>
        <w:spacing w:after="0" w:line="215" w:lineRule="exact"/>
        <w:rPr>
          <w:sz w:val="20"/>
          <w:szCs w:val="20"/>
          <w:color w:val="auto"/>
        </w:rPr>
      </w:pPr>
    </w:p>
    <w:p>
      <w:pPr>
        <w:ind w:left="340"/>
        <w:spacing w:after="0"/>
        <w:rPr>
          <w:sz w:val="20"/>
          <w:szCs w:val="20"/>
          <w:color w:val="auto"/>
        </w:rPr>
      </w:pPr>
      <w:r>
        <w:rPr>
          <w:rFonts w:ascii="Arial" w:cs="Arial" w:eastAsia="Arial" w:hAnsi="Arial"/>
          <w:sz w:val="20"/>
          <w:szCs w:val="20"/>
          <w:b w:val="1"/>
          <w:bCs w:val="1"/>
          <w:color w:val="231F20"/>
        </w:rPr>
        <w:t>Skills and Qualifications</w:t>
      </w:r>
    </w:p>
    <w:p>
      <w:pPr>
        <w:jc w:val="both"/>
        <w:ind w:left="340" w:right="60"/>
        <w:spacing w:after="0" w:line="216" w:lineRule="auto"/>
        <w:rPr>
          <w:sz w:val="20"/>
          <w:szCs w:val="20"/>
          <w:color w:val="auto"/>
        </w:rPr>
      </w:pPr>
      <w:r>
        <w:rPr>
          <w:rFonts w:ascii="Arial" w:cs="Arial" w:eastAsia="Arial" w:hAnsi="Arial"/>
          <w:sz w:val="20"/>
          <w:szCs w:val="20"/>
          <w:color w:val="231F20"/>
        </w:rPr>
        <w:t>Mr. Faeder has deep levels of experience in leadership, real estate investment and development as well as finance and accounting acquired from his time as a private investor and as a public company real estate CFO coupled with his public company and accounting background. This experience provides valuable perspective on our investment decisions, alignment of our capital structure to support those investments and on our financial reporting. His experience in senior living also provides valuable insights for a growing area that could be a source of additional value creation at a number of our properties.</w:t>
      </w:r>
    </w:p>
    <w:p>
      <w:pPr>
        <w:spacing w:after="0" w:line="219" w:lineRule="exact"/>
        <w:rPr>
          <w:sz w:val="20"/>
          <w:szCs w:val="20"/>
          <w:color w:val="auto"/>
        </w:rPr>
      </w:pPr>
    </w:p>
    <w:p>
      <w:pPr>
        <w:ind w:left="340"/>
        <w:spacing w:after="0"/>
        <w:rPr>
          <w:sz w:val="20"/>
          <w:szCs w:val="20"/>
          <w:color w:val="auto"/>
        </w:rPr>
      </w:pPr>
      <w:r>
        <w:rPr>
          <w:rFonts w:ascii="Arial" w:cs="Arial" w:eastAsia="Arial" w:hAnsi="Arial"/>
          <w:sz w:val="20"/>
          <w:szCs w:val="20"/>
          <w:b w:val="1"/>
          <w:bCs w:val="1"/>
          <w:color w:val="231F20"/>
        </w:rPr>
        <w:t>Prior Public Company Directorships:</w:t>
      </w:r>
    </w:p>
    <w:p>
      <w:pPr>
        <w:ind w:left="340"/>
        <w:spacing w:after="0" w:line="213" w:lineRule="auto"/>
        <w:rPr>
          <w:sz w:val="20"/>
          <w:szCs w:val="20"/>
          <w:color w:val="auto"/>
        </w:rPr>
      </w:pPr>
      <w:r>
        <w:rPr>
          <w:rFonts w:ascii="Arial" w:cs="Arial" w:eastAsia="Arial" w:hAnsi="Arial"/>
          <w:sz w:val="20"/>
          <w:szCs w:val="20"/>
          <w:color w:val="231F20"/>
        </w:rPr>
        <w:t>Arlington Asset Investment Corp. (until 2023)</w:t>
      </w:r>
    </w:p>
    <w:p>
      <w:pPr>
        <w:spacing w:after="0" w:line="220" w:lineRule="exact"/>
        <w:rPr>
          <w:sz w:val="20"/>
          <w:szCs w:val="20"/>
          <w:color w:val="auto"/>
        </w:rPr>
      </w:pPr>
    </w:p>
    <w:p>
      <w:pPr>
        <w:ind w:left="340"/>
        <w:spacing w:after="0"/>
        <w:rPr>
          <w:sz w:val="20"/>
          <w:szCs w:val="20"/>
          <w:color w:val="auto"/>
        </w:rPr>
      </w:pPr>
      <w:r>
        <w:rPr>
          <w:rFonts w:ascii="Arial" w:cs="Arial" w:eastAsia="Arial" w:hAnsi="Arial"/>
          <w:sz w:val="20"/>
          <w:szCs w:val="20"/>
          <w:b w:val="1"/>
          <w:bCs w:val="1"/>
          <w:color w:val="231F20"/>
        </w:rPr>
        <w:t>Committees:</w:t>
      </w:r>
    </w:p>
    <w:p>
      <w:pPr>
        <w:ind w:left="340"/>
        <w:spacing w:after="0" w:line="216" w:lineRule="auto"/>
        <w:rPr>
          <w:sz w:val="20"/>
          <w:szCs w:val="20"/>
          <w:color w:val="auto"/>
        </w:rPr>
      </w:pPr>
      <w:r>
        <w:rPr>
          <w:rFonts w:ascii="Arial" w:cs="Arial" w:eastAsia="Arial" w:hAnsi="Arial"/>
          <w:sz w:val="20"/>
          <w:szCs w:val="20"/>
          <w:color w:val="231F20"/>
        </w:rPr>
        <w:t>Audit Committee</w:t>
      </w:r>
    </w:p>
    <w:p>
      <w:pPr>
        <w:ind w:left="340"/>
        <w:spacing w:after="0" w:line="213" w:lineRule="auto"/>
        <w:rPr>
          <w:sz w:val="20"/>
          <w:szCs w:val="20"/>
          <w:color w:val="auto"/>
        </w:rPr>
      </w:pPr>
      <w:r>
        <w:rPr>
          <w:rFonts w:ascii="Arial" w:cs="Arial" w:eastAsia="Arial" w:hAnsi="Arial"/>
          <w:sz w:val="20"/>
          <w:szCs w:val="20"/>
          <w:color w:val="231F20"/>
        </w:rPr>
        <w:t>Nominating Committee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-50165</wp:posOffset>
                </wp:positionH>
                <wp:positionV relativeFrom="paragraph">
                  <wp:posOffset>773430</wp:posOffset>
                </wp:positionV>
                <wp:extent cx="6400165" cy="177800"/>
                <wp:wrapNone/>
                <wp:docPr id="261" name="Shape 2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165" cy="177800"/>
                        </a:xfrm>
                        <a:prstGeom prst="rect">
                          <a:avLst/>
                        </a:prstGeom>
                        <a:solidFill>
                          <a:srgbClr val="E8E7E5"/>
                        </a:solidFill>
                      </wps:spPr>
                      <wps:bodyPr/>
                    </wps:wsp>
                  </a:graphicData>
                </a:graphic>
              </wp:anchor>
            </w:drawing>
          </mc:Choice>
          <mc:Fallback>
            <w:pict>
              <v:rect id="Shape 261" o:spid="_x0000_s1286" style="position:absolute;margin-left:-3.9499pt;margin-top:60.9pt;width:503.95pt;height:1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8E7E5" stroked="f"/>
            </w:pict>
          </mc:Fallback>
        </mc:AlternateContent>
        <mc:AlternateContent>
          <mc:Choice Requires="wps">
            <w:drawing>
              <wp:anchor simplePos="0" relativeHeight="251657728" behindDoc="1" locked="0" layoutInCell="0" allowOverlap="1">
                <wp:simplePos x="0" y="0"/>
                <wp:positionH relativeFrom="column">
                  <wp:posOffset>-44450</wp:posOffset>
                </wp:positionH>
                <wp:positionV relativeFrom="paragraph">
                  <wp:posOffset>772795</wp:posOffset>
                </wp:positionV>
                <wp:extent cx="0" cy="177800"/>
                <wp:wrapNone/>
                <wp:docPr id="262" name="Shape 2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262" o:spid="_x0000_s12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999pt,60.85pt" to="-3.4999pt,74.85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-50800</wp:posOffset>
                </wp:positionH>
                <wp:positionV relativeFrom="paragraph">
                  <wp:posOffset>779145</wp:posOffset>
                </wp:positionV>
                <wp:extent cx="6400800" cy="0"/>
                <wp:wrapNone/>
                <wp:docPr id="263" name="Shape 2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263" o:spid="_x0000_s12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pt,61.35pt" to="500pt,61.35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-50800</wp:posOffset>
                </wp:positionH>
                <wp:positionV relativeFrom="paragraph">
                  <wp:posOffset>944245</wp:posOffset>
                </wp:positionV>
                <wp:extent cx="6400800" cy="0"/>
                <wp:wrapNone/>
                <wp:docPr id="264" name="Shape 2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264" o:spid="_x0000_s12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pt,74.35pt" to="500pt,74.35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6343650</wp:posOffset>
                </wp:positionH>
                <wp:positionV relativeFrom="paragraph">
                  <wp:posOffset>772795</wp:posOffset>
                </wp:positionV>
                <wp:extent cx="0" cy="177800"/>
                <wp:wrapNone/>
                <wp:docPr id="265" name="Shape 2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265" o:spid="_x0000_s12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9.5pt,60.85pt" to="499.5pt,74.85pt" o:allowincell="f" strokecolor="#231F20" strokeweight="1pt"/>
            </w:pict>
          </mc:Fallback>
        </mc:AlternateContent>
      </w:r>
    </w:p>
    <w:p>
      <w:pPr>
        <w:spacing w:after="0" w:line="20" w:lineRule="exact"/>
        <w:rPr>
          <w:sz w:val="20"/>
          <w:szCs w:val="20"/>
          <w:color w:val="auto"/>
        </w:rPr>
      </w:pPr>
      <w:r>
        <w:rPr>
          <w:sz w:val="20"/>
          <w:szCs w:val="20"/>
          <w:color w:val="auto"/>
        </w:rPr>
        <w:br w:type="column"/>
      </w:r>
    </w:p>
    <w:p>
      <w:pPr>
        <w:spacing w:after="0" w:line="342" w:lineRule="exact"/>
        <w:rPr>
          <w:sz w:val="20"/>
          <w:szCs w:val="20"/>
          <w:color w:val="auto"/>
        </w:rPr>
      </w:pPr>
    </w:p>
    <w:p>
      <w:pPr>
        <w:ind w:left="2060"/>
        <w:spacing w:after="0"/>
        <w:rPr>
          <w:sz w:val="20"/>
          <w:szCs w:val="20"/>
          <w:color w:val="auto"/>
        </w:rPr>
      </w:pPr>
      <w:r>
        <w:rPr>
          <w:rFonts w:ascii="Arial" w:cs="Arial" w:eastAsia="Arial" w:hAnsi="Arial"/>
          <w:sz w:val="20"/>
          <w:szCs w:val="20"/>
          <w:b w:val="1"/>
          <w:bCs w:val="1"/>
          <w:color w:val="231F20"/>
        </w:rPr>
        <w:t>JOSEPH D. FISHER</w:t>
      </w:r>
    </w:p>
    <w:p>
      <w:pPr>
        <w:ind w:left="2060"/>
        <w:spacing w:after="0" w:line="225" w:lineRule="auto"/>
        <w:rPr>
          <w:sz w:val="20"/>
          <w:szCs w:val="20"/>
          <w:color w:val="auto"/>
        </w:rPr>
      </w:pPr>
      <w:r>
        <w:rPr>
          <w:rFonts w:ascii="Arial" w:cs="Arial" w:eastAsia="Arial" w:hAnsi="Arial"/>
          <w:sz w:val="20"/>
          <w:szCs w:val="20"/>
          <w:color w:val="231F20"/>
        </w:rPr>
        <w:t>Age: 46</w:t>
      </w:r>
    </w:p>
    <w:p>
      <w:pPr>
        <w:ind w:left="2060"/>
        <w:spacing w:after="0" w:line="225" w:lineRule="auto"/>
        <w:rPr>
          <w:sz w:val="20"/>
          <w:szCs w:val="20"/>
          <w:color w:val="auto"/>
        </w:rPr>
      </w:pPr>
      <w:r>
        <w:rPr>
          <w:rFonts w:ascii="Arial" w:cs="Arial" w:eastAsia="Arial" w:hAnsi="Arial"/>
          <w:sz w:val="20"/>
          <w:szCs w:val="20"/>
          <w:color w:val="231F20"/>
        </w:rPr>
        <w:t>Trustee Since: 2026</w:t>
      </w:r>
    </w:p>
    <w:p>
      <w:pPr>
        <w:ind w:left="2060"/>
        <w:spacing w:after="0" w:line="228" w:lineRule="auto"/>
        <w:rPr>
          <w:sz w:val="20"/>
          <w:szCs w:val="20"/>
          <w:color w:val="auto"/>
        </w:rPr>
      </w:pPr>
      <w:r>
        <w:rPr>
          <w:rFonts w:ascii="Arial" w:cs="Arial" w:eastAsia="Arial" w:hAnsi="Arial"/>
          <w:sz w:val="20"/>
          <w:szCs w:val="20"/>
          <w:color w:val="231F20"/>
        </w:rPr>
        <w:t>President, Chief Financial</w:t>
      </w:r>
    </w:p>
    <w:p>
      <w:pPr>
        <w:ind w:left="2060"/>
        <w:spacing w:after="0" w:line="225" w:lineRule="auto"/>
        <w:rPr>
          <w:sz w:val="20"/>
          <w:szCs w:val="20"/>
          <w:color w:val="auto"/>
        </w:rPr>
      </w:pPr>
      <w:r>
        <w:rPr>
          <w:rFonts w:ascii="Arial" w:cs="Arial" w:eastAsia="Arial" w:hAnsi="Arial"/>
          <w:sz w:val="20"/>
          <w:szCs w:val="20"/>
          <w:color w:val="231F20"/>
        </w:rPr>
        <w:t>Officer of Public Storage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both"/>
        <w:spacing w:after="0" w:line="217" w:lineRule="auto"/>
        <w:rPr>
          <w:sz w:val="20"/>
          <w:szCs w:val="20"/>
          <w:color w:val="auto"/>
        </w:rPr>
      </w:pPr>
      <w:r>
        <w:rPr>
          <w:rFonts w:ascii="Arial" w:cs="Arial" w:eastAsia="Arial" w:hAnsi="Arial"/>
          <w:sz w:val="20"/>
          <w:szCs w:val="20"/>
          <w:color w:val="231F20"/>
        </w:rPr>
        <w:t>Mr. Fisher is the President, Chief Financial Officer of Public Storage (2026 to present), a publicly traded real estate investment trust that primarily acquires, develops, owns, and operates self-storage facilities. Prior to that, Mr. Fisher served as the President (2022 – 2025), Chief Financial Officer (2017 – 2025) and Chief Investment officer (2025) of UDR, Inc., a publicly traded real estate investment trust focused on managing, buying, selling, developing and redeveloping multifamily properties in targeted U.S. markets. Before joining UDR, Mr. Fisher held various positions at Deutsche Asset and Wealth Management (now known as DWS), a global asset management firm, where he held various roles, including Co-Head of the Americas and Co-Lead Portfolio Manager (2007 – 2016), Associate, Structured Debt Investments (2005 –</w:t>
      </w:r>
    </w:p>
    <w:p>
      <w:pPr>
        <w:spacing w:after="0" w:line="1" w:lineRule="exact"/>
        <w:rPr>
          <w:sz w:val="20"/>
          <w:szCs w:val="20"/>
          <w:color w:val="auto"/>
        </w:rPr>
      </w:pPr>
    </w:p>
    <w:p>
      <w:pPr>
        <w:jc w:val="both"/>
        <w:spacing w:after="0" w:line="216" w:lineRule="auto"/>
        <w:rPr>
          <w:sz w:val="20"/>
          <w:szCs w:val="20"/>
          <w:color w:val="auto"/>
        </w:rPr>
      </w:pPr>
      <w:r>
        <w:rPr>
          <w:rFonts w:ascii="Arial" w:cs="Arial" w:eastAsia="Arial" w:hAnsi="Arial"/>
          <w:sz w:val="20"/>
          <w:szCs w:val="20"/>
          <w:color w:val="231F20"/>
        </w:rPr>
        <w:t>2007) and Portfolio Analyst, Portfolio Management Group (2004 – 2006). Mr. Fisher began his career as an Asset Management Analyst for Principal Real Estate Advisors (2003</w:t>
      </w:r>
    </w:p>
    <w:p>
      <w:pPr>
        <w:jc w:val="both"/>
        <w:spacing w:after="0" w:line="215" w:lineRule="auto"/>
        <w:rPr>
          <w:sz w:val="20"/>
          <w:szCs w:val="20"/>
          <w:color w:val="auto"/>
        </w:rPr>
      </w:pPr>
      <w:r>
        <w:rPr>
          <w:rFonts w:ascii="Arial" w:cs="Arial" w:eastAsia="Arial" w:hAnsi="Arial"/>
          <w:sz w:val="20"/>
          <w:szCs w:val="20"/>
          <w:color w:val="231F20"/>
        </w:rPr>
        <w:t>– 2004). Mr. Fisher received a Bachelor of Business Administration from the University of Iowa and an MBA from the Kellogg School of</w:t>
      </w:r>
    </w:p>
    <w:p>
      <w:pPr>
        <w:spacing w:after="0" w:line="1" w:lineRule="exact"/>
        <w:rPr>
          <w:sz w:val="20"/>
          <w:szCs w:val="20"/>
          <w:color w:val="auto"/>
        </w:rPr>
      </w:pPr>
    </w:p>
    <w:p>
      <w:pPr>
        <w:jc w:val="both"/>
        <w:spacing w:after="0" w:line="216" w:lineRule="auto"/>
        <w:rPr>
          <w:sz w:val="20"/>
          <w:szCs w:val="20"/>
          <w:color w:val="auto"/>
        </w:rPr>
      </w:pPr>
      <w:r>
        <w:rPr>
          <w:rFonts w:ascii="Arial" w:cs="Arial" w:eastAsia="Arial" w:hAnsi="Arial"/>
          <w:sz w:val="20"/>
          <w:szCs w:val="20"/>
          <w:color w:val="231F20"/>
        </w:rPr>
        <w:t>Management at Northwestern University. Mr. Fisher has been designated by the Board as an audit committee financial expert in accordance with the SEC definition.</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Skills and Qualifications</w:t>
      </w:r>
    </w:p>
    <w:p>
      <w:pPr>
        <w:jc w:val="both"/>
        <w:spacing w:after="0" w:line="216" w:lineRule="auto"/>
        <w:rPr>
          <w:sz w:val="20"/>
          <w:szCs w:val="20"/>
          <w:color w:val="auto"/>
        </w:rPr>
      </w:pPr>
      <w:r>
        <w:rPr>
          <w:rFonts w:ascii="Arial" w:cs="Arial" w:eastAsia="Arial" w:hAnsi="Arial"/>
          <w:sz w:val="20"/>
          <w:szCs w:val="20"/>
          <w:color w:val="231F20"/>
        </w:rPr>
        <w:t>Mr. Fisher has extensive experience in public company and real estate financing and investment and expertise in the multifamily apartment industry. His financial and investment acumen, experience as a public real estate investment trust executive and deep knowledge of the multifamily industry provide a multitude of valuable insights into areas critical for our success.</w:t>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Committees:</w:t>
      </w:r>
    </w:p>
    <w:p>
      <w:pPr>
        <w:spacing w:after="0" w:line="213" w:lineRule="auto"/>
        <w:rPr>
          <w:sz w:val="20"/>
          <w:szCs w:val="20"/>
          <w:color w:val="auto"/>
        </w:rPr>
      </w:pPr>
      <w:r>
        <w:rPr>
          <w:rFonts w:ascii="Arial" w:cs="Arial" w:eastAsia="Arial" w:hAnsi="Arial"/>
          <w:sz w:val="20"/>
          <w:szCs w:val="20"/>
          <w:color w:val="231F20"/>
        </w:rPr>
        <w:t>Audit Committee</w:t>
      </w:r>
    </w:p>
    <w:p>
      <w:pPr>
        <w:spacing w:after="0" w:line="216" w:lineRule="auto"/>
        <w:rPr>
          <w:sz w:val="20"/>
          <w:szCs w:val="20"/>
          <w:color w:val="auto"/>
        </w:rPr>
      </w:pPr>
      <w:r>
        <w:rPr>
          <w:rFonts w:ascii="Arial" w:cs="Arial" w:eastAsia="Arial" w:hAnsi="Arial"/>
          <w:sz w:val="20"/>
          <w:szCs w:val="20"/>
          <w:color w:val="231F20"/>
        </w:rPr>
        <w:t>Compensation Committee</w:t>
      </w:r>
    </w:p>
    <w:p>
      <w:pPr>
        <w:spacing w:after="0" w:line="200" w:lineRule="exact"/>
        <w:rPr>
          <w:sz w:val="20"/>
          <w:szCs w:val="20"/>
          <w:color w:val="auto"/>
        </w:rPr>
      </w:pPr>
    </w:p>
    <w:p>
      <w:pPr>
        <w:sectPr>
          <w:pgSz w:w="11880" w:h="15480" w:orient="portrait"/>
          <w:cols w:equalWidth="0" w:num="2">
            <w:col w:w="4800" w:space="480"/>
            <w:col w:w="4400"/>
          </w:cols>
          <w:pgMar w:left="980" w:top="1440" w:right="1220" w:bottom="76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tabs>
          <w:tab w:leader="none" w:pos="1340" w:val="left"/>
          <w:tab w:leader="none" w:pos="3080" w:val="left"/>
        </w:tabs>
        <w:rPr>
          <w:sz w:val="20"/>
          <w:szCs w:val="20"/>
          <w:color w:val="auto"/>
        </w:rPr>
      </w:pPr>
      <w:r>
        <w:rPr>
          <w:rFonts w:ascii="Arial" w:cs="Arial" w:eastAsia="Arial" w:hAnsi="Arial"/>
          <w:sz w:val="16"/>
          <w:szCs w:val="16"/>
          <w:color w:val="EF3E2A"/>
        </w:rPr>
        <w:t>Federal Realty</w:t>
      </w:r>
      <w:r>
        <w:rPr>
          <w:sz w:val="20"/>
          <w:szCs w:val="20"/>
          <w:color w:val="auto"/>
        </w:rPr>
        <w:tab/>
      </w:r>
      <w:r>
        <w:rPr>
          <w:rFonts w:ascii="Arial" w:cs="Arial" w:eastAsia="Arial" w:hAnsi="Arial"/>
          <w:sz w:val="16"/>
          <w:szCs w:val="16"/>
          <w:color w:val="231F20"/>
        </w:rPr>
        <w:t>2026 Proxy Statement</w:t>
        <w:tab/>
        <w:t>14</w:t>
      </w:r>
    </w:p>
    <w:p>
      <w:pPr>
        <w:sectPr>
          <w:pgSz w:w="11880" w:h="15480" w:orient="portrait"/>
          <w:cols w:equalWidth="0" w:num="1">
            <w:col w:w="9680"/>
          </w:cols>
          <w:pgMar w:left="980" w:top="1440" w:right="1220" w:bottom="763" w:gutter="0" w:footer="0" w:header="0"/>
          <w:type w:val="continuous"/>
        </w:sectPr>
      </w:pPr>
    </w:p>
    <w:bookmarkStart w:id="134" w:name="page135"/>
    <w:bookmarkEnd w:id="134"/>
    <w:tbl>
      <w:tblPr>
        <w:tblLayout w:type="fixed"/>
        <w:tblInd w:w="0" w:type="dxa"/>
        <w:tblCellMar>
          <w:top w:w="0" w:type="dxa"/>
          <w:left w:w="0" w:type="dxa"/>
          <w:bottom w:w="0" w:type="dxa"/>
          <w:right w:w="0" w:type="dxa"/>
        </w:tblCellMar>
      </w:tblPr>
      <w:tr>
        <w:trPr>
          <w:trHeight w:val="215"/>
        </w:trPr>
        <w:tc>
          <w:tcPr>
            <w:tcW w:w="200" w:type="dxa"/>
            <w:vAlign w:val="bottom"/>
            <w:shd w:val="clear" w:color="auto" w:fill="E6E7E8"/>
          </w:tcPr>
          <w:p>
            <w:pPr>
              <w:spacing w:after="0"/>
              <w:rPr>
                <w:sz w:val="18"/>
                <w:szCs w:val="18"/>
                <w:color w:val="auto"/>
              </w:rPr>
            </w:pPr>
          </w:p>
        </w:tc>
        <w:tc>
          <w:tcPr>
            <w:tcW w:w="2520" w:type="dxa"/>
            <w:vAlign w:val="bottom"/>
            <w:shd w:val="clear" w:color="auto" w:fill="E6E7E8"/>
          </w:tcPr>
          <w:p>
            <w:pPr>
              <w:spacing w:after="0"/>
              <w:rPr>
                <w:sz w:val="18"/>
                <w:szCs w:val="18"/>
                <w:color w:val="auto"/>
              </w:rPr>
            </w:pPr>
          </w:p>
        </w:tc>
        <w:tc>
          <w:tcPr>
            <w:tcW w:w="1680" w:type="dxa"/>
            <w:vAlign w:val="bottom"/>
            <w:shd w:val="clear" w:color="auto" w:fill="E6E7E8"/>
          </w:tcPr>
          <w:p>
            <w:pPr>
              <w:spacing w:after="0"/>
              <w:rPr>
                <w:sz w:val="18"/>
                <w:szCs w:val="18"/>
                <w:color w:val="auto"/>
              </w:rPr>
            </w:pPr>
          </w:p>
        </w:tc>
        <w:tc>
          <w:tcPr>
            <w:tcW w:w="580" w:type="dxa"/>
            <w:vAlign w:val="bottom"/>
            <w:shd w:val="clear" w:color="auto" w:fill="E6E7E8"/>
          </w:tcPr>
          <w:p>
            <w:pPr>
              <w:spacing w:after="0"/>
              <w:rPr>
                <w:sz w:val="18"/>
                <w:szCs w:val="18"/>
                <w:color w:val="auto"/>
              </w:rPr>
            </w:pPr>
          </w:p>
        </w:tc>
        <w:tc>
          <w:tcPr>
            <w:tcW w:w="200" w:type="dxa"/>
            <w:vAlign w:val="bottom"/>
            <w:shd w:val="clear" w:color="auto" w:fill="E6E7E8"/>
          </w:tcPr>
          <w:p>
            <w:pPr>
              <w:spacing w:after="0"/>
              <w:rPr>
                <w:sz w:val="18"/>
                <w:szCs w:val="18"/>
                <w:color w:val="auto"/>
              </w:rPr>
            </w:pPr>
          </w:p>
        </w:tc>
        <w:tc>
          <w:tcPr>
            <w:tcW w:w="2440" w:type="dxa"/>
            <w:vAlign w:val="bottom"/>
            <w:shd w:val="clear" w:color="auto" w:fill="E6E7E8"/>
          </w:tcPr>
          <w:p>
            <w:pPr>
              <w:spacing w:after="0"/>
              <w:rPr>
                <w:sz w:val="18"/>
                <w:szCs w:val="18"/>
                <w:color w:val="auto"/>
              </w:rPr>
            </w:pPr>
          </w:p>
        </w:tc>
        <w:tc>
          <w:tcPr>
            <w:tcW w:w="1680" w:type="dxa"/>
            <w:vAlign w:val="bottom"/>
            <w:shd w:val="clear" w:color="auto" w:fill="E6E7E8"/>
          </w:tcPr>
          <w:p>
            <w:pPr>
              <w:spacing w:after="0"/>
              <w:rPr>
                <w:sz w:val="18"/>
                <w:szCs w:val="18"/>
                <w:color w:val="auto"/>
              </w:rPr>
            </w:pPr>
          </w:p>
        </w:tc>
        <w:tc>
          <w:tcPr>
            <w:tcW w:w="600" w:type="dxa"/>
            <w:vAlign w:val="bottom"/>
            <w:shd w:val="clear" w:color="auto" w:fill="E6E7E8"/>
          </w:tcPr>
          <w:p>
            <w:pPr>
              <w:spacing w:after="0"/>
              <w:rPr>
                <w:sz w:val="18"/>
                <w:szCs w:val="18"/>
                <w:color w:val="auto"/>
              </w:rPr>
            </w:pPr>
          </w:p>
        </w:tc>
        <w:tc>
          <w:tcPr>
            <w:tcW w:w="200" w:type="dxa"/>
            <w:vAlign w:val="bottom"/>
            <w:shd w:val="clear" w:color="auto" w:fill="E6E7E8"/>
          </w:tcPr>
          <w:p>
            <w:pPr>
              <w:spacing w:after="0"/>
              <w:rPr>
                <w:sz w:val="18"/>
                <w:szCs w:val="18"/>
                <w:color w:val="auto"/>
              </w:rPr>
            </w:pPr>
          </w:p>
        </w:tc>
      </w:tr>
      <w:tr>
        <w:trPr>
          <w:trHeight w:val="84"/>
        </w:trPr>
        <w:tc>
          <w:tcPr>
            <w:tcW w:w="200" w:type="dxa"/>
            <w:vAlign w:val="bottom"/>
            <w:tcBorders>
              <w:bottom w:val="single" w:sz="8" w:color="E6E7E8"/>
            </w:tcBorders>
            <w:shd w:val="clear" w:color="auto" w:fill="E6E7E8"/>
          </w:tcPr>
          <w:p>
            <w:pPr>
              <w:spacing w:after="0"/>
              <w:rPr>
                <w:sz w:val="7"/>
                <w:szCs w:val="7"/>
                <w:color w:val="auto"/>
              </w:rPr>
            </w:pPr>
          </w:p>
        </w:tc>
        <w:tc>
          <w:tcPr>
            <w:tcW w:w="2520" w:type="dxa"/>
            <w:vAlign w:val="bottom"/>
          </w:tcPr>
          <w:p>
            <w:pPr>
              <w:spacing w:after="0"/>
              <w:rPr>
                <w:sz w:val="7"/>
                <w:szCs w:val="7"/>
                <w:color w:val="auto"/>
              </w:rPr>
            </w:pPr>
          </w:p>
        </w:tc>
        <w:tc>
          <w:tcPr>
            <w:tcW w:w="1680" w:type="dxa"/>
            <w:vAlign w:val="bottom"/>
            <w:tcBorders>
              <w:bottom w:val="single" w:sz="8" w:color="EF3E2A"/>
            </w:tcBorders>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Borders>
              <w:bottom w:val="single" w:sz="8" w:color="E6E7E8"/>
            </w:tcBorders>
            <w:shd w:val="clear" w:color="auto" w:fill="E6E7E8"/>
          </w:tcPr>
          <w:p>
            <w:pPr>
              <w:spacing w:after="0"/>
              <w:rPr>
                <w:sz w:val="7"/>
                <w:szCs w:val="7"/>
                <w:color w:val="auto"/>
              </w:rPr>
            </w:pPr>
          </w:p>
        </w:tc>
        <w:tc>
          <w:tcPr>
            <w:tcW w:w="2440" w:type="dxa"/>
            <w:vAlign w:val="bottom"/>
          </w:tcPr>
          <w:p>
            <w:pPr>
              <w:spacing w:after="0"/>
              <w:rPr>
                <w:sz w:val="7"/>
                <w:szCs w:val="7"/>
                <w:color w:val="auto"/>
              </w:rPr>
            </w:pPr>
          </w:p>
        </w:tc>
        <w:tc>
          <w:tcPr>
            <w:tcW w:w="1680" w:type="dxa"/>
            <w:vAlign w:val="bottom"/>
            <w:tcBorders>
              <w:bottom w:val="single" w:sz="8" w:color="EF3E2A"/>
            </w:tcBorders>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Borders>
              <w:bottom w:val="single" w:sz="8" w:color="E6E7E8"/>
            </w:tcBorders>
            <w:shd w:val="clear" w:color="auto" w:fill="E6E7E8"/>
          </w:tcPr>
          <w:p>
            <w:pPr>
              <w:spacing w:after="0"/>
              <w:rPr>
                <w:sz w:val="7"/>
                <w:szCs w:val="7"/>
                <w:color w:val="auto"/>
              </w:rPr>
            </w:pPr>
          </w:p>
        </w:tc>
      </w:tr>
      <w:tr>
        <w:trPr>
          <w:trHeight w:val="288"/>
        </w:trPr>
        <w:tc>
          <w:tcPr>
            <w:tcW w:w="200" w:type="dxa"/>
            <w:vAlign w:val="bottom"/>
            <w:shd w:val="clear" w:color="auto" w:fill="E6E7E8"/>
          </w:tcPr>
          <w:p>
            <w:pPr>
              <w:spacing w:after="0"/>
              <w:rPr>
                <w:sz w:val="24"/>
                <w:szCs w:val="24"/>
                <w:color w:val="auto"/>
              </w:rPr>
            </w:pPr>
          </w:p>
        </w:tc>
        <w:tc>
          <w:tcPr>
            <w:tcW w:w="4780" w:type="dxa"/>
            <w:vAlign w:val="bottom"/>
            <w:gridSpan w:val="3"/>
          </w:tcPr>
          <w:p>
            <w:pPr>
              <w:ind w:left="2420"/>
              <w:spacing w:after="0"/>
              <w:rPr>
                <w:sz w:val="20"/>
                <w:szCs w:val="20"/>
                <w:color w:val="auto"/>
              </w:rPr>
            </w:pPr>
            <w:r>
              <w:rPr>
                <w:rFonts w:ascii="Arial" w:cs="Arial" w:eastAsia="Arial" w:hAnsi="Arial"/>
                <w:sz w:val="20"/>
                <w:szCs w:val="20"/>
                <w:b w:val="1"/>
                <w:bCs w:val="1"/>
                <w:color w:val="231F20"/>
              </w:rPr>
              <w:t>ELIZABETH I. HOLLAND</w:t>
            </w:r>
          </w:p>
        </w:tc>
        <w:tc>
          <w:tcPr>
            <w:tcW w:w="200" w:type="dxa"/>
            <w:vAlign w:val="bottom"/>
            <w:shd w:val="clear" w:color="auto" w:fill="E6E7E8"/>
          </w:tcPr>
          <w:p>
            <w:pPr>
              <w:spacing w:after="0"/>
              <w:rPr>
                <w:sz w:val="24"/>
                <w:szCs w:val="24"/>
                <w:color w:val="auto"/>
              </w:rPr>
            </w:pPr>
          </w:p>
        </w:tc>
        <w:tc>
          <w:tcPr>
            <w:tcW w:w="4720" w:type="dxa"/>
            <w:vAlign w:val="bottom"/>
            <w:gridSpan w:val="3"/>
          </w:tcPr>
          <w:p>
            <w:pPr>
              <w:ind w:left="2340"/>
              <w:spacing w:after="0"/>
              <w:rPr>
                <w:sz w:val="20"/>
                <w:szCs w:val="20"/>
                <w:color w:val="auto"/>
              </w:rPr>
            </w:pPr>
            <w:r>
              <w:rPr>
                <w:rFonts w:ascii="Arial" w:cs="Arial" w:eastAsia="Arial" w:hAnsi="Arial"/>
                <w:sz w:val="20"/>
                <w:szCs w:val="20"/>
                <w:b w:val="1"/>
                <w:bCs w:val="1"/>
                <w:color w:val="231F20"/>
              </w:rPr>
              <w:t>NICOLE Y. LAMB HALE</w:t>
            </w:r>
          </w:p>
        </w:tc>
        <w:tc>
          <w:tcPr>
            <w:tcW w:w="200" w:type="dxa"/>
            <w:vAlign w:val="bottom"/>
            <w:shd w:val="clear" w:color="auto" w:fill="E6E7E8"/>
          </w:tcPr>
          <w:p>
            <w:pPr>
              <w:spacing w:after="0"/>
              <w:rPr>
                <w:sz w:val="24"/>
                <w:szCs w:val="24"/>
                <w:color w:val="auto"/>
              </w:rPr>
            </w:pPr>
          </w:p>
        </w:tc>
      </w:tr>
      <w:tr>
        <w:trPr>
          <w:trHeight w:val="211"/>
        </w:trPr>
        <w:tc>
          <w:tcPr>
            <w:tcW w:w="200" w:type="dxa"/>
            <w:vAlign w:val="bottom"/>
            <w:shd w:val="clear" w:color="auto" w:fill="E6E7E8"/>
          </w:tcPr>
          <w:p>
            <w:pPr>
              <w:spacing w:after="0"/>
              <w:rPr>
                <w:sz w:val="18"/>
                <w:szCs w:val="18"/>
                <w:color w:val="auto"/>
              </w:rPr>
            </w:pPr>
          </w:p>
        </w:tc>
        <w:tc>
          <w:tcPr>
            <w:tcW w:w="4780" w:type="dxa"/>
            <w:vAlign w:val="bottom"/>
            <w:gridSpan w:val="3"/>
          </w:tcPr>
          <w:p>
            <w:pPr>
              <w:ind w:left="2420"/>
              <w:spacing w:after="0" w:line="211" w:lineRule="exact"/>
              <w:rPr>
                <w:sz w:val="20"/>
                <w:szCs w:val="20"/>
                <w:color w:val="auto"/>
              </w:rPr>
            </w:pPr>
            <w:r>
              <w:rPr>
                <w:rFonts w:ascii="Arial" w:cs="Arial" w:eastAsia="Arial" w:hAnsi="Arial"/>
                <w:sz w:val="20"/>
                <w:szCs w:val="20"/>
                <w:color w:val="231F20"/>
              </w:rPr>
              <w:t>Age: 60</w:t>
            </w:r>
          </w:p>
        </w:tc>
        <w:tc>
          <w:tcPr>
            <w:tcW w:w="200" w:type="dxa"/>
            <w:vAlign w:val="bottom"/>
            <w:shd w:val="clear" w:color="auto" w:fill="E6E7E8"/>
          </w:tcPr>
          <w:p>
            <w:pPr>
              <w:spacing w:after="0"/>
              <w:rPr>
                <w:sz w:val="18"/>
                <w:szCs w:val="18"/>
                <w:color w:val="auto"/>
              </w:rPr>
            </w:pPr>
          </w:p>
        </w:tc>
        <w:tc>
          <w:tcPr>
            <w:tcW w:w="4720" w:type="dxa"/>
            <w:vAlign w:val="bottom"/>
            <w:gridSpan w:val="3"/>
          </w:tcPr>
          <w:p>
            <w:pPr>
              <w:ind w:left="2340"/>
              <w:spacing w:after="0" w:line="211" w:lineRule="exact"/>
              <w:rPr>
                <w:sz w:val="20"/>
                <w:szCs w:val="20"/>
                <w:color w:val="auto"/>
              </w:rPr>
            </w:pPr>
            <w:r>
              <w:rPr>
                <w:rFonts w:ascii="Arial" w:cs="Arial" w:eastAsia="Arial" w:hAnsi="Arial"/>
                <w:sz w:val="20"/>
                <w:szCs w:val="20"/>
                <w:color w:val="231F20"/>
              </w:rPr>
              <w:t>Age: 59</w:t>
            </w:r>
          </w:p>
        </w:tc>
        <w:tc>
          <w:tcPr>
            <w:tcW w:w="200" w:type="dxa"/>
            <w:vAlign w:val="bottom"/>
            <w:shd w:val="clear" w:color="auto" w:fill="E6E7E8"/>
          </w:tcPr>
          <w:p>
            <w:pPr>
              <w:spacing w:after="0"/>
              <w:rPr>
                <w:sz w:val="18"/>
                <w:szCs w:val="18"/>
                <w:color w:val="auto"/>
              </w:rPr>
            </w:pPr>
          </w:p>
        </w:tc>
      </w:tr>
      <w:tr>
        <w:trPr>
          <w:trHeight w:val="211"/>
        </w:trPr>
        <w:tc>
          <w:tcPr>
            <w:tcW w:w="200" w:type="dxa"/>
            <w:vAlign w:val="bottom"/>
            <w:shd w:val="clear" w:color="auto" w:fill="E6E7E8"/>
          </w:tcPr>
          <w:p>
            <w:pPr>
              <w:spacing w:after="0"/>
              <w:rPr>
                <w:sz w:val="18"/>
                <w:szCs w:val="18"/>
                <w:color w:val="auto"/>
              </w:rPr>
            </w:pPr>
          </w:p>
        </w:tc>
        <w:tc>
          <w:tcPr>
            <w:tcW w:w="4780" w:type="dxa"/>
            <w:vAlign w:val="bottom"/>
            <w:gridSpan w:val="3"/>
          </w:tcPr>
          <w:p>
            <w:pPr>
              <w:ind w:left="2420"/>
              <w:spacing w:after="0" w:line="211" w:lineRule="exact"/>
              <w:rPr>
                <w:sz w:val="20"/>
                <w:szCs w:val="20"/>
                <w:color w:val="auto"/>
              </w:rPr>
            </w:pPr>
            <w:r>
              <w:rPr>
                <w:rFonts w:ascii="Arial" w:cs="Arial" w:eastAsia="Arial" w:hAnsi="Arial"/>
                <w:sz w:val="20"/>
                <w:szCs w:val="20"/>
                <w:color w:val="231F20"/>
              </w:rPr>
              <w:t>Trustee Since: 2017</w:t>
            </w:r>
          </w:p>
        </w:tc>
        <w:tc>
          <w:tcPr>
            <w:tcW w:w="200" w:type="dxa"/>
            <w:vAlign w:val="bottom"/>
            <w:shd w:val="clear" w:color="auto" w:fill="E6E7E8"/>
          </w:tcPr>
          <w:p>
            <w:pPr>
              <w:spacing w:after="0"/>
              <w:rPr>
                <w:sz w:val="18"/>
                <w:szCs w:val="18"/>
                <w:color w:val="auto"/>
              </w:rPr>
            </w:pPr>
          </w:p>
        </w:tc>
        <w:tc>
          <w:tcPr>
            <w:tcW w:w="4720" w:type="dxa"/>
            <w:vAlign w:val="bottom"/>
            <w:gridSpan w:val="3"/>
          </w:tcPr>
          <w:p>
            <w:pPr>
              <w:ind w:left="2340"/>
              <w:spacing w:after="0" w:line="211" w:lineRule="exact"/>
              <w:rPr>
                <w:sz w:val="20"/>
                <w:szCs w:val="20"/>
                <w:color w:val="auto"/>
              </w:rPr>
            </w:pPr>
            <w:r>
              <w:rPr>
                <w:rFonts w:ascii="Arial" w:cs="Arial" w:eastAsia="Arial" w:hAnsi="Arial"/>
                <w:sz w:val="20"/>
                <w:szCs w:val="20"/>
                <w:color w:val="231F20"/>
              </w:rPr>
              <w:t>Trustee Since: 2020</w:t>
            </w:r>
          </w:p>
        </w:tc>
        <w:tc>
          <w:tcPr>
            <w:tcW w:w="200" w:type="dxa"/>
            <w:vAlign w:val="bottom"/>
            <w:shd w:val="clear" w:color="auto" w:fill="E6E7E8"/>
          </w:tcPr>
          <w:p>
            <w:pPr>
              <w:spacing w:after="0"/>
              <w:rPr>
                <w:sz w:val="18"/>
                <w:szCs w:val="18"/>
                <w:color w:val="auto"/>
              </w:rPr>
            </w:pPr>
          </w:p>
        </w:tc>
      </w:tr>
      <w:tr>
        <w:trPr>
          <w:trHeight w:val="211"/>
        </w:trPr>
        <w:tc>
          <w:tcPr>
            <w:tcW w:w="200" w:type="dxa"/>
            <w:vAlign w:val="bottom"/>
            <w:shd w:val="clear" w:color="auto" w:fill="E6E7E8"/>
          </w:tcPr>
          <w:p>
            <w:pPr>
              <w:spacing w:after="0"/>
              <w:rPr>
                <w:sz w:val="18"/>
                <w:szCs w:val="18"/>
                <w:color w:val="auto"/>
              </w:rPr>
            </w:pPr>
          </w:p>
        </w:tc>
        <w:tc>
          <w:tcPr>
            <w:tcW w:w="4780" w:type="dxa"/>
            <w:vAlign w:val="bottom"/>
            <w:gridSpan w:val="3"/>
          </w:tcPr>
          <w:p>
            <w:pPr>
              <w:ind w:left="2420"/>
              <w:spacing w:after="0" w:line="211" w:lineRule="exact"/>
              <w:rPr>
                <w:sz w:val="20"/>
                <w:szCs w:val="20"/>
                <w:color w:val="auto"/>
              </w:rPr>
            </w:pPr>
            <w:r>
              <w:rPr>
                <w:rFonts w:ascii="Arial" w:cs="Arial" w:eastAsia="Arial" w:hAnsi="Arial"/>
                <w:sz w:val="20"/>
                <w:szCs w:val="20"/>
                <w:color w:val="231F20"/>
              </w:rPr>
              <w:t>Chief Executive Officer of</w:t>
            </w:r>
          </w:p>
        </w:tc>
        <w:tc>
          <w:tcPr>
            <w:tcW w:w="200" w:type="dxa"/>
            <w:vAlign w:val="bottom"/>
            <w:shd w:val="clear" w:color="auto" w:fill="E6E7E8"/>
          </w:tcPr>
          <w:p>
            <w:pPr>
              <w:spacing w:after="0"/>
              <w:rPr>
                <w:sz w:val="18"/>
                <w:szCs w:val="18"/>
                <w:color w:val="auto"/>
              </w:rPr>
            </w:pPr>
          </w:p>
        </w:tc>
        <w:tc>
          <w:tcPr>
            <w:tcW w:w="4720" w:type="dxa"/>
            <w:vAlign w:val="bottom"/>
            <w:gridSpan w:val="3"/>
          </w:tcPr>
          <w:p>
            <w:pPr>
              <w:ind w:left="2340"/>
              <w:spacing w:after="0" w:line="211" w:lineRule="exact"/>
              <w:rPr>
                <w:sz w:val="20"/>
                <w:szCs w:val="20"/>
                <w:color w:val="auto"/>
              </w:rPr>
            </w:pPr>
            <w:r>
              <w:rPr>
                <w:rFonts w:ascii="Arial" w:cs="Arial" w:eastAsia="Arial" w:hAnsi="Arial"/>
                <w:sz w:val="20"/>
                <w:szCs w:val="20"/>
                <w:color w:val="231F20"/>
              </w:rPr>
              <w:t>Vice President, Chief</w:t>
            </w:r>
          </w:p>
        </w:tc>
        <w:tc>
          <w:tcPr>
            <w:tcW w:w="200" w:type="dxa"/>
            <w:vAlign w:val="bottom"/>
            <w:shd w:val="clear" w:color="auto" w:fill="E6E7E8"/>
          </w:tcPr>
          <w:p>
            <w:pPr>
              <w:spacing w:after="0"/>
              <w:rPr>
                <w:sz w:val="18"/>
                <w:szCs w:val="18"/>
                <w:color w:val="auto"/>
              </w:rPr>
            </w:pPr>
          </w:p>
        </w:tc>
      </w:tr>
      <w:tr>
        <w:trPr>
          <w:trHeight w:val="211"/>
        </w:trPr>
        <w:tc>
          <w:tcPr>
            <w:tcW w:w="200" w:type="dxa"/>
            <w:vAlign w:val="bottom"/>
            <w:shd w:val="clear" w:color="auto" w:fill="E6E7E8"/>
          </w:tcPr>
          <w:p>
            <w:pPr>
              <w:spacing w:after="0"/>
              <w:rPr>
                <w:sz w:val="18"/>
                <w:szCs w:val="18"/>
                <w:color w:val="auto"/>
              </w:rPr>
            </w:pPr>
          </w:p>
        </w:tc>
        <w:tc>
          <w:tcPr>
            <w:tcW w:w="4780" w:type="dxa"/>
            <w:vAlign w:val="bottom"/>
            <w:gridSpan w:val="3"/>
          </w:tcPr>
          <w:p>
            <w:pPr>
              <w:ind w:left="2420"/>
              <w:spacing w:after="0" w:line="211" w:lineRule="exact"/>
              <w:rPr>
                <w:sz w:val="20"/>
                <w:szCs w:val="20"/>
                <w:color w:val="auto"/>
              </w:rPr>
            </w:pPr>
            <w:r>
              <w:rPr>
                <w:rFonts w:ascii="Arial" w:cs="Arial" w:eastAsia="Arial" w:hAnsi="Arial"/>
                <w:sz w:val="20"/>
                <w:szCs w:val="20"/>
                <w:color w:val="231F20"/>
              </w:rPr>
              <w:t>Abbell Credit Corporation</w:t>
            </w:r>
          </w:p>
        </w:tc>
        <w:tc>
          <w:tcPr>
            <w:tcW w:w="200" w:type="dxa"/>
            <w:vAlign w:val="bottom"/>
            <w:shd w:val="clear" w:color="auto" w:fill="E6E7E8"/>
          </w:tcPr>
          <w:p>
            <w:pPr>
              <w:spacing w:after="0"/>
              <w:rPr>
                <w:sz w:val="18"/>
                <w:szCs w:val="18"/>
                <w:color w:val="auto"/>
              </w:rPr>
            </w:pPr>
          </w:p>
        </w:tc>
        <w:tc>
          <w:tcPr>
            <w:tcW w:w="4720" w:type="dxa"/>
            <w:vAlign w:val="bottom"/>
            <w:gridSpan w:val="3"/>
          </w:tcPr>
          <w:p>
            <w:pPr>
              <w:ind w:left="2340"/>
              <w:spacing w:after="0" w:line="211" w:lineRule="exact"/>
              <w:rPr>
                <w:sz w:val="20"/>
                <w:szCs w:val="20"/>
                <w:color w:val="auto"/>
              </w:rPr>
            </w:pPr>
            <w:r>
              <w:rPr>
                <w:rFonts w:ascii="Arial" w:cs="Arial" w:eastAsia="Arial" w:hAnsi="Arial"/>
                <w:sz w:val="20"/>
                <w:szCs w:val="20"/>
                <w:color w:val="231F20"/>
              </w:rPr>
              <w:t>Administrative Officer and</w:t>
            </w:r>
          </w:p>
        </w:tc>
        <w:tc>
          <w:tcPr>
            <w:tcW w:w="200" w:type="dxa"/>
            <w:vAlign w:val="bottom"/>
            <w:shd w:val="clear" w:color="auto" w:fill="E6E7E8"/>
          </w:tcPr>
          <w:p>
            <w:pPr>
              <w:spacing w:after="0"/>
              <w:rPr>
                <w:sz w:val="18"/>
                <w:szCs w:val="18"/>
                <w:color w:val="auto"/>
              </w:rPr>
            </w:pPr>
          </w:p>
        </w:tc>
      </w:tr>
      <w:tr>
        <w:trPr>
          <w:trHeight w:val="211"/>
        </w:trPr>
        <w:tc>
          <w:tcPr>
            <w:tcW w:w="200" w:type="dxa"/>
            <w:vAlign w:val="bottom"/>
            <w:shd w:val="clear" w:color="auto" w:fill="E6E7E8"/>
          </w:tcPr>
          <w:p>
            <w:pPr>
              <w:spacing w:after="0"/>
              <w:rPr>
                <w:sz w:val="18"/>
                <w:szCs w:val="18"/>
                <w:color w:val="auto"/>
              </w:rPr>
            </w:pPr>
          </w:p>
        </w:tc>
        <w:tc>
          <w:tcPr>
            <w:tcW w:w="4780" w:type="dxa"/>
            <w:vAlign w:val="bottom"/>
            <w:gridSpan w:val="3"/>
          </w:tcPr>
          <w:p>
            <w:pPr>
              <w:ind w:left="2420"/>
              <w:spacing w:after="0" w:line="211" w:lineRule="exact"/>
              <w:rPr>
                <w:sz w:val="20"/>
                <w:szCs w:val="20"/>
                <w:color w:val="auto"/>
              </w:rPr>
            </w:pPr>
            <w:r>
              <w:rPr>
                <w:rFonts w:ascii="Arial" w:cs="Arial" w:eastAsia="Arial" w:hAnsi="Arial"/>
                <w:sz w:val="20"/>
                <w:szCs w:val="20"/>
                <w:color w:val="231F20"/>
              </w:rPr>
              <w:t>and Abbell Associates,</w:t>
            </w:r>
          </w:p>
        </w:tc>
        <w:tc>
          <w:tcPr>
            <w:tcW w:w="200" w:type="dxa"/>
            <w:vAlign w:val="bottom"/>
            <w:shd w:val="clear" w:color="auto" w:fill="E6E7E8"/>
          </w:tcPr>
          <w:p>
            <w:pPr>
              <w:spacing w:after="0"/>
              <w:rPr>
                <w:sz w:val="18"/>
                <w:szCs w:val="18"/>
                <w:color w:val="auto"/>
              </w:rPr>
            </w:pPr>
          </w:p>
        </w:tc>
        <w:tc>
          <w:tcPr>
            <w:tcW w:w="4720" w:type="dxa"/>
            <w:vAlign w:val="bottom"/>
            <w:gridSpan w:val="3"/>
          </w:tcPr>
          <w:p>
            <w:pPr>
              <w:ind w:left="2340"/>
              <w:spacing w:after="0" w:line="211" w:lineRule="exact"/>
              <w:rPr>
                <w:sz w:val="20"/>
                <w:szCs w:val="20"/>
                <w:color w:val="auto"/>
              </w:rPr>
            </w:pPr>
            <w:r>
              <w:rPr>
                <w:rFonts w:ascii="Arial" w:cs="Arial" w:eastAsia="Arial" w:hAnsi="Arial"/>
                <w:sz w:val="20"/>
                <w:szCs w:val="20"/>
                <w:color w:val="231F20"/>
              </w:rPr>
              <w:t>Corporate Secretary of</w:t>
            </w:r>
          </w:p>
        </w:tc>
        <w:tc>
          <w:tcPr>
            <w:tcW w:w="200" w:type="dxa"/>
            <w:vAlign w:val="bottom"/>
            <w:shd w:val="clear" w:color="auto" w:fill="E6E7E8"/>
          </w:tcPr>
          <w:p>
            <w:pPr>
              <w:spacing w:after="0"/>
              <w:rPr>
                <w:sz w:val="18"/>
                <w:szCs w:val="18"/>
                <w:color w:val="auto"/>
              </w:rPr>
            </w:pPr>
          </w:p>
        </w:tc>
      </w:tr>
      <w:tr>
        <w:trPr>
          <w:trHeight w:val="223"/>
        </w:trPr>
        <w:tc>
          <w:tcPr>
            <w:tcW w:w="200" w:type="dxa"/>
            <w:vAlign w:val="bottom"/>
            <w:shd w:val="clear" w:color="auto" w:fill="E6E7E8"/>
          </w:tcPr>
          <w:p>
            <w:pPr>
              <w:spacing w:after="0"/>
              <w:rPr>
                <w:sz w:val="19"/>
                <w:szCs w:val="19"/>
                <w:color w:val="auto"/>
              </w:rPr>
            </w:pPr>
          </w:p>
        </w:tc>
        <w:tc>
          <w:tcPr>
            <w:tcW w:w="4780" w:type="dxa"/>
            <w:vAlign w:val="bottom"/>
            <w:gridSpan w:val="3"/>
          </w:tcPr>
          <w:p>
            <w:pPr>
              <w:ind w:left="2420"/>
              <w:spacing w:after="0" w:line="223" w:lineRule="exact"/>
              <w:rPr>
                <w:sz w:val="20"/>
                <w:szCs w:val="20"/>
                <w:color w:val="auto"/>
              </w:rPr>
            </w:pPr>
            <w:r>
              <w:rPr>
                <w:rFonts w:ascii="Arial" w:cs="Arial" w:eastAsia="Arial" w:hAnsi="Arial"/>
                <w:sz w:val="20"/>
                <w:szCs w:val="20"/>
                <w:color w:val="231F20"/>
              </w:rPr>
              <w:t>LLC</w:t>
            </w:r>
          </w:p>
        </w:tc>
        <w:tc>
          <w:tcPr>
            <w:tcW w:w="200" w:type="dxa"/>
            <w:vAlign w:val="bottom"/>
            <w:shd w:val="clear" w:color="auto" w:fill="E6E7E8"/>
          </w:tcPr>
          <w:p>
            <w:pPr>
              <w:spacing w:after="0"/>
              <w:rPr>
                <w:sz w:val="19"/>
                <w:szCs w:val="19"/>
                <w:color w:val="auto"/>
              </w:rPr>
            </w:pPr>
          </w:p>
        </w:tc>
        <w:tc>
          <w:tcPr>
            <w:tcW w:w="4720" w:type="dxa"/>
            <w:vAlign w:val="bottom"/>
            <w:gridSpan w:val="3"/>
          </w:tcPr>
          <w:p>
            <w:pPr>
              <w:ind w:left="2340"/>
              <w:spacing w:after="0" w:line="223" w:lineRule="exact"/>
              <w:rPr>
                <w:sz w:val="20"/>
                <w:szCs w:val="20"/>
                <w:color w:val="auto"/>
              </w:rPr>
            </w:pPr>
            <w:r>
              <w:rPr>
                <w:rFonts w:ascii="Arial" w:cs="Arial" w:eastAsia="Arial" w:hAnsi="Arial"/>
                <w:sz w:val="20"/>
                <w:szCs w:val="20"/>
                <w:color w:val="231F20"/>
              </w:rPr>
              <w:t>Cummins, Inc.</w:t>
            </w:r>
          </w:p>
        </w:tc>
        <w:tc>
          <w:tcPr>
            <w:tcW w:w="200" w:type="dxa"/>
            <w:vAlign w:val="bottom"/>
            <w:shd w:val="clear" w:color="auto" w:fill="E6E7E8"/>
          </w:tcPr>
          <w:p>
            <w:pPr>
              <w:spacing w:after="0"/>
              <w:rPr>
                <w:sz w:val="19"/>
                <w:szCs w:val="19"/>
                <w:color w:val="auto"/>
              </w:rPr>
            </w:pPr>
          </w:p>
        </w:tc>
      </w:tr>
      <w:tr>
        <w:trPr>
          <w:trHeight w:val="504"/>
        </w:trPr>
        <w:tc>
          <w:tcPr>
            <w:tcW w:w="200" w:type="dxa"/>
            <w:vAlign w:val="bottom"/>
            <w:shd w:val="clear" w:color="auto" w:fill="E6E7E8"/>
          </w:tcPr>
          <w:p>
            <w:pPr>
              <w:spacing w:after="0"/>
              <w:rPr>
                <w:sz w:val="24"/>
                <w:szCs w:val="24"/>
                <w:color w:val="auto"/>
              </w:rPr>
            </w:pPr>
          </w:p>
        </w:tc>
        <w:tc>
          <w:tcPr>
            <w:tcW w:w="25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shd w:val="clear" w:color="auto" w:fill="E6E7E8"/>
          </w:tcPr>
          <w:p>
            <w:pPr>
              <w:spacing w:after="0"/>
              <w:rPr>
                <w:sz w:val="24"/>
                <w:szCs w:val="24"/>
                <w:color w:val="auto"/>
              </w:rPr>
            </w:pPr>
          </w:p>
        </w:tc>
        <w:tc>
          <w:tcPr>
            <w:tcW w:w="24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shd w:val="clear" w:color="auto" w:fill="E6E7E8"/>
          </w:tcPr>
          <w:p>
            <w:pPr>
              <w:spacing w:after="0"/>
              <w:rPr>
                <w:sz w:val="24"/>
                <w:szCs w:val="24"/>
                <w:color w:val="auto"/>
              </w:rPr>
            </w:pPr>
          </w:p>
        </w:tc>
      </w:tr>
      <w:tr>
        <w:trPr>
          <w:trHeight w:val="219"/>
        </w:trPr>
        <w:tc>
          <w:tcPr>
            <w:tcW w:w="200" w:type="dxa"/>
            <w:vAlign w:val="bottom"/>
            <w:shd w:val="clear" w:color="auto" w:fill="E6E7E8"/>
          </w:tcPr>
          <w:p>
            <w:pPr>
              <w:spacing w:after="0"/>
              <w:rPr>
                <w:sz w:val="19"/>
                <w:szCs w:val="19"/>
                <w:color w:val="auto"/>
              </w:rPr>
            </w:pPr>
          </w:p>
        </w:tc>
        <w:tc>
          <w:tcPr>
            <w:tcW w:w="2520" w:type="dxa"/>
            <w:vAlign w:val="bottom"/>
            <w:shd w:val="clear" w:color="auto" w:fill="E6E7E8"/>
          </w:tcPr>
          <w:p>
            <w:pPr>
              <w:spacing w:after="0"/>
              <w:rPr>
                <w:sz w:val="19"/>
                <w:szCs w:val="19"/>
                <w:color w:val="auto"/>
              </w:rPr>
            </w:pPr>
          </w:p>
        </w:tc>
        <w:tc>
          <w:tcPr>
            <w:tcW w:w="1680" w:type="dxa"/>
            <w:vAlign w:val="bottom"/>
            <w:shd w:val="clear" w:color="auto" w:fill="E6E7E8"/>
          </w:tcPr>
          <w:p>
            <w:pPr>
              <w:spacing w:after="0"/>
              <w:rPr>
                <w:sz w:val="19"/>
                <w:szCs w:val="19"/>
                <w:color w:val="auto"/>
              </w:rPr>
            </w:pPr>
          </w:p>
        </w:tc>
        <w:tc>
          <w:tcPr>
            <w:tcW w:w="580" w:type="dxa"/>
            <w:vAlign w:val="bottom"/>
            <w:shd w:val="clear" w:color="auto" w:fill="E6E7E8"/>
          </w:tcPr>
          <w:p>
            <w:pPr>
              <w:spacing w:after="0"/>
              <w:rPr>
                <w:sz w:val="19"/>
                <w:szCs w:val="19"/>
                <w:color w:val="auto"/>
              </w:rPr>
            </w:pPr>
          </w:p>
        </w:tc>
        <w:tc>
          <w:tcPr>
            <w:tcW w:w="200" w:type="dxa"/>
            <w:vAlign w:val="bottom"/>
            <w:shd w:val="clear" w:color="auto" w:fill="E6E7E8"/>
          </w:tcPr>
          <w:p>
            <w:pPr>
              <w:spacing w:after="0"/>
              <w:rPr>
                <w:sz w:val="19"/>
                <w:szCs w:val="19"/>
                <w:color w:val="auto"/>
              </w:rPr>
            </w:pPr>
          </w:p>
        </w:tc>
        <w:tc>
          <w:tcPr>
            <w:tcW w:w="2440" w:type="dxa"/>
            <w:vAlign w:val="bottom"/>
            <w:shd w:val="clear" w:color="auto" w:fill="E6E7E8"/>
          </w:tcPr>
          <w:p>
            <w:pPr>
              <w:spacing w:after="0"/>
              <w:rPr>
                <w:sz w:val="19"/>
                <w:szCs w:val="19"/>
                <w:color w:val="auto"/>
              </w:rPr>
            </w:pPr>
          </w:p>
        </w:tc>
        <w:tc>
          <w:tcPr>
            <w:tcW w:w="1680" w:type="dxa"/>
            <w:vAlign w:val="bottom"/>
            <w:shd w:val="clear" w:color="auto" w:fill="E6E7E8"/>
          </w:tcPr>
          <w:p>
            <w:pPr>
              <w:spacing w:after="0"/>
              <w:rPr>
                <w:sz w:val="19"/>
                <w:szCs w:val="19"/>
                <w:color w:val="auto"/>
              </w:rPr>
            </w:pPr>
          </w:p>
        </w:tc>
        <w:tc>
          <w:tcPr>
            <w:tcW w:w="600" w:type="dxa"/>
            <w:vAlign w:val="bottom"/>
            <w:shd w:val="clear" w:color="auto" w:fill="E6E7E8"/>
          </w:tcPr>
          <w:p>
            <w:pPr>
              <w:spacing w:after="0"/>
              <w:rPr>
                <w:sz w:val="19"/>
                <w:szCs w:val="19"/>
                <w:color w:val="auto"/>
              </w:rPr>
            </w:pPr>
          </w:p>
        </w:tc>
        <w:tc>
          <w:tcPr>
            <w:tcW w:w="200" w:type="dxa"/>
            <w:vAlign w:val="bottom"/>
            <w:shd w:val="clear" w:color="auto" w:fill="E6E7E8"/>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-1577975</wp:posOffset>
            </wp:positionV>
            <wp:extent cx="6407150" cy="767778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76">
                      <a:extLst>
                        <a:ext uri="{28A0092B-C50C-407E-A947-70E740481C1C}"/>
                      </a:extLst>
                    </a:blip>
                    <a:srcRect/>
                    <a:stretch>
                      <a:fillRect/>
                    </a:stretch>
                  </pic:blipFill>
                  <pic:spPr bwMode="auto">
                    <a:xfrm>
                      <a:off x="0" y="0"/>
                      <a:ext cx="6407150" cy="7677785"/>
                    </a:xfrm>
                    <a:prstGeom prst="rect">
                      <a:avLst/>
                    </a:prstGeom>
                    <a:noFill/>
                  </pic:spPr>
                </pic:pic>
              </a:graphicData>
            </a:graphic>
          </wp:anchor>
        </w:drawing>
      </w:r>
    </w:p>
    <w:p>
      <w:pPr>
        <w:sectPr>
          <w:pgSz w:w="11880" w:h="15480" w:orient="portrait"/>
          <w:cols w:equalWidth="0" w:num="1">
            <w:col w:w="10100"/>
          </w:cols>
          <w:pgMar w:left="900" w:top="1260" w:right="880" w:bottom="763" w:gutter="0" w:footer="0" w:header="0"/>
        </w:sectPr>
      </w:pPr>
    </w:p>
    <w:p>
      <w:pPr>
        <w:spacing w:after="0" w:line="24" w:lineRule="exact"/>
        <w:rPr>
          <w:sz w:val="20"/>
          <w:szCs w:val="20"/>
          <w:color w:val="auto"/>
        </w:rPr>
      </w:pPr>
    </w:p>
    <w:p>
      <w:pPr>
        <w:jc w:val="both"/>
        <w:ind w:left="420"/>
        <w:spacing w:after="0" w:line="237" w:lineRule="auto"/>
        <w:rPr>
          <w:sz w:val="20"/>
          <w:szCs w:val="20"/>
          <w:color w:val="auto"/>
        </w:rPr>
      </w:pPr>
      <w:r>
        <w:rPr>
          <w:rFonts w:ascii="Arial" w:cs="Arial" w:eastAsia="Arial" w:hAnsi="Arial"/>
          <w:sz w:val="17"/>
          <w:szCs w:val="17"/>
          <w:color w:val="231F20"/>
        </w:rPr>
        <w:t>Ms. Holland is the Chief Executive Officer of Abbell Credit Corporation and Abbell Associates, LLC, a private retail real estate company. She has held that position since 1997. Ms. Holland is also Chief Executive Officer of Consortial Technologies, L.L.C., a software development company since 2017. Prior to that, she served as a senior staff attorney on the Congressional Bankruptcy Review Commission (1996-1997), as a business reorganization attorney at Skadden, Arps, Slate, Meagher &amp; Flom (1993-1996) and as a fixed income portfolio manager at Brown Brothers Harriman &amp; Company from (1989-1990). From 2016-2017, Ms. Holland served as the Chairman of the Board of Trustees for ICSC (f/k/a International Council of Shopping Centers) and has served as a trustee for that organization since 2004. Ms. Holland earned a BA from Hamilton College and a JD from Brooklyn Law School. In addition to her public board service, Ms. Holland serves on the boards of The Village Bank &amp; Trust, a Chicago based owner, manager and developer of multi-family properties, and Primo Center for Women &amp; Children, a non-profit organization whose mission is to provide family shelter and permanent supportive housing and other supportive services to homeless families in Chicago.</w:t>
      </w:r>
    </w:p>
    <w:p>
      <w:pPr>
        <w:spacing w:after="0" w:line="151"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231F20"/>
        </w:rPr>
        <w:t>Skills and Qualifications</w:t>
      </w:r>
    </w:p>
    <w:p>
      <w:pPr>
        <w:jc w:val="both"/>
        <w:ind w:left="420"/>
        <w:spacing w:after="0" w:line="223" w:lineRule="auto"/>
        <w:rPr>
          <w:sz w:val="20"/>
          <w:szCs w:val="20"/>
          <w:color w:val="auto"/>
        </w:rPr>
      </w:pPr>
      <w:r>
        <w:rPr>
          <w:rFonts w:ascii="Arial" w:cs="Arial" w:eastAsia="Arial" w:hAnsi="Arial"/>
          <w:sz w:val="18"/>
          <w:szCs w:val="18"/>
          <w:color w:val="231F20"/>
        </w:rPr>
        <w:t>Ms. Holland brings valuable insights into retailers and the retail industry in general from her time in leadership positions with ICSC and her own investing experience in retail real estate as well as a wealth of business and leadership experience from running a private real estate company. Those perspectives are invaluable for a retail based real estate company.</w:t>
      </w:r>
    </w:p>
    <w:p>
      <w:pPr>
        <w:spacing w:after="0" w:line="140"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231F20"/>
        </w:rPr>
        <w:t>Current Public Company Directorships:</w:t>
      </w:r>
    </w:p>
    <w:p>
      <w:pPr>
        <w:ind w:left="420"/>
        <w:spacing w:after="0" w:line="223" w:lineRule="auto"/>
        <w:rPr>
          <w:sz w:val="20"/>
          <w:szCs w:val="20"/>
          <w:color w:val="auto"/>
        </w:rPr>
      </w:pPr>
      <w:r>
        <w:rPr>
          <w:rFonts w:ascii="Arial" w:cs="Arial" w:eastAsia="Arial" w:hAnsi="Arial"/>
          <w:sz w:val="18"/>
          <w:szCs w:val="18"/>
          <w:color w:val="231F20"/>
        </w:rPr>
        <w:t>VICI Properties, Inc.</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231F20"/>
        </w:rPr>
        <w:t>Committees:</w:t>
      </w:r>
    </w:p>
    <w:p>
      <w:pPr>
        <w:ind w:left="420"/>
        <w:spacing w:after="0" w:line="223" w:lineRule="auto"/>
        <w:rPr>
          <w:sz w:val="20"/>
          <w:szCs w:val="20"/>
          <w:color w:val="auto"/>
        </w:rPr>
      </w:pPr>
      <w:r>
        <w:rPr>
          <w:rFonts w:ascii="Arial" w:cs="Arial" w:eastAsia="Arial" w:hAnsi="Arial"/>
          <w:sz w:val="18"/>
          <w:szCs w:val="18"/>
          <w:color w:val="231F20"/>
        </w:rPr>
        <w:t>Audit Committee</w:t>
      </w:r>
    </w:p>
    <w:p>
      <w:pPr>
        <w:ind w:left="420"/>
        <w:spacing w:after="0" w:line="224" w:lineRule="auto"/>
        <w:rPr>
          <w:sz w:val="20"/>
          <w:szCs w:val="20"/>
          <w:color w:val="auto"/>
        </w:rPr>
      </w:pPr>
      <w:r>
        <w:rPr>
          <w:rFonts w:ascii="Arial" w:cs="Arial" w:eastAsia="Arial" w:hAnsi="Arial"/>
          <w:sz w:val="18"/>
          <w:szCs w:val="18"/>
          <w:color w:val="231F20"/>
        </w:rPr>
        <w:t>Compensation Committee (Chair)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1374140</wp:posOffset>
                </wp:positionV>
                <wp:extent cx="6407150" cy="136525"/>
                <wp:wrapNone/>
                <wp:docPr id="267" name="Shape 2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7150" cy="136525"/>
                        </a:xfrm>
                        <a:prstGeom prst="rect">
                          <a:avLst/>
                        </a:prstGeom>
                        <a:solidFill>
                          <a:srgbClr val="E6E7E8"/>
                        </a:solidFill>
                      </wps:spPr>
                      <wps:bodyPr/>
                    </wps:wsp>
                  </a:graphicData>
                </a:graphic>
              </wp:anchor>
            </w:drawing>
          </mc:Choice>
          <mc:Fallback>
            <w:pict>
              <v:rect id="Shape 267" o:spid="_x0000_s1292" style="position:absolute;margin-left:0pt;margin-top:108.2pt;width:504.5pt;height:10.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7E8"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1663700</wp:posOffset>
                </wp:positionV>
                <wp:extent cx="6400800" cy="177800"/>
                <wp:wrapNone/>
                <wp:docPr id="268" name="Shape 2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177800"/>
                        </a:xfrm>
                        <a:prstGeom prst="rect">
                          <a:avLst/>
                        </a:prstGeom>
                        <a:solidFill>
                          <a:srgbClr val="E8E7E5"/>
                        </a:solidFill>
                      </wps:spPr>
                      <wps:bodyPr/>
                    </wps:wsp>
                  </a:graphicData>
                </a:graphic>
              </wp:anchor>
            </w:drawing>
          </mc:Choice>
          <mc:Fallback>
            <w:pict>
              <v:rect id="Shape 268" o:spid="_x0000_s1293" style="position:absolute;margin-left:0pt;margin-top:131pt;width:504pt;height:1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8E7E5" stroked="f"/>
            </w:pict>
          </mc:Fallback>
        </mc:AlternateContent>
        <mc:AlternateContent>
          <mc:Choice Requires="wps">
            <w:drawing>
              <wp:anchor simplePos="0" relativeHeight="251657728" behindDoc="1" locked="0" layoutInCell="0" allowOverlap="1">
                <wp:simplePos x="0" y="0"/>
                <wp:positionH relativeFrom="column">
                  <wp:posOffset>6350</wp:posOffset>
                </wp:positionH>
                <wp:positionV relativeFrom="paragraph">
                  <wp:posOffset>1663065</wp:posOffset>
                </wp:positionV>
                <wp:extent cx="0" cy="177800"/>
                <wp:wrapNone/>
                <wp:docPr id="269" name="Shape 2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269" o:spid="_x0000_s12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pt,130.95pt" to="0.5pt,144.95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1669415</wp:posOffset>
                </wp:positionV>
                <wp:extent cx="6400800" cy="0"/>
                <wp:wrapNone/>
                <wp:docPr id="270" name="Shape 2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270" o:spid="_x0000_s12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1.45pt" to="504pt,131.45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1834515</wp:posOffset>
                </wp:positionV>
                <wp:extent cx="6400800" cy="0"/>
                <wp:wrapNone/>
                <wp:docPr id="271" name="Shape 2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271" o:spid="_x0000_s12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44.45pt" to="504pt,144.45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6394450</wp:posOffset>
                </wp:positionH>
                <wp:positionV relativeFrom="paragraph">
                  <wp:posOffset>1663065</wp:posOffset>
                </wp:positionV>
                <wp:extent cx="0" cy="177800"/>
                <wp:wrapNone/>
                <wp:docPr id="272" name="Shape 2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272" o:spid="_x0000_s12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3.5pt,130.95pt" to="503.5pt,144.95pt" o:allowincell="f" strokecolor="#231F20" strokeweight="1pt"/>
            </w:pict>
          </mc:Fallback>
        </mc:AlternateConten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jc w:val="both"/>
        <w:ind w:right="320"/>
        <w:spacing w:after="0" w:line="225" w:lineRule="auto"/>
        <w:rPr>
          <w:sz w:val="20"/>
          <w:szCs w:val="20"/>
          <w:color w:val="auto"/>
        </w:rPr>
      </w:pPr>
      <w:r>
        <w:rPr>
          <w:rFonts w:ascii="Arial" w:cs="Arial" w:eastAsia="Arial" w:hAnsi="Arial"/>
          <w:sz w:val="18"/>
          <w:szCs w:val="18"/>
          <w:color w:val="231F20"/>
        </w:rPr>
        <w:t>Ms. Lamb-Hale currently serves as the Vice President, Chief Administrative Officer and Corporate Secretary of Cummins Inc., a position she has held since 2025 overseeing multiple global functions including product compliance and regulatory affairs, communications,</w:t>
      </w:r>
    </w:p>
    <w:p>
      <w:pPr>
        <w:spacing w:after="0" w:line="3" w:lineRule="exact"/>
        <w:rPr>
          <w:sz w:val="20"/>
          <w:szCs w:val="20"/>
          <w:color w:val="auto"/>
        </w:rPr>
      </w:pPr>
    </w:p>
    <w:p>
      <w:pPr>
        <w:jc w:val="both"/>
        <w:ind w:right="320"/>
        <w:spacing w:after="0" w:line="223" w:lineRule="auto"/>
        <w:rPr>
          <w:sz w:val="20"/>
          <w:szCs w:val="20"/>
          <w:color w:val="auto"/>
        </w:rPr>
      </w:pPr>
      <w:r>
        <w:rPr>
          <w:rFonts w:ascii="Arial" w:cs="Arial" w:eastAsia="Arial" w:hAnsi="Arial"/>
          <w:sz w:val="18"/>
          <w:szCs w:val="18"/>
          <w:color w:val="231F20"/>
        </w:rPr>
        <w:t>marketing, government relations, corporate responsibility, facilities, security, global enterprise risk, ethics and compliance and the company’s global shared services organization. She also serves as Corporate Secretary advising the company’s board of directors and executive management on corporate governance and compliance with SEC reporting requirements and NYSE rules. While at Cummins Inc., Ms. Lamb-Hale has also held the titles Vice President and Chief Legal Officer (2023-2025) and Vice President and General Counsel (2021-2022). Prior to that time, she was a Managing Director at Kroll, a global governance, risk and transparency consultant (2016-2021), a Senior Vice President at Albright Stonebridge Group (2013-2016), a global strategy consultancy, and served as the Assistant Secretary of Commerce for Manufacturing and Services in the International Trade Administration of the U.S. Department of Commerce (2010-2013) and as the Deputy General Counsel for the U.S. Department of Commerce (2009-2010). Ms. Lamb-Hale is a licensed attorney who began her career at law firms (1991-2009) where she practiced in the areas of business restructuring and public finance. Ms. Lamb-Hale earned an AB in Political Science from the University of Michigan and a JD from Harvard Law School. In addition to her service on Federal’s Board, Ms. Lamb-Hale serves on the board of Delta Parent Holdings, Inc. as well as the boards of several non-profit groups including the Cummins Foundation and the U.S. Chamber of Commerce Foundation.</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Skills and Qualifications</w:t>
      </w:r>
    </w:p>
    <w:p>
      <w:pPr>
        <w:jc w:val="both"/>
        <w:ind w:right="320"/>
        <w:spacing w:after="0" w:line="223" w:lineRule="auto"/>
        <w:rPr>
          <w:sz w:val="20"/>
          <w:szCs w:val="20"/>
          <w:color w:val="auto"/>
        </w:rPr>
      </w:pPr>
      <w:r>
        <w:rPr>
          <w:rFonts w:ascii="Arial" w:cs="Arial" w:eastAsia="Arial" w:hAnsi="Arial"/>
          <w:sz w:val="18"/>
          <w:szCs w:val="18"/>
          <w:color w:val="231F20"/>
        </w:rPr>
        <w:t>Ms. Lamb-Hale’s 30 years of experience, spanning the private and public sectors, in law, executive level risk management and mitigation, and restructuring, coupled with her leadership skills gained from her varied executive roles, provides the company with diverse and valuable insights as it develops and implements its current and long-term business strategies.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Committees:</w:t>
      </w:r>
    </w:p>
    <w:p>
      <w:pPr>
        <w:spacing w:after="0" w:line="223" w:lineRule="auto"/>
        <w:rPr>
          <w:sz w:val="20"/>
          <w:szCs w:val="20"/>
          <w:color w:val="auto"/>
        </w:rPr>
      </w:pPr>
      <w:r>
        <w:rPr>
          <w:rFonts w:ascii="Arial" w:cs="Arial" w:eastAsia="Arial" w:hAnsi="Arial"/>
          <w:sz w:val="18"/>
          <w:szCs w:val="18"/>
          <w:color w:val="231F20"/>
        </w:rPr>
        <w:t>Compensation Committee</w:t>
      </w:r>
    </w:p>
    <w:p>
      <w:pPr>
        <w:spacing w:after="0" w:line="224" w:lineRule="auto"/>
        <w:rPr>
          <w:sz w:val="20"/>
          <w:szCs w:val="20"/>
          <w:color w:val="auto"/>
        </w:rPr>
      </w:pPr>
      <w:r>
        <w:rPr>
          <w:rFonts w:ascii="Arial" w:cs="Arial" w:eastAsia="Arial" w:hAnsi="Arial"/>
          <w:sz w:val="18"/>
          <w:szCs w:val="18"/>
          <w:color w:val="231F20"/>
        </w:rPr>
        <w:t>Nominating Committee</w:t>
      </w:r>
    </w:p>
    <w:p>
      <w:pPr>
        <w:spacing w:after="0" w:line="200" w:lineRule="exact"/>
        <w:rPr>
          <w:sz w:val="20"/>
          <w:szCs w:val="20"/>
          <w:color w:val="auto"/>
        </w:rPr>
      </w:pPr>
    </w:p>
    <w:p>
      <w:pPr>
        <w:sectPr>
          <w:pgSz w:w="11880" w:h="15480" w:orient="portrait"/>
          <w:cols w:equalWidth="0" w:num="2">
            <w:col w:w="4860" w:space="540"/>
            <w:col w:w="4700"/>
          </w:cols>
          <w:pgMar w:left="900" w:top="1260" w:right="880" w:bottom="763" w:gutter="0" w:footer="0" w:header="0"/>
          <w:type w:val="continuous"/>
        </w:sectPr>
      </w:pPr>
    </w:p>
    <w:p>
      <w:pPr>
        <w:spacing w:after="0" w:line="384" w:lineRule="exact"/>
        <w:rPr>
          <w:sz w:val="20"/>
          <w:szCs w:val="20"/>
          <w:color w:val="auto"/>
        </w:rPr>
      </w:pPr>
    </w:p>
    <w:p>
      <w:pPr>
        <w:ind w:left="6720"/>
        <w:spacing w:after="0"/>
        <w:tabs>
          <w:tab w:leader="none" w:pos="8060" w:val="left"/>
          <w:tab w:leader="none" w:pos="9800" w:val="left"/>
        </w:tabs>
        <w:rPr>
          <w:sz w:val="20"/>
          <w:szCs w:val="20"/>
          <w:color w:val="auto"/>
        </w:rPr>
      </w:pPr>
      <w:r>
        <w:rPr>
          <w:rFonts w:ascii="Arial" w:cs="Arial" w:eastAsia="Arial" w:hAnsi="Arial"/>
          <w:sz w:val="16"/>
          <w:szCs w:val="16"/>
          <w:color w:val="EF3E2A"/>
        </w:rPr>
        <w:t>Federal Realty</w:t>
      </w:r>
      <w:r>
        <w:rPr>
          <w:sz w:val="20"/>
          <w:szCs w:val="20"/>
          <w:color w:val="auto"/>
        </w:rPr>
        <w:tab/>
      </w:r>
      <w:r>
        <w:rPr>
          <w:rFonts w:ascii="Arial" w:cs="Arial" w:eastAsia="Arial" w:hAnsi="Arial"/>
          <w:sz w:val="16"/>
          <w:szCs w:val="16"/>
          <w:color w:val="231F20"/>
        </w:rPr>
        <w:t>2026 Proxy Statement</w:t>
        <w:tab/>
        <w:t>15</w:t>
      </w:r>
    </w:p>
    <w:p>
      <w:pPr>
        <w:sectPr>
          <w:pgSz w:w="11880" w:h="15480" w:orient="portrait"/>
          <w:cols w:equalWidth="0" w:num="1">
            <w:col w:w="10100"/>
          </w:cols>
          <w:pgMar w:left="900" w:top="1260" w:right="880" w:bottom="763" w:gutter="0" w:footer="0" w:header="0"/>
          <w:type w:val="continuous"/>
        </w:sectPr>
      </w:pPr>
    </w:p>
    <w:bookmarkStart w:id="135" w:name="page136"/>
    <w:bookmarkEnd w:id="135"/>
    <w:tbl>
      <w:tblPr>
        <w:tblLayout w:type="fixed"/>
        <w:tblInd w:w="0" w:type="dxa"/>
        <w:tblCellMar>
          <w:top w:w="0" w:type="dxa"/>
          <w:left w:w="0" w:type="dxa"/>
          <w:bottom w:w="0" w:type="dxa"/>
          <w:right w:w="0" w:type="dxa"/>
        </w:tblCellMar>
      </w:tblPr>
      <w:tr>
        <w:trPr>
          <w:trHeight w:val="215"/>
        </w:trPr>
        <w:tc>
          <w:tcPr>
            <w:tcW w:w="200" w:type="dxa"/>
            <w:vAlign w:val="bottom"/>
            <w:shd w:val="clear" w:color="auto" w:fill="E6E7E8"/>
          </w:tcPr>
          <w:p>
            <w:pPr>
              <w:spacing w:after="0"/>
              <w:rPr>
                <w:sz w:val="18"/>
                <w:szCs w:val="18"/>
                <w:color w:val="auto"/>
              </w:rPr>
            </w:pPr>
          </w:p>
        </w:tc>
        <w:tc>
          <w:tcPr>
            <w:tcW w:w="2520" w:type="dxa"/>
            <w:vAlign w:val="bottom"/>
            <w:shd w:val="clear" w:color="auto" w:fill="E6E7E8"/>
          </w:tcPr>
          <w:p>
            <w:pPr>
              <w:spacing w:after="0"/>
              <w:rPr>
                <w:sz w:val="18"/>
                <w:szCs w:val="18"/>
                <w:color w:val="auto"/>
              </w:rPr>
            </w:pPr>
          </w:p>
        </w:tc>
        <w:tc>
          <w:tcPr>
            <w:tcW w:w="1680" w:type="dxa"/>
            <w:vAlign w:val="bottom"/>
            <w:shd w:val="clear" w:color="auto" w:fill="E6E7E8"/>
          </w:tcPr>
          <w:p>
            <w:pPr>
              <w:spacing w:after="0"/>
              <w:rPr>
                <w:sz w:val="18"/>
                <w:szCs w:val="18"/>
                <w:color w:val="auto"/>
              </w:rPr>
            </w:pPr>
          </w:p>
        </w:tc>
        <w:tc>
          <w:tcPr>
            <w:tcW w:w="580" w:type="dxa"/>
            <w:vAlign w:val="bottom"/>
            <w:shd w:val="clear" w:color="auto" w:fill="E6E7E8"/>
          </w:tcPr>
          <w:p>
            <w:pPr>
              <w:spacing w:after="0"/>
              <w:rPr>
                <w:sz w:val="18"/>
                <w:szCs w:val="18"/>
                <w:color w:val="auto"/>
              </w:rPr>
            </w:pPr>
          </w:p>
        </w:tc>
        <w:tc>
          <w:tcPr>
            <w:tcW w:w="200" w:type="dxa"/>
            <w:vAlign w:val="bottom"/>
            <w:shd w:val="clear" w:color="auto" w:fill="E6E7E8"/>
          </w:tcPr>
          <w:p>
            <w:pPr>
              <w:spacing w:after="0"/>
              <w:rPr>
                <w:sz w:val="18"/>
                <w:szCs w:val="18"/>
                <w:color w:val="auto"/>
              </w:rPr>
            </w:pPr>
          </w:p>
        </w:tc>
        <w:tc>
          <w:tcPr>
            <w:tcW w:w="2440" w:type="dxa"/>
            <w:vAlign w:val="bottom"/>
            <w:shd w:val="clear" w:color="auto" w:fill="E6E7E8"/>
          </w:tcPr>
          <w:p>
            <w:pPr>
              <w:spacing w:after="0"/>
              <w:rPr>
                <w:sz w:val="18"/>
                <w:szCs w:val="18"/>
                <w:color w:val="auto"/>
              </w:rPr>
            </w:pPr>
          </w:p>
        </w:tc>
        <w:tc>
          <w:tcPr>
            <w:tcW w:w="1680" w:type="dxa"/>
            <w:vAlign w:val="bottom"/>
            <w:shd w:val="clear" w:color="auto" w:fill="E6E7E8"/>
          </w:tcPr>
          <w:p>
            <w:pPr>
              <w:spacing w:after="0"/>
              <w:rPr>
                <w:sz w:val="18"/>
                <w:szCs w:val="18"/>
                <w:color w:val="auto"/>
              </w:rPr>
            </w:pPr>
          </w:p>
        </w:tc>
        <w:tc>
          <w:tcPr>
            <w:tcW w:w="600" w:type="dxa"/>
            <w:vAlign w:val="bottom"/>
            <w:shd w:val="clear" w:color="auto" w:fill="E6E7E8"/>
          </w:tcPr>
          <w:p>
            <w:pPr>
              <w:spacing w:after="0"/>
              <w:rPr>
                <w:sz w:val="18"/>
                <w:szCs w:val="18"/>
                <w:color w:val="auto"/>
              </w:rPr>
            </w:pPr>
          </w:p>
        </w:tc>
        <w:tc>
          <w:tcPr>
            <w:tcW w:w="200" w:type="dxa"/>
            <w:vAlign w:val="bottom"/>
            <w:shd w:val="clear" w:color="auto" w:fill="E6E7E8"/>
          </w:tcPr>
          <w:p>
            <w:pPr>
              <w:spacing w:after="0"/>
              <w:rPr>
                <w:sz w:val="18"/>
                <w:szCs w:val="18"/>
                <w:color w:val="auto"/>
              </w:rPr>
            </w:pPr>
          </w:p>
        </w:tc>
      </w:tr>
      <w:tr>
        <w:trPr>
          <w:trHeight w:val="105"/>
        </w:trPr>
        <w:tc>
          <w:tcPr>
            <w:tcW w:w="200" w:type="dxa"/>
            <w:vAlign w:val="bottom"/>
            <w:tcBorders>
              <w:bottom w:val="single" w:sz="8" w:color="E6E7E8"/>
            </w:tcBorders>
            <w:shd w:val="clear" w:color="auto" w:fill="E6E7E8"/>
          </w:tcPr>
          <w:p>
            <w:pPr>
              <w:spacing w:after="0"/>
              <w:rPr>
                <w:sz w:val="9"/>
                <w:szCs w:val="9"/>
                <w:color w:val="auto"/>
              </w:rPr>
            </w:pPr>
          </w:p>
        </w:tc>
        <w:tc>
          <w:tcPr>
            <w:tcW w:w="2520" w:type="dxa"/>
            <w:vAlign w:val="bottom"/>
          </w:tcPr>
          <w:p>
            <w:pPr>
              <w:spacing w:after="0"/>
              <w:rPr>
                <w:sz w:val="9"/>
                <w:szCs w:val="9"/>
                <w:color w:val="auto"/>
              </w:rPr>
            </w:pPr>
          </w:p>
        </w:tc>
        <w:tc>
          <w:tcPr>
            <w:tcW w:w="1680" w:type="dxa"/>
            <w:vAlign w:val="bottom"/>
            <w:tcBorders>
              <w:bottom w:val="single" w:sz="8" w:color="EF3E2A"/>
            </w:tcBorders>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Borders>
              <w:bottom w:val="single" w:sz="8" w:color="E6E7E8"/>
            </w:tcBorders>
            <w:shd w:val="clear" w:color="auto" w:fill="E6E7E8"/>
          </w:tcPr>
          <w:p>
            <w:pPr>
              <w:spacing w:after="0"/>
              <w:rPr>
                <w:sz w:val="9"/>
                <w:szCs w:val="9"/>
                <w:color w:val="auto"/>
              </w:rPr>
            </w:pPr>
          </w:p>
        </w:tc>
        <w:tc>
          <w:tcPr>
            <w:tcW w:w="2440" w:type="dxa"/>
            <w:vAlign w:val="bottom"/>
          </w:tcPr>
          <w:p>
            <w:pPr>
              <w:spacing w:after="0"/>
              <w:rPr>
                <w:sz w:val="9"/>
                <w:szCs w:val="9"/>
                <w:color w:val="auto"/>
              </w:rPr>
            </w:pPr>
          </w:p>
        </w:tc>
        <w:tc>
          <w:tcPr>
            <w:tcW w:w="1680" w:type="dxa"/>
            <w:vAlign w:val="bottom"/>
            <w:tcBorders>
              <w:bottom w:val="single" w:sz="8" w:color="EF3E2A"/>
            </w:tcBorders>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Borders>
              <w:bottom w:val="single" w:sz="8" w:color="E6E7E8"/>
            </w:tcBorders>
            <w:shd w:val="clear" w:color="auto" w:fill="E6E7E8"/>
          </w:tcPr>
          <w:p>
            <w:pPr>
              <w:spacing w:after="0"/>
              <w:rPr>
                <w:sz w:val="9"/>
                <w:szCs w:val="9"/>
                <w:color w:val="auto"/>
              </w:rPr>
            </w:pPr>
          </w:p>
        </w:tc>
      </w:tr>
      <w:tr>
        <w:trPr>
          <w:trHeight w:val="309"/>
        </w:trPr>
        <w:tc>
          <w:tcPr>
            <w:tcW w:w="200" w:type="dxa"/>
            <w:vAlign w:val="bottom"/>
            <w:shd w:val="clear" w:color="auto" w:fill="E6E7E8"/>
          </w:tcPr>
          <w:p>
            <w:pPr>
              <w:spacing w:after="0"/>
              <w:rPr>
                <w:sz w:val="24"/>
                <w:szCs w:val="24"/>
                <w:color w:val="auto"/>
              </w:rPr>
            </w:pPr>
          </w:p>
        </w:tc>
        <w:tc>
          <w:tcPr>
            <w:tcW w:w="4780" w:type="dxa"/>
            <w:vAlign w:val="bottom"/>
            <w:gridSpan w:val="3"/>
          </w:tcPr>
          <w:p>
            <w:pPr>
              <w:ind w:left="2420"/>
              <w:spacing w:after="0"/>
              <w:rPr>
                <w:sz w:val="20"/>
                <w:szCs w:val="20"/>
                <w:color w:val="auto"/>
              </w:rPr>
            </w:pPr>
            <w:r>
              <w:rPr>
                <w:rFonts w:ascii="Arial" w:cs="Arial" w:eastAsia="Arial" w:hAnsi="Arial"/>
                <w:sz w:val="20"/>
                <w:szCs w:val="20"/>
                <w:b w:val="1"/>
                <w:bCs w:val="1"/>
                <w:color w:val="231F20"/>
              </w:rPr>
              <w:t>THOMAS A. McEACHIN</w:t>
            </w:r>
          </w:p>
        </w:tc>
        <w:tc>
          <w:tcPr>
            <w:tcW w:w="200" w:type="dxa"/>
            <w:vAlign w:val="bottom"/>
            <w:shd w:val="clear" w:color="auto" w:fill="E6E7E8"/>
          </w:tcPr>
          <w:p>
            <w:pPr>
              <w:spacing w:after="0"/>
              <w:rPr>
                <w:sz w:val="24"/>
                <w:szCs w:val="24"/>
                <w:color w:val="auto"/>
              </w:rPr>
            </w:pPr>
          </w:p>
        </w:tc>
        <w:tc>
          <w:tcPr>
            <w:tcW w:w="4720" w:type="dxa"/>
            <w:vAlign w:val="bottom"/>
            <w:gridSpan w:val="3"/>
          </w:tcPr>
          <w:p>
            <w:pPr>
              <w:ind w:left="2340"/>
              <w:spacing w:after="0"/>
              <w:rPr>
                <w:sz w:val="20"/>
                <w:szCs w:val="20"/>
                <w:color w:val="auto"/>
              </w:rPr>
            </w:pPr>
            <w:r>
              <w:rPr>
                <w:rFonts w:ascii="Arial" w:cs="Arial" w:eastAsia="Arial" w:hAnsi="Arial"/>
                <w:sz w:val="20"/>
                <w:szCs w:val="20"/>
                <w:b w:val="1"/>
                <w:bCs w:val="1"/>
                <w:color w:val="231F20"/>
              </w:rPr>
              <w:t>ANTHONY P. NADER, III</w:t>
            </w:r>
          </w:p>
        </w:tc>
        <w:tc>
          <w:tcPr>
            <w:tcW w:w="200" w:type="dxa"/>
            <w:vAlign w:val="bottom"/>
            <w:shd w:val="clear" w:color="auto" w:fill="E6E7E8"/>
          </w:tcPr>
          <w:p>
            <w:pPr>
              <w:spacing w:after="0"/>
              <w:rPr>
                <w:sz w:val="24"/>
                <w:szCs w:val="24"/>
                <w:color w:val="auto"/>
              </w:rPr>
            </w:pPr>
          </w:p>
        </w:tc>
      </w:tr>
      <w:tr>
        <w:trPr>
          <w:trHeight w:val="211"/>
        </w:trPr>
        <w:tc>
          <w:tcPr>
            <w:tcW w:w="200" w:type="dxa"/>
            <w:vAlign w:val="bottom"/>
            <w:shd w:val="clear" w:color="auto" w:fill="E6E7E8"/>
          </w:tcPr>
          <w:p>
            <w:pPr>
              <w:spacing w:after="0"/>
              <w:rPr>
                <w:sz w:val="18"/>
                <w:szCs w:val="18"/>
                <w:color w:val="auto"/>
              </w:rPr>
            </w:pPr>
          </w:p>
        </w:tc>
        <w:tc>
          <w:tcPr>
            <w:tcW w:w="4780" w:type="dxa"/>
            <w:vAlign w:val="bottom"/>
            <w:gridSpan w:val="3"/>
          </w:tcPr>
          <w:p>
            <w:pPr>
              <w:ind w:left="2420"/>
              <w:spacing w:after="0" w:line="211" w:lineRule="exact"/>
              <w:rPr>
                <w:sz w:val="20"/>
                <w:szCs w:val="20"/>
                <w:color w:val="auto"/>
              </w:rPr>
            </w:pPr>
            <w:r>
              <w:rPr>
                <w:rFonts w:ascii="Arial" w:cs="Arial" w:eastAsia="Arial" w:hAnsi="Arial"/>
                <w:sz w:val="20"/>
                <w:szCs w:val="20"/>
                <w:color w:val="231F20"/>
              </w:rPr>
              <w:t>Age: 73</w:t>
            </w:r>
          </w:p>
        </w:tc>
        <w:tc>
          <w:tcPr>
            <w:tcW w:w="200" w:type="dxa"/>
            <w:vAlign w:val="bottom"/>
            <w:shd w:val="clear" w:color="auto" w:fill="E6E7E8"/>
          </w:tcPr>
          <w:p>
            <w:pPr>
              <w:spacing w:after="0"/>
              <w:rPr>
                <w:sz w:val="18"/>
                <w:szCs w:val="18"/>
                <w:color w:val="auto"/>
              </w:rPr>
            </w:pPr>
          </w:p>
        </w:tc>
        <w:tc>
          <w:tcPr>
            <w:tcW w:w="4720" w:type="dxa"/>
            <w:vAlign w:val="bottom"/>
            <w:gridSpan w:val="3"/>
          </w:tcPr>
          <w:p>
            <w:pPr>
              <w:ind w:left="2340"/>
              <w:spacing w:after="0" w:line="211" w:lineRule="exact"/>
              <w:rPr>
                <w:sz w:val="20"/>
                <w:szCs w:val="20"/>
                <w:color w:val="auto"/>
              </w:rPr>
            </w:pPr>
            <w:r>
              <w:rPr>
                <w:rFonts w:ascii="Arial" w:cs="Arial" w:eastAsia="Arial" w:hAnsi="Arial"/>
                <w:sz w:val="20"/>
                <w:szCs w:val="20"/>
                <w:color w:val="231F20"/>
              </w:rPr>
              <w:t>Age: 62</w:t>
            </w:r>
          </w:p>
        </w:tc>
        <w:tc>
          <w:tcPr>
            <w:tcW w:w="200" w:type="dxa"/>
            <w:vAlign w:val="bottom"/>
            <w:shd w:val="clear" w:color="auto" w:fill="E6E7E8"/>
          </w:tcPr>
          <w:p>
            <w:pPr>
              <w:spacing w:after="0"/>
              <w:rPr>
                <w:sz w:val="18"/>
                <w:szCs w:val="18"/>
                <w:color w:val="auto"/>
              </w:rPr>
            </w:pPr>
          </w:p>
        </w:tc>
      </w:tr>
      <w:tr>
        <w:trPr>
          <w:trHeight w:val="211"/>
        </w:trPr>
        <w:tc>
          <w:tcPr>
            <w:tcW w:w="200" w:type="dxa"/>
            <w:vAlign w:val="bottom"/>
            <w:shd w:val="clear" w:color="auto" w:fill="E6E7E8"/>
          </w:tcPr>
          <w:p>
            <w:pPr>
              <w:spacing w:after="0"/>
              <w:rPr>
                <w:sz w:val="18"/>
                <w:szCs w:val="18"/>
                <w:color w:val="auto"/>
              </w:rPr>
            </w:pPr>
          </w:p>
        </w:tc>
        <w:tc>
          <w:tcPr>
            <w:tcW w:w="4780" w:type="dxa"/>
            <w:vAlign w:val="bottom"/>
            <w:gridSpan w:val="3"/>
          </w:tcPr>
          <w:p>
            <w:pPr>
              <w:ind w:left="2420"/>
              <w:spacing w:after="0" w:line="211" w:lineRule="exact"/>
              <w:rPr>
                <w:sz w:val="20"/>
                <w:szCs w:val="20"/>
                <w:color w:val="auto"/>
              </w:rPr>
            </w:pPr>
            <w:r>
              <w:rPr>
                <w:rFonts w:ascii="Arial" w:cs="Arial" w:eastAsia="Arial" w:hAnsi="Arial"/>
                <w:sz w:val="20"/>
                <w:szCs w:val="20"/>
                <w:color w:val="231F20"/>
              </w:rPr>
              <w:t>Trustee Since: 2022</w:t>
            </w:r>
          </w:p>
        </w:tc>
        <w:tc>
          <w:tcPr>
            <w:tcW w:w="200" w:type="dxa"/>
            <w:vAlign w:val="bottom"/>
            <w:shd w:val="clear" w:color="auto" w:fill="E6E7E8"/>
          </w:tcPr>
          <w:p>
            <w:pPr>
              <w:spacing w:after="0"/>
              <w:rPr>
                <w:sz w:val="18"/>
                <w:szCs w:val="18"/>
                <w:color w:val="auto"/>
              </w:rPr>
            </w:pPr>
          </w:p>
        </w:tc>
        <w:tc>
          <w:tcPr>
            <w:tcW w:w="4720" w:type="dxa"/>
            <w:vAlign w:val="bottom"/>
            <w:gridSpan w:val="3"/>
          </w:tcPr>
          <w:p>
            <w:pPr>
              <w:ind w:left="2340"/>
              <w:spacing w:after="0" w:line="211" w:lineRule="exact"/>
              <w:rPr>
                <w:sz w:val="20"/>
                <w:szCs w:val="20"/>
                <w:color w:val="auto"/>
              </w:rPr>
            </w:pPr>
            <w:r>
              <w:rPr>
                <w:rFonts w:ascii="Arial" w:cs="Arial" w:eastAsia="Arial" w:hAnsi="Arial"/>
                <w:sz w:val="20"/>
                <w:szCs w:val="20"/>
                <w:color w:val="231F20"/>
              </w:rPr>
              <w:t>Trustee Since: 2020</w:t>
            </w:r>
          </w:p>
        </w:tc>
        <w:tc>
          <w:tcPr>
            <w:tcW w:w="200" w:type="dxa"/>
            <w:vAlign w:val="bottom"/>
            <w:shd w:val="clear" w:color="auto" w:fill="E6E7E8"/>
          </w:tcPr>
          <w:p>
            <w:pPr>
              <w:spacing w:after="0"/>
              <w:rPr>
                <w:sz w:val="18"/>
                <w:szCs w:val="18"/>
                <w:color w:val="auto"/>
              </w:rPr>
            </w:pPr>
          </w:p>
        </w:tc>
      </w:tr>
      <w:tr>
        <w:trPr>
          <w:trHeight w:val="211"/>
        </w:trPr>
        <w:tc>
          <w:tcPr>
            <w:tcW w:w="200" w:type="dxa"/>
            <w:vAlign w:val="bottom"/>
            <w:shd w:val="clear" w:color="auto" w:fill="E6E7E8"/>
          </w:tcPr>
          <w:p>
            <w:pPr>
              <w:spacing w:after="0"/>
              <w:rPr>
                <w:sz w:val="18"/>
                <w:szCs w:val="18"/>
                <w:color w:val="auto"/>
              </w:rPr>
            </w:pPr>
          </w:p>
        </w:tc>
        <w:tc>
          <w:tcPr>
            <w:tcW w:w="4780" w:type="dxa"/>
            <w:vAlign w:val="bottom"/>
            <w:gridSpan w:val="3"/>
          </w:tcPr>
          <w:p>
            <w:pPr>
              <w:ind w:left="2420"/>
              <w:spacing w:after="0" w:line="211" w:lineRule="exact"/>
              <w:rPr>
                <w:sz w:val="20"/>
                <w:szCs w:val="20"/>
                <w:color w:val="auto"/>
              </w:rPr>
            </w:pPr>
            <w:r>
              <w:rPr>
                <w:rFonts w:ascii="Arial" w:cs="Arial" w:eastAsia="Arial" w:hAnsi="Arial"/>
                <w:sz w:val="20"/>
                <w:szCs w:val="20"/>
                <w:color w:val="231F20"/>
              </w:rPr>
              <w:t>Retired Vice President</w:t>
            </w:r>
          </w:p>
        </w:tc>
        <w:tc>
          <w:tcPr>
            <w:tcW w:w="200" w:type="dxa"/>
            <w:vAlign w:val="bottom"/>
            <w:shd w:val="clear" w:color="auto" w:fill="E6E7E8"/>
          </w:tcPr>
          <w:p>
            <w:pPr>
              <w:spacing w:after="0"/>
              <w:rPr>
                <w:sz w:val="18"/>
                <w:szCs w:val="18"/>
                <w:color w:val="auto"/>
              </w:rPr>
            </w:pPr>
          </w:p>
        </w:tc>
        <w:tc>
          <w:tcPr>
            <w:tcW w:w="4720" w:type="dxa"/>
            <w:vAlign w:val="bottom"/>
            <w:gridSpan w:val="3"/>
          </w:tcPr>
          <w:p>
            <w:pPr>
              <w:ind w:left="2340"/>
              <w:spacing w:after="0" w:line="211" w:lineRule="exact"/>
              <w:rPr>
                <w:sz w:val="20"/>
                <w:szCs w:val="20"/>
                <w:color w:val="auto"/>
              </w:rPr>
            </w:pPr>
            <w:r>
              <w:rPr>
                <w:rFonts w:ascii="Arial" w:cs="Arial" w:eastAsia="Arial" w:hAnsi="Arial"/>
                <w:sz w:val="20"/>
                <w:szCs w:val="20"/>
                <w:color w:val="231F20"/>
              </w:rPr>
              <w:t>Managing Director of</w:t>
            </w:r>
          </w:p>
        </w:tc>
        <w:tc>
          <w:tcPr>
            <w:tcW w:w="200" w:type="dxa"/>
            <w:vAlign w:val="bottom"/>
            <w:shd w:val="clear" w:color="auto" w:fill="E6E7E8"/>
          </w:tcPr>
          <w:p>
            <w:pPr>
              <w:spacing w:after="0"/>
              <w:rPr>
                <w:sz w:val="18"/>
                <w:szCs w:val="18"/>
                <w:color w:val="auto"/>
              </w:rPr>
            </w:pPr>
          </w:p>
        </w:tc>
      </w:tr>
      <w:tr>
        <w:trPr>
          <w:trHeight w:val="211"/>
        </w:trPr>
        <w:tc>
          <w:tcPr>
            <w:tcW w:w="200" w:type="dxa"/>
            <w:vAlign w:val="bottom"/>
            <w:shd w:val="clear" w:color="auto" w:fill="E6E7E8"/>
          </w:tcPr>
          <w:p>
            <w:pPr>
              <w:spacing w:after="0"/>
              <w:rPr>
                <w:sz w:val="18"/>
                <w:szCs w:val="18"/>
                <w:color w:val="auto"/>
              </w:rPr>
            </w:pPr>
          </w:p>
        </w:tc>
        <w:tc>
          <w:tcPr>
            <w:tcW w:w="4780" w:type="dxa"/>
            <w:vAlign w:val="bottom"/>
            <w:gridSpan w:val="3"/>
          </w:tcPr>
          <w:p>
            <w:pPr>
              <w:ind w:left="2420"/>
              <w:spacing w:after="0" w:line="211" w:lineRule="exact"/>
              <w:rPr>
                <w:sz w:val="20"/>
                <w:szCs w:val="20"/>
                <w:color w:val="auto"/>
              </w:rPr>
            </w:pPr>
            <w:r>
              <w:rPr>
                <w:rFonts w:ascii="Arial" w:cs="Arial" w:eastAsia="Arial" w:hAnsi="Arial"/>
                <w:sz w:val="20"/>
                <w:szCs w:val="20"/>
                <w:color w:val="231F20"/>
              </w:rPr>
              <w:t>and Group Chief Financial</w:t>
            </w:r>
          </w:p>
        </w:tc>
        <w:tc>
          <w:tcPr>
            <w:tcW w:w="200" w:type="dxa"/>
            <w:vAlign w:val="bottom"/>
            <w:shd w:val="clear" w:color="auto" w:fill="E6E7E8"/>
          </w:tcPr>
          <w:p>
            <w:pPr>
              <w:spacing w:after="0"/>
              <w:rPr>
                <w:sz w:val="18"/>
                <w:szCs w:val="18"/>
                <w:color w:val="auto"/>
              </w:rPr>
            </w:pPr>
          </w:p>
        </w:tc>
        <w:tc>
          <w:tcPr>
            <w:tcW w:w="4720" w:type="dxa"/>
            <w:vAlign w:val="bottom"/>
            <w:gridSpan w:val="3"/>
          </w:tcPr>
          <w:p>
            <w:pPr>
              <w:ind w:left="2340"/>
              <w:spacing w:after="0" w:line="211" w:lineRule="exact"/>
              <w:rPr>
                <w:sz w:val="20"/>
                <w:szCs w:val="20"/>
                <w:color w:val="auto"/>
              </w:rPr>
            </w:pPr>
            <w:r>
              <w:rPr>
                <w:rFonts w:ascii="Arial" w:cs="Arial" w:eastAsia="Arial" w:hAnsi="Arial"/>
                <w:sz w:val="20"/>
                <w:szCs w:val="20"/>
                <w:color w:val="231F20"/>
              </w:rPr>
              <w:t>SWaN &amp; Legend Venture</w:t>
            </w:r>
          </w:p>
        </w:tc>
        <w:tc>
          <w:tcPr>
            <w:tcW w:w="200" w:type="dxa"/>
            <w:vAlign w:val="bottom"/>
            <w:shd w:val="clear" w:color="auto" w:fill="E6E7E8"/>
          </w:tcPr>
          <w:p>
            <w:pPr>
              <w:spacing w:after="0"/>
              <w:rPr>
                <w:sz w:val="18"/>
                <w:szCs w:val="18"/>
                <w:color w:val="auto"/>
              </w:rPr>
            </w:pPr>
          </w:p>
        </w:tc>
      </w:tr>
      <w:tr>
        <w:trPr>
          <w:trHeight w:val="211"/>
        </w:trPr>
        <w:tc>
          <w:tcPr>
            <w:tcW w:w="200" w:type="dxa"/>
            <w:vAlign w:val="bottom"/>
            <w:shd w:val="clear" w:color="auto" w:fill="E6E7E8"/>
          </w:tcPr>
          <w:p>
            <w:pPr>
              <w:spacing w:after="0"/>
              <w:rPr>
                <w:sz w:val="18"/>
                <w:szCs w:val="18"/>
                <w:color w:val="auto"/>
              </w:rPr>
            </w:pPr>
          </w:p>
        </w:tc>
        <w:tc>
          <w:tcPr>
            <w:tcW w:w="4780" w:type="dxa"/>
            <w:vAlign w:val="bottom"/>
            <w:gridSpan w:val="3"/>
          </w:tcPr>
          <w:p>
            <w:pPr>
              <w:ind w:left="2420"/>
              <w:spacing w:after="0" w:line="211" w:lineRule="exact"/>
              <w:rPr>
                <w:sz w:val="20"/>
                <w:szCs w:val="20"/>
                <w:color w:val="auto"/>
              </w:rPr>
            </w:pPr>
            <w:r>
              <w:rPr>
                <w:rFonts w:ascii="Arial" w:cs="Arial" w:eastAsia="Arial" w:hAnsi="Arial"/>
                <w:sz w:val="20"/>
                <w:szCs w:val="20"/>
                <w:color w:val="231F20"/>
              </w:rPr>
              <w:t>Officer of Covidien</w:t>
            </w:r>
          </w:p>
        </w:tc>
        <w:tc>
          <w:tcPr>
            <w:tcW w:w="200" w:type="dxa"/>
            <w:vAlign w:val="bottom"/>
            <w:shd w:val="clear" w:color="auto" w:fill="E6E7E8"/>
          </w:tcPr>
          <w:p>
            <w:pPr>
              <w:spacing w:after="0"/>
              <w:rPr>
                <w:sz w:val="18"/>
                <w:szCs w:val="18"/>
                <w:color w:val="auto"/>
              </w:rPr>
            </w:pPr>
          </w:p>
        </w:tc>
        <w:tc>
          <w:tcPr>
            <w:tcW w:w="4720" w:type="dxa"/>
            <w:vAlign w:val="bottom"/>
            <w:gridSpan w:val="3"/>
          </w:tcPr>
          <w:p>
            <w:pPr>
              <w:ind w:left="2340"/>
              <w:spacing w:after="0" w:line="211" w:lineRule="exact"/>
              <w:rPr>
                <w:sz w:val="20"/>
                <w:szCs w:val="20"/>
                <w:color w:val="auto"/>
              </w:rPr>
            </w:pPr>
            <w:r>
              <w:rPr>
                <w:rFonts w:ascii="Arial" w:cs="Arial" w:eastAsia="Arial" w:hAnsi="Arial"/>
                <w:sz w:val="20"/>
                <w:szCs w:val="20"/>
                <w:color w:val="231F20"/>
              </w:rPr>
              <w:t>Partners</w:t>
            </w:r>
          </w:p>
        </w:tc>
        <w:tc>
          <w:tcPr>
            <w:tcW w:w="200" w:type="dxa"/>
            <w:vAlign w:val="bottom"/>
            <w:shd w:val="clear" w:color="auto" w:fill="E6E7E8"/>
          </w:tcPr>
          <w:p>
            <w:pPr>
              <w:spacing w:after="0"/>
              <w:rPr>
                <w:sz w:val="18"/>
                <w:szCs w:val="18"/>
                <w:color w:val="auto"/>
              </w:rPr>
            </w:pPr>
          </w:p>
        </w:tc>
      </w:tr>
      <w:tr>
        <w:trPr>
          <w:trHeight w:val="223"/>
        </w:trPr>
        <w:tc>
          <w:tcPr>
            <w:tcW w:w="200" w:type="dxa"/>
            <w:vAlign w:val="bottom"/>
            <w:shd w:val="clear" w:color="auto" w:fill="E6E7E8"/>
          </w:tcPr>
          <w:p>
            <w:pPr>
              <w:spacing w:after="0"/>
              <w:rPr>
                <w:sz w:val="19"/>
                <w:szCs w:val="19"/>
                <w:color w:val="auto"/>
              </w:rPr>
            </w:pPr>
          </w:p>
        </w:tc>
        <w:tc>
          <w:tcPr>
            <w:tcW w:w="4780" w:type="dxa"/>
            <w:vAlign w:val="bottom"/>
            <w:gridSpan w:val="3"/>
          </w:tcPr>
          <w:p>
            <w:pPr>
              <w:ind w:left="2420"/>
              <w:spacing w:after="0" w:line="223" w:lineRule="exact"/>
              <w:rPr>
                <w:sz w:val="20"/>
                <w:szCs w:val="20"/>
                <w:color w:val="auto"/>
              </w:rPr>
            </w:pPr>
            <w:r>
              <w:rPr>
                <w:rFonts w:ascii="Arial" w:cs="Arial" w:eastAsia="Arial" w:hAnsi="Arial"/>
                <w:sz w:val="20"/>
                <w:szCs w:val="20"/>
                <w:color w:val="231F20"/>
              </w:rPr>
              <w:t>Surgical Solutions</w:t>
            </w:r>
          </w:p>
        </w:tc>
        <w:tc>
          <w:tcPr>
            <w:tcW w:w="200" w:type="dxa"/>
            <w:vAlign w:val="bottom"/>
            <w:shd w:val="clear" w:color="auto" w:fill="E6E7E8"/>
          </w:tcPr>
          <w:p>
            <w:pPr>
              <w:spacing w:after="0"/>
              <w:rPr>
                <w:sz w:val="19"/>
                <w:szCs w:val="19"/>
                <w:color w:val="auto"/>
              </w:rPr>
            </w:pPr>
          </w:p>
        </w:tc>
        <w:tc>
          <w:tcPr>
            <w:tcW w:w="24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shd w:val="clear" w:color="auto" w:fill="E6E7E8"/>
          </w:tcPr>
          <w:p>
            <w:pPr>
              <w:spacing w:after="0"/>
              <w:rPr>
                <w:sz w:val="19"/>
                <w:szCs w:val="19"/>
                <w:color w:val="auto"/>
              </w:rPr>
            </w:pPr>
          </w:p>
        </w:tc>
      </w:tr>
      <w:tr>
        <w:trPr>
          <w:trHeight w:val="462"/>
        </w:trPr>
        <w:tc>
          <w:tcPr>
            <w:tcW w:w="200" w:type="dxa"/>
            <w:vAlign w:val="bottom"/>
            <w:shd w:val="clear" w:color="auto" w:fill="E6E7E8"/>
          </w:tcPr>
          <w:p>
            <w:pPr>
              <w:spacing w:after="0"/>
              <w:rPr>
                <w:sz w:val="24"/>
                <w:szCs w:val="24"/>
                <w:color w:val="auto"/>
              </w:rPr>
            </w:pPr>
          </w:p>
        </w:tc>
        <w:tc>
          <w:tcPr>
            <w:tcW w:w="25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shd w:val="clear" w:color="auto" w:fill="E6E7E8"/>
          </w:tcPr>
          <w:p>
            <w:pPr>
              <w:spacing w:after="0"/>
              <w:rPr>
                <w:sz w:val="24"/>
                <w:szCs w:val="24"/>
                <w:color w:val="auto"/>
              </w:rPr>
            </w:pPr>
          </w:p>
        </w:tc>
        <w:tc>
          <w:tcPr>
            <w:tcW w:w="24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shd w:val="clear" w:color="auto" w:fill="E6E7E8"/>
          </w:tcPr>
          <w:p>
            <w:pPr>
              <w:spacing w:after="0"/>
              <w:rPr>
                <w:sz w:val="24"/>
                <w:szCs w:val="24"/>
                <w:color w:val="auto"/>
              </w:rPr>
            </w:pPr>
          </w:p>
        </w:tc>
      </w:tr>
      <w:tr>
        <w:trPr>
          <w:trHeight w:val="219"/>
        </w:trPr>
        <w:tc>
          <w:tcPr>
            <w:tcW w:w="200" w:type="dxa"/>
            <w:vAlign w:val="bottom"/>
            <w:shd w:val="clear" w:color="auto" w:fill="E6E7E8"/>
          </w:tcPr>
          <w:p>
            <w:pPr>
              <w:spacing w:after="0"/>
              <w:rPr>
                <w:sz w:val="19"/>
                <w:szCs w:val="19"/>
                <w:color w:val="auto"/>
              </w:rPr>
            </w:pPr>
          </w:p>
        </w:tc>
        <w:tc>
          <w:tcPr>
            <w:tcW w:w="2520" w:type="dxa"/>
            <w:vAlign w:val="bottom"/>
            <w:shd w:val="clear" w:color="auto" w:fill="E6E7E8"/>
          </w:tcPr>
          <w:p>
            <w:pPr>
              <w:spacing w:after="0"/>
              <w:rPr>
                <w:sz w:val="19"/>
                <w:szCs w:val="19"/>
                <w:color w:val="auto"/>
              </w:rPr>
            </w:pPr>
          </w:p>
        </w:tc>
        <w:tc>
          <w:tcPr>
            <w:tcW w:w="1680" w:type="dxa"/>
            <w:vAlign w:val="bottom"/>
            <w:shd w:val="clear" w:color="auto" w:fill="E6E7E8"/>
          </w:tcPr>
          <w:p>
            <w:pPr>
              <w:spacing w:after="0"/>
              <w:rPr>
                <w:sz w:val="19"/>
                <w:szCs w:val="19"/>
                <w:color w:val="auto"/>
              </w:rPr>
            </w:pPr>
          </w:p>
        </w:tc>
        <w:tc>
          <w:tcPr>
            <w:tcW w:w="580" w:type="dxa"/>
            <w:vAlign w:val="bottom"/>
            <w:shd w:val="clear" w:color="auto" w:fill="E6E7E8"/>
          </w:tcPr>
          <w:p>
            <w:pPr>
              <w:spacing w:after="0"/>
              <w:rPr>
                <w:sz w:val="19"/>
                <w:szCs w:val="19"/>
                <w:color w:val="auto"/>
              </w:rPr>
            </w:pPr>
          </w:p>
        </w:tc>
        <w:tc>
          <w:tcPr>
            <w:tcW w:w="200" w:type="dxa"/>
            <w:vAlign w:val="bottom"/>
            <w:shd w:val="clear" w:color="auto" w:fill="E6E7E8"/>
          </w:tcPr>
          <w:p>
            <w:pPr>
              <w:spacing w:after="0"/>
              <w:rPr>
                <w:sz w:val="19"/>
                <w:szCs w:val="19"/>
                <w:color w:val="auto"/>
              </w:rPr>
            </w:pPr>
          </w:p>
        </w:tc>
        <w:tc>
          <w:tcPr>
            <w:tcW w:w="2440" w:type="dxa"/>
            <w:vAlign w:val="bottom"/>
            <w:shd w:val="clear" w:color="auto" w:fill="E6E7E8"/>
          </w:tcPr>
          <w:p>
            <w:pPr>
              <w:spacing w:after="0"/>
              <w:rPr>
                <w:sz w:val="19"/>
                <w:szCs w:val="19"/>
                <w:color w:val="auto"/>
              </w:rPr>
            </w:pPr>
          </w:p>
        </w:tc>
        <w:tc>
          <w:tcPr>
            <w:tcW w:w="1680" w:type="dxa"/>
            <w:vAlign w:val="bottom"/>
            <w:shd w:val="clear" w:color="auto" w:fill="E6E7E8"/>
          </w:tcPr>
          <w:p>
            <w:pPr>
              <w:spacing w:after="0"/>
              <w:rPr>
                <w:sz w:val="19"/>
                <w:szCs w:val="19"/>
                <w:color w:val="auto"/>
              </w:rPr>
            </w:pPr>
          </w:p>
        </w:tc>
        <w:tc>
          <w:tcPr>
            <w:tcW w:w="600" w:type="dxa"/>
            <w:vAlign w:val="bottom"/>
            <w:shd w:val="clear" w:color="auto" w:fill="E6E7E8"/>
          </w:tcPr>
          <w:p>
            <w:pPr>
              <w:spacing w:after="0"/>
              <w:rPr>
                <w:sz w:val="19"/>
                <w:szCs w:val="19"/>
                <w:color w:val="auto"/>
              </w:rPr>
            </w:pPr>
          </w:p>
        </w:tc>
        <w:tc>
          <w:tcPr>
            <w:tcW w:w="200" w:type="dxa"/>
            <w:vAlign w:val="bottom"/>
            <w:shd w:val="clear" w:color="auto" w:fill="E6E7E8"/>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-1544955</wp:posOffset>
            </wp:positionV>
            <wp:extent cx="6407150" cy="764413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77">
                      <a:extLst>
                        <a:ext uri="{28A0092B-C50C-407E-A947-70E740481C1C}"/>
                      </a:extLst>
                    </a:blip>
                    <a:srcRect/>
                    <a:stretch>
                      <a:fillRect/>
                    </a:stretch>
                  </pic:blipFill>
                  <pic:spPr bwMode="auto">
                    <a:xfrm>
                      <a:off x="0" y="0"/>
                      <a:ext cx="6407150" cy="7644130"/>
                    </a:xfrm>
                    <a:prstGeom prst="rect">
                      <a:avLst/>
                    </a:prstGeom>
                    <a:noFill/>
                  </pic:spPr>
                </pic:pic>
              </a:graphicData>
            </a:graphic>
          </wp:anchor>
        </w:drawing>
      </w:r>
    </w:p>
    <w:p>
      <w:pPr>
        <w:sectPr>
          <w:pgSz w:w="11880" w:h="15480" w:orient="portrait"/>
          <w:cols w:equalWidth="0" w:num="1">
            <w:col w:w="10100"/>
          </w:cols>
          <w:pgMar w:left="900" w:top="1260" w:right="880" w:bottom="763" w:gutter="0" w:footer="0" w:header="0"/>
        </w:sectPr>
      </w:pPr>
    </w:p>
    <w:p>
      <w:pPr>
        <w:spacing w:after="0" w:line="6" w:lineRule="exact"/>
        <w:rPr>
          <w:sz w:val="20"/>
          <w:szCs w:val="20"/>
          <w:color w:val="auto"/>
        </w:rPr>
      </w:pPr>
    </w:p>
    <w:p>
      <w:pPr>
        <w:jc w:val="both"/>
        <w:ind w:left="420"/>
        <w:spacing w:after="0" w:line="202" w:lineRule="auto"/>
        <w:rPr>
          <w:sz w:val="20"/>
          <w:szCs w:val="20"/>
          <w:color w:val="auto"/>
        </w:rPr>
      </w:pPr>
      <w:r>
        <w:rPr>
          <w:rFonts w:ascii="Arial" w:cs="Arial" w:eastAsia="Arial" w:hAnsi="Arial"/>
          <w:sz w:val="20"/>
          <w:szCs w:val="20"/>
          <w:color w:val="231F20"/>
        </w:rPr>
        <w:t>Mr. McEachin has served as Vice President and Group Chief Financial Officer (2008-2012) at Covidien Surgical Solutions, a division of Covidien plc, a global health care products company and manufacturer of medical devices and supplies. From 1997 to 2008, Mr. McEachin served in various finance capacities at United Technologies Corporation, a global leader in the aerospace and building industries, and its subsidiaries, including as chief Investor Relations officer, Vice President and Controller of Pratt &amp; Whitney, and Vice President and Chief Financial Officer of UTC Power. Prior to that, he held several executive positions with Digital Equipment Corporation, a vendor of computer systems, including computers, software, and peripherals, from 1986 to 1997. Mr. McEachin was with Xerox Corporation, a global corporation that sells print and digital document products and services, from 1975 to 1986, serving as Controller of the procurement organization. Mr. McEachin formerly served as a trustee and officer of the Wadsworth Atheneum (Hartford, CT), the oldest public art institution in the United States, serving on their executive, finance and investment committees. He also is a past board member of the Connecticut Science Center and chair of the audit committee. Mr. McEachin holds a B.S. from New York University School of Engineering, an MBA from Stanford University and completed the Advanced Management Program at University of Pennsylvania’s Wharton School.</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20"/>
          <w:szCs w:val="20"/>
          <w:b w:val="1"/>
          <w:bCs w:val="1"/>
          <w:color w:val="231F20"/>
        </w:rPr>
        <w:t>Skills and Qualifications</w:t>
      </w:r>
    </w:p>
    <w:p>
      <w:pPr>
        <w:jc w:val="both"/>
        <w:ind w:left="420"/>
        <w:spacing w:after="0" w:line="201" w:lineRule="auto"/>
        <w:rPr>
          <w:sz w:val="20"/>
          <w:szCs w:val="20"/>
          <w:color w:val="auto"/>
        </w:rPr>
      </w:pPr>
      <w:r>
        <w:rPr>
          <w:rFonts w:ascii="Arial" w:cs="Arial" w:eastAsia="Arial" w:hAnsi="Arial"/>
          <w:sz w:val="20"/>
          <w:szCs w:val="20"/>
          <w:color w:val="231F20"/>
        </w:rPr>
        <w:t>Mr. McEachin’s history as a CFO plus his extensive finance and executive management experience and in-depth knowledge as a CFO of financial reporting, compliance, accounting and controls and corporate governance matters provides the company with important skills.</w:t>
      </w:r>
    </w:p>
    <w:p>
      <w:pPr>
        <w:spacing w:after="0" w:line="114" w:lineRule="exact"/>
        <w:rPr>
          <w:sz w:val="20"/>
          <w:szCs w:val="20"/>
          <w:color w:val="auto"/>
        </w:rPr>
      </w:pPr>
    </w:p>
    <w:p>
      <w:pPr>
        <w:ind w:left="420"/>
        <w:spacing w:after="0"/>
        <w:rPr>
          <w:sz w:val="20"/>
          <w:szCs w:val="20"/>
          <w:color w:val="auto"/>
        </w:rPr>
      </w:pPr>
      <w:r>
        <w:rPr>
          <w:rFonts w:ascii="Arial" w:cs="Arial" w:eastAsia="Arial" w:hAnsi="Arial"/>
          <w:sz w:val="20"/>
          <w:szCs w:val="20"/>
          <w:b w:val="1"/>
          <w:bCs w:val="1"/>
          <w:color w:val="231F20"/>
        </w:rPr>
        <w:t>Current Public Company Directorships:</w:t>
      </w:r>
    </w:p>
    <w:p>
      <w:pPr>
        <w:ind w:left="420"/>
        <w:spacing w:after="0" w:line="212" w:lineRule="auto"/>
        <w:rPr>
          <w:sz w:val="20"/>
          <w:szCs w:val="20"/>
          <w:color w:val="auto"/>
        </w:rPr>
      </w:pPr>
      <w:r>
        <w:rPr>
          <w:rFonts w:ascii="Arial" w:cs="Arial" w:eastAsia="Arial" w:hAnsi="Arial"/>
          <w:sz w:val="20"/>
          <w:szCs w:val="20"/>
          <w:color w:val="231F20"/>
        </w:rPr>
        <w:t>Pediatrix Medical Group, Inc.</w:t>
      </w:r>
    </w:p>
    <w:p>
      <w:pPr>
        <w:spacing w:after="0" w:line="102" w:lineRule="exact"/>
        <w:rPr>
          <w:sz w:val="20"/>
          <w:szCs w:val="20"/>
          <w:color w:val="auto"/>
        </w:rPr>
      </w:pPr>
    </w:p>
    <w:p>
      <w:pPr>
        <w:ind w:left="420"/>
        <w:spacing w:after="0"/>
        <w:rPr>
          <w:sz w:val="20"/>
          <w:szCs w:val="20"/>
          <w:color w:val="auto"/>
        </w:rPr>
      </w:pPr>
      <w:r>
        <w:rPr>
          <w:rFonts w:ascii="Arial" w:cs="Arial" w:eastAsia="Arial" w:hAnsi="Arial"/>
          <w:sz w:val="20"/>
          <w:szCs w:val="20"/>
          <w:b w:val="1"/>
          <w:bCs w:val="1"/>
          <w:color w:val="231F20"/>
        </w:rPr>
        <w:t>Prior Public Company Directorships:</w:t>
      </w:r>
    </w:p>
    <w:p>
      <w:pPr>
        <w:ind w:left="420"/>
        <w:spacing w:after="0" w:line="203" w:lineRule="auto"/>
        <w:rPr>
          <w:sz w:val="20"/>
          <w:szCs w:val="20"/>
          <w:color w:val="auto"/>
        </w:rPr>
      </w:pPr>
      <w:r>
        <w:rPr>
          <w:rFonts w:ascii="Arial" w:cs="Arial" w:eastAsia="Arial" w:hAnsi="Arial"/>
          <w:sz w:val="20"/>
          <w:szCs w:val="20"/>
          <w:color w:val="231F20"/>
        </w:rPr>
        <w:t>Surgalign Holdings, Inc. (until 2023)</w:t>
      </w:r>
    </w:p>
    <w:p>
      <w:pPr>
        <w:spacing w:after="0" w:line="102" w:lineRule="exact"/>
        <w:rPr>
          <w:sz w:val="20"/>
          <w:szCs w:val="20"/>
          <w:color w:val="auto"/>
        </w:rPr>
      </w:pPr>
    </w:p>
    <w:p>
      <w:pPr>
        <w:ind w:left="420"/>
        <w:spacing w:after="0"/>
        <w:rPr>
          <w:sz w:val="20"/>
          <w:szCs w:val="20"/>
          <w:color w:val="auto"/>
        </w:rPr>
      </w:pPr>
      <w:r>
        <w:rPr>
          <w:rFonts w:ascii="Arial" w:cs="Arial" w:eastAsia="Arial" w:hAnsi="Arial"/>
          <w:sz w:val="20"/>
          <w:szCs w:val="20"/>
          <w:b w:val="1"/>
          <w:bCs w:val="1"/>
          <w:color w:val="231F20"/>
        </w:rPr>
        <w:t>Committees:</w:t>
      </w:r>
    </w:p>
    <w:p>
      <w:pPr>
        <w:ind w:left="420"/>
        <w:spacing w:after="0" w:line="199" w:lineRule="auto"/>
        <w:rPr>
          <w:sz w:val="20"/>
          <w:szCs w:val="20"/>
          <w:color w:val="auto"/>
        </w:rPr>
      </w:pPr>
      <w:r>
        <w:rPr>
          <w:rFonts w:ascii="Arial" w:cs="Arial" w:eastAsia="Arial" w:hAnsi="Arial"/>
          <w:sz w:val="20"/>
          <w:szCs w:val="20"/>
          <w:color w:val="231F20"/>
        </w:rPr>
        <w:t>Compensation Committee</w:t>
      </w:r>
    </w:p>
    <w:p>
      <w:pPr>
        <w:ind w:left="420"/>
        <w:spacing w:after="0" w:line="201" w:lineRule="auto"/>
        <w:rPr>
          <w:sz w:val="20"/>
          <w:szCs w:val="20"/>
          <w:color w:val="auto"/>
        </w:rPr>
      </w:pPr>
      <w:r>
        <w:rPr>
          <w:rFonts w:ascii="Arial" w:cs="Arial" w:eastAsia="Arial" w:hAnsi="Arial"/>
          <w:sz w:val="20"/>
          <w:szCs w:val="20"/>
          <w:color w:val="231F20"/>
        </w:rPr>
        <w:t>Nominating Committee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48260</wp:posOffset>
                </wp:positionV>
                <wp:extent cx="6407150" cy="136525"/>
                <wp:wrapNone/>
                <wp:docPr id="274" name="Shape 2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7150" cy="136525"/>
                        </a:xfrm>
                        <a:prstGeom prst="rect">
                          <a:avLst/>
                        </a:prstGeom>
                        <a:solidFill>
                          <a:srgbClr val="E6E7E8"/>
                        </a:solidFill>
                      </wps:spPr>
                      <wps:bodyPr/>
                    </wps:wsp>
                  </a:graphicData>
                </a:graphic>
              </wp:anchor>
            </w:drawing>
          </mc:Choice>
          <mc:Fallback>
            <w:pict>
              <v:rect id="Shape 274" o:spid="_x0000_s1299" style="position:absolute;margin-left:0pt;margin-top:3.8pt;width:504.5pt;height:10.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7E8"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338455</wp:posOffset>
                </wp:positionV>
                <wp:extent cx="6400800" cy="177800"/>
                <wp:wrapNone/>
                <wp:docPr id="275" name="Shape 2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177800"/>
                        </a:xfrm>
                        <a:prstGeom prst="rect">
                          <a:avLst/>
                        </a:prstGeom>
                        <a:solidFill>
                          <a:srgbClr val="E8E7E5"/>
                        </a:solidFill>
                      </wps:spPr>
                      <wps:bodyPr/>
                    </wps:wsp>
                  </a:graphicData>
                </a:graphic>
              </wp:anchor>
            </w:drawing>
          </mc:Choice>
          <mc:Fallback>
            <w:pict>
              <v:rect id="Shape 275" o:spid="_x0000_s1300" style="position:absolute;margin-left:0pt;margin-top:26.65pt;width:504pt;height:1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8E7E5" stroked="f"/>
            </w:pict>
          </mc:Fallback>
        </mc:AlternateContent>
        <mc:AlternateContent>
          <mc:Choice Requires="wps">
            <w:drawing>
              <wp:anchor simplePos="0" relativeHeight="251657728" behindDoc="1" locked="0" layoutInCell="0" allowOverlap="1">
                <wp:simplePos x="0" y="0"/>
                <wp:positionH relativeFrom="column">
                  <wp:posOffset>6350</wp:posOffset>
                </wp:positionH>
                <wp:positionV relativeFrom="paragraph">
                  <wp:posOffset>337820</wp:posOffset>
                </wp:positionV>
                <wp:extent cx="0" cy="177800"/>
                <wp:wrapNone/>
                <wp:docPr id="276" name="Shape 2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276" o:spid="_x0000_s130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pt,26.6pt" to="0.5pt,40.6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344170</wp:posOffset>
                </wp:positionV>
                <wp:extent cx="6400800" cy="0"/>
                <wp:wrapNone/>
                <wp:docPr id="277" name="Shape 2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277" o:spid="_x0000_s13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7.1pt" to="504pt,27.1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509270</wp:posOffset>
                </wp:positionV>
                <wp:extent cx="6400800" cy="0"/>
                <wp:wrapNone/>
                <wp:docPr id="278" name="Shape 2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278" o:spid="_x0000_s130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40.1pt" to="504pt,40.1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6394450</wp:posOffset>
                </wp:positionH>
                <wp:positionV relativeFrom="paragraph">
                  <wp:posOffset>337820</wp:posOffset>
                </wp:positionV>
                <wp:extent cx="0" cy="177800"/>
                <wp:wrapNone/>
                <wp:docPr id="279" name="Shape 2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279" o:spid="_x0000_s130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3.5pt,26.6pt" to="503.5pt,40.6pt" o:allowincell="f" strokecolor="#231F20" strokeweight="1pt"/>
            </w:pict>
          </mc:Fallback>
        </mc:AlternateContent>
      </w:r>
    </w:p>
    <w:p>
      <w:pPr>
        <w:spacing w:after="0" w:line="20" w:lineRule="exact"/>
        <w:rPr>
          <w:sz w:val="20"/>
          <w:szCs w:val="20"/>
          <w:color w:val="auto"/>
        </w:rPr>
      </w:pPr>
      <w:r>
        <w:rPr>
          <w:sz w:val="20"/>
          <w:szCs w:val="20"/>
          <w:color w:val="auto"/>
        </w:rPr>
        <w:br w:type="column"/>
      </w:r>
    </w:p>
    <w:p>
      <w:pPr>
        <w:jc w:val="both"/>
        <w:ind w:right="320"/>
        <w:spacing w:after="0" w:line="210" w:lineRule="auto"/>
        <w:rPr>
          <w:sz w:val="20"/>
          <w:szCs w:val="20"/>
          <w:color w:val="auto"/>
        </w:rPr>
      </w:pPr>
      <w:r>
        <w:rPr>
          <w:rFonts w:ascii="Arial" w:cs="Arial" w:eastAsia="Arial" w:hAnsi="Arial"/>
          <w:sz w:val="20"/>
          <w:szCs w:val="20"/>
          <w:color w:val="231F20"/>
        </w:rPr>
        <w:t>Mr. Nader is a Managing Director of SWaN &amp; Legend Venture Partners, an investment firm that Mr. Nader co-founded in 2006, making investments in growth-oriented companies. Mr. Nader served as Vice Chairman of Asurion, a privately held company with over 19,000 employees that provides technology protection to approximately 300 million customers worldwide until the end of 2025. In 2008, Mr. Nader successfully merged his prior company, National Electronics Warranty (“NEW”) with Asurion. Mr. Nader joined NEW in 1990 as Chief Operating Officer, was named President in 1999 and Chief Executive Officer in 2006, a position he held until 2013. Under his leadership, NEW grew to be the largest global provider of extended service plans for the consumer electronics and appliance industry. Mr. Nader earned a BSBA in Finance from John Carroll University and an MBA from Weatherhead School of Management at Case Western Reserve University. Mr. Nader also served as the Chairman of the Inova Health System Board of Trustees until December 31 2023. Mr. Nader has been designated by the Board as an audit committee financial expert in accordance with the SEC definition.</w:t>
      </w:r>
    </w:p>
    <w:p>
      <w:pPr>
        <w:spacing w:after="0" w:line="129"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Skills and Qualifications</w:t>
      </w:r>
    </w:p>
    <w:p>
      <w:pPr>
        <w:jc w:val="both"/>
        <w:ind w:right="320"/>
        <w:spacing w:after="0" w:line="200" w:lineRule="auto"/>
        <w:rPr>
          <w:sz w:val="20"/>
          <w:szCs w:val="20"/>
          <w:color w:val="auto"/>
        </w:rPr>
      </w:pPr>
      <w:r>
        <w:rPr>
          <w:rFonts w:ascii="Arial" w:cs="Arial" w:eastAsia="Arial" w:hAnsi="Arial"/>
          <w:sz w:val="20"/>
          <w:szCs w:val="20"/>
          <w:color w:val="231F20"/>
        </w:rPr>
        <w:t>Mr. Nader provides our Board with more than 30 years of business and leadership experience as well as a deep investment background in both real estate and growth-oriented companies</w:t>
      </w:r>
    </w:p>
    <w:p>
      <w:pPr>
        <w:spacing w:after="0" w:line="3" w:lineRule="exact"/>
        <w:rPr>
          <w:sz w:val="20"/>
          <w:szCs w:val="20"/>
          <w:color w:val="auto"/>
        </w:rPr>
      </w:pPr>
    </w:p>
    <w:p>
      <w:pPr>
        <w:jc w:val="both"/>
        <w:ind w:right="320"/>
        <w:spacing w:after="0" w:line="201" w:lineRule="auto"/>
        <w:rPr>
          <w:sz w:val="20"/>
          <w:szCs w:val="20"/>
          <w:color w:val="auto"/>
        </w:rPr>
      </w:pPr>
      <w:r>
        <w:rPr>
          <w:rFonts w:ascii="Arial" w:cs="Arial" w:eastAsia="Arial" w:hAnsi="Arial"/>
          <w:sz w:val="20"/>
          <w:szCs w:val="20"/>
          <w:color w:val="231F20"/>
        </w:rPr>
        <w:t>including retailers. This background complements others on our Board and adds to our depth of financial and investing expertise that is so critical to the success of the Company.</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Prior Public Company Directorships:</w:t>
      </w:r>
    </w:p>
    <w:p>
      <w:pPr>
        <w:spacing w:after="0" w:line="203" w:lineRule="auto"/>
        <w:rPr>
          <w:sz w:val="20"/>
          <w:szCs w:val="20"/>
          <w:color w:val="auto"/>
        </w:rPr>
      </w:pPr>
      <w:r>
        <w:rPr>
          <w:rFonts w:ascii="Arial" w:cs="Arial" w:eastAsia="Arial" w:hAnsi="Arial"/>
          <w:sz w:val="20"/>
          <w:szCs w:val="20"/>
          <w:color w:val="231F20"/>
        </w:rPr>
        <w:t>Arlington Asset Investment Corp. (until 2023)</w:t>
      </w:r>
    </w:p>
    <w:p>
      <w:pPr>
        <w:spacing w:after="0" w:line="103"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Committees:</w:t>
      </w:r>
    </w:p>
    <w:p>
      <w:pPr>
        <w:spacing w:after="0" w:line="199" w:lineRule="auto"/>
        <w:rPr>
          <w:sz w:val="20"/>
          <w:szCs w:val="20"/>
          <w:color w:val="auto"/>
        </w:rPr>
      </w:pPr>
      <w:r>
        <w:rPr>
          <w:rFonts w:ascii="Arial" w:cs="Arial" w:eastAsia="Arial" w:hAnsi="Arial"/>
          <w:sz w:val="20"/>
          <w:szCs w:val="20"/>
          <w:color w:val="231F20"/>
        </w:rPr>
        <w:t>Audit Committee</w:t>
      </w:r>
    </w:p>
    <w:p>
      <w:pPr>
        <w:spacing w:after="0" w:line="203" w:lineRule="auto"/>
        <w:rPr>
          <w:sz w:val="20"/>
          <w:szCs w:val="20"/>
          <w:color w:val="auto"/>
        </w:rPr>
      </w:pPr>
      <w:r>
        <w:rPr>
          <w:rFonts w:ascii="Arial" w:cs="Arial" w:eastAsia="Arial" w:hAnsi="Arial"/>
          <w:sz w:val="20"/>
          <w:szCs w:val="20"/>
          <w:color w:val="231F20"/>
        </w:rPr>
        <w:t>Nominating Committee (Chair)</w:t>
      </w:r>
    </w:p>
    <w:p>
      <w:pPr>
        <w:spacing w:after="0" w:line="1331" w:lineRule="exact"/>
        <w:rPr>
          <w:sz w:val="20"/>
          <w:szCs w:val="20"/>
          <w:color w:val="auto"/>
        </w:rPr>
      </w:pPr>
    </w:p>
    <w:p>
      <w:pPr>
        <w:sectPr>
          <w:pgSz w:w="11880" w:h="15480" w:orient="portrait"/>
          <w:cols w:equalWidth="0" w:num="2">
            <w:col w:w="4860" w:space="540"/>
            <w:col w:w="4700"/>
          </w:cols>
          <w:pgMar w:left="900" w:top="1260" w:right="880" w:bottom="763" w:gutter="0" w:footer="0" w:header="0"/>
          <w:type w:val="continuous"/>
        </w:sectPr>
      </w:pPr>
    </w:p>
    <w:p>
      <w:pPr>
        <w:spacing w:after="0" w:line="381" w:lineRule="exact"/>
        <w:rPr>
          <w:sz w:val="20"/>
          <w:szCs w:val="20"/>
          <w:color w:val="auto"/>
        </w:rPr>
      </w:pPr>
    </w:p>
    <w:p>
      <w:pPr>
        <w:ind w:left="80"/>
        <w:spacing w:after="0"/>
        <w:tabs>
          <w:tab w:leader="none" w:pos="1420" w:val="left"/>
          <w:tab w:leader="none" w:pos="3160" w:val="left"/>
        </w:tabs>
        <w:rPr>
          <w:sz w:val="20"/>
          <w:szCs w:val="20"/>
          <w:color w:val="auto"/>
        </w:rPr>
      </w:pPr>
      <w:r>
        <w:rPr>
          <w:rFonts w:ascii="Arial" w:cs="Arial" w:eastAsia="Arial" w:hAnsi="Arial"/>
          <w:sz w:val="16"/>
          <w:szCs w:val="16"/>
          <w:color w:val="EF3E2A"/>
        </w:rPr>
        <w:t>Federal Realty</w:t>
      </w:r>
      <w:r>
        <w:rPr>
          <w:sz w:val="20"/>
          <w:szCs w:val="20"/>
          <w:color w:val="auto"/>
        </w:rPr>
        <w:tab/>
      </w:r>
      <w:r>
        <w:rPr>
          <w:rFonts w:ascii="Arial" w:cs="Arial" w:eastAsia="Arial" w:hAnsi="Arial"/>
          <w:sz w:val="16"/>
          <w:szCs w:val="16"/>
          <w:color w:val="231F20"/>
        </w:rPr>
        <w:t>2026 Proxy Statement</w:t>
        <w:tab/>
        <w:t>16</w:t>
      </w:r>
    </w:p>
    <w:p>
      <w:pPr>
        <w:sectPr>
          <w:pgSz w:w="11880" w:h="15480" w:orient="portrait"/>
          <w:cols w:equalWidth="0" w:num="1">
            <w:col w:w="10100"/>
          </w:cols>
          <w:pgMar w:left="900" w:top="1260" w:right="880" w:bottom="763" w:gutter="0" w:footer="0" w:header="0"/>
          <w:type w:val="continuous"/>
        </w:sectPr>
      </w:pPr>
    </w:p>
    <w:bookmarkStart w:id="136" w:name="page137"/>
    <w:bookmarkEnd w:id="136"/>
    <w:p>
      <w:pPr>
        <w:spacing w:after="0" w:line="3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571500</wp:posOffset>
            </wp:positionH>
            <wp:positionV relativeFrom="page">
              <wp:posOffset>800100</wp:posOffset>
            </wp:positionV>
            <wp:extent cx="6400800" cy="78867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78">
                      <a:extLst>
                        <a:ext uri="{28A0092B-C50C-407E-A947-70E740481C1C}"/>
                      </a:extLst>
                    </a:blip>
                    <a:srcRect/>
                    <a:stretch>
                      <a:fillRect/>
                    </a:stretch>
                  </pic:blipFill>
                  <pic:spPr bwMode="auto">
                    <a:xfrm>
                      <a:off x="0" y="0"/>
                      <a:ext cx="6400800" cy="7886700"/>
                    </a:xfrm>
                    <a:prstGeom prst="rect">
                      <a:avLst/>
                    </a:prstGeom>
                    <a:noFill/>
                  </pic:spPr>
                </pic:pic>
              </a:graphicData>
            </a:graphic>
          </wp:anchor>
        </w:drawing>
      </w:r>
    </w:p>
    <w:p>
      <w:pPr>
        <w:ind w:left="2120"/>
        <w:spacing w:after="0"/>
        <w:rPr>
          <w:sz w:val="20"/>
          <w:szCs w:val="20"/>
          <w:color w:val="auto"/>
        </w:rPr>
      </w:pPr>
      <w:r>
        <w:rPr>
          <w:rFonts w:ascii="Arial" w:cs="Arial" w:eastAsia="Arial" w:hAnsi="Arial"/>
          <w:sz w:val="20"/>
          <w:szCs w:val="20"/>
          <w:b w:val="1"/>
          <w:bCs w:val="1"/>
          <w:color w:val="231F20"/>
        </w:rPr>
        <w:t>GAIL P. STEINEL</w:t>
      </w:r>
    </w:p>
    <w:p>
      <w:pPr>
        <w:ind w:left="2120"/>
        <w:spacing w:after="0" w:line="229" w:lineRule="auto"/>
        <w:rPr>
          <w:sz w:val="20"/>
          <w:szCs w:val="20"/>
          <w:color w:val="auto"/>
        </w:rPr>
      </w:pPr>
      <w:r>
        <w:rPr>
          <w:rFonts w:ascii="Arial" w:cs="Arial" w:eastAsia="Arial" w:hAnsi="Arial"/>
          <w:sz w:val="20"/>
          <w:szCs w:val="20"/>
          <w:color w:val="231F20"/>
        </w:rPr>
        <w:t>Age: 69</w:t>
      </w:r>
    </w:p>
    <w:p>
      <w:pPr>
        <w:ind w:left="2120"/>
        <w:spacing w:after="0" w:line="225" w:lineRule="auto"/>
        <w:rPr>
          <w:sz w:val="20"/>
          <w:szCs w:val="20"/>
          <w:color w:val="auto"/>
        </w:rPr>
      </w:pPr>
      <w:r>
        <w:rPr>
          <w:rFonts w:ascii="Arial" w:cs="Arial" w:eastAsia="Arial" w:hAnsi="Arial"/>
          <w:sz w:val="20"/>
          <w:szCs w:val="20"/>
          <w:color w:val="231F20"/>
        </w:rPr>
        <w:t>Trustee Since: 2006</w:t>
      </w:r>
    </w:p>
    <w:p>
      <w:pPr>
        <w:ind w:left="2120"/>
        <w:spacing w:after="0" w:line="230" w:lineRule="auto"/>
        <w:rPr>
          <w:sz w:val="20"/>
          <w:szCs w:val="20"/>
          <w:color w:val="auto"/>
        </w:rPr>
      </w:pPr>
      <w:r>
        <w:rPr>
          <w:rFonts w:ascii="Arial" w:cs="Arial" w:eastAsia="Arial" w:hAnsi="Arial"/>
          <w:sz w:val="20"/>
          <w:szCs w:val="20"/>
          <w:color w:val="231F20"/>
        </w:rPr>
        <w:t>Owner of Executive</w:t>
      </w:r>
    </w:p>
    <w:p>
      <w:pPr>
        <w:ind w:left="2120"/>
        <w:spacing w:after="0" w:line="225" w:lineRule="auto"/>
        <w:rPr>
          <w:sz w:val="20"/>
          <w:szCs w:val="20"/>
          <w:color w:val="auto"/>
        </w:rPr>
      </w:pPr>
      <w:r>
        <w:rPr>
          <w:rFonts w:ascii="Arial" w:cs="Arial" w:eastAsia="Arial" w:hAnsi="Arial"/>
          <w:sz w:val="20"/>
          <w:szCs w:val="20"/>
          <w:color w:val="231F20"/>
        </w:rPr>
        <w:t>Advisors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both"/>
        <w:spacing w:after="0" w:line="209" w:lineRule="auto"/>
        <w:rPr>
          <w:sz w:val="20"/>
          <w:szCs w:val="20"/>
          <w:color w:val="auto"/>
        </w:rPr>
      </w:pPr>
      <w:r>
        <w:rPr>
          <w:rFonts w:ascii="Arial" w:cs="Arial" w:eastAsia="Arial" w:hAnsi="Arial"/>
          <w:sz w:val="20"/>
          <w:szCs w:val="20"/>
          <w:color w:val="231F20"/>
        </w:rPr>
        <w:t>Ms. Steinel is the owner of Executive Advisors (2007-present), a business that provides consulting services to chief executives and senior officers and leadership seminars/speeches to various organizations. Prior to creating her own consulting firm, Ms. Steinel was the Executive Vice President of Global Commercial Services of Bearing Point (2002-2007) and a global managing partner for Arthur Andersen’s Business Consulting Practice (1984-2002) after beginning her career as an auditor at Arthur Andersen (1977-1984). Ms. Steinel received a BA in Accounting from Rutgers University. Ms. Steinel’s public company board service experience includes MTS Systems Corporation (2009-2020). In addition, Ms. Steinel serves as the lead independent director since 2024 of Invesque, Inc., a Toronto stock exchange company that invests in a highly diversified portfolio of properties across the health care spectrum throughout the US and Canada, and serves on the board of DAI, an international development company that tackles fundamental social and economic development problems caused by inefficient markets, ineffective governance, and instability, and the Center for Hope &amp; Safety, a nonprofit that assists women and children suffering from domestic violence. Ms. Steinel has been designated by the Board as an audit committee financial expert in accordance with the SEC definition.</w:t>
      </w:r>
    </w:p>
    <w:p>
      <w:pPr>
        <w:spacing w:after="0" w:line="264"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Skills and Qualifications</w:t>
      </w:r>
    </w:p>
    <w:p>
      <w:pPr>
        <w:jc w:val="both"/>
        <w:spacing w:after="0" w:line="208" w:lineRule="auto"/>
        <w:rPr>
          <w:sz w:val="20"/>
          <w:szCs w:val="20"/>
          <w:color w:val="auto"/>
        </w:rPr>
      </w:pPr>
      <w:r>
        <w:rPr>
          <w:rFonts w:ascii="Arial" w:cs="Arial" w:eastAsia="Arial" w:hAnsi="Arial"/>
          <w:sz w:val="20"/>
          <w:szCs w:val="20"/>
          <w:color w:val="231F20"/>
        </w:rPr>
        <w:t>Ms. Steinel’s history as a CPA combined with her more than 35 years of experience in auditing, leadership, leadership development and financial systems provides us with valuable insights on leadership, leadership development, risk management and systems operations.</w:t>
      </w: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Prior Public Company Directorships:</w:t>
      </w:r>
    </w:p>
    <w:p>
      <w:pPr>
        <w:spacing w:after="0" w:line="208" w:lineRule="auto"/>
        <w:rPr>
          <w:sz w:val="20"/>
          <w:szCs w:val="20"/>
          <w:color w:val="auto"/>
        </w:rPr>
      </w:pPr>
      <w:r>
        <w:rPr>
          <w:rFonts w:ascii="Arial" w:cs="Arial" w:eastAsia="Arial" w:hAnsi="Arial"/>
          <w:sz w:val="20"/>
          <w:szCs w:val="20"/>
          <w:color w:val="231F20"/>
        </w:rPr>
        <w:t>MTS Systems Corporation (until 2020)</w:t>
      </w:r>
    </w:p>
    <w:p>
      <w:pPr>
        <w:spacing w:after="0" w:line="244"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Committees:</w:t>
      </w:r>
    </w:p>
    <w:p>
      <w:pPr>
        <w:spacing w:after="0" w:line="208" w:lineRule="auto"/>
        <w:rPr>
          <w:sz w:val="20"/>
          <w:szCs w:val="20"/>
          <w:color w:val="auto"/>
        </w:rPr>
      </w:pPr>
      <w:r>
        <w:rPr>
          <w:rFonts w:ascii="Arial" w:cs="Arial" w:eastAsia="Arial" w:hAnsi="Arial"/>
          <w:sz w:val="20"/>
          <w:szCs w:val="20"/>
          <w:color w:val="231F20"/>
        </w:rPr>
        <w:t>Audit Committee (Chair)</w:t>
      </w:r>
    </w:p>
    <w:p>
      <w:pPr>
        <w:spacing w:after="0" w:line="209" w:lineRule="auto"/>
        <w:rPr>
          <w:sz w:val="20"/>
          <w:szCs w:val="20"/>
          <w:color w:val="auto"/>
        </w:rPr>
      </w:pPr>
      <w:r>
        <w:rPr>
          <w:rFonts w:ascii="Arial" w:cs="Arial" w:eastAsia="Arial" w:hAnsi="Arial"/>
          <w:sz w:val="20"/>
          <w:szCs w:val="20"/>
          <w:color w:val="231F20"/>
        </w:rPr>
        <w:t>Compensation Committee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-266065</wp:posOffset>
                </wp:positionH>
                <wp:positionV relativeFrom="paragraph">
                  <wp:posOffset>341630</wp:posOffset>
                </wp:positionV>
                <wp:extent cx="6400165" cy="177800"/>
                <wp:wrapNone/>
                <wp:docPr id="281" name="Shape 2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165" cy="177800"/>
                        </a:xfrm>
                        <a:prstGeom prst="rect">
                          <a:avLst/>
                        </a:prstGeom>
                        <a:solidFill>
                          <a:srgbClr val="E8E7E5"/>
                        </a:solidFill>
                      </wps:spPr>
                      <wps:bodyPr/>
                    </wps:wsp>
                  </a:graphicData>
                </a:graphic>
              </wp:anchor>
            </w:drawing>
          </mc:Choice>
          <mc:Fallback>
            <w:pict>
              <v:rect id="Shape 281" o:spid="_x0000_s1306" style="position:absolute;margin-left:-20.9499pt;margin-top:26.9pt;width:503.95pt;height:1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8E7E5" stroked="f"/>
            </w:pict>
          </mc:Fallback>
        </mc:AlternateContent>
        <mc:AlternateContent>
          <mc:Choice Requires="wps">
            <w:drawing>
              <wp:anchor simplePos="0" relativeHeight="251657728" behindDoc="1" locked="0" layoutInCell="0" allowOverlap="1">
                <wp:simplePos x="0" y="0"/>
                <wp:positionH relativeFrom="column">
                  <wp:posOffset>-260350</wp:posOffset>
                </wp:positionH>
                <wp:positionV relativeFrom="paragraph">
                  <wp:posOffset>341630</wp:posOffset>
                </wp:positionV>
                <wp:extent cx="0" cy="177800"/>
                <wp:wrapNone/>
                <wp:docPr id="282" name="Shape 2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282" o:spid="_x0000_s130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4999pt,26.9pt" to="-20.4999pt,40.9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-266700</wp:posOffset>
                </wp:positionH>
                <wp:positionV relativeFrom="paragraph">
                  <wp:posOffset>347980</wp:posOffset>
                </wp:positionV>
                <wp:extent cx="6400800" cy="0"/>
                <wp:wrapNone/>
                <wp:docPr id="283" name="Shape 2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283" o:spid="_x0000_s130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pt,27.4pt" to="483pt,27.4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-266700</wp:posOffset>
                </wp:positionH>
                <wp:positionV relativeFrom="paragraph">
                  <wp:posOffset>513080</wp:posOffset>
                </wp:positionV>
                <wp:extent cx="6400800" cy="0"/>
                <wp:wrapNone/>
                <wp:docPr id="284" name="Shape 2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284" o:spid="_x0000_s130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pt,40.4pt" to="483pt,40.4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6127750</wp:posOffset>
                </wp:positionH>
                <wp:positionV relativeFrom="paragraph">
                  <wp:posOffset>341630</wp:posOffset>
                </wp:positionV>
                <wp:extent cx="0" cy="177800"/>
                <wp:wrapNone/>
                <wp:docPr id="285" name="Shape 2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285" o:spid="_x0000_s131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82.5pt,26.9pt" to="482.5pt,40.9pt" o:allowincell="f" strokecolor="#231F20" strokeweight="1pt"/>
            </w:pict>
          </mc:Fallback>
        </mc:AlternateContent>
      </w:r>
    </w:p>
    <w:p>
      <w:pPr>
        <w:spacing w:after="0" w:line="20" w:lineRule="exact"/>
        <w:rPr>
          <w:sz w:val="20"/>
          <w:szCs w:val="20"/>
          <w:color w:val="auto"/>
        </w:rPr>
      </w:pPr>
      <w:r>
        <w:rPr>
          <w:sz w:val="20"/>
          <w:szCs w:val="20"/>
          <w:color w:val="auto"/>
        </w:rPr>
        <w:br w:type="column"/>
      </w:r>
    </w:p>
    <w:p>
      <w:pPr>
        <w:spacing w:after="0" w:line="378" w:lineRule="exact"/>
        <w:rPr>
          <w:sz w:val="20"/>
          <w:szCs w:val="20"/>
          <w:color w:val="auto"/>
        </w:rPr>
      </w:pPr>
    </w:p>
    <w:p>
      <w:pPr>
        <w:ind w:left="2120"/>
        <w:spacing w:after="0"/>
        <w:rPr>
          <w:sz w:val="20"/>
          <w:szCs w:val="20"/>
          <w:color w:val="auto"/>
        </w:rPr>
      </w:pPr>
      <w:r>
        <w:rPr>
          <w:rFonts w:ascii="Arial" w:cs="Arial" w:eastAsia="Arial" w:hAnsi="Arial"/>
          <w:sz w:val="20"/>
          <w:szCs w:val="20"/>
          <w:b w:val="1"/>
          <w:bCs w:val="1"/>
          <w:color w:val="231F20"/>
        </w:rPr>
        <w:t>DONALD C. WOOD</w:t>
      </w:r>
    </w:p>
    <w:p>
      <w:pPr>
        <w:ind w:left="2120"/>
        <w:spacing w:after="0" w:line="229" w:lineRule="auto"/>
        <w:rPr>
          <w:sz w:val="20"/>
          <w:szCs w:val="20"/>
          <w:color w:val="auto"/>
        </w:rPr>
      </w:pPr>
      <w:r>
        <w:rPr>
          <w:rFonts w:ascii="Arial" w:cs="Arial" w:eastAsia="Arial" w:hAnsi="Arial"/>
          <w:sz w:val="20"/>
          <w:szCs w:val="20"/>
          <w:color w:val="231F20"/>
        </w:rPr>
        <w:t>Age: 65</w:t>
      </w:r>
    </w:p>
    <w:p>
      <w:pPr>
        <w:ind w:left="2120"/>
        <w:spacing w:after="0" w:line="225" w:lineRule="auto"/>
        <w:rPr>
          <w:sz w:val="20"/>
          <w:szCs w:val="20"/>
          <w:color w:val="auto"/>
        </w:rPr>
      </w:pPr>
      <w:r>
        <w:rPr>
          <w:rFonts w:ascii="Arial" w:cs="Arial" w:eastAsia="Arial" w:hAnsi="Arial"/>
          <w:sz w:val="20"/>
          <w:szCs w:val="20"/>
          <w:color w:val="231F20"/>
        </w:rPr>
        <w:t>Trustee Since: 2003</w:t>
      </w:r>
    </w:p>
    <w:p>
      <w:pPr>
        <w:ind w:left="2120"/>
        <w:spacing w:after="0" w:line="230" w:lineRule="auto"/>
        <w:rPr>
          <w:sz w:val="20"/>
          <w:szCs w:val="20"/>
          <w:color w:val="auto"/>
        </w:rPr>
      </w:pPr>
      <w:r>
        <w:rPr>
          <w:rFonts w:ascii="Arial" w:cs="Arial" w:eastAsia="Arial" w:hAnsi="Arial"/>
          <w:sz w:val="20"/>
          <w:szCs w:val="20"/>
          <w:color w:val="231F20"/>
        </w:rPr>
        <w:t>Chief Executive Officer of</w:t>
      </w:r>
    </w:p>
    <w:p>
      <w:pPr>
        <w:ind w:left="2120"/>
        <w:spacing w:after="0" w:line="237" w:lineRule="auto"/>
        <w:rPr>
          <w:sz w:val="20"/>
          <w:szCs w:val="20"/>
          <w:color w:val="auto"/>
        </w:rPr>
      </w:pPr>
      <w:r>
        <w:rPr>
          <w:rFonts w:ascii="Arial" w:cs="Arial" w:eastAsia="Arial" w:hAnsi="Arial"/>
          <w:sz w:val="19"/>
          <w:szCs w:val="19"/>
          <w:color w:val="231F20"/>
        </w:rPr>
        <w:t>Federal Realty Investment</w:t>
      </w:r>
    </w:p>
    <w:p>
      <w:pPr>
        <w:ind w:left="2120"/>
        <w:spacing w:after="0" w:line="228" w:lineRule="auto"/>
        <w:rPr>
          <w:sz w:val="20"/>
          <w:szCs w:val="20"/>
          <w:color w:val="auto"/>
        </w:rPr>
      </w:pPr>
      <w:r>
        <w:rPr>
          <w:rFonts w:ascii="Arial" w:cs="Arial" w:eastAsia="Arial" w:hAnsi="Arial"/>
          <w:sz w:val="20"/>
          <w:szCs w:val="20"/>
          <w:color w:val="231F20"/>
        </w:rPr>
        <w:t>Trust</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both"/>
        <w:ind w:right="240"/>
        <w:spacing w:after="0" w:line="237" w:lineRule="auto"/>
        <w:rPr>
          <w:sz w:val="20"/>
          <w:szCs w:val="20"/>
          <w:color w:val="auto"/>
        </w:rPr>
      </w:pPr>
      <w:r>
        <w:rPr>
          <w:rFonts w:ascii="Arial" w:cs="Arial" w:eastAsia="Arial" w:hAnsi="Arial"/>
          <w:sz w:val="20"/>
          <w:szCs w:val="20"/>
          <w:color w:val="231F20"/>
        </w:rPr>
        <w:t>Mr. Wood currently serves as our Chief Executive Officer, a role he has held since 2003. Before assuming that role, he served as our President (2001-2003) and held the titles of Chief Operating Officer and Chief Financial Officer at various points from 1998-2003. Prior to joining Federal, Mr. Wood served as the Chief Financial Officer for Caesers World, Inc. (1996-1998), the Assistant/Deputy Controller of ITT Corporation (1990-1996), the VP of Finance for Trump Taj Mahal Associates (1989-1990) and as an audit manager with Arthur Andersen (1982-1989). Mr. Wood is a CPA and received a BS in Business Administration from Montclair State College. Mr. Wood previously served as a director of public companies Quality Care Properties (2016-2018) and Post Properties (2011-2016). In addition to his public company board service, Mr. Wood served as Chairman of the Board of Trustees of the National Association of Real Estate Investment Trusts (2011-2012) and previously served on the Board of Governors of ICSC (f/k/a International Council of Shopping Centers).</w:t>
      </w:r>
    </w:p>
    <w:p>
      <w:pPr>
        <w:spacing w:after="0" w:line="286"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Skills and Qualifications</w:t>
      </w:r>
    </w:p>
    <w:p>
      <w:pPr>
        <w:jc w:val="both"/>
        <w:ind w:right="240"/>
        <w:spacing w:after="0" w:line="227" w:lineRule="auto"/>
        <w:rPr>
          <w:sz w:val="20"/>
          <w:szCs w:val="20"/>
          <w:color w:val="auto"/>
        </w:rPr>
      </w:pPr>
      <w:r>
        <w:rPr>
          <w:rFonts w:ascii="Arial" w:cs="Arial" w:eastAsia="Arial" w:hAnsi="Arial"/>
          <w:sz w:val="20"/>
          <w:szCs w:val="20"/>
          <w:color w:val="231F20"/>
        </w:rPr>
        <w:t>Mr. Wood’s more than 27 years of experience with Federal, including his responsibilities as chief executive officer and as a REIT CFO, provide the Board with familiarity and details on all aspects of the operations and financial condition of the Company.</w:t>
      </w:r>
    </w:p>
    <w:p>
      <w:pPr>
        <w:spacing w:after="0" w:line="255"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Current Public Company Directorships:</w:t>
      </w:r>
    </w:p>
    <w:p>
      <w:pPr>
        <w:spacing w:after="0" w:line="218" w:lineRule="auto"/>
        <w:rPr>
          <w:sz w:val="20"/>
          <w:szCs w:val="20"/>
          <w:color w:val="auto"/>
        </w:rPr>
      </w:pPr>
      <w:r>
        <w:rPr>
          <w:rFonts w:ascii="Arial" w:cs="Arial" w:eastAsia="Arial" w:hAnsi="Arial"/>
          <w:sz w:val="20"/>
          <w:szCs w:val="20"/>
          <w:color w:val="231F20"/>
        </w:rPr>
        <w:t>Healthcare Realty Trust Incorporated</w:t>
      </w:r>
    </w:p>
    <w:p>
      <w:pPr>
        <w:spacing w:after="0" w:line="261"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Prior Public Company Directorships:</w:t>
      </w:r>
    </w:p>
    <w:p>
      <w:pPr>
        <w:spacing w:after="0" w:line="229" w:lineRule="auto"/>
        <w:rPr>
          <w:sz w:val="20"/>
          <w:szCs w:val="20"/>
          <w:color w:val="auto"/>
        </w:rPr>
      </w:pPr>
      <w:r>
        <w:rPr>
          <w:rFonts w:ascii="Arial" w:cs="Arial" w:eastAsia="Arial" w:hAnsi="Arial"/>
          <w:sz w:val="20"/>
          <w:szCs w:val="20"/>
          <w:color w:val="231F20"/>
        </w:rPr>
        <w:t>Quality Care Properties (until 2018)</w:t>
      </w:r>
    </w:p>
    <w:p>
      <w:pPr>
        <w:spacing w:after="0" w:line="228" w:lineRule="auto"/>
        <w:rPr>
          <w:sz w:val="20"/>
          <w:szCs w:val="20"/>
          <w:color w:val="auto"/>
        </w:rPr>
      </w:pPr>
      <w:r>
        <w:rPr>
          <w:rFonts w:ascii="Arial" w:cs="Arial" w:eastAsia="Arial" w:hAnsi="Arial"/>
          <w:sz w:val="20"/>
          <w:szCs w:val="20"/>
          <w:color w:val="231F20"/>
        </w:rPr>
        <w:t>Post Properties (until 2016)</w:t>
      </w:r>
    </w:p>
    <w:p>
      <w:pPr>
        <w:spacing w:after="0" w:line="963" w:lineRule="exact"/>
        <w:rPr>
          <w:sz w:val="20"/>
          <w:szCs w:val="20"/>
          <w:color w:val="auto"/>
        </w:rPr>
      </w:pPr>
    </w:p>
    <w:p>
      <w:pPr>
        <w:sectPr>
          <w:pgSz w:w="11880" w:h="15480" w:orient="portrait"/>
          <w:cols w:equalWidth="0" w:num="2">
            <w:col w:w="4400" w:space="540"/>
            <w:col w:w="4640"/>
          </w:cols>
          <w:pgMar w:left="1320" w:top="1440" w:right="980" w:bottom="763" w:gutter="0" w:footer="0" w:header="0"/>
        </w:sectPr>
      </w:pPr>
    </w:p>
    <w:p>
      <w:pPr>
        <w:spacing w:after="0" w:line="386" w:lineRule="exact"/>
        <w:rPr>
          <w:sz w:val="20"/>
          <w:szCs w:val="20"/>
          <w:color w:val="auto"/>
        </w:rPr>
      </w:pPr>
    </w:p>
    <w:p>
      <w:pPr>
        <w:ind w:left="6300"/>
        <w:spacing w:after="0"/>
        <w:tabs>
          <w:tab w:leader="none" w:pos="7640" w:val="left"/>
          <w:tab w:leader="none" w:pos="9380" w:val="left"/>
        </w:tabs>
        <w:rPr>
          <w:sz w:val="20"/>
          <w:szCs w:val="20"/>
          <w:color w:val="auto"/>
        </w:rPr>
      </w:pPr>
      <w:r>
        <w:rPr>
          <w:rFonts w:ascii="Arial" w:cs="Arial" w:eastAsia="Arial" w:hAnsi="Arial"/>
          <w:sz w:val="16"/>
          <w:szCs w:val="16"/>
          <w:color w:val="EF3E2A"/>
        </w:rPr>
        <w:t>Federal Realty</w:t>
      </w:r>
      <w:r>
        <w:rPr>
          <w:sz w:val="20"/>
          <w:szCs w:val="20"/>
          <w:color w:val="auto"/>
        </w:rPr>
        <w:tab/>
      </w:r>
      <w:r>
        <w:rPr>
          <w:rFonts w:ascii="Arial" w:cs="Arial" w:eastAsia="Arial" w:hAnsi="Arial"/>
          <w:sz w:val="16"/>
          <w:szCs w:val="16"/>
          <w:color w:val="231F20"/>
        </w:rPr>
        <w:t>2026 Proxy Statement</w:t>
        <w:tab/>
        <w:t>17</w:t>
      </w:r>
    </w:p>
    <w:p>
      <w:pPr>
        <w:sectPr>
          <w:pgSz w:w="11880" w:h="15480" w:orient="portrait"/>
          <w:cols w:equalWidth="0" w:num="1">
            <w:col w:w="9580"/>
          </w:cols>
          <w:pgMar w:left="1320" w:top="1440" w:right="980" w:bottom="763" w:gutter="0" w:footer="0" w:header="0"/>
          <w:type w:val="continuous"/>
        </w:sectPr>
      </w:pPr>
    </w:p>
    <w:bookmarkStart w:id="137" w:name="page138"/>
    <w:bookmarkEnd w:id="137"/>
    <w:p>
      <w:pPr>
        <w:spacing w:after="0" w:line="295" w:lineRule="exact"/>
        <w:tabs>
          <w:tab w:leader="none" w:pos="380" w:val="left"/>
        </w:tabs>
        <w:rPr>
          <w:sz w:val="20"/>
          <w:szCs w:val="20"/>
          <w:color w:val="auto"/>
        </w:rPr>
      </w:pPr>
      <w:r>
        <w:rPr>
          <w:rFonts w:ascii="Arial Unicode MS" w:cs="Arial Unicode MS" w:eastAsia="Arial Unicode MS" w:hAnsi="Arial Unicode MS"/>
          <w:sz w:val="20"/>
          <w:szCs w:val="20"/>
          <w:color w:val="EF3E2A"/>
        </w:rPr>
        <w:t>➢</w:t>
      </w:r>
      <w:r>
        <w:rPr>
          <w:sz w:val="20"/>
          <w:szCs w:val="20"/>
          <w:color w:val="auto"/>
        </w:rPr>
        <w:tab/>
      </w:r>
      <w:r>
        <w:rPr>
          <w:rFonts w:ascii="Arial" w:cs="Arial" w:eastAsia="Arial" w:hAnsi="Arial"/>
          <w:sz w:val="19"/>
          <w:szCs w:val="19"/>
          <w:b w:val="1"/>
          <w:bCs w:val="1"/>
          <w:color w:val="231F20"/>
        </w:rPr>
        <w:t>TRUSTEE COMPENSATION</w:t>
      </w:r>
    </w:p>
    <w:p>
      <w:pPr>
        <w:spacing w:after="0" w:line="266"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231F20"/>
        </w:rPr>
        <w:t>As of December 31, 2025, our standard arrangement for compensation for our non-management trustees included the following: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3760" w:type="dxa"/>
            <w:vAlign w:val="bottom"/>
            <w:shd w:val="clear" w:color="auto" w:fill="EF3E2A"/>
          </w:tcPr>
          <w:p>
            <w:pPr>
              <w:ind w:left="40"/>
              <w:spacing w:after="0"/>
              <w:rPr>
                <w:sz w:val="20"/>
                <w:szCs w:val="20"/>
                <w:color w:val="auto"/>
              </w:rPr>
            </w:pPr>
            <w:r>
              <w:rPr>
                <w:rFonts w:ascii="Arial" w:cs="Arial" w:eastAsia="Arial" w:hAnsi="Arial"/>
                <w:sz w:val="18"/>
                <w:szCs w:val="18"/>
                <w:b w:val="1"/>
                <w:bCs w:val="1"/>
                <w:color w:val="FFFFFF"/>
              </w:rPr>
              <w:t>Trustee Compensation Element</w:t>
            </w:r>
          </w:p>
        </w:tc>
        <w:tc>
          <w:tcPr>
            <w:tcW w:w="1440" w:type="dxa"/>
            <w:vAlign w:val="bottom"/>
            <w:gridSpan w:val="2"/>
            <w:shd w:val="clear" w:color="auto" w:fill="EF3E2A"/>
          </w:tcPr>
          <w:p>
            <w:pPr>
              <w:ind w:left="360"/>
              <w:spacing w:after="0"/>
              <w:rPr>
                <w:sz w:val="20"/>
                <w:szCs w:val="20"/>
                <w:color w:val="auto"/>
              </w:rPr>
            </w:pPr>
            <w:r>
              <w:rPr>
                <w:rFonts w:ascii="Arial" w:cs="Arial" w:eastAsia="Arial" w:hAnsi="Arial"/>
                <w:sz w:val="18"/>
                <w:szCs w:val="18"/>
                <w:b w:val="1"/>
                <w:bCs w:val="1"/>
                <w:color w:val="FFFFFF"/>
              </w:rPr>
              <w:t>Amount</w:t>
            </w:r>
          </w:p>
        </w:tc>
        <w:tc>
          <w:tcPr>
            <w:tcW w:w="2180" w:type="dxa"/>
            <w:vAlign w:val="bottom"/>
            <w:shd w:val="clear" w:color="auto" w:fill="EF3E2A"/>
          </w:tcPr>
          <w:p>
            <w:pPr>
              <w:ind w:left="60"/>
              <w:spacing w:after="0"/>
              <w:rPr>
                <w:sz w:val="20"/>
                <w:szCs w:val="20"/>
                <w:color w:val="auto"/>
              </w:rPr>
            </w:pPr>
            <w:r>
              <w:rPr>
                <w:rFonts w:ascii="Arial" w:cs="Arial" w:eastAsia="Arial" w:hAnsi="Arial"/>
                <w:sz w:val="18"/>
                <w:szCs w:val="18"/>
                <w:b w:val="1"/>
                <w:bCs w:val="1"/>
                <w:color w:val="FFFFFF"/>
              </w:rPr>
              <w:t>Payment Form</w:t>
            </w:r>
          </w:p>
        </w:tc>
      </w:tr>
      <w:tr>
        <w:trPr>
          <w:trHeight w:val="64"/>
        </w:trPr>
        <w:tc>
          <w:tcPr>
            <w:tcW w:w="3760" w:type="dxa"/>
            <w:vAlign w:val="bottom"/>
            <w:shd w:val="clear" w:color="auto" w:fill="EF3E2A"/>
          </w:tcPr>
          <w:p>
            <w:pPr>
              <w:spacing w:after="0"/>
              <w:rPr>
                <w:sz w:val="5"/>
                <w:szCs w:val="5"/>
                <w:color w:val="auto"/>
              </w:rPr>
            </w:pPr>
          </w:p>
        </w:tc>
        <w:tc>
          <w:tcPr>
            <w:tcW w:w="600" w:type="dxa"/>
            <w:vAlign w:val="bottom"/>
            <w:shd w:val="clear" w:color="auto" w:fill="EF3E2A"/>
          </w:tcPr>
          <w:p>
            <w:pPr>
              <w:spacing w:after="0"/>
              <w:rPr>
                <w:sz w:val="5"/>
                <w:szCs w:val="5"/>
                <w:color w:val="auto"/>
              </w:rPr>
            </w:pPr>
          </w:p>
        </w:tc>
        <w:tc>
          <w:tcPr>
            <w:tcW w:w="840" w:type="dxa"/>
            <w:vAlign w:val="bottom"/>
            <w:shd w:val="clear" w:color="auto" w:fill="EF3E2A"/>
          </w:tcPr>
          <w:p>
            <w:pPr>
              <w:spacing w:after="0"/>
              <w:rPr>
                <w:sz w:val="5"/>
                <w:szCs w:val="5"/>
                <w:color w:val="auto"/>
              </w:rPr>
            </w:pPr>
          </w:p>
        </w:tc>
        <w:tc>
          <w:tcPr>
            <w:tcW w:w="2180" w:type="dxa"/>
            <w:vAlign w:val="bottom"/>
            <w:shd w:val="clear" w:color="auto" w:fill="EF3E2A"/>
          </w:tcPr>
          <w:p>
            <w:pPr>
              <w:spacing w:after="0"/>
              <w:rPr>
                <w:sz w:val="5"/>
                <w:szCs w:val="5"/>
                <w:color w:val="auto"/>
              </w:rPr>
            </w:pPr>
          </w:p>
        </w:tc>
      </w:tr>
      <w:tr>
        <w:trPr>
          <w:trHeight w:val="296"/>
        </w:trPr>
        <w:tc>
          <w:tcPr>
            <w:tcW w:w="3760" w:type="dxa"/>
            <w:vAlign w:val="bottom"/>
          </w:tcPr>
          <w:p>
            <w:pPr>
              <w:ind w:left="40"/>
              <w:spacing w:after="0"/>
              <w:rPr>
                <w:sz w:val="20"/>
                <w:szCs w:val="20"/>
                <w:color w:val="auto"/>
              </w:rPr>
            </w:pPr>
            <w:r>
              <w:rPr>
                <w:rFonts w:ascii="Arial" w:cs="Arial" w:eastAsia="Arial" w:hAnsi="Arial"/>
                <w:sz w:val="18"/>
                <w:szCs w:val="18"/>
                <w:b w:val="1"/>
                <w:bCs w:val="1"/>
                <w:color w:val="231F20"/>
              </w:rPr>
              <w:t>Board Service</w:t>
            </w:r>
          </w:p>
        </w:tc>
        <w:tc>
          <w:tcPr>
            <w:tcW w:w="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34"/>
        </w:trPr>
        <w:tc>
          <w:tcPr>
            <w:tcW w:w="3760" w:type="dxa"/>
            <w:vAlign w:val="bottom"/>
            <w:tcBorders>
              <w:bottom w:val="single" w:sz="8" w:color="231F20"/>
            </w:tcBorders>
          </w:tcPr>
          <w:p>
            <w:pPr>
              <w:spacing w:after="0"/>
              <w:rPr>
                <w:sz w:val="2"/>
                <w:szCs w:val="2"/>
                <w:color w:val="auto"/>
              </w:rPr>
            </w:pPr>
          </w:p>
        </w:tc>
        <w:tc>
          <w:tcPr>
            <w:tcW w:w="600" w:type="dxa"/>
            <w:vAlign w:val="bottom"/>
            <w:tcBorders>
              <w:bottom w:val="single" w:sz="8" w:color="231F20"/>
            </w:tcBorders>
          </w:tcPr>
          <w:p>
            <w:pPr>
              <w:spacing w:after="0"/>
              <w:rPr>
                <w:sz w:val="2"/>
                <w:szCs w:val="2"/>
                <w:color w:val="auto"/>
              </w:rPr>
            </w:pPr>
          </w:p>
        </w:tc>
        <w:tc>
          <w:tcPr>
            <w:tcW w:w="840" w:type="dxa"/>
            <w:vAlign w:val="bottom"/>
            <w:tcBorders>
              <w:bottom w:val="single" w:sz="8" w:color="231F20"/>
            </w:tcBorders>
          </w:tcPr>
          <w:p>
            <w:pPr>
              <w:spacing w:after="0"/>
              <w:rPr>
                <w:sz w:val="2"/>
                <w:szCs w:val="2"/>
                <w:color w:val="auto"/>
              </w:rPr>
            </w:pPr>
          </w:p>
        </w:tc>
        <w:tc>
          <w:tcPr>
            <w:tcW w:w="2180" w:type="dxa"/>
            <w:vAlign w:val="bottom"/>
            <w:tcBorders>
              <w:bottom w:val="single" w:sz="8" w:color="231F20"/>
            </w:tcBorders>
          </w:tcPr>
          <w:p>
            <w:pPr>
              <w:spacing w:after="0"/>
              <w:rPr>
                <w:sz w:val="2"/>
                <w:szCs w:val="2"/>
                <w:color w:val="auto"/>
              </w:rPr>
            </w:pPr>
          </w:p>
        </w:tc>
      </w:tr>
      <w:tr>
        <w:trPr>
          <w:trHeight w:val="286"/>
        </w:trPr>
        <w:tc>
          <w:tcPr>
            <w:tcW w:w="3760" w:type="dxa"/>
            <w:vAlign w:val="bottom"/>
          </w:tcPr>
          <w:p>
            <w:pPr>
              <w:ind w:left="40"/>
              <w:spacing w:after="0"/>
              <w:rPr>
                <w:sz w:val="20"/>
                <w:szCs w:val="20"/>
                <w:color w:val="auto"/>
              </w:rPr>
            </w:pPr>
            <w:r>
              <w:rPr>
                <w:rFonts w:ascii="Arial" w:cs="Arial" w:eastAsia="Arial" w:hAnsi="Arial"/>
                <w:sz w:val="18"/>
                <w:szCs w:val="18"/>
                <w:color w:val="231F20"/>
              </w:rPr>
              <w:t>Annual Retainer</w:t>
            </w:r>
          </w:p>
        </w:tc>
        <w:tc>
          <w:tcPr>
            <w:tcW w:w="600" w:type="dxa"/>
            <w:vAlign w:val="bottom"/>
          </w:tcPr>
          <w:p>
            <w:pPr>
              <w:ind w:left="360"/>
              <w:spacing w:after="0"/>
              <w:rPr>
                <w:sz w:val="20"/>
                <w:szCs w:val="20"/>
                <w:color w:val="auto"/>
              </w:rPr>
            </w:pPr>
            <w:r>
              <w:rPr>
                <w:rFonts w:ascii="Arial" w:cs="Arial" w:eastAsia="Arial" w:hAnsi="Arial"/>
                <w:sz w:val="18"/>
                <w:szCs w:val="18"/>
                <w:color w:val="231F20"/>
              </w:rPr>
              <w:t>$</w:t>
            </w:r>
          </w:p>
        </w:tc>
        <w:tc>
          <w:tcPr>
            <w:tcW w:w="840" w:type="dxa"/>
            <w:vAlign w:val="bottom"/>
          </w:tcPr>
          <w:p>
            <w:pPr>
              <w:jc w:val="right"/>
              <w:spacing w:after="0"/>
              <w:rPr>
                <w:sz w:val="20"/>
                <w:szCs w:val="20"/>
                <w:color w:val="auto"/>
              </w:rPr>
            </w:pPr>
            <w:r>
              <w:rPr>
                <w:rFonts w:ascii="Arial" w:cs="Arial" w:eastAsia="Arial" w:hAnsi="Arial"/>
                <w:sz w:val="18"/>
                <w:szCs w:val="18"/>
                <w:color w:val="231F20"/>
              </w:rPr>
              <w:t>225,000</w:t>
            </w:r>
          </w:p>
        </w:tc>
        <w:tc>
          <w:tcPr>
            <w:tcW w:w="2180" w:type="dxa"/>
            <w:vAlign w:val="bottom"/>
          </w:tcPr>
          <w:p>
            <w:pPr>
              <w:ind w:left="60"/>
              <w:spacing w:after="0"/>
              <w:rPr>
                <w:sz w:val="20"/>
                <w:szCs w:val="20"/>
                <w:color w:val="auto"/>
              </w:rPr>
            </w:pPr>
            <w:r>
              <w:rPr>
                <w:rFonts w:ascii="Arial" w:cs="Arial" w:eastAsia="Arial" w:hAnsi="Arial"/>
                <w:sz w:val="18"/>
                <w:szCs w:val="18"/>
                <w:color w:val="231F20"/>
              </w:rPr>
              <w:t>40% cash; 60% equity</w:t>
            </w:r>
          </w:p>
        </w:tc>
      </w:tr>
      <w:tr>
        <w:trPr>
          <w:trHeight w:val="340"/>
        </w:trPr>
        <w:tc>
          <w:tcPr>
            <w:tcW w:w="3760" w:type="dxa"/>
            <w:vAlign w:val="bottom"/>
          </w:tcPr>
          <w:p>
            <w:pPr>
              <w:ind w:left="40"/>
              <w:spacing w:after="0"/>
              <w:rPr>
                <w:sz w:val="20"/>
                <w:szCs w:val="20"/>
                <w:color w:val="auto"/>
              </w:rPr>
            </w:pPr>
            <w:r>
              <w:rPr>
                <w:rFonts w:ascii="Arial" w:cs="Arial" w:eastAsia="Arial" w:hAnsi="Arial"/>
                <w:sz w:val="18"/>
                <w:szCs w:val="18"/>
                <w:color w:val="231F20"/>
              </w:rPr>
              <w:t>Annual Retainer Non-Executive Chairman</w:t>
            </w:r>
          </w:p>
        </w:tc>
        <w:tc>
          <w:tcPr>
            <w:tcW w:w="600" w:type="dxa"/>
            <w:vAlign w:val="bottom"/>
          </w:tcPr>
          <w:p>
            <w:pPr>
              <w:ind w:left="360"/>
              <w:spacing w:after="0"/>
              <w:rPr>
                <w:sz w:val="20"/>
                <w:szCs w:val="20"/>
                <w:color w:val="auto"/>
              </w:rPr>
            </w:pPr>
            <w:r>
              <w:rPr>
                <w:rFonts w:ascii="Arial" w:cs="Arial" w:eastAsia="Arial" w:hAnsi="Arial"/>
                <w:sz w:val="18"/>
                <w:szCs w:val="18"/>
                <w:color w:val="231F20"/>
              </w:rPr>
              <w:t>$</w:t>
            </w:r>
          </w:p>
        </w:tc>
        <w:tc>
          <w:tcPr>
            <w:tcW w:w="840" w:type="dxa"/>
            <w:vAlign w:val="bottom"/>
          </w:tcPr>
          <w:p>
            <w:pPr>
              <w:jc w:val="right"/>
              <w:spacing w:after="0"/>
              <w:rPr>
                <w:sz w:val="20"/>
                <w:szCs w:val="20"/>
                <w:color w:val="auto"/>
              </w:rPr>
            </w:pPr>
            <w:r>
              <w:rPr>
                <w:rFonts w:ascii="Arial" w:cs="Arial" w:eastAsia="Arial" w:hAnsi="Arial"/>
                <w:sz w:val="18"/>
                <w:szCs w:val="18"/>
                <w:color w:val="231F20"/>
              </w:rPr>
              <w:t>275,000</w:t>
            </w:r>
          </w:p>
        </w:tc>
        <w:tc>
          <w:tcPr>
            <w:tcW w:w="2180" w:type="dxa"/>
            <w:vAlign w:val="bottom"/>
          </w:tcPr>
          <w:p>
            <w:pPr>
              <w:ind w:left="60"/>
              <w:spacing w:after="0"/>
              <w:rPr>
                <w:sz w:val="20"/>
                <w:szCs w:val="20"/>
                <w:color w:val="auto"/>
              </w:rPr>
            </w:pPr>
            <w:r>
              <w:rPr>
                <w:rFonts w:ascii="Arial" w:cs="Arial" w:eastAsia="Arial" w:hAnsi="Arial"/>
                <w:sz w:val="18"/>
                <w:szCs w:val="18"/>
                <w:color w:val="231F20"/>
              </w:rPr>
              <w:t>60% cash; 40% equity</w:t>
            </w:r>
          </w:p>
        </w:tc>
      </w:tr>
      <w:tr>
        <w:trPr>
          <w:trHeight w:val="34"/>
        </w:trPr>
        <w:tc>
          <w:tcPr>
            <w:tcW w:w="3760" w:type="dxa"/>
            <w:vAlign w:val="bottom"/>
            <w:tcBorders>
              <w:bottom w:val="single" w:sz="8" w:color="231F20"/>
            </w:tcBorders>
          </w:tcPr>
          <w:p>
            <w:pPr>
              <w:spacing w:after="0"/>
              <w:rPr>
                <w:sz w:val="2"/>
                <w:szCs w:val="2"/>
                <w:color w:val="auto"/>
              </w:rPr>
            </w:pPr>
          </w:p>
        </w:tc>
        <w:tc>
          <w:tcPr>
            <w:tcW w:w="600" w:type="dxa"/>
            <w:vAlign w:val="bottom"/>
            <w:tcBorders>
              <w:bottom w:val="single" w:sz="8" w:color="231F20"/>
            </w:tcBorders>
          </w:tcPr>
          <w:p>
            <w:pPr>
              <w:spacing w:after="0"/>
              <w:rPr>
                <w:sz w:val="2"/>
                <w:szCs w:val="2"/>
                <w:color w:val="auto"/>
              </w:rPr>
            </w:pPr>
          </w:p>
        </w:tc>
        <w:tc>
          <w:tcPr>
            <w:tcW w:w="840" w:type="dxa"/>
            <w:vAlign w:val="bottom"/>
            <w:tcBorders>
              <w:bottom w:val="single" w:sz="8" w:color="231F20"/>
            </w:tcBorders>
          </w:tcPr>
          <w:p>
            <w:pPr>
              <w:spacing w:after="0"/>
              <w:rPr>
                <w:sz w:val="2"/>
                <w:szCs w:val="2"/>
                <w:color w:val="auto"/>
              </w:rPr>
            </w:pPr>
          </w:p>
        </w:tc>
        <w:tc>
          <w:tcPr>
            <w:tcW w:w="2180" w:type="dxa"/>
            <w:vAlign w:val="bottom"/>
            <w:tcBorders>
              <w:bottom w:val="single" w:sz="8" w:color="231F20"/>
            </w:tcBorders>
          </w:tcPr>
          <w:p>
            <w:pPr>
              <w:spacing w:after="0"/>
              <w:rPr>
                <w:sz w:val="2"/>
                <w:szCs w:val="2"/>
                <w:color w:val="auto"/>
              </w:rPr>
            </w:pPr>
          </w:p>
        </w:tc>
      </w:tr>
      <w:tr>
        <w:trPr>
          <w:trHeight w:val="366"/>
        </w:trPr>
        <w:tc>
          <w:tcPr>
            <w:tcW w:w="3760" w:type="dxa"/>
            <w:vAlign w:val="bottom"/>
          </w:tcPr>
          <w:p>
            <w:pPr>
              <w:ind w:left="40"/>
              <w:spacing w:after="0"/>
              <w:rPr>
                <w:sz w:val="20"/>
                <w:szCs w:val="20"/>
                <w:color w:val="auto"/>
              </w:rPr>
            </w:pPr>
            <w:r>
              <w:rPr>
                <w:rFonts w:ascii="Arial" w:cs="Arial" w:eastAsia="Arial" w:hAnsi="Arial"/>
                <w:sz w:val="18"/>
                <w:szCs w:val="18"/>
                <w:b w:val="1"/>
                <w:bCs w:val="1"/>
                <w:color w:val="231F20"/>
              </w:rPr>
              <w:t>Committee Chairs</w:t>
            </w:r>
          </w:p>
        </w:tc>
        <w:tc>
          <w:tcPr>
            <w:tcW w:w="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34"/>
        </w:trPr>
        <w:tc>
          <w:tcPr>
            <w:tcW w:w="3760" w:type="dxa"/>
            <w:vAlign w:val="bottom"/>
            <w:tcBorders>
              <w:bottom w:val="single" w:sz="8" w:color="231F20"/>
            </w:tcBorders>
          </w:tcPr>
          <w:p>
            <w:pPr>
              <w:spacing w:after="0"/>
              <w:rPr>
                <w:sz w:val="2"/>
                <w:szCs w:val="2"/>
                <w:color w:val="auto"/>
              </w:rPr>
            </w:pPr>
          </w:p>
        </w:tc>
        <w:tc>
          <w:tcPr>
            <w:tcW w:w="600" w:type="dxa"/>
            <w:vAlign w:val="bottom"/>
            <w:tcBorders>
              <w:bottom w:val="single" w:sz="8" w:color="231F20"/>
            </w:tcBorders>
          </w:tcPr>
          <w:p>
            <w:pPr>
              <w:spacing w:after="0"/>
              <w:rPr>
                <w:sz w:val="2"/>
                <w:szCs w:val="2"/>
                <w:color w:val="auto"/>
              </w:rPr>
            </w:pPr>
          </w:p>
        </w:tc>
        <w:tc>
          <w:tcPr>
            <w:tcW w:w="840" w:type="dxa"/>
            <w:vAlign w:val="bottom"/>
            <w:tcBorders>
              <w:bottom w:val="single" w:sz="8" w:color="231F20"/>
            </w:tcBorders>
          </w:tcPr>
          <w:p>
            <w:pPr>
              <w:spacing w:after="0"/>
              <w:rPr>
                <w:sz w:val="2"/>
                <w:szCs w:val="2"/>
                <w:color w:val="auto"/>
              </w:rPr>
            </w:pPr>
          </w:p>
        </w:tc>
        <w:tc>
          <w:tcPr>
            <w:tcW w:w="2180" w:type="dxa"/>
            <w:vAlign w:val="bottom"/>
            <w:tcBorders>
              <w:bottom w:val="single" w:sz="8" w:color="231F20"/>
            </w:tcBorders>
          </w:tcPr>
          <w:p>
            <w:pPr>
              <w:spacing w:after="0"/>
              <w:rPr>
                <w:sz w:val="2"/>
                <w:szCs w:val="2"/>
                <w:color w:val="auto"/>
              </w:rPr>
            </w:pPr>
          </w:p>
        </w:tc>
      </w:tr>
      <w:tr>
        <w:trPr>
          <w:trHeight w:val="286"/>
        </w:trPr>
        <w:tc>
          <w:tcPr>
            <w:tcW w:w="3760" w:type="dxa"/>
            <w:vAlign w:val="bottom"/>
          </w:tcPr>
          <w:p>
            <w:pPr>
              <w:ind w:left="40"/>
              <w:spacing w:after="0"/>
              <w:rPr>
                <w:sz w:val="20"/>
                <w:szCs w:val="20"/>
                <w:color w:val="auto"/>
              </w:rPr>
            </w:pPr>
            <w:r>
              <w:rPr>
                <w:rFonts w:ascii="Arial" w:cs="Arial" w:eastAsia="Arial" w:hAnsi="Arial"/>
                <w:sz w:val="18"/>
                <w:szCs w:val="18"/>
                <w:color w:val="231F20"/>
              </w:rPr>
              <w:t>Audit Committee</w:t>
            </w:r>
          </w:p>
        </w:tc>
        <w:tc>
          <w:tcPr>
            <w:tcW w:w="600" w:type="dxa"/>
            <w:vAlign w:val="bottom"/>
          </w:tcPr>
          <w:p>
            <w:pPr>
              <w:ind w:left="360"/>
              <w:spacing w:after="0"/>
              <w:rPr>
                <w:sz w:val="20"/>
                <w:szCs w:val="20"/>
                <w:color w:val="auto"/>
              </w:rPr>
            </w:pPr>
            <w:r>
              <w:rPr>
                <w:rFonts w:ascii="Arial" w:cs="Arial" w:eastAsia="Arial" w:hAnsi="Arial"/>
                <w:sz w:val="18"/>
                <w:szCs w:val="18"/>
                <w:color w:val="231F20"/>
              </w:rPr>
              <w:t>$</w:t>
            </w:r>
          </w:p>
        </w:tc>
        <w:tc>
          <w:tcPr>
            <w:tcW w:w="840" w:type="dxa"/>
            <w:vAlign w:val="bottom"/>
          </w:tcPr>
          <w:p>
            <w:pPr>
              <w:jc w:val="right"/>
              <w:spacing w:after="0"/>
              <w:rPr>
                <w:sz w:val="20"/>
                <w:szCs w:val="20"/>
                <w:color w:val="auto"/>
              </w:rPr>
            </w:pPr>
            <w:r>
              <w:rPr>
                <w:rFonts w:ascii="Arial" w:cs="Arial" w:eastAsia="Arial" w:hAnsi="Arial"/>
                <w:sz w:val="18"/>
                <w:szCs w:val="18"/>
                <w:color w:val="231F20"/>
              </w:rPr>
              <w:t>25,000</w:t>
            </w:r>
          </w:p>
        </w:tc>
        <w:tc>
          <w:tcPr>
            <w:tcW w:w="2180" w:type="dxa"/>
            <w:vAlign w:val="bottom"/>
          </w:tcPr>
          <w:p>
            <w:pPr>
              <w:ind w:left="60"/>
              <w:spacing w:after="0"/>
              <w:rPr>
                <w:sz w:val="20"/>
                <w:szCs w:val="20"/>
                <w:color w:val="auto"/>
              </w:rPr>
            </w:pPr>
            <w:r>
              <w:rPr>
                <w:rFonts w:ascii="Arial" w:cs="Arial" w:eastAsia="Arial" w:hAnsi="Arial"/>
                <w:sz w:val="18"/>
                <w:szCs w:val="18"/>
                <w:color w:val="231F20"/>
              </w:rPr>
              <w:t>Cash</w:t>
            </w:r>
          </w:p>
        </w:tc>
      </w:tr>
      <w:tr>
        <w:trPr>
          <w:trHeight w:val="340"/>
        </w:trPr>
        <w:tc>
          <w:tcPr>
            <w:tcW w:w="3760" w:type="dxa"/>
            <w:vAlign w:val="bottom"/>
          </w:tcPr>
          <w:p>
            <w:pPr>
              <w:ind w:left="40"/>
              <w:spacing w:after="0"/>
              <w:rPr>
                <w:sz w:val="20"/>
                <w:szCs w:val="20"/>
                <w:color w:val="auto"/>
              </w:rPr>
            </w:pPr>
            <w:r>
              <w:rPr>
                <w:rFonts w:ascii="Arial" w:cs="Arial" w:eastAsia="Arial" w:hAnsi="Arial"/>
                <w:sz w:val="18"/>
                <w:szCs w:val="18"/>
                <w:color w:val="231F20"/>
              </w:rPr>
              <w:t>Compensation Committee</w:t>
            </w:r>
          </w:p>
        </w:tc>
        <w:tc>
          <w:tcPr>
            <w:tcW w:w="600" w:type="dxa"/>
            <w:vAlign w:val="bottom"/>
          </w:tcPr>
          <w:p>
            <w:pPr>
              <w:ind w:left="360"/>
              <w:spacing w:after="0"/>
              <w:rPr>
                <w:sz w:val="20"/>
                <w:szCs w:val="20"/>
                <w:color w:val="auto"/>
              </w:rPr>
            </w:pPr>
            <w:r>
              <w:rPr>
                <w:rFonts w:ascii="Arial" w:cs="Arial" w:eastAsia="Arial" w:hAnsi="Arial"/>
                <w:sz w:val="18"/>
                <w:szCs w:val="18"/>
                <w:color w:val="231F20"/>
              </w:rPr>
              <w:t>$</w:t>
            </w:r>
          </w:p>
        </w:tc>
        <w:tc>
          <w:tcPr>
            <w:tcW w:w="840" w:type="dxa"/>
            <w:vAlign w:val="bottom"/>
          </w:tcPr>
          <w:p>
            <w:pPr>
              <w:jc w:val="right"/>
              <w:spacing w:after="0"/>
              <w:rPr>
                <w:sz w:val="20"/>
                <w:szCs w:val="20"/>
                <w:color w:val="auto"/>
              </w:rPr>
            </w:pPr>
            <w:r>
              <w:rPr>
                <w:rFonts w:ascii="Arial" w:cs="Arial" w:eastAsia="Arial" w:hAnsi="Arial"/>
                <w:sz w:val="18"/>
                <w:szCs w:val="18"/>
                <w:color w:val="231F20"/>
              </w:rPr>
              <w:t>15,000</w:t>
            </w:r>
          </w:p>
        </w:tc>
        <w:tc>
          <w:tcPr>
            <w:tcW w:w="2180" w:type="dxa"/>
            <w:vAlign w:val="bottom"/>
          </w:tcPr>
          <w:p>
            <w:pPr>
              <w:ind w:left="60"/>
              <w:spacing w:after="0"/>
              <w:rPr>
                <w:sz w:val="20"/>
                <w:szCs w:val="20"/>
                <w:color w:val="auto"/>
              </w:rPr>
            </w:pPr>
            <w:r>
              <w:rPr>
                <w:rFonts w:ascii="Arial" w:cs="Arial" w:eastAsia="Arial" w:hAnsi="Arial"/>
                <w:sz w:val="18"/>
                <w:szCs w:val="18"/>
                <w:color w:val="231F20"/>
              </w:rPr>
              <w:t>Cash</w:t>
            </w:r>
          </w:p>
        </w:tc>
      </w:tr>
      <w:tr>
        <w:trPr>
          <w:trHeight w:val="340"/>
        </w:trPr>
        <w:tc>
          <w:tcPr>
            <w:tcW w:w="3760" w:type="dxa"/>
            <w:vAlign w:val="bottom"/>
          </w:tcPr>
          <w:p>
            <w:pPr>
              <w:ind w:left="40"/>
              <w:spacing w:after="0"/>
              <w:rPr>
                <w:sz w:val="20"/>
                <w:szCs w:val="20"/>
                <w:color w:val="auto"/>
              </w:rPr>
            </w:pPr>
            <w:r>
              <w:rPr>
                <w:rFonts w:ascii="Arial" w:cs="Arial" w:eastAsia="Arial" w:hAnsi="Arial"/>
                <w:sz w:val="18"/>
                <w:szCs w:val="18"/>
                <w:color w:val="231F20"/>
              </w:rPr>
              <w:t>Nominating Committee</w:t>
            </w:r>
          </w:p>
        </w:tc>
        <w:tc>
          <w:tcPr>
            <w:tcW w:w="600" w:type="dxa"/>
            <w:vAlign w:val="bottom"/>
          </w:tcPr>
          <w:p>
            <w:pPr>
              <w:ind w:left="360"/>
              <w:spacing w:after="0"/>
              <w:rPr>
                <w:sz w:val="20"/>
                <w:szCs w:val="20"/>
                <w:color w:val="auto"/>
              </w:rPr>
            </w:pPr>
            <w:r>
              <w:rPr>
                <w:rFonts w:ascii="Arial" w:cs="Arial" w:eastAsia="Arial" w:hAnsi="Arial"/>
                <w:sz w:val="18"/>
                <w:szCs w:val="18"/>
                <w:color w:val="231F20"/>
              </w:rPr>
              <w:t>$</w:t>
            </w:r>
          </w:p>
        </w:tc>
        <w:tc>
          <w:tcPr>
            <w:tcW w:w="840" w:type="dxa"/>
            <w:vAlign w:val="bottom"/>
          </w:tcPr>
          <w:p>
            <w:pPr>
              <w:jc w:val="right"/>
              <w:spacing w:after="0"/>
              <w:rPr>
                <w:sz w:val="20"/>
                <w:szCs w:val="20"/>
                <w:color w:val="auto"/>
              </w:rPr>
            </w:pPr>
            <w:r>
              <w:rPr>
                <w:rFonts w:ascii="Arial" w:cs="Arial" w:eastAsia="Arial" w:hAnsi="Arial"/>
                <w:sz w:val="18"/>
                <w:szCs w:val="18"/>
                <w:color w:val="231F20"/>
              </w:rPr>
              <w:t>15,000</w:t>
            </w:r>
          </w:p>
        </w:tc>
        <w:tc>
          <w:tcPr>
            <w:tcW w:w="2180" w:type="dxa"/>
            <w:vAlign w:val="bottom"/>
          </w:tcPr>
          <w:p>
            <w:pPr>
              <w:ind w:left="60"/>
              <w:spacing w:after="0"/>
              <w:rPr>
                <w:sz w:val="20"/>
                <w:szCs w:val="20"/>
                <w:color w:val="auto"/>
              </w:rPr>
            </w:pPr>
            <w:r>
              <w:rPr>
                <w:rFonts w:ascii="Arial" w:cs="Arial" w:eastAsia="Arial" w:hAnsi="Arial"/>
                <w:sz w:val="18"/>
                <w:szCs w:val="18"/>
                <w:color w:val="231F20"/>
              </w:rPr>
              <w:t>Cash</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2489200</wp:posOffset>
                </wp:positionH>
                <wp:positionV relativeFrom="paragraph">
                  <wp:posOffset>-1727835</wp:posOffset>
                </wp:positionV>
                <wp:extent cx="0" cy="184150"/>
                <wp:wrapNone/>
                <wp:docPr id="286" name="Shape 2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4150"/>
                        </a:xfrm>
                        <a:prstGeom prst="line">
                          <a:avLst/>
                        </a:prstGeom>
                        <a:solidFill>
                          <a:srgbClr val="FFFFFF"/>
                        </a:solidFill>
                        <a:ln w="19050">
                          <a:solidFill>
                            <a:srgbClr val="FFFFFF"/>
                          </a:solidFill>
                          <a:miter lim="800000"/>
                          <a:headEnd/>
                          <a:tailEnd/>
                        </a:ln>
                      </wps:spPr>
                      <wps:bodyPr/>
                    </wps:wsp>
                  </a:graphicData>
                </a:graphic>
              </wp:anchor>
            </w:drawing>
          </mc:Choice>
          <mc:Fallback>
            <w:pict>
              <v:line id="Shape 286" o:spid="_x0000_s131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6pt,-136.0499pt" to="196pt,-121.5499pt" o:allowincell="f" strokecolor="#FFFFFF" strokeweight="1.5pt"/>
            </w:pict>
          </mc:Fallback>
        </mc:AlternateContent>
        <mc:AlternateContent>
          <mc:Choice Requires="wps">
            <w:drawing>
              <wp:anchor simplePos="0" relativeHeight="251657728" behindDoc="1" locked="0" layoutInCell="0" allowOverlap="1">
                <wp:simplePos x="0" y="0"/>
                <wp:positionH relativeFrom="column">
                  <wp:posOffset>3289300</wp:posOffset>
                </wp:positionH>
                <wp:positionV relativeFrom="paragraph">
                  <wp:posOffset>-1727835</wp:posOffset>
                </wp:positionV>
                <wp:extent cx="0" cy="184150"/>
                <wp:wrapNone/>
                <wp:docPr id="287" name="Shape 2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4150"/>
                        </a:xfrm>
                        <a:prstGeom prst="line">
                          <a:avLst/>
                        </a:prstGeom>
                        <a:solidFill>
                          <a:srgbClr val="FFFFFF"/>
                        </a:solidFill>
                        <a:ln w="19050">
                          <a:solidFill>
                            <a:srgbClr val="FFFFFF"/>
                          </a:solidFill>
                          <a:miter lim="800000"/>
                          <a:headEnd/>
                          <a:tailEnd/>
                        </a:ln>
                      </wps:spPr>
                      <wps:bodyPr/>
                    </wps:wsp>
                  </a:graphicData>
                </a:graphic>
              </wp:anchor>
            </w:drawing>
          </mc:Choice>
          <mc:Fallback>
            <w:pict>
              <v:line id="Shape 287" o:spid="_x0000_s131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9pt,-136.0499pt" to="259pt,-121.5499pt" o:allowincell="f" strokecolor="#FFFFFF" strokeweight="1.5pt"/>
            </w:pict>
          </mc:Fallback>
        </mc:AlternateContent>
      </w:r>
    </w:p>
    <w:p>
      <w:pPr>
        <w:spacing w:after="0" w:line="314" w:lineRule="exact"/>
        <w:rPr>
          <w:sz w:val="20"/>
          <w:szCs w:val="20"/>
          <w:color w:val="auto"/>
        </w:rPr>
      </w:pPr>
    </w:p>
    <w:p>
      <w:pPr>
        <w:spacing w:after="0"/>
        <w:rPr>
          <w:sz w:val="20"/>
          <w:szCs w:val="20"/>
          <w:color w:val="auto"/>
        </w:rPr>
      </w:pPr>
      <w:r>
        <w:rPr>
          <w:rFonts w:ascii="Arial" w:cs="Arial" w:eastAsia="Arial" w:hAnsi="Arial"/>
          <w:sz w:val="20"/>
          <w:szCs w:val="20"/>
          <w:color w:val="231F20"/>
        </w:rPr>
        <w:t>All amounts are prorated for any partial years of service and shares issued are fully vested on the grant date.</w:t>
      </w:r>
    </w:p>
    <w:p>
      <w:pPr>
        <w:spacing w:after="0" w:line="257"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231F20"/>
        </w:rPr>
        <w:t>Our non-management Trustees are required to maintain ownership of our shares having a value equal to at least 5 times the amount of their annual cash retainer. This requirement must be met within 5 years after joining the Board. As of December 31, 2025, all of our Trustees were in full compliance with this ownership requirement except for Mr. McEachin who joined the Board in 2022. We expect Mr. McEachin to be in compliance with this equity ownership requirement within the 5-year time frame.</w:t>
      </w: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color w:val="231F20"/>
        </w:rPr>
        <w:t>The actual compensation awarded to our Trustees for service in 2025 was as set forth in the table below.</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231F20"/>
        </w:rPr>
        <w:t>Mr. Fisher did not serve as a Trustee in 2025 and accordingly received no compensation for 2025.</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820" w:type="dxa"/>
            <w:vAlign w:val="bottom"/>
            <w:shd w:val="clear" w:color="auto" w:fill="EF3E2A"/>
          </w:tcPr>
          <w:p>
            <w:pPr>
              <w:spacing w:after="0"/>
              <w:rPr>
                <w:sz w:val="21"/>
                <w:szCs w:val="21"/>
                <w:color w:val="auto"/>
              </w:rPr>
            </w:pPr>
          </w:p>
        </w:tc>
        <w:tc>
          <w:tcPr>
            <w:tcW w:w="1320" w:type="dxa"/>
            <w:vAlign w:val="bottom"/>
            <w:shd w:val="clear" w:color="auto" w:fill="EF3E2A"/>
          </w:tcPr>
          <w:p>
            <w:pPr>
              <w:spacing w:after="0"/>
              <w:rPr>
                <w:sz w:val="21"/>
                <w:szCs w:val="21"/>
                <w:color w:val="auto"/>
              </w:rPr>
            </w:pPr>
          </w:p>
        </w:tc>
        <w:tc>
          <w:tcPr>
            <w:tcW w:w="1960" w:type="dxa"/>
            <w:vAlign w:val="bottom"/>
            <w:gridSpan w:val="2"/>
            <w:shd w:val="clear" w:color="auto" w:fill="EF3E2A"/>
          </w:tcPr>
          <w:p>
            <w:pPr>
              <w:jc w:val="right"/>
              <w:spacing w:after="0"/>
              <w:rPr>
                <w:sz w:val="20"/>
                <w:szCs w:val="20"/>
                <w:color w:val="auto"/>
              </w:rPr>
            </w:pPr>
            <w:r>
              <w:rPr>
                <w:rFonts w:ascii="Calibri" w:cs="Calibri" w:eastAsia="Calibri" w:hAnsi="Calibri"/>
                <w:sz w:val="20"/>
                <w:szCs w:val="20"/>
                <w:b w:val="1"/>
                <w:bCs w:val="1"/>
                <w:color w:val="FFFFFF"/>
              </w:rPr>
              <w:t>Annual Retainer</w:t>
            </w:r>
          </w:p>
        </w:tc>
        <w:tc>
          <w:tcPr>
            <w:tcW w:w="820" w:type="dxa"/>
            <w:vAlign w:val="bottom"/>
            <w:shd w:val="clear" w:color="auto" w:fill="EF3E2A"/>
          </w:tcPr>
          <w:p>
            <w:pPr>
              <w:spacing w:after="0"/>
              <w:rPr>
                <w:sz w:val="21"/>
                <w:szCs w:val="21"/>
                <w:color w:val="auto"/>
              </w:rPr>
            </w:pPr>
          </w:p>
        </w:tc>
        <w:tc>
          <w:tcPr>
            <w:tcW w:w="340" w:type="dxa"/>
            <w:vAlign w:val="bottom"/>
            <w:shd w:val="clear" w:color="auto" w:fill="EF3E2A"/>
          </w:tcPr>
          <w:p>
            <w:pPr>
              <w:spacing w:after="0"/>
              <w:rPr>
                <w:sz w:val="21"/>
                <w:szCs w:val="21"/>
                <w:color w:val="auto"/>
              </w:rPr>
            </w:pPr>
          </w:p>
        </w:tc>
        <w:tc>
          <w:tcPr>
            <w:tcW w:w="1140" w:type="dxa"/>
            <w:vAlign w:val="bottom"/>
            <w:shd w:val="clear" w:color="auto" w:fill="EF3E2A"/>
          </w:tcPr>
          <w:p>
            <w:pPr>
              <w:jc w:val="right"/>
              <w:spacing w:after="0"/>
              <w:rPr>
                <w:sz w:val="20"/>
                <w:szCs w:val="20"/>
                <w:color w:val="auto"/>
              </w:rPr>
            </w:pPr>
            <w:r>
              <w:rPr>
                <w:rFonts w:ascii="Calibri" w:cs="Calibri" w:eastAsia="Calibri" w:hAnsi="Calibri"/>
                <w:sz w:val="20"/>
                <w:szCs w:val="20"/>
                <w:b w:val="1"/>
                <w:bCs w:val="1"/>
                <w:color w:val="FFFFFF"/>
              </w:rPr>
              <w:t>Committee</w:t>
            </w:r>
          </w:p>
        </w:tc>
        <w:tc>
          <w:tcPr>
            <w:tcW w:w="460" w:type="dxa"/>
            <w:vAlign w:val="bottom"/>
            <w:shd w:val="clear" w:color="auto" w:fill="EF3E2A"/>
          </w:tcPr>
          <w:p>
            <w:pPr>
              <w:spacing w:after="0"/>
              <w:rPr>
                <w:sz w:val="21"/>
                <w:szCs w:val="21"/>
                <w:color w:val="auto"/>
              </w:rPr>
            </w:pPr>
          </w:p>
        </w:tc>
        <w:tc>
          <w:tcPr>
            <w:tcW w:w="1220" w:type="dxa"/>
            <w:vAlign w:val="bottom"/>
            <w:shd w:val="clear" w:color="auto" w:fill="EF3E2A"/>
          </w:tcPr>
          <w:p>
            <w:pPr>
              <w:spacing w:after="0"/>
              <w:rPr>
                <w:sz w:val="21"/>
                <w:szCs w:val="21"/>
                <w:color w:val="auto"/>
              </w:rPr>
            </w:pPr>
          </w:p>
        </w:tc>
      </w:tr>
      <w:tr>
        <w:trPr>
          <w:trHeight w:val="264"/>
        </w:trPr>
        <w:tc>
          <w:tcPr>
            <w:tcW w:w="2820" w:type="dxa"/>
            <w:vAlign w:val="bottom"/>
            <w:shd w:val="clear" w:color="auto" w:fill="EF3E2A"/>
          </w:tcPr>
          <w:p>
            <w:pPr>
              <w:ind w:left="60"/>
              <w:spacing w:after="0" w:line="220" w:lineRule="exact"/>
              <w:rPr>
                <w:sz w:val="20"/>
                <w:szCs w:val="20"/>
                <w:color w:val="auto"/>
              </w:rPr>
            </w:pPr>
            <w:r>
              <w:rPr>
                <w:rFonts w:ascii="Calibri" w:cs="Calibri" w:eastAsia="Calibri" w:hAnsi="Calibri"/>
                <w:sz w:val="20"/>
                <w:szCs w:val="20"/>
                <w:b w:val="1"/>
                <w:bCs w:val="1"/>
                <w:color w:val="FFFFFF"/>
              </w:rPr>
              <w:t>Name</w:t>
            </w:r>
          </w:p>
        </w:tc>
        <w:tc>
          <w:tcPr>
            <w:tcW w:w="1320" w:type="dxa"/>
            <w:vAlign w:val="bottom"/>
            <w:shd w:val="clear" w:color="auto" w:fill="EF3E2A"/>
          </w:tcPr>
          <w:p>
            <w:pPr>
              <w:spacing w:after="0"/>
              <w:rPr>
                <w:sz w:val="22"/>
                <w:szCs w:val="22"/>
                <w:color w:val="auto"/>
              </w:rPr>
            </w:pPr>
          </w:p>
        </w:tc>
        <w:tc>
          <w:tcPr>
            <w:tcW w:w="1240" w:type="dxa"/>
            <w:vAlign w:val="bottom"/>
            <w:shd w:val="clear" w:color="auto" w:fill="EF3E2A"/>
          </w:tcPr>
          <w:p>
            <w:pPr>
              <w:jc w:val="right"/>
              <w:spacing w:after="0" w:line="220" w:lineRule="exact"/>
              <w:rPr>
                <w:sz w:val="20"/>
                <w:szCs w:val="20"/>
                <w:color w:val="auto"/>
              </w:rPr>
            </w:pPr>
            <w:r>
              <w:rPr>
                <w:rFonts w:ascii="Calibri" w:cs="Calibri" w:eastAsia="Calibri" w:hAnsi="Calibri"/>
                <w:sz w:val="20"/>
                <w:szCs w:val="20"/>
                <w:b w:val="1"/>
                <w:bCs w:val="1"/>
                <w:color w:val="FFFFFF"/>
              </w:rPr>
              <w:t>Paid in Cash</w:t>
            </w:r>
          </w:p>
        </w:tc>
        <w:tc>
          <w:tcPr>
            <w:tcW w:w="1540" w:type="dxa"/>
            <w:vAlign w:val="bottom"/>
            <w:gridSpan w:val="2"/>
            <w:shd w:val="clear" w:color="auto" w:fill="EF3E2A"/>
          </w:tcPr>
          <w:p>
            <w:pPr>
              <w:jc w:val="right"/>
              <w:spacing w:after="0" w:line="264" w:lineRule="exact"/>
              <w:rPr>
                <w:sz w:val="20"/>
                <w:szCs w:val="20"/>
                <w:color w:val="auto"/>
              </w:rPr>
            </w:pPr>
            <w:r>
              <w:rPr>
                <w:rFonts w:ascii="Calibri" w:cs="Calibri" w:eastAsia="Calibri" w:hAnsi="Calibri"/>
                <w:sz w:val="20"/>
                <w:szCs w:val="20"/>
                <w:b w:val="1"/>
                <w:bCs w:val="1"/>
                <w:color w:val="FFFFFF"/>
              </w:rPr>
              <w:t>Paid in Shares</w:t>
            </w:r>
            <w:r>
              <w:rPr>
                <w:rFonts w:ascii="Calibri" w:cs="Calibri" w:eastAsia="Calibri" w:hAnsi="Calibri"/>
                <w:sz w:val="26"/>
                <w:szCs w:val="26"/>
                <w:b w:val="1"/>
                <w:bCs w:val="1"/>
                <w:color w:val="FFFFFF"/>
                <w:vertAlign w:val="superscript"/>
              </w:rPr>
              <w:t>(1)</w:t>
            </w:r>
          </w:p>
        </w:tc>
        <w:tc>
          <w:tcPr>
            <w:tcW w:w="340" w:type="dxa"/>
            <w:vAlign w:val="bottom"/>
            <w:shd w:val="clear" w:color="auto" w:fill="EF3E2A"/>
          </w:tcPr>
          <w:p>
            <w:pPr>
              <w:spacing w:after="0"/>
              <w:rPr>
                <w:sz w:val="22"/>
                <w:szCs w:val="22"/>
                <w:color w:val="auto"/>
              </w:rPr>
            </w:pPr>
          </w:p>
        </w:tc>
        <w:tc>
          <w:tcPr>
            <w:tcW w:w="1140" w:type="dxa"/>
            <w:vAlign w:val="bottom"/>
            <w:shd w:val="clear" w:color="auto" w:fill="EF3E2A"/>
          </w:tcPr>
          <w:p>
            <w:pPr>
              <w:jc w:val="right"/>
              <w:spacing w:after="0" w:line="220" w:lineRule="exact"/>
              <w:rPr>
                <w:sz w:val="20"/>
                <w:szCs w:val="20"/>
                <w:color w:val="auto"/>
              </w:rPr>
            </w:pPr>
            <w:r>
              <w:rPr>
                <w:rFonts w:ascii="Calibri" w:cs="Calibri" w:eastAsia="Calibri" w:hAnsi="Calibri"/>
                <w:sz w:val="20"/>
                <w:szCs w:val="20"/>
                <w:b w:val="1"/>
                <w:bCs w:val="1"/>
                <w:color w:val="FFFFFF"/>
              </w:rPr>
              <w:t>Chair Fees</w:t>
            </w:r>
          </w:p>
        </w:tc>
        <w:tc>
          <w:tcPr>
            <w:tcW w:w="460" w:type="dxa"/>
            <w:vAlign w:val="bottom"/>
            <w:shd w:val="clear" w:color="auto" w:fill="EF3E2A"/>
          </w:tcPr>
          <w:p>
            <w:pPr>
              <w:spacing w:after="0"/>
              <w:rPr>
                <w:sz w:val="22"/>
                <w:szCs w:val="22"/>
                <w:color w:val="auto"/>
              </w:rPr>
            </w:pPr>
          </w:p>
        </w:tc>
        <w:tc>
          <w:tcPr>
            <w:tcW w:w="1220" w:type="dxa"/>
            <w:vAlign w:val="bottom"/>
            <w:shd w:val="clear" w:color="auto" w:fill="EF3E2A"/>
          </w:tcPr>
          <w:p>
            <w:pPr>
              <w:jc w:val="right"/>
              <w:spacing w:after="0" w:line="220" w:lineRule="exact"/>
              <w:rPr>
                <w:sz w:val="20"/>
                <w:szCs w:val="20"/>
                <w:color w:val="auto"/>
              </w:rPr>
            </w:pPr>
            <w:r>
              <w:rPr>
                <w:rFonts w:ascii="Calibri" w:cs="Calibri" w:eastAsia="Calibri" w:hAnsi="Calibri"/>
                <w:sz w:val="20"/>
                <w:szCs w:val="20"/>
                <w:b w:val="1"/>
                <w:bCs w:val="1"/>
                <w:color w:val="FFFFFF"/>
              </w:rPr>
              <w:t>Total</w:t>
            </w:r>
          </w:p>
        </w:tc>
      </w:tr>
      <w:tr>
        <w:trPr>
          <w:trHeight w:val="278"/>
        </w:trPr>
        <w:tc>
          <w:tcPr>
            <w:tcW w:w="2820" w:type="dxa"/>
            <w:vAlign w:val="bottom"/>
          </w:tcPr>
          <w:p>
            <w:pPr>
              <w:ind w:left="60"/>
              <w:spacing w:after="0"/>
              <w:rPr>
                <w:sz w:val="20"/>
                <w:szCs w:val="20"/>
                <w:color w:val="auto"/>
              </w:rPr>
            </w:pPr>
            <w:r>
              <w:rPr>
                <w:rFonts w:ascii="Calibri" w:cs="Calibri" w:eastAsia="Calibri" w:hAnsi="Calibri"/>
                <w:sz w:val="20"/>
                <w:szCs w:val="20"/>
                <w:color w:val="231F20"/>
              </w:rPr>
              <w:t>David W. Faeder</w:t>
            </w:r>
          </w:p>
        </w:tc>
        <w:tc>
          <w:tcPr>
            <w:tcW w:w="1320" w:type="dxa"/>
            <w:vAlign w:val="bottom"/>
          </w:tcPr>
          <w:p>
            <w:pPr>
              <w:jc w:val="right"/>
              <w:ind w:right="60"/>
              <w:spacing w:after="0"/>
              <w:rPr>
                <w:sz w:val="20"/>
                <w:szCs w:val="20"/>
                <w:color w:val="auto"/>
              </w:rPr>
            </w:pPr>
            <w:r>
              <w:rPr>
                <w:rFonts w:ascii="Calibri" w:cs="Calibri" w:eastAsia="Calibri" w:hAnsi="Calibri"/>
                <w:sz w:val="20"/>
                <w:szCs w:val="20"/>
                <w:color w:val="231F20"/>
              </w:rPr>
              <w:t>$</w:t>
            </w:r>
          </w:p>
        </w:tc>
        <w:tc>
          <w:tcPr>
            <w:tcW w:w="1240" w:type="dxa"/>
            <w:vAlign w:val="bottom"/>
          </w:tcPr>
          <w:p>
            <w:pPr>
              <w:jc w:val="right"/>
              <w:ind w:right="40"/>
              <w:spacing w:after="0"/>
              <w:rPr>
                <w:sz w:val="20"/>
                <w:szCs w:val="20"/>
                <w:color w:val="auto"/>
              </w:rPr>
            </w:pPr>
            <w:r>
              <w:rPr>
                <w:rFonts w:ascii="Calibri" w:cs="Calibri" w:eastAsia="Calibri" w:hAnsi="Calibri"/>
                <w:sz w:val="20"/>
                <w:szCs w:val="20"/>
                <w:color w:val="231F20"/>
              </w:rPr>
              <w:t>165,000</w:t>
            </w:r>
          </w:p>
        </w:tc>
        <w:tc>
          <w:tcPr>
            <w:tcW w:w="720" w:type="dxa"/>
            <w:vAlign w:val="bottom"/>
          </w:tcPr>
          <w:p>
            <w:pPr>
              <w:jc w:val="right"/>
              <w:ind w:right="460"/>
              <w:spacing w:after="0"/>
              <w:rPr>
                <w:sz w:val="20"/>
                <w:szCs w:val="20"/>
                <w:color w:val="auto"/>
              </w:rPr>
            </w:pPr>
            <w:r>
              <w:rPr>
                <w:rFonts w:ascii="Calibri" w:cs="Calibri" w:eastAsia="Calibri" w:hAnsi="Calibri"/>
                <w:sz w:val="20"/>
                <w:szCs w:val="20"/>
                <w:color w:val="231F20"/>
              </w:rPr>
              <w:t>$</w:t>
            </w:r>
          </w:p>
        </w:tc>
        <w:tc>
          <w:tcPr>
            <w:tcW w:w="820" w:type="dxa"/>
            <w:vAlign w:val="bottom"/>
          </w:tcPr>
          <w:p>
            <w:pPr>
              <w:jc w:val="right"/>
              <w:ind w:right="20"/>
              <w:spacing w:after="0"/>
              <w:rPr>
                <w:sz w:val="20"/>
                <w:szCs w:val="20"/>
                <w:color w:val="auto"/>
              </w:rPr>
            </w:pPr>
            <w:r>
              <w:rPr>
                <w:rFonts w:ascii="Calibri" w:cs="Calibri" w:eastAsia="Calibri" w:hAnsi="Calibri"/>
                <w:sz w:val="20"/>
                <w:szCs w:val="20"/>
                <w:color w:val="231F20"/>
              </w:rPr>
              <w:t>110,000</w:t>
            </w:r>
          </w:p>
        </w:tc>
        <w:tc>
          <w:tcPr>
            <w:tcW w:w="340" w:type="dxa"/>
            <w:vAlign w:val="bottom"/>
          </w:tcPr>
          <w:p>
            <w:pPr>
              <w:jc w:val="right"/>
              <w:ind w:right="60"/>
              <w:spacing w:after="0"/>
              <w:rPr>
                <w:sz w:val="20"/>
                <w:szCs w:val="20"/>
                <w:color w:val="auto"/>
              </w:rPr>
            </w:pPr>
            <w:r>
              <w:rPr>
                <w:rFonts w:ascii="Calibri" w:cs="Calibri" w:eastAsia="Calibri" w:hAnsi="Calibri"/>
                <w:sz w:val="20"/>
                <w:szCs w:val="20"/>
                <w:color w:val="231F20"/>
              </w:rPr>
              <w:t>$</w:t>
            </w:r>
          </w:p>
        </w:tc>
        <w:tc>
          <w:tcPr>
            <w:tcW w:w="1140" w:type="dxa"/>
            <w:vAlign w:val="bottom"/>
          </w:tcPr>
          <w:p>
            <w:pPr>
              <w:jc w:val="right"/>
              <w:ind w:right="40"/>
              <w:spacing w:after="0"/>
              <w:rPr>
                <w:sz w:val="20"/>
                <w:szCs w:val="20"/>
                <w:color w:val="auto"/>
              </w:rPr>
            </w:pPr>
            <w:r>
              <w:rPr>
                <w:rFonts w:ascii="Calibri" w:cs="Calibri" w:eastAsia="Calibri" w:hAnsi="Calibri"/>
                <w:sz w:val="20"/>
                <w:szCs w:val="20"/>
                <w:color w:val="231F20"/>
              </w:rPr>
              <w:t>-</w:t>
            </w:r>
          </w:p>
        </w:tc>
        <w:tc>
          <w:tcPr>
            <w:tcW w:w="460" w:type="dxa"/>
            <w:vAlign w:val="bottom"/>
          </w:tcPr>
          <w:p>
            <w:pPr>
              <w:jc w:val="right"/>
              <w:ind w:right="200"/>
              <w:spacing w:after="0"/>
              <w:rPr>
                <w:sz w:val="20"/>
                <w:szCs w:val="20"/>
                <w:color w:val="auto"/>
              </w:rPr>
            </w:pPr>
            <w:r>
              <w:rPr>
                <w:rFonts w:ascii="Calibri" w:cs="Calibri" w:eastAsia="Calibri" w:hAnsi="Calibri"/>
                <w:sz w:val="20"/>
                <w:szCs w:val="20"/>
                <w:color w:val="231F20"/>
              </w:rPr>
              <w:t>$</w:t>
            </w:r>
          </w:p>
        </w:tc>
        <w:tc>
          <w:tcPr>
            <w:tcW w:w="1220" w:type="dxa"/>
            <w:vAlign w:val="bottom"/>
          </w:tcPr>
          <w:p>
            <w:pPr>
              <w:jc w:val="right"/>
              <w:spacing w:after="0"/>
              <w:rPr>
                <w:sz w:val="20"/>
                <w:szCs w:val="20"/>
                <w:color w:val="auto"/>
              </w:rPr>
            </w:pPr>
            <w:r>
              <w:rPr>
                <w:rFonts w:ascii="Calibri" w:cs="Calibri" w:eastAsia="Calibri" w:hAnsi="Calibri"/>
                <w:sz w:val="20"/>
                <w:szCs w:val="20"/>
                <w:color w:val="231F20"/>
              </w:rPr>
              <w:t>275,000</w:t>
            </w:r>
          </w:p>
        </w:tc>
      </w:tr>
      <w:tr>
        <w:trPr>
          <w:trHeight w:val="320"/>
        </w:trPr>
        <w:tc>
          <w:tcPr>
            <w:tcW w:w="2820" w:type="dxa"/>
            <w:vAlign w:val="bottom"/>
          </w:tcPr>
          <w:p>
            <w:pPr>
              <w:ind w:left="60"/>
              <w:spacing w:after="0"/>
              <w:rPr>
                <w:sz w:val="20"/>
                <w:szCs w:val="20"/>
                <w:color w:val="auto"/>
              </w:rPr>
            </w:pPr>
            <w:r>
              <w:rPr>
                <w:rFonts w:ascii="Calibri" w:cs="Calibri" w:eastAsia="Calibri" w:hAnsi="Calibri"/>
                <w:sz w:val="20"/>
                <w:szCs w:val="20"/>
                <w:color w:val="231F20"/>
              </w:rPr>
              <w:t>Elizabeth I. Holland</w:t>
            </w:r>
          </w:p>
        </w:tc>
        <w:tc>
          <w:tcPr>
            <w:tcW w:w="1320" w:type="dxa"/>
            <w:vAlign w:val="bottom"/>
          </w:tcPr>
          <w:p>
            <w:pPr>
              <w:jc w:val="right"/>
              <w:ind w:right="60"/>
              <w:spacing w:after="0"/>
              <w:rPr>
                <w:sz w:val="20"/>
                <w:szCs w:val="20"/>
                <w:color w:val="auto"/>
              </w:rPr>
            </w:pPr>
            <w:r>
              <w:rPr>
                <w:rFonts w:ascii="Calibri" w:cs="Calibri" w:eastAsia="Calibri" w:hAnsi="Calibri"/>
                <w:sz w:val="20"/>
                <w:szCs w:val="20"/>
                <w:color w:val="231F20"/>
              </w:rPr>
              <w:t>$</w:t>
            </w:r>
          </w:p>
        </w:tc>
        <w:tc>
          <w:tcPr>
            <w:tcW w:w="1240" w:type="dxa"/>
            <w:vAlign w:val="bottom"/>
          </w:tcPr>
          <w:p>
            <w:pPr>
              <w:jc w:val="right"/>
              <w:ind w:right="40"/>
              <w:spacing w:after="0"/>
              <w:rPr>
                <w:sz w:val="20"/>
                <w:szCs w:val="20"/>
                <w:color w:val="auto"/>
              </w:rPr>
            </w:pPr>
            <w:r>
              <w:rPr>
                <w:rFonts w:ascii="Calibri" w:cs="Calibri" w:eastAsia="Calibri" w:hAnsi="Calibri"/>
                <w:sz w:val="20"/>
                <w:szCs w:val="20"/>
                <w:color w:val="231F20"/>
              </w:rPr>
              <w:t>90,000</w:t>
            </w:r>
          </w:p>
        </w:tc>
        <w:tc>
          <w:tcPr>
            <w:tcW w:w="720" w:type="dxa"/>
            <w:vAlign w:val="bottom"/>
          </w:tcPr>
          <w:p>
            <w:pPr>
              <w:jc w:val="right"/>
              <w:ind w:right="460"/>
              <w:spacing w:after="0"/>
              <w:rPr>
                <w:sz w:val="20"/>
                <w:szCs w:val="20"/>
                <w:color w:val="auto"/>
              </w:rPr>
            </w:pPr>
            <w:r>
              <w:rPr>
                <w:rFonts w:ascii="Calibri" w:cs="Calibri" w:eastAsia="Calibri" w:hAnsi="Calibri"/>
                <w:sz w:val="20"/>
                <w:szCs w:val="20"/>
                <w:color w:val="231F20"/>
              </w:rPr>
              <w:t>$</w:t>
            </w:r>
          </w:p>
        </w:tc>
        <w:tc>
          <w:tcPr>
            <w:tcW w:w="820" w:type="dxa"/>
            <w:vAlign w:val="bottom"/>
          </w:tcPr>
          <w:p>
            <w:pPr>
              <w:jc w:val="right"/>
              <w:ind w:right="20"/>
              <w:spacing w:after="0"/>
              <w:rPr>
                <w:sz w:val="20"/>
                <w:szCs w:val="20"/>
                <w:color w:val="auto"/>
              </w:rPr>
            </w:pPr>
            <w:r>
              <w:rPr>
                <w:rFonts w:ascii="Calibri" w:cs="Calibri" w:eastAsia="Calibri" w:hAnsi="Calibri"/>
                <w:sz w:val="20"/>
                <w:szCs w:val="20"/>
                <w:color w:val="231F20"/>
              </w:rPr>
              <w:t>135,000</w:t>
            </w:r>
          </w:p>
        </w:tc>
        <w:tc>
          <w:tcPr>
            <w:tcW w:w="340" w:type="dxa"/>
            <w:vAlign w:val="bottom"/>
          </w:tcPr>
          <w:p>
            <w:pPr>
              <w:jc w:val="right"/>
              <w:ind w:right="60"/>
              <w:spacing w:after="0"/>
              <w:rPr>
                <w:sz w:val="20"/>
                <w:szCs w:val="20"/>
                <w:color w:val="auto"/>
              </w:rPr>
            </w:pPr>
            <w:r>
              <w:rPr>
                <w:rFonts w:ascii="Calibri" w:cs="Calibri" w:eastAsia="Calibri" w:hAnsi="Calibri"/>
                <w:sz w:val="20"/>
                <w:szCs w:val="20"/>
                <w:color w:val="231F20"/>
              </w:rPr>
              <w:t>$</w:t>
            </w:r>
          </w:p>
        </w:tc>
        <w:tc>
          <w:tcPr>
            <w:tcW w:w="1140" w:type="dxa"/>
            <w:vAlign w:val="bottom"/>
          </w:tcPr>
          <w:p>
            <w:pPr>
              <w:jc w:val="right"/>
              <w:ind w:right="40"/>
              <w:spacing w:after="0"/>
              <w:rPr>
                <w:sz w:val="20"/>
                <w:szCs w:val="20"/>
                <w:color w:val="auto"/>
              </w:rPr>
            </w:pPr>
            <w:r>
              <w:rPr>
                <w:rFonts w:ascii="Calibri" w:cs="Calibri" w:eastAsia="Calibri" w:hAnsi="Calibri"/>
                <w:sz w:val="20"/>
                <w:szCs w:val="20"/>
                <w:color w:val="231F20"/>
              </w:rPr>
              <w:t>15,000</w:t>
            </w:r>
          </w:p>
        </w:tc>
        <w:tc>
          <w:tcPr>
            <w:tcW w:w="460" w:type="dxa"/>
            <w:vAlign w:val="bottom"/>
          </w:tcPr>
          <w:p>
            <w:pPr>
              <w:jc w:val="right"/>
              <w:ind w:right="200"/>
              <w:spacing w:after="0"/>
              <w:rPr>
                <w:sz w:val="20"/>
                <w:szCs w:val="20"/>
                <w:color w:val="auto"/>
              </w:rPr>
            </w:pPr>
            <w:r>
              <w:rPr>
                <w:rFonts w:ascii="Calibri" w:cs="Calibri" w:eastAsia="Calibri" w:hAnsi="Calibri"/>
                <w:sz w:val="20"/>
                <w:szCs w:val="20"/>
                <w:color w:val="231F20"/>
              </w:rPr>
              <w:t>$</w:t>
            </w:r>
          </w:p>
        </w:tc>
        <w:tc>
          <w:tcPr>
            <w:tcW w:w="1220" w:type="dxa"/>
            <w:vAlign w:val="bottom"/>
          </w:tcPr>
          <w:p>
            <w:pPr>
              <w:jc w:val="right"/>
              <w:spacing w:after="0"/>
              <w:rPr>
                <w:sz w:val="20"/>
                <w:szCs w:val="20"/>
                <w:color w:val="auto"/>
              </w:rPr>
            </w:pPr>
            <w:r>
              <w:rPr>
                <w:rFonts w:ascii="Calibri" w:cs="Calibri" w:eastAsia="Calibri" w:hAnsi="Calibri"/>
                <w:sz w:val="20"/>
                <w:szCs w:val="20"/>
                <w:color w:val="231F20"/>
              </w:rPr>
              <w:t>240,000</w:t>
            </w:r>
          </w:p>
        </w:tc>
      </w:tr>
      <w:tr>
        <w:trPr>
          <w:trHeight w:val="320"/>
        </w:trPr>
        <w:tc>
          <w:tcPr>
            <w:tcW w:w="2820" w:type="dxa"/>
            <w:vAlign w:val="bottom"/>
          </w:tcPr>
          <w:p>
            <w:pPr>
              <w:ind w:left="60"/>
              <w:spacing w:after="0"/>
              <w:rPr>
                <w:sz w:val="20"/>
                <w:szCs w:val="20"/>
                <w:color w:val="auto"/>
              </w:rPr>
            </w:pPr>
            <w:r>
              <w:rPr>
                <w:rFonts w:ascii="Calibri" w:cs="Calibri" w:eastAsia="Calibri" w:hAnsi="Calibri"/>
                <w:sz w:val="20"/>
                <w:szCs w:val="20"/>
                <w:color w:val="231F20"/>
              </w:rPr>
              <w:t>Nicole Y. Lamb-Hale</w:t>
            </w:r>
          </w:p>
        </w:tc>
        <w:tc>
          <w:tcPr>
            <w:tcW w:w="1320" w:type="dxa"/>
            <w:vAlign w:val="bottom"/>
          </w:tcPr>
          <w:p>
            <w:pPr>
              <w:jc w:val="right"/>
              <w:ind w:right="60"/>
              <w:spacing w:after="0"/>
              <w:rPr>
                <w:sz w:val="20"/>
                <w:szCs w:val="20"/>
                <w:color w:val="auto"/>
              </w:rPr>
            </w:pPr>
            <w:r>
              <w:rPr>
                <w:rFonts w:ascii="Calibri" w:cs="Calibri" w:eastAsia="Calibri" w:hAnsi="Calibri"/>
                <w:sz w:val="20"/>
                <w:szCs w:val="20"/>
                <w:color w:val="231F20"/>
              </w:rPr>
              <w:t>$</w:t>
            </w:r>
          </w:p>
        </w:tc>
        <w:tc>
          <w:tcPr>
            <w:tcW w:w="1240" w:type="dxa"/>
            <w:vAlign w:val="bottom"/>
          </w:tcPr>
          <w:p>
            <w:pPr>
              <w:jc w:val="right"/>
              <w:ind w:right="40"/>
              <w:spacing w:after="0"/>
              <w:rPr>
                <w:sz w:val="20"/>
                <w:szCs w:val="20"/>
                <w:color w:val="auto"/>
              </w:rPr>
            </w:pPr>
            <w:r>
              <w:rPr>
                <w:rFonts w:ascii="Calibri" w:cs="Calibri" w:eastAsia="Calibri" w:hAnsi="Calibri"/>
                <w:sz w:val="20"/>
                <w:szCs w:val="20"/>
                <w:color w:val="231F20"/>
              </w:rPr>
              <w:t>90,000</w:t>
            </w:r>
          </w:p>
        </w:tc>
        <w:tc>
          <w:tcPr>
            <w:tcW w:w="720" w:type="dxa"/>
            <w:vAlign w:val="bottom"/>
          </w:tcPr>
          <w:p>
            <w:pPr>
              <w:jc w:val="right"/>
              <w:ind w:right="460"/>
              <w:spacing w:after="0"/>
              <w:rPr>
                <w:sz w:val="20"/>
                <w:szCs w:val="20"/>
                <w:color w:val="auto"/>
              </w:rPr>
            </w:pPr>
            <w:r>
              <w:rPr>
                <w:rFonts w:ascii="Calibri" w:cs="Calibri" w:eastAsia="Calibri" w:hAnsi="Calibri"/>
                <w:sz w:val="20"/>
                <w:szCs w:val="20"/>
                <w:color w:val="231F20"/>
              </w:rPr>
              <w:t>$</w:t>
            </w:r>
          </w:p>
        </w:tc>
        <w:tc>
          <w:tcPr>
            <w:tcW w:w="820" w:type="dxa"/>
            <w:vAlign w:val="bottom"/>
          </w:tcPr>
          <w:p>
            <w:pPr>
              <w:jc w:val="right"/>
              <w:ind w:right="20"/>
              <w:spacing w:after="0"/>
              <w:rPr>
                <w:sz w:val="20"/>
                <w:szCs w:val="20"/>
                <w:color w:val="auto"/>
              </w:rPr>
            </w:pPr>
            <w:r>
              <w:rPr>
                <w:rFonts w:ascii="Calibri" w:cs="Calibri" w:eastAsia="Calibri" w:hAnsi="Calibri"/>
                <w:sz w:val="20"/>
                <w:szCs w:val="20"/>
                <w:color w:val="231F20"/>
              </w:rPr>
              <w:t>135,000</w:t>
            </w:r>
          </w:p>
        </w:tc>
        <w:tc>
          <w:tcPr>
            <w:tcW w:w="340" w:type="dxa"/>
            <w:vAlign w:val="bottom"/>
          </w:tcPr>
          <w:p>
            <w:pPr>
              <w:jc w:val="right"/>
              <w:ind w:right="60"/>
              <w:spacing w:after="0"/>
              <w:rPr>
                <w:sz w:val="20"/>
                <w:szCs w:val="20"/>
                <w:color w:val="auto"/>
              </w:rPr>
            </w:pPr>
            <w:r>
              <w:rPr>
                <w:rFonts w:ascii="Calibri" w:cs="Calibri" w:eastAsia="Calibri" w:hAnsi="Calibri"/>
                <w:sz w:val="20"/>
                <w:szCs w:val="20"/>
                <w:color w:val="231F20"/>
              </w:rPr>
              <w:t>$</w:t>
            </w:r>
          </w:p>
        </w:tc>
        <w:tc>
          <w:tcPr>
            <w:tcW w:w="1140" w:type="dxa"/>
            <w:vAlign w:val="bottom"/>
          </w:tcPr>
          <w:p>
            <w:pPr>
              <w:jc w:val="right"/>
              <w:ind w:right="40"/>
              <w:spacing w:after="0"/>
              <w:rPr>
                <w:sz w:val="20"/>
                <w:szCs w:val="20"/>
                <w:color w:val="auto"/>
              </w:rPr>
            </w:pPr>
            <w:r>
              <w:rPr>
                <w:rFonts w:ascii="Calibri" w:cs="Calibri" w:eastAsia="Calibri" w:hAnsi="Calibri"/>
                <w:sz w:val="20"/>
                <w:szCs w:val="20"/>
                <w:color w:val="231F20"/>
              </w:rPr>
              <w:t>-</w:t>
            </w:r>
          </w:p>
        </w:tc>
        <w:tc>
          <w:tcPr>
            <w:tcW w:w="460" w:type="dxa"/>
            <w:vAlign w:val="bottom"/>
          </w:tcPr>
          <w:p>
            <w:pPr>
              <w:jc w:val="right"/>
              <w:ind w:right="200"/>
              <w:spacing w:after="0"/>
              <w:rPr>
                <w:sz w:val="20"/>
                <w:szCs w:val="20"/>
                <w:color w:val="auto"/>
              </w:rPr>
            </w:pPr>
            <w:r>
              <w:rPr>
                <w:rFonts w:ascii="Calibri" w:cs="Calibri" w:eastAsia="Calibri" w:hAnsi="Calibri"/>
                <w:sz w:val="20"/>
                <w:szCs w:val="20"/>
                <w:color w:val="231F20"/>
              </w:rPr>
              <w:t>$</w:t>
            </w:r>
          </w:p>
        </w:tc>
        <w:tc>
          <w:tcPr>
            <w:tcW w:w="1220" w:type="dxa"/>
            <w:vAlign w:val="bottom"/>
          </w:tcPr>
          <w:p>
            <w:pPr>
              <w:jc w:val="right"/>
              <w:spacing w:after="0"/>
              <w:rPr>
                <w:sz w:val="20"/>
                <w:szCs w:val="20"/>
                <w:color w:val="auto"/>
              </w:rPr>
            </w:pPr>
            <w:r>
              <w:rPr>
                <w:rFonts w:ascii="Calibri" w:cs="Calibri" w:eastAsia="Calibri" w:hAnsi="Calibri"/>
                <w:sz w:val="20"/>
                <w:szCs w:val="20"/>
                <w:color w:val="231F20"/>
              </w:rPr>
              <w:t>225,000</w:t>
            </w:r>
          </w:p>
        </w:tc>
      </w:tr>
      <w:tr>
        <w:trPr>
          <w:trHeight w:val="320"/>
        </w:trPr>
        <w:tc>
          <w:tcPr>
            <w:tcW w:w="2820" w:type="dxa"/>
            <w:vAlign w:val="bottom"/>
          </w:tcPr>
          <w:p>
            <w:pPr>
              <w:ind w:left="60"/>
              <w:spacing w:after="0"/>
              <w:rPr>
                <w:sz w:val="20"/>
                <w:szCs w:val="20"/>
                <w:color w:val="auto"/>
              </w:rPr>
            </w:pPr>
            <w:r>
              <w:rPr>
                <w:rFonts w:ascii="Calibri" w:cs="Calibri" w:eastAsia="Calibri" w:hAnsi="Calibri"/>
                <w:sz w:val="20"/>
                <w:szCs w:val="20"/>
                <w:color w:val="231F20"/>
              </w:rPr>
              <w:t>Thomas A. McEachin</w:t>
            </w:r>
          </w:p>
        </w:tc>
        <w:tc>
          <w:tcPr>
            <w:tcW w:w="1320" w:type="dxa"/>
            <w:vAlign w:val="bottom"/>
          </w:tcPr>
          <w:p>
            <w:pPr>
              <w:jc w:val="right"/>
              <w:ind w:right="60"/>
              <w:spacing w:after="0"/>
              <w:rPr>
                <w:sz w:val="20"/>
                <w:szCs w:val="20"/>
                <w:color w:val="auto"/>
              </w:rPr>
            </w:pPr>
            <w:r>
              <w:rPr>
                <w:rFonts w:ascii="Calibri" w:cs="Calibri" w:eastAsia="Calibri" w:hAnsi="Calibri"/>
                <w:sz w:val="20"/>
                <w:szCs w:val="20"/>
                <w:color w:val="231F20"/>
              </w:rPr>
              <w:t>$</w:t>
            </w:r>
          </w:p>
        </w:tc>
        <w:tc>
          <w:tcPr>
            <w:tcW w:w="1240" w:type="dxa"/>
            <w:vAlign w:val="bottom"/>
          </w:tcPr>
          <w:p>
            <w:pPr>
              <w:jc w:val="right"/>
              <w:ind w:right="40"/>
              <w:spacing w:after="0"/>
              <w:rPr>
                <w:sz w:val="20"/>
                <w:szCs w:val="20"/>
                <w:color w:val="auto"/>
              </w:rPr>
            </w:pPr>
            <w:r>
              <w:rPr>
                <w:rFonts w:ascii="Calibri" w:cs="Calibri" w:eastAsia="Calibri" w:hAnsi="Calibri"/>
                <w:sz w:val="20"/>
                <w:szCs w:val="20"/>
                <w:color w:val="231F20"/>
              </w:rPr>
              <w:t>90,000</w:t>
            </w:r>
          </w:p>
        </w:tc>
        <w:tc>
          <w:tcPr>
            <w:tcW w:w="720" w:type="dxa"/>
            <w:vAlign w:val="bottom"/>
          </w:tcPr>
          <w:p>
            <w:pPr>
              <w:jc w:val="right"/>
              <w:ind w:right="460"/>
              <w:spacing w:after="0"/>
              <w:rPr>
                <w:sz w:val="20"/>
                <w:szCs w:val="20"/>
                <w:color w:val="auto"/>
              </w:rPr>
            </w:pPr>
            <w:r>
              <w:rPr>
                <w:rFonts w:ascii="Calibri" w:cs="Calibri" w:eastAsia="Calibri" w:hAnsi="Calibri"/>
                <w:sz w:val="20"/>
                <w:szCs w:val="20"/>
                <w:color w:val="231F20"/>
              </w:rPr>
              <w:t>$</w:t>
            </w:r>
          </w:p>
        </w:tc>
        <w:tc>
          <w:tcPr>
            <w:tcW w:w="820" w:type="dxa"/>
            <w:vAlign w:val="bottom"/>
          </w:tcPr>
          <w:p>
            <w:pPr>
              <w:jc w:val="right"/>
              <w:ind w:right="20"/>
              <w:spacing w:after="0"/>
              <w:rPr>
                <w:sz w:val="20"/>
                <w:szCs w:val="20"/>
                <w:color w:val="auto"/>
              </w:rPr>
            </w:pPr>
            <w:r>
              <w:rPr>
                <w:rFonts w:ascii="Calibri" w:cs="Calibri" w:eastAsia="Calibri" w:hAnsi="Calibri"/>
                <w:sz w:val="20"/>
                <w:szCs w:val="20"/>
                <w:color w:val="231F20"/>
              </w:rPr>
              <w:t>135,000</w:t>
            </w:r>
          </w:p>
        </w:tc>
        <w:tc>
          <w:tcPr>
            <w:tcW w:w="340" w:type="dxa"/>
            <w:vAlign w:val="bottom"/>
          </w:tcPr>
          <w:p>
            <w:pPr>
              <w:jc w:val="right"/>
              <w:ind w:right="60"/>
              <w:spacing w:after="0"/>
              <w:rPr>
                <w:sz w:val="20"/>
                <w:szCs w:val="20"/>
                <w:color w:val="auto"/>
              </w:rPr>
            </w:pPr>
            <w:r>
              <w:rPr>
                <w:rFonts w:ascii="Calibri" w:cs="Calibri" w:eastAsia="Calibri" w:hAnsi="Calibri"/>
                <w:sz w:val="20"/>
                <w:szCs w:val="20"/>
                <w:color w:val="231F20"/>
              </w:rPr>
              <w:t>$</w:t>
            </w:r>
          </w:p>
        </w:tc>
        <w:tc>
          <w:tcPr>
            <w:tcW w:w="1140" w:type="dxa"/>
            <w:vAlign w:val="bottom"/>
          </w:tcPr>
          <w:p>
            <w:pPr>
              <w:jc w:val="right"/>
              <w:ind w:right="40"/>
              <w:spacing w:after="0"/>
              <w:rPr>
                <w:sz w:val="20"/>
                <w:szCs w:val="20"/>
                <w:color w:val="auto"/>
              </w:rPr>
            </w:pPr>
            <w:r>
              <w:rPr>
                <w:rFonts w:ascii="Calibri" w:cs="Calibri" w:eastAsia="Calibri" w:hAnsi="Calibri"/>
                <w:sz w:val="20"/>
                <w:szCs w:val="20"/>
                <w:color w:val="231F20"/>
              </w:rPr>
              <w:t>-</w:t>
            </w:r>
          </w:p>
        </w:tc>
        <w:tc>
          <w:tcPr>
            <w:tcW w:w="460" w:type="dxa"/>
            <w:vAlign w:val="bottom"/>
          </w:tcPr>
          <w:p>
            <w:pPr>
              <w:jc w:val="right"/>
              <w:ind w:right="200"/>
              <w:spacing w:after="0"/>
              <w:rPr>
                <w:sz w:val="20"/>
                <w:szCs w:val="20"/>
                <w:color w:val="auto"/>
              </w:rPr>
            </w:pPr>
            <w:r>
              <w:rPr>
                <w:rFonts w:ascii="Calibri" w:cs="Calibri" w:eastAsia="Calibri" w:hAnsi="Calibri"/>
                <w:sz w:val="20"/>
                <w:szCs w:val="20"/>
                <w:color w:val="231F20"/>
              </w:rPr>
              <w:t>$</w:t>
            </w:r>
          </w:p>
        </w:tc>
        <w:tc>
          <w:tcPr>
            <w:tcW w:w="1220" w:type="dxa"/>
            <w:vAlign w:val="bottom"/>
          </w:tcPr>
          <w:p>
            <w:pPr>
              <w:jc w:val="right"/>
              <w:spacing w:after="0"/>
              <w:rPr>
                <w:sz w:val="20"/>
                <w:szCs w:val="20"/>
                <w:color w:val="auto"/>
              </w:rPr>
            </w:pPr>
            <w:r>
              <w:rPr>
                <w:rFonts w:ascii="Calibri" w:cs="Calibri" w:eastAsia="Calibri" w:hAnsi="Calibri"/>
                <w:sz w:val="20"/>
                <w:szCs w:val="20"/>
                <w:color w:val="231F20"/>
              </w:rPr>
              <w:t>225,000</w:t>
            </w:r>
          </w:p>
        </w:tc>
      </w:tr>
      <w:tr>
        <w:trPr>
          <w:trHeight w:val="320"/>
        </w:trPr>
        <w:tc>
          <w:tcPr>
            <w:tcW w:w="2820" w:type="dxa"/>
            <w:vAlign w:val="bottom"/>
          </w:tcPr>
          <w:p>
            <w:pPr>
              <w:ind w:left="60"/>
              <w:spacing w:after="0"/>
              <w:rPr>
                <w:sz w:val="20"/>
                <w:szCs w:val="20"/>
                <w:color w:val="auto"/>
              </w:rPr>
            </w:pPr>
            <w:r>
              <w:rPr>
                <w:rFonts w:ascii="Calibri" w:cs="Calibri" w:eastAsia="Calibri" w:hAnsi="Calibri"/>
                <w:sz w:val="20"/>
                <w:szCs w:val="20"/>
                <w:color w:val="231F20"/>
              </w:rPr>
              <w:t>Anthony P. Nader, III</w:t>
            </w:r>
          </w:p>
        </w:tc>
        <w:tc>
          <w:tcPr>
            <w:tcW w:w="1320" w:type="dxa"/>
            <w:vAlign w:val="bottom"/>
          </w:tcPr>
          <w:p>
            <w:pPr>
              <w:jc w:val="right"/>
              <w:ind w:right="60"/>
              <w:spacing w:after="0"/>
              <w:rPr>
                <w:sz w:val="20"/>
                <w:szCs w:val="20"/>
                <w:color w:val="auto"/>
              </w:rPr>
            </w:pPr>
            <w:r>
              <w:rPr>
                <w:rFonts w:ascii="Calibri" w:cs="Calibri" w:eastAsia="Calibri" w:hAnsi="Calibri"/>
                <w:sz w:val="20"/>
                <w:szCs w:val="20"/>
                <w:color w:val="231F20"/>
              </w:rPr>
              <w:t>$</w:t>
            </w:r>
          </w:p>
        </w:tc>
        <w:tc>
          <w:tcPr>
            <w:tcW w:w="1240" w:type="dxa"/>
            <w:vAlign w:val="bottom"/>
          </w:tcPr>
          <w:p>
            <w:pPr>
              <w:jc w:val="right"/>
              <w:ind w:right="40"/>
              <w:spacing w:after="0"/>
              <w:rPr>
                <w:sz w:val="20"/>
                <w:szCs w:val="20"/>
                <w:color w:val="auto"/>
              </w:rPr>
            </w:pPr>
            <w:r>
              <w:rPr>
                <w:rFonts w:ascii="Calibri" w:cs="Calibri" w:eastAsia="Calibri" w:hAnsi="Calibri"/>
                <w:sz w:val="20"/>
                <w:szCs w:val="20"/>
                <w:color w:val="231F20"/>
              </w:rPr>
              <w:t>90,000</w:t>
            </w:r>
          </w:p>
        </w:tc>
        <w:tc>
          <w:tcPr>
            <w:tcW w:w="720" w:type="dxa"/>
            <w:vAlign w:val="bottom"/>
          </w:tcPr>
          <w:p>
            <w:pPr>
              <w:jc w:val="right"/>
              <w:ind w:right="460"/>
              <w:spacing w:after="0"/>
              <w:rPr>
                <w:sz w:val="20"/>
                <w:szCs w:val="20"/>
                <w:color w:val="auto"/>
              </w:rPr>
            </w:pPr>
            <w:r>
              <w:rPr>
                <w:rFonts w:ascii="Calibri" w:cs="Calibri" w:eastAsia="Calibri" w:hAnsi="Calibri"/>
                <w:sz w:val="20"/>
                <w:szCs w:val="20"/>
                <w:color w:val="231F20"/>
              </w:rPr>
              <w:t>$</w:t>
            </w:r>
          </w:p>
        </w:tc>
        <w:tc>
          <w:tcPr>
            <w:tcW w:w="820" w:type="dxa"/>
            <w:vAlign w:val="bottom"/>
          </w:tcPr>
          <w:p>
            <w:pPr>
              <w:jc w:val="right"/>
              <w:ind w:right="20"/>
              <w:spacing w:after="0"/>
              <w:rPr>
                <w:sz w:val="20"/>
                <w:szCs w:val="20"/>
                <w:color w:val="auto"/>
              </w:rPr>
            </w:pPr>
            <w:r>
              <w:rPr>
                <w:rFonts w:ascii="Calibri" w:cs="Calibri" w:eastAsia="Calibri" w:hAnsi="Calibri"/>
                <w:sz w:val="20"/>
                <w:szCs w:val="20"/>
                <w:color w:val="231F20"/>
              </w:rPr>
              <w:t>135,000</w:t>
            </w:r>
          </w:p>
        </w:tc>
        <w:tc>
          <w:tcPr>
            <w:tcW w:w="340" w:type="dxa"/>
            <w:vAlign w:val="bottom"/>
          </w:tcPr>
          <w:p>
            <w:pPr>
              <w:jc w:val="right"/>
              <w:ind w:right="60"/>
              <w:spacing w:after="0"/>
              <w:rPr>
                <w:sz w:val="20"/>
                <w:szCs w:val="20"/>
                <w:color w:val="auto"/>
              </w:rPr>
            </w:pPr>
            <w:r>
              <w:rPr>
                <w:rFonts w:ascii="Calibri" w:cs="Calibri" w:eastAsia="Calibri" w:hAnsi="Calibri"/>
                <w:sz w:val="20"/>
                <w:szCs w:val="20"/>
                <w:color w:val="231F20"/>
              </w:rPr>
              <w:t>$</w:t>
            </w:r>
          </w:p>
        </w:tc>
        <w:tc>
          <w:tcPr>
            <w:tcW w:w="1140" w:type="dxa"/>
            <w:vAlign w:val="bottom"/>
          </w:tcPr>
          <w:p>
            <w:pPr>
              <w:jc w:val="right"/>
              <w:ind w:right="40"/>
              <w:spacing w:after="0"/>
              <w:rPr>
                <w:sz w:val="20"/>
                <w:szCs w:val="20"/>
                <w:color w:val="auto"/>
              </w:rPr>
            </w:pPr>
            <w:r>
              <w:rPr>
                <w:rFonts w:ascii="Calibri" w:cs="Calibri" w:eastAsia="Calibri" w:hAnsi="Calibri"/>
                <w:sz w:val="20"/>
                <w:szCs w:val="20"/>
                <w:color w:val="231F20"/>
              </w:rPr>
              <w:t>15,000</w:t>
            </w:r>
          </w:p>
        </w:tc>
        <w:tc>
          <w:tcPr>
            <w:tcW w:w="460" w:type="dxa"/>
            <w:vAlign w:val="bottom"/>
          </w:tcPr>
          <w:p>
            <w:pPr>
              <w:jc w:val="right"/>
              <w:ind w:right="200"/>
              <w:spacing w:after="0"/>
              <w:rPr>
                <w:sz w:val="20"/>
                <w:szCs w:val="20"/>
                <w:color w:val="auto"/>
              </w:rPr>
            </w:pPr>
            <w:r>
              <w:rPr>
                <w:rFonts w:ascii="Calibri" w:cs="Calibri" w:eastAsia="Calibri" w:hAnsi="Calibri"/>
                <w:sz w:val="20"/>
                <w:szCs w:val="20"/>
                <w:color w:val="231F20"/>
              </w:rPr>
              <w:t>$</w:t>
            </w:r>
          </w:p>
        </w:tc>
        <w:tc>
          <w:tcPr>
            <w:tcW w:w="1220" w:type="dxa"/>
            <w:vAlign w:val="bottom"/>
          </w:tcPr>
          <w:p>
            <w:pPr>
              <w:jc w:val="right"/>
              <w:spacing w:after="0"/>
              <w:rPr>
                <w:sz w:val="20"/>
                <w:szCs w:val="20"/>
                <w:color w:val="auto"/>
              </w:rPr>
            </w:pPr>
            <w:r>
              <w:rPr>
                <w:rFonts w:ascii="Calibri" w:cs="Calibri" w:eastAsia="Calibri" w:hAnsi="Calibri"/>
                <w:sz w:val="20"/>
                <w:szCs w:val="20"/>
                <w:color w:val="231F20"/>
              </w:rPr>
              <w:t>240,000</w:t>
            </w:r>
          </w:p>
        </w:tc>
      </w:tr>
      <w:tr>
        <w:trPr>
          <w:trHeight w:val="320"/>
        </w:trPr>
        <w:tc>
          <w:tcPr>
            <w:tcW w:w="2820" w:type="dxa"/>
            <w:vAlign w:val="bottom"/>
          </w:tcPr>
          <w:p>
            <w:pPr>
              <w:ind w:left="60"/>
              <w:spacing w:after="0"/>
              <w:rPr>
                <w:sz w:val="20"/>
                <w:szCs w:val="20"/>
                <w:color w:val="auto"/>
              </w:rPr>
            </w:pPr>
            <w:r>
              <w:rPr>
                <w:rFonts w:ascii="Calibri" w:cs="Calibri" w:eastAsia="Calibri" w:hAnsi="Calibri"/>
                <w:sz w:val="20"/>
                <w:szCs w:val="20"/>
                <w:color w:val="231F20"/>
              </w:rPr>
              <w:t>Gail P. Steinel</w:t>
            </w:r>
          </w:p>
        </w:tc>
        <w:tc>
          <w:tcPr>
            <w:tcW w:w="1320" w:type="dxa"/>
            <w:vAlign w:val="bottom"/>
          </w:tcPr>
          <w:p>
            <w:pPr>
              <w:jc w:val="right"/>
              <w:ind w:right="60"/>
              <w:spacing w:after="0"/>
              <w:rPr>
                <w:sz w:val="20"/>
                <w:szCs w:val="20"/>
                <w:color w:val="auto"/>
              </w:rPr>
            </w:pPr>
            <w:r>
              <w:rPr>
                <w:rFonts w:ascii="Calibri" w:cs="Calibri" w:eastAsia="Calibri" w:hAnsi="Calibri"/>
                <w:sz w:val="20"/>
                <w:szCs w:val="20"/>
                <w:color w:val="231F20"/>
              </w:rPr>
              <w:t>$</w:t>
            </w:r>
          </w:p>
        </w:tc>
        <w:tc>
          <w:tcPr>
            <w:tcW w:w="1240" w:type="dxa"/>
            <w:vAlign w:val="bottom"/>
          </w:tcPr>
          <w:p>
            <w:pPr>
              <w:jc w:val="right"/>
              <w:ind w:right="40"/>
              <w:spacing w:after="0"/>
              <w:rPr>
                <w:sz w:val="20"/>
                <w:szCs w:val="20"/>
                <w:color w:val="auto"/>
              </w:rPr>
            </w:pPr>
            <w:r>
              <w:rPr>
                <w:rFonts w:ascii="Calibri" w:cs="Calibri" w:eastAsia="Calibri" w:hAnsi="Calibri"/>
                <w:sz w:val="20"/>
                <w:szCs w:val="20"/>
                <w:color w:val="231F20"/>
              </w:rPr>
              <w:t>90,000</w:t>
            </w:r>
          </w:p>
        </w:tc>
        <w:tc>
          <w:tcPr>
            <w:tcW w:w="720" w:type="dxa"/>
            <w:vAlign w:val="bottom"/>
          </w:tcPr>
          <w:p>
            <w:pPr>
              <w:jc w:val="right"/>
              <w:ind w:right="460"/>
              <w:spacing w:after="0"/>
              <w:rPr>
                <w:sz w:val="20"/>
                <w:szCs w:val="20"/>
                <w:color w:val="auto"/>
              </w:rPr>
            </w:pPr>
            <w:r>
              <w:rPr>
                <w:rFonts w:ascii="Calibri" w:cs="Calibri" w:eastAsia="Calibri" w:hAnsi="Calibri"/>
                <w:sz w:val="20"/>
                <w:szCs w:val="20"/>
                <w:color w:val="231F20"/>
              </w:rPr>
              <w:t>$</w:t>
            </w:r>
          </w:p>
        </w:tc>
        <w:tc>
          <w:tcPr>
            <w:tcW w:w="820" w:type="dxa"/>
            <w:vAlign w:val="bottom"/>
          </w:tcPr>
          <w:p>
            <w:pPr>
              <w:jc w:val="right"/>
              <w:ind w:right="20"/>
              <w:spacing w:after="0"/>
              <w:rPr>
                <w:sz w:val="20"/>
                <w:szCs w:val="20"/>
                <w:color w:val="auto"/>
              </w:rPr>
            </w:pPr>
            <w:r>
              <w:rPr>
                <w:rFonts w:ascii="Calibri" w:cs="Calibri" w:eastAsia="Calibri" w:hAnsi="Calibri"/>
                <w:sz w:val="20"/>
                <w:szCs w:val="20"/>
                <w:color w:val="231F20"/>
              </w:rPr>
              <w:t>135,000</w:t>
            </w:r>
          </w:p>
        </w:tc>
        <w:tc>
          <w:tcPr>
            <w:tcW w:w="340" w:type="dxa"/>
            <w:vAlign w:val="bottom"/>
          </w:tcPr>
          <w:p>
            <w:pPr>
              <w:jc w:val="right"/>
              <w:ind w:right="60"/>
              <w:spacing w:after="0"/>
              <w:rPr>
                <w:sz w:val="20"/>
                <w:szCs w:val="20"/>
                <w:color w:val="auto"/>
              </w:rPr>
            </w:pPr>
            <w:r>
              <w:rPr>
                <w:rFonts w:ascii="Calibri" w:cs="Calibri" w:eastAsia="Calibri" w:hAnsi="Calibri"/>
                <w:sz w:val="20"/>
                <w:szCs w:val="20"/>
                <w:color w:val="231F20"/>
              </w:rPr>
              <w:t>$</w:t>
            </w:r>
          </w:p>
        </w:tc>
        <w:tc>
          <w:tcPr>
            <w:tcW w:w="1140" w:type="dxa"/>
            <w:vAlign w:val="bottom"/>
          </w:tcPr>
          <w:p>
            <w:pPr>
              <w:jc w:val="right"/>
              <w:ind w:right="40"/>
              <w:spacing w:after="0"/>
              <w:rPr>
                <w:sz w:val="20"/>
                <w:szCs w:val="20"/>
                <w:color w:val="auto"/>
              </w:rPr>
            </w:pPr>
            <w:r>
              <w:rPr>
                <w:rFonts w:ascii="Calibri" w:cs="Calibri" w:eastAsia="Calibri" w:hAnsi="Calibri"/>
                <w:sz w:val="20"/>
                <w:szCs w:val="20"/>
                <w:color w:val="231F20"/>
              </w:rPr>
              <w:t>25,000</w:t>
            </w:r>
          </w:p>
        </w:tc>
        <w:tc>
          <w:tcPr>
            <w:tcW w:w="460" w:type="dxa"/>
            <w:vAlign w:val="bottom"/>
          </w:tcPr>
          <w:p>
            <w:pPr>
              <w:jc w:val="right"/>
              <w:ind w:right="200"/>
              <w:spacing w:after="0"/>
              <w:rPr>
                <w:sz w:val="20"/>
                <w:szCs w:val="20"/>
                <w:color w:val="auto"/>
              </w:rPr>
            </w:pPr>
            <w:r>
              <w:rPr>
                <w:rFonts w:ascii="Calibri" w:cs="Calibri" w:eastAsia="Calibri" w:hAnsi="Calibri"/>
                <w:sz w:val="20"/>
                <w:szCs w:val="20"/>
                <w:color w:val="231F20"/>
              </w:rPr>
              <w:t>$</w:t>
            </w:r>
          </w:p>
        </w:tc>
        <w:tc>
          <w:tcPr>
            <w:tcW w:w="1220" w:type="dxa"/>
            <w:vAlign w:val="bottom"/>
          </w:tcPr>
          <w:p>
            <w:pPr>
              <w:jc w:val="right"/>
              <w:spacing w:after="0"/>
              <w:rPr>
                <w:sz w:val="20"/>
                <w:szCs w:val="20"/>
                <w:color w:val="auto"/>
              </w:rPr>
            </w:pPr>
            <w:r>
              <w:rPr>
                <w:rFonts w:ascii="Calibri" w:cs="Calibri" w:eastAsia="Calibri" w:hAnsi="Calibri"/>
                <w:sz w:val="20"/>
                <w:szCs w:val="20"/>
                <w:color w:val="231F20"/>
              </w:rPr>
              <w:t>250,000</w:t>
            </w:r>
          </w:p>
        </w:tc>
      </w:tr>
      <w:tr>
        <w:trPr>
          <w:trHeight w:val="32"/>
        </w:trPr>
        <w:tc>
          <w:tcPr>
            <w:tcW w:w="2820" w:type="dxa"/>
            <w:vAlign w:val="bottom"/>
            <w:tcBorders>
              <w:bottom w:val="single" w:sz="8" w:color="231F20"/>
            </w:tcBorders>
          </w:tcPr>
          <w:p>
            <w:pPr>
              <w:spacing w:after="0"/>
              <w:rPr>
                <w:sz w:val="2"/>
                <w:szCs w:val="2"/>
                <w:color w:val="auto"/>
              </w:rPr>
            </w:pPr>
          </w:p>
        </w:tc>
        <w:tc>
          <w:tcPr>
            <w:tcW w:w="1320" w:type="dxa"/>
            <w:vAlign w:val="bottom"/>
            <w:tcBorders>
              <w:bottom w:val="single" w:sz="8" w:color="231F20"/>
            </w:tcBorders>
          </w:tcPr>
          <w:p>
            <w:pPr>
              <w:spacing w:after="0"/>
              <w:rPr>
                <w:sz w:val="2"/>
                <w:szCs w:val="2"/>
                <w:color w:val="auto"/>
              </w:rPr>
            </w:pPr>
          </w:p>
        </w:tc>
        <w:tc>
          <w:tcPr>
            <w:tcW w:w="1240" w:type="dxa"/>
            <w:vAlign w:val="bottom"/>
            <w:tcBorders>
              <w:bottom w:val="single" w:sz="8" w:color="231F20"/>
            </w:tcBorders>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820" w:type="dxa"/>
            <w:vAlign w:val="bottom"/>
            <w:tcBorders>
              <w:bottom w:val="single" w:sz="8" w:color="231F20"/>
            </w:tcBorders>
          </w:tcPr>
          <w:p>
            <w:pPr>
              <w:spacing w:after="0"/>
              <w:rPr>
                <w:sz w:val="2"/>
                <w:szCs w:val="2"/>
                <w:color w:val="auto"/>
              </w:rPr>
            </w:pPr>
          </w:p>
        </w:tc>
        <w:tc>
          <w:tcPr>
            <w:tcW w:w="340" w:type="dxa"/>
            <w:vAlign w:val="bottom"/>
            <w:tcBorders>
              <w:bottom w:val="single" w:sz="8" w:color="231F20"/>
            </w:tcBorders>
          </w:tcPr>
          <w:p>
            <w:pPr>
              <w:spacing w:after="0"/>
              <w:rPr>
                <w:sz w:val="2"/>
                <w:szCs w:val="2"/>
                <w:color w:val="auto"/>
              </w:rPr>
            </w:pPr>
          </w:p>
        </w:tc>
        <w:tc>
          <w:tcPr>
            <w:tcW w:w="1140" w:type="dxa"/>
            <w:vAlign w:val="bottom"/>
            <w:tcBorders>
              <w:bottom w:val="single" w:sz="8" w:color="231F20"/>
            </w:tcBorders>
          </w:tcPr>
          <w:p>
            <w:pPr>
              <w:spacing w:after="0"/>
              <w:rPr>
                <w:sz w:val="2"/>
                <w:szCs w:val="2"/>
                <w:color w:val="auto"/>
              </w:rPr>
            </w:pPr>
          </w:p>
        </w:tc>
        <w:tc>
          <w:tcPr>
            <w:tcW w:w="460" w:type="dxa"/>
            <w:vAlign w:val="bottom"/>
            <w:tcBorders>
              <w:bottom w:val="single" w:sz="8" w:color="231F20"/>
            </w:tcBorders>
          </w:tcPr>
          <w:p>
            <w:pPr>
              <w:spacing w:after="0"/>
              <w:rPr>
                <w:sz w:val="2"/>
                <w:szCs w:val="2"/>
                <w:color w:val="auto"/>
              </w:rPr>
            </w:pPr>
          </w:p>
        </w:tc>
        <w:tc>
          <w:tcPr>
            <w:tcW w:w="1220" w:type="dxa"/>
            <w:vAlign w:val="bottom"/>
            <w:tcBorders>
              <w:bottom w:val="single" w:sz="8" w:color="231F20"/>
            </w:tcBorders>
          </w:tcPr>
          <w:p>
            <w:pPr>
              <w:spacing w:after="0"/>
              <w:rPr>
                <w:sz w:val="2"/>
                <w:szCs w:val="2"/>
                <w:color w:val="auto"/>
              </w:rPr>
            </w:pPr>
          </w:p>
        </w:tc>
      </w:tr>
      <w:tr>
        <w:trPr>
          <w:trHeight w:val="306"/>
        </w:trPr>
        <w:tc>
          <w:tcPr>
            <w:tcW w:w="2820" w:type="dxa"/>
            <w:vAlign w:val="bottom"/>
          </w:tcPr>
          <w:p>
            <w:pPr>
              <w:ind w:left="60"/>
              <w:spacing w:after="0"/>
              <w:rPr>
                <w:sz w:val="20"/>
                <w:szCs w:val="20"/>
                <w:color w:val="auto"/>
              </w:rPr>
            </w:pPr>
            <w:r>
              <w:rPr>
                <w:rFonts w:ascii="Calibri" w:cs="Calibri" w:eastAsia="Calibri" w:hAnsi="Calibri"/>
                <w:sz w:val="20"/>
                <w:szCs w:val="20"/>
                <w:b w:val="1"/>
                <w:bCs w:val="1"/>
                <w:color w:val="231F20"/>
              </w:rPr>
              <w:t>Total</w:t>
            </w:r>
          </w:p>
        </w:tc>
        <w:tc>
          <w:tcPr>
            <w:tcW w:w="1320" w:type="dxa"/>
            <w:vAlign w:val="bottom"/>
          </w:tcPr>
          <w:p>
            <w:pPr>
              <w:jc w:val="right"/>
              <w:ind w:right="60"/>
              <w:spacing w:after="0"/>
              <w:rPr>
                <w:sz w:val="20"/>
                <w:szCs w:val="20"/>
                <w:color w:val="auto"/>
              </w:rPr>
            </w:pPr>
            <w:r>
              <w:rPr>
                <w:rFonts w:ascii="Calibri" w:cs="Calibri" w:eastAsia="Calibri" w:hAnsi="Calibri"/>
                <w:sz w:val="20"/>
                <w:szCs w:val="20"/>
                <w:b w:val="1"/>
                <w:bCs w:val="1"/>
                <w:color w:val="231F20"/>
              </w:rPr>
              <w:t>$</w:t>
            </w:r>
          </w:p>
        </w:tc>
        <w:tc>
          <w:tcPr>
            <w:tcW w:w="1240" w:type="dxa"/>
            <w:vAlign w:val="bottom"/>
          </w:tcPr>
          <w:p>
            <w:pPr>
              <w:jc w:val="right"/>
              <w:ind w:right="40"/>
              <w:spacing w:after="0"/>
              <w:rPr>
                <w:sz w:val="20"/>
                <w:szCs w:val="20"/>
                <w:color w:val="auto"/>
              </w:rPr>
            </w:pPr>
            <w:r>
              <w:rPr>
                <w:rFonts w:ascii="Calibri" w:cs="Calibri" w:eastAsia="Calibri" w:hAnsi="Calibri"/>
                <w:sz w:val="20"/>
                <w:szCs w:val="20"/>
                <w:b w:val="1"/>
                <w:bCs w:val="1"/>
                <w:color w:val="231F20"/>
              </w:rPr>
              <w:t>615,000</w:t>
            </w:r>
          </w:p>
        </w:tc>
        <w:tc>
          <w:tcPr>
            <w:tcW w:w="720" w:type="dxa"/>
            <w:vAlign w:val="bottom"/>
          </w:tcPr>
          <w:p>
            <w:pPr>
              <w:jc w:val="right"/>
              <w:ind w:right="460"/>
              <w:spacing w:after="0"/>
              <w:rPr>
                <w:sz w:val="20"/>
                <w:szCs w:val="20"/>
                <w:color w:val="auto"/>
              </w:rPr>
            </w:pPr>
            <w:r>
              <w:rPr>
                <w:rFonts w:ascii="Calibri" w:cs="Calibri" w:eastAsia="Calibri" w:hAnsi="Calibri"/>
                <w:sz w:val="20"/>
                <w:szCs w:val="20"/>
                <w:b w:val="1"/>
                <w:bCs w:val="1"/>
                <w:color w:val="231F20"/>
              </w:rPr>
              <w:t>$</w:t>
            </w:r>
          </w:p>
        </w:tc>
        <w:tc>
          <w:tcPr>
            <w:tcW w:w="820" w:type="dxa"/>
            <w:vAlign w:val="bottom"/>
          </w:tcPr>
          <w:p>
            <w:pPr>
              <w:jc w:val="right"/>
              <w:ind w:right="20"/>
              <w:spacing w:after="0"/>
              <w:rPr>
                <w:sz w:val="20"/>
                <w:szCs w:val="20"/>
                <w:color w:val="auto"/>
              </w:rPr>
            </w:pPr>
            <w:r>
              <w:rPr>
                <w:rFonts w:ascii="Calibri" w:cs="Calibri" w:eastAsia="Calibri" w:hAnsi="Calibri"/>
                <w:sz w:val="20"/>
                <w:szCs w:val="20"/>
                <w:b w:val="1"/>
                <w:bCs w:val="1"/>
                <w:color w:val="231F20"/>
              </w:rPr>
              <w:t>785,000</w:t>
            </w:r>
          </w:p>
        </w:tc>
        <w:tc>
          <w:tcPr>
            <w:tcW w:w="340" w:type="dxa"/>
            <w:vAlign w:val="bottom"/>
          </w:tcPr>
          <w:p>
            <w:pPr>
              <w:jc w:val="right"/>
              <w:ind w:right="60"/>
              <w:spacing w:after="0"/>
              <w:rPr>
                <w:sz w:val="20"/>
                <w:szCs w:val="20"/>
                <w:color w:val="auto"/>
              </w:rPr>
            </w:pPr>
            <w:r>
              <w:rPr>
                <w:rFonts w:ascii="Calibri" w:cs="Calibri" w:eastAsia="Calibri" w:hAnsi="Calibri"/>
                <w:sz w:val="20"/>
                <w:szCs w:val="20"/>
                <w:b w:val="1"/>
                <w:bCs w:val="1"/>
                <w:color w:val="231F20"/>
              </w:rPr>
              <w:t>$</w:t>
            </w:r>
          </w:p>
        </w:tc>
        <w:tc>
          <w:tcPr>
            <w:tcW w:w="1140" w:type="dxa"/>
            <w:vAlign w:val="bottom"/>
          </w:tcPr>
          <w:p>
            <w:pPr>
              <w:jc w:val="right"/>
              <w:ind w:right="40"/>
              <w:spacing w:after="0"/>
              <w:rPr>
                <w:sz w:val="20"/>
                <w:szCs w:val="20"/>
                <w:color w:val="auto"/>
              </w:rPr>
            </w:pPr>
            <w:r>
              <w:rPr>
                <w:rFonts w:ascii="Calibri" w:cs="Calibri" w:eastAsia="Calibri" w:hAnsi="Calibri"/>
                <w:sz w:val="20"/>
                <w:szCs w:val="20"/>
                <w:b w:val="1"/>
                <w:bCs w:val="1"/>
                <w:color w:val="231F20"/>
              </w:rPr>
              <w:t>55,000</w:t>
            </w:r>
          </w:p>
        </w:tc>
        <w:tc>
          <w:tcPr>
            <w:tcW w:w="460" w:type="dxa"/>
            <w:vAlign w:val="bottom"/>
          </w:tcPr>
          <w:p>
            <w:pPr>
              <w:jc w:val="right"/>
              <w:ind w:right="200"/>
              <w:spacing w:after="0"/>
              <w:rPr>
                <w:sz w:val="20"/>
                <w:szCs w:val="20"/>
                <w:color w:val="auto"/>
              </w:rPr>
            </w:pPr>
            <w:r>
              <w:rPr>
                <w:rFonts w:ascii="Calibri" w:cs="Calibri" w:eastAsia="Calibri" w:hAnsi="Calibri"/>
                <w:sz w:val="20"/>
                <w:szCs w:val="20"/>
                <w:b w:val="1"/>
                <w:bCs w:val="1"/>
                <w:color w:val="231F20"/>
              </w:rPr>
              <w:t>$</w:t>
            </w:r>
          </w:p>
        </w:tc>
        <w:tc>
          <w:tcPr>
            <w:tcW w:w="1220" w:type="dxa"/>
            <w:vAlign w:val="bottom"/>
          </w:tcPr>
          <w:p>
            <w:pPr>
              <w:jc w:val="right"/>
              <w:spacing w:after="0"/>
              <w:rPr>
                <w:sz w:val="20"/>
                <w:szCs w:val="20"/>
                <w:color w:val="auto"/>
              </w:rPr>
            </w:pPr>
            <w:r>
              <w:rPr>
                <w:rFonts w:ascii="Calibri" w:cs="Calibri" w:eastAsia="Calibri" w:hAnsi="Calibri"/>
                <w:sz w:val="20"/>
                <w:szCs w:val="20"/>
                <w:b w:val="1"/>
                <w:bCs w:val="1"/>
                <w:color w:val="231F20"/>
              </w:rPr>
              <w:t>1,455,000</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126365</wp:posOffset>
                </wp:positionV>
                <wp:extent cx="609600" cy="0"/>
                <wp:wrapNone/>
                <wp:docPr id="288" name="Shape 2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9600"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288" o:spid="_x0000_s131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9.95pt" to="48pt,9.95pt" o:allowincell="f" strokecolor="#231F20" strokeweight="0.5pt"/>
            </w:pict>
          </mc:Fallback>
        </mc:AlternateContent>
      </w:r>
    </w:p>
    <w:p>
      <w:pPr>
        <w:spacing w:after="0" w:line="239" w:lineRule="exact"/>
        <w:rPr>
          <w:sz w:val="20"/>
          <w:szCs w:val="20"/>
          <w:color w:val="auto"/>
        </w:rPr>
      </w:pPr>
    </w:p>
    <w:p>
      <w:pPr>
        <w:ind w:left="360" w:hanging="360"/>
        <w:spacing w:after="0" w:line="214" w:lineRule="auto"/>
        <w:tabs>
          <w:tab w:leader="none" w:pos="360" w:val="left"/>
        </w:tabs>
        <w:numPr>
          <w:ilvl w:val="0"/>
          <w:numId w:val="110"/>
        </w:numPr>
        <w:rPr>
          <w:rFonts w:ascii="Arial" w:cs="Arial" w:eastAsia="Arial" w:hAnsi="Arial"/>
          <w:sz w:val="23"/>
          <w:szCs w:val="23"/>
          <w:color w:val="231F20"/>
          <w:vertAlign w:val="superscript"/>
        </w:rPr>
      </w:pPr>
      <w:r>
        <w:rPr>
          <w:rFonts w:ascii="Arial" w:cs="Arial" w:eastAsia="Arial" w:hAnsi="Arial"/>
          <w:sz w:val="18"/>
          <w:szCs w:val="18"/>
          <w:color w:val="231F20"/>
        </w:rPr>
        <w:t>Shares were issued on January 2, 2026 with the number of shares received by each Trustee determined by dividing the amount to be paid in shares by $100.80, the closing price of our shares on the NYSE on December 31, 2025.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1513840</wp:posOffset>
                </wp:positionV>
                <wp:extent cx="6400800" cy="177800"/>
                <wp:wrapNone/>
                <wp:docPr id="289" name="Shape 2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177800"/>
                        </a:xfrm>
                        <a:prstGeom prst="rect">
                          <a:avLst/>
                        </a:prstGeom>
                        <a:solidFill>
                          <a:srgbClr val="E8E7E5"/>
                        </a:solidFill>
                      </wps:spPr>
                      <wps:bodyPr/>
                    </wps:wsp>
                  </a:graphicData>
                </a:graphic>
              </wp:anchor>
            </w:drawing>
          </mc:Choice>
          <mc:Fallback>
            <w:pict>
              <v:rect id="Shape 289" o:spid="_x0000_s1314" style="position:absolute;margin-left:0pt;margin-top:119.2pt;width:504pt;height:1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8E7E5" stroked="f"/>
            </w:pict>
          </mc:Fallback>
        </mc:AlternateContent>
        <mc:AlternateContent>
          <mc:Choice Requires="wps">
            <w:drawing>
              <wp:anchor simplePos="0" relativeHeight="251657728" behindDoc="1" locked="0" layoutInCell="0" allowOverlap="1">
                <wp:simplePos x="0" y="0"/>
                <wp:positionH relativeFrom="column">
                  <wp:posOffset>6350</wp:posOffset>
                </wp:positionH>
                <wp:positionV relativeFrom="paragraph">
                  <wp:posOffset>1513840</wp:posOffset>
                </wp:positionV>
                <wp:extent cx="0" cy="177800"/>
                <wp:wrapNone/>
                <wp:docPr id="290" name="Shape 2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290" o:spid="_x0000_s131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pt,119.2pt" to="0.5pt,133.2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1520190</wp:posOffset>
                </wp:positionV>
                <wp:extent cx="6400800" cy="0"/>
                <wp:wrapNone/>
                <wp:docPr id="291" name="Shape 2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291" o:spid="_x0000_s131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9.7pt" to="504pt,119.7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6394450</wp:posOffset>
                </wp:positionH>
                <wp:positionV relativeFrom="paragraph">
                  <wp:posOffset>1513840</wp:posOffset>
                </wp:positionV>
                <wp:extent cx="0" cy="177800"/>
                <wp:wrapNone/>
                <wp:docPr id="292" name="Shape 2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292" o:spid="_x0000_s131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3.5pt,119.2pt" to="503.5pt,133.2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1685290</wp:posOffset>
                </wp:positionV>
                <wp:extent cx="6400800" cy="0"/>
                <wp:wrapNone/>
                <wp:docPr id="293" name="Shape 2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293" o:spid="_x0000_s131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2.7pt" to="504pt,132.7pt" o:allowincell="f" strokecolor="#231F20" strokeweight="1pt"/>
            </w:pict>
          </mc:Fallback>
        </mc:AlternateContent>
      </w:r>
    </w:p>
    <w:p>
      <w:pPr>
        <w:sectPr>
          <w:pgSz w:w="11880" w:h="15480" w:orient="portrait"/>
          <w:cols w:equalWidth="0" w:num="1">
            <w:col w:w="10080"/>
          </w:cols>
          <w:pgMar w:left="900" w:top="1236" w:right="900" w:bottom="76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80"/>
        <w:spacing w:after="0"/>
        <w:tabs>
          <w:tab w:leader="none" w:pos="1420" w:val="left"/>
          <w:tab w:leader="none" w:pos="3160" w:val="left"/>
        </w:tabs>
        <w:rPr>
          <w:sz w:val="20"/>
          <w:szCs w:val="20"/>
          <w:color w:val="auto"/>
        </w:rPr>
      </w:pPr>
      <w:r>
        <w:rPr>
          <w:rFonts w:ascii="Arial" w:cs="Arial" w:eastAsia="Arial" w:hAnsi="Arial"/>
          <w:sz w:val="16"/>
          <w:szCs w:val="16"/>
          <w:color w:val="EF3E2A"/>
        </w:rPr>
        <w:t>Federal Realty</w:t>
      </w:r>
      <w:r>
        <w:rPr>
          <w:sz w:val="20"/>
          <w:szCs w:val="20"/>
          <w:color w:val="auto"/>
        </w:rPr>
        <w:tab/>
      </w:r>
      <w:r>
        <w:rPr>
          <w:rFonts w:ascii="Arial" w:cs="Arial" w:eastAsia="Arial" w:hAnsi="Arial"/>
          <w:sz w:val="16"/>
          <w:szCs w:val="16"/>
          <w:color w:val="231F20"/>
        </w:rPr>
        <w:t>2026 Proxy Statement</w:t>
        <w:tab/>
        <w:t>18</w:t>
      </w:r>
    </w:p>
    <w:p>
      <w:pPr>
        <w:sectPr>
          <w:pgSz w:w="11880" w:h="15480" w:orient="portrait"/>
          <w:cols w:equalWidth="0" w:num="1">
            <w:col w:w="10080"/>
          </w:cols>
          <w:pgMar w:left="900" w:top="1236" w:right="900" w:bottom="763" w:gutter="0" w:footer="0" w:header="0"/>
          <w:type w:val="continuous"/>
        </w:sectPr>
      </w:pPr>
    </w:p>
    <w:bookmarkStart w:id="138" w:name="page139"/>
    <w:bookmarkEnd w:id="138"/>
    <w:p>
      <w:pPr>
        <w:ind w:left="140"/>
        <w:spacing w:after="0"/>
        <w:rPr>
          <w:sz w:val="20"/>
          <w:szCs w:val="20"/>
          <w:color w:val="auto"/>
        </w:rPr>
      </w:pPr>
      <w:r>
        <w:rPr>
          <w:rFonts w:ascii="Arial" w:cs="Arial" w:eastAsia="Arial" w:hAnsi="Arial"/>
          <w:sz w:val="36"/>
          <w:szCs w:val="36"/>
          <w:b w:val="1"/>
          <w:bCs w:val="1"/>
          <w:color w:val="231F20"/>
        </w:rPr>
        <mc:AlternateContent>
          <mc:Choice Requires="wps">
            <w:drawing>
              <wp:anchor simplePos="0" relativeHeight="251657728" behindDoc="1" locked="0" layoutInCell="0" allowOverlap="1">
                <wp:simplePos x="0" y="0"/>
                <wp:positionH relativeFrom="page">
                  <wp:posOffset>571500</wp:posOffset>
                </wp:positionH>
                <wp:positionV relativeFrom="page">
                  <wp:posOffset>819150</wp:posOffset>
                </wp:positionV>
                <wp:extent cx="6400800" cy="0"/>
                <wp:wrapNone/>
                <wp:docPr id="294" name="Shape 2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38100">
                          <a:solidFill>
                            <a:srgbClr val="EF3E2A"/>
                          </a:solidFill>
                          <a:miter lim="800000"/>
                          <a:headEnd/>
                          <a:tailEnd/>
                        </a:ln>
                      </wps:spPr>
                      <wps:bodyPr/>
                    </wps:wsp>
                  </a:graphicData>
                </a:graphic>
              </wp:anchor>
            </w:drawing>
          </mc:Choice>
          <mc:Fallback>
            <w:pict>
              <v:line id="Shape 294" o:spid="_x0000_s131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5pt,64.5pt" to="549pt,64.5pt" o:allowincell="f" strokecolor="#EF3E2A" strokeweight="3pt">
                <w10:wrap anchorx="page" anchory="page"/>
              </v:line>
            </w:pict>
          </mc:Fallback>
        </mc:AlternateContent>
        <w:t>Proposal 2: Approving our Executive Compensation</w:t>
      </w:r>
    </w:p>
    <w:p>
      <w:pPr>
        <w:spacing w:after="0" w:line="263"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231F20"/>
        </w:rPr>
        <w:t>We are seeking an advisory vote to approve our executive compensation for 2025. We have always held our “Say on Pay” vote annually and in 2023, a majority of our shareholders voted to continue to hold this vote annually. Although this “Say on Pay” vote is advisory and is not binding on our Board, our Compensation Committee will take into consideration the outcome of this vote when making future executive compensation decisions.</w:t>
      </w: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color w:val="231F20"/>
        </w:rPr>
        <w:t>The text of the resolution if Proposal 2 is passed is:</w:t>
      </w:r>
    </w:p>
    <w:p>
      <w:pPr>
        <w:spacing w:after="0" w:line="255" w:lineRule="exact"/>
        <w:rPr>
          <w:sz w:val="20"/>
          <w:szCs w:val="20"/>
          <w:color w:val="auto"/>
        </w:rPr>
      </w:pPr>
    </w:p>
    <w:p>
      <w:pPr>
        <w:jc w:val="both"/>
        <w:ind w:left="280"/>
        <w:spacing w:after="0" w:line="247" w:lineRule="auto"/>
        <w:rPr>
          <w:sz w:val="20"/>
          <w:szCs w:val="20"/>
          <w:color w:val="auto"/>
        </w:rPr>
      </w:pPr>
      <w:r>
        <w:rPr>
          <w:rFonts w:ascii="Arial" w:cs="Arial" w:eastAsia="Arial" w:hAnsi="Arial"/>
          <w:sz w:val="20"/>
          <w:szCs w:val="20"/>
          <w:color w:val="231F20"/>
        </w:rPr>
        <w:t>RESOLVED, that the shareholders of the Company hereby approve, on an advisory basis, the compensation of our NEOs as described in the CD&amp;A and the Executive Compensation section that follows as required by Item 402 of Regulation S-K.</w:t>
      </w:r>
    </w:p>
    <w:p>
      <w:pPr>
        <w:spacing w:after="0" w:line="250"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231F20"/>
        </w:rPr>
        <w:t>The affirmative vote of a majority of votes cast at the Annual Meeting, in person or by proxy, is required to approve this proposal. An “abstention” or “broker non-vote” will have no effect on the outcome of the vote for this proposal.</w:t>
      </w:r>
    </w:p>
    <w:p>
      <w:pPr>
        <w:spacing w:after="0" w:line="253"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231F20"/>
        </w:rPr>
        <w:t>Our Board has designed our current executive compensation program to appropriately link compensation realized by our NEOs to our performance and properly align the interests of our NEOs with those of our shareholders. The details of this compensation for 2025, and the reasons we awarded it, are described in the “Compensation Discussion and Analysis,” starting below.</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184150</wp:posOffset>
                </wp:positionH>
                <wp:positionV relativeFrom="paragraph">
                  <wp:posOffset>121920</wp:posOffset>
                </wp:positionV>
                <wp:extent cx="0" cy="533400"/>
                <wp:wrapNone/>
                <wp:docPr id="295" name="Shape 2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33400"/>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295" o:spid="_x0000_s132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5pt,9.6pt" to="14.5pt,51.6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177800</wp:posOffset>
                </wp:positionH>
                <wp:positionV relativeFrom="paragraph">
                  <wp:posOffset>128270</wp:posOffset>
                </wp:positionV>
                <wp:extent cx="6223000" cy="0"/>
                <wp:wrapNone/>
                <wp:docPr id="296" name="Shape 2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230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296" o:spid="_x0000_s132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pt,10.1pt" to="504pt,10.1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6394450</wp:posOffset>
                </wp:positionH>
                <wp:positionV relativeFrom="paragraph">
                  <wp:posOffset>121920</wp:posOffset>
                </wp:positionV>
                <wp:extent cx="0" cy="533400"/>
                <wp:wrapNone/>
                <wp:docPr id="297" name="Shape 2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33400"/>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297" o:spid="_x0000_s132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3.5pt,9.6pt" to="503.5pt,51.6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177800</wp:posOffset>
                </wp:positionH>
                <wp:positionV relativeFrom="paragraph">
                  <wp:posOffset>648970</wp:posOffset>
                </wp:positionV>
                <wp:extent cx="6223000" cy="0"/>
                <wp:wrapNone/>
                <wp:docPr id="298" name="Shape 2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230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298" o:spid="_x0000_s132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pt,51.1pt" to="504pt,51.1pt" o:allowincell="f" strokecolor="#231F20" strokeweight="1pt"/>
            </w:pict>
          </mc:Fallback>
        </mc:AlternateContent>
      </w:r>
    </w:p>
    <w:p>
      <w:pPr>
        <w:spacing w:after="0" w:line="219" w:lineRule="exact"/>
        <w:rPr>
          <w:sz w:val="20"/>
          <w:szCs w:val="20"/>
          <w:color w:val="auto"/>
        </w:rPr>
      </w:pPr>
    </w:p>
    <w:p>
      <w:pPr>
        <w:ind w:left="380"/>
        <w:spacing w:after="0"/>
        <w:rPr>
          <w:sz w:val="20"/>
          <w:szCs w:val="20"/>
          <w:color w:val="auto"/>
        </w:rPr>
      </w:pPr>
      <w:r>
        <w:rPr>
          <w:sz w:val="1"/>
          <w:szCs w:val="1"/>
          <w:color w:val="auto"/>
        </w:rPr>
        <w:drawing>
          <wp:inline distT="0" distB="0" distL="0" distR="0">
            <wp:extent cx="440690" cy="415925"/>
            <wp:effectExtent l="0" t="0" r="0" b="0"/>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79">
                      <a:extLst>
                        <a:ext uri="{28A0092B-C50C-407E-A947-70E740481C1C}"/>
                      </a:extLst>
                    </a:blip>
                    <a:srcRect/>
                    <a:stretch>
                      <a:fillRect/>
                    </a:stretch>
                  </pic:blipFill>
                  <pic:spPr bwMode="auto">
                    <a:xfrm>
                      <a:off x="0" y="0"/>
                      <a:ext cx="440690" cy="415925"/>
                    </a:xfrm>
                    <a:prstGeom prst="rect">
                      <a:avLst/>
                    </a:prstGeom>
                    <a:noFill/>
                    <a:ln>
                      <a:noFill/>
                    </a:ln>
                  </pic:spPr>
                </pic:pic>
              </a:graphicData>
            </a:graphic>
          </wp:inline>
        </w:drawing>
      </w:r>
      <w:r>
        <w:rPr>
          <w:rFonts w:ascii="Arial" w:cs="Arial" w:eastAsia="Arial" w:hAnsi="Arial"/>
          <w:sz w:val="28"/>
          <w:szCs w:val="28"/>
          <w:color w:val="231F20"/>
        </w:rPr>
        <w:t xml:space="preserve">Our Board recommends a vote </w:t>
      </w:r>
      <w:r>
        <w:rPr>
          <w:rFonts w:ascii="Arial" w:cs="Arial" w:eastAsia="Arial" w:hAnsi="Arial"/>
          <w:sz w:val="28"/>
          <w:szCs w:val="28"/>
          <w:b w:val="1"/>
          <w:bCs w:val="1"/>
          <w:color w:val="231F20"/>
        </w:rPr>
        <w:t>FOR</w:t>
      </w:r>
      <w:r>
        <w:rPr>
          <w:rFonts w:ascii="Arial" w:cs="Arial" w:eastAsia="Arial" w:hAnsi="Arial"/>
          <w:sz w:val="28"/>
          <w:szCs w:val="28"/>
          <w:color w:val="231F20"/>
        </w:rPr>
        <w:t xml:space="preserve"> the compensation of our NEOs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4063365</wp:posOffset>
                </wp:positionV>
                <wp:extent cx="6400800" cy="177800"/>
                <wp:wrapNone/>
                <wp:docPr id="300" name="Shape 3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177800"/>
                        </a:xfrm>
                        <a:prstGeom prst="rect">
                          <a:avLst/>
                        </a:prstGeom>
                        <a:solidFill>
                          <a:srgbClr val="E8E7E5"/>
                        </a:solidFill>
                      </wps:spPr>
                      <wps:bodyPr/>
                    </wps:wsp>
                  </a:graphicData>
                </a:graphic>
              </wp:anchor>
            </w:drawing>
          </mc:Choice>
          <mc:Fallback>
            <w:pict>
              <v:rect id="Shape 300" o:spid="_x0000_s1325" style="position:absolute;margin-left:0pt;margin-top:319.95pt;width:504pt;height:1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8E7E5" stroked="f"/>
            </w:pict>
          </mc:Fallback>
        </mc:AlternateContent>
        <mc:AlternateContent>
          <mc:Choice Requires="wps">
            <w:drawing>
              <wp:anchor simplePos="0" relativeHeight="251657728" behindDoc="1" locked="0" layoutInCell="0" allowOverlap="1">
                <wp:simplePos x="0" y="0"/>
                <wp:positionH relativeFrom="column">
                  <wp:posOffset>6350</wp:posOffset>
                </wp:positionH>
                <wp:positionV relativeFrom="paragraph">
                  <wp:posOffset>4062730</wp:posOffset>
                </wp:positionV>
                <wp:extent cx="0" cy="177800"/>
                <wp:wrapNone/>
                <wp:docPr id="301" name="Shape 3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301" o:spid="_x0000_s132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pt,319.9pt" to="0.5pt,333.9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4069080</wp:posOffset>
                </wp:positionV>
                <wp:extent cx="6400800" cy="0"/>
                <wp:wrapNone/>
                <wp:docPr id="302" name="Shape 3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302" o:spid="_x0000_s13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20.4pt" to="504pt,320.4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6394450</wp:posOffset>
                </wp:positionH>
                <wp:positionV relativeFrom="paragraph">
                  <wp:posOffset>4062730</wp:posOffset>
                </wp:positionV>
                <wp:extent cx="0" cy="177800"/>
                <wp:wrapNone/>
                <wp:docPr id="303" name="Shape 3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303" o:spid="_x0000_s13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3.5pt,319.9pt" to="503.5pt,333.9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4234180</wp:posOffset>
                </wp:positionV>
                <wp:extent cx="6400800" cy="0"/>
                <wp:wrapNone/>
                <wp:docPr id="304" name="Shape 3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304" o:spid="_x0000_s13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33.4pt" to="504pt,333.4pt" o:allowincell="f" strokecolor="#231F20" strokeweight="1pt"/>
            </w:pict>
          </mc:Fallback>
        </mc:AlternateContent>
      </w:r>
    </w:p>
    <w:p>
      <w:pPr>
        <w:sectPr>
          <w:pgSz w:w="11880" w:h="15480" w:orient="portrait"/>
          <w:cols w:equalWidth="0" w:num="1">
            <w:col w:w="10080"/>
          </w:cols>
          <w:pgMar w:left="900" w:top="1340" w:right="900" w:bottom="76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6720"/>
        <w:spacing w:after="0"/>
        <w:tabs>
          <w:tab w:leader="none" w:pos="8060" w:val="left"/>
          <w:tab w:leader="none" w:pos="9800" w:val="left"/>
        </w:tabs>
        <w:rPr>
          <w:sz w:val="20"/>
          <w:szCs w:val="20"/>
          <w:color w:val="auto"/>
        </w:rPr>
      </w:pPr>
      <w:r>
        <w:rPr>
          <w:rFonts w:ascii="Arial" w:cs="Arial" w:eastAsia="Arial" w:hAnsi="Arial"/>
          <w:sz w:val="16"/>
          <w:szCs w:val="16"/>
          <w:color w:val="EF3E2A"/>
        </w:rPr>
        <w:t>Federal Realty</w:t>
      </w:r>
      <w:r>
        <w:rPr>
          <w:sz w:val="20"/>
          <w:szCs w:val="20"/>
          <w:color w:val="auto"/>
        </w:rPr>
        <w:tab/>
      </w:r>
      <w:r>
        <w:rPr>
          <w:rFonts w:ascii="Arial" w:cs="Arial" w:eastAsia="Arial" w:hAnsi="Arial"/>
          <w:sz w:val="16"/>
          <w:szCs w:val="16"/>
          <w:color w:val="231F20"/>
        </w:rPr>
        <w:t>2026 Proxy Statement</w:t>
        <w:tab/>
        <w:t>19</w:t>
      </w:r>
    </w:p>
    <w:p>
      <w:pPr>
        <w:sectPr>
          <w:pgSz w:w="11880" w:h="15480" w:orient="portrait"/>
          <w:cols w:equalWidth="0" w:num="1">
            <w:col w:w="10080"/>
          </w:cols>
          <w:pgMar w:left="900" w:top="1340" w:right="900" w:bottom="763" w:gutter="0" w:footer="0" w:header="0"/>
          <w:type w:val="continuous"/>
        </w:sectPr>
      </w:pPr>
    </w:p>
    <w:bookmarkStart w:id="139" w:name="page140"/>
    <w:bookmarkEnd w:id="139"/>
    <w:p>
      <w:pPr>
        <w:ind w:left="140"/>
        <w:spacing w:after="0"/>
        <w:rPr>
          <w:sz w:val="20"/>
          <w:szCs w:val="20"/>
          <w:color w:val="auto"/>
        </w:rPr>
      </w:pPr>
      <w:r>
        <w:rPr>
          <w:rFonts w:ascii="Arial" w:cs="Arial" w:eastAsia="Arial" w:hAnsi="Arial"/>
          <w:sz w:val="35"/>
          <w:szCs w:val="35"/>
          <w:b w:val="1"/>
          <w:bCs w:val="1"/>
          <w:color w:val="231F20"/>
        </w:rPr>
        <mc:AlternateContent>
          <mc:Choice Requires="wps">
            <w:drawing>
              <wp:anchor simplePos="0" relativeHeight="251657728" behindDoc="1" locked="0" layoutInCell="0" allowOverlap="1">
                <wp:simplePos x="0" y="0"/>
                <wp:positionH relativeFrom="page">
                  <wp:posOffset>571500</wp:posOffset>
                </wp:positionH>
                <wp:positionV relativeFrom="page">
                  <wp:posOffset>819150</wp:posOffset>
                </wp:positionV>
                <wp:extent cx="6400800" cy="0"/>
                <wp:wrapNone/>
                <wp:docPr id="305" name="Shape 3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38100">
                          <a:solidFill>
                            <a:srgbClr val="EF3E2A"/>
                          </a:solidFill>
                          <a:miter lim="800000"/>
                          <a:headEnd/>
                          <a:tailEnd/>
                        </a:ln>
                      </wps:spPr>
                      <wps:bodyPr/>
                    </wps:wsp>
                  </a:graphicData>
                </a:graphic>
              </wp:anchor>
            </w:drawing>
          </mc:Choice>
          <mc:Fallback>
            <w:pict>
              <v:line id="Shape 305" o:spid="_x0000_s133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5pt,64.5pt" to="549pt,64.5pt" o:allowincell="f" strokecolor="#EF3E2A" strokeweight="3pt">
                <w10:wrap anchorx="page" anchory="page"/>
              </v:line>
            </w:pict>
          </mc:Fallback>
        </mc:AlternateContent>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3276600</wp:posOffset>
            </wp:positionH>
            <wp:positionV relativeFrom="paragraph">
              <wp:posOffset>110490</wp:posOffset>
            </wp:positionV>
            <wp:extent cx="3124200" cy="325755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80">
                      <a:extLst>
                        <a:ext uri="{28A0092B-C50C-407E-A947-70E740481C1C}"/>
                      </a:extLst>
                    </a:blip>
                    <a:srcRect/>
                    <a:stretch>
                      <a:fillRect/>
                    </a:stretch>
                  </pic:blipFill>
                  <pic:spPr bwMode="auto">
                    <a:xfrm>
                      <a:off x="0" y="0"/>
                      <a:ext cx="3124200" cy="3257550"/>
                    </a:xfrm>
                    <a:prstGeom prst="rect">
                      <a:avLst/>
                    </a:prstGeom>
                    <a:noFill/>
                  </pic:spPr>
                </pic:pic>
              </a:graphicData>
            </a:graphic>
          </wp:anchor>
        </w:drawing>
      </w:r>
    </w:p>
    <w:p>
      <w:pPr>
        <w:sectPr>
          <w:pgSz w:w="11880" w:h="15480" w:orient="portrait"/>
          <w:cols w:equalWidth="0" w:num="1">
            <w:col w:w="9920"/>
          </w:cols>
          <w:pgMar w:left="900" w:top="1343" w:right="1060" w:bottom="763" w:gutter="0" w:footer="0" w:header="0"/>
        </w:sectPr>
      </w:pP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320"/>
        </w:trPr>
        <w:tc>
          <w:tcPr>
            <w:tcW w:w="4100" w:type="dxa"/>
            <w:vAlign w:val="bottom"/>
            <w:shd w:val="clear" w:color="auto" w:fill="EF3E2A"/>
          </w:tcPr>
          <w:p>
            <w:pPr>
              <w:ind w:left="60"/>
              <w:spacing w:after="0"/>
              <w:rPr>
                <w:sz w:val="20"/>
                <w:szCs w:val="20"/>
                <w:color w:val="auto"/>
              </w:rPr>
            </w:pPr>
            <w:r>
              <w:rPr>
                <w:rFonts w:ascii="Arial" w:cs="Arial" w:eastAsia="Arial" w:hAnsi="Arial"/>
                <w:sz w:val="20"/>
                <w:szCs w:val="20"/>
                <w:b w:val="1"/>
                <w:bCs w:val="1"/>
                <w:color w:val="FFFFFF"/>
              </w:rPr>
              <w:t>CD&amp;A TABLE OF CONTENTS</w:t>
            </w:r>
          </w:p>
        </w:tc>
        <w:tc>
          <w:tcPr>
            <w:tcW w:w="820" w:type="dxa"/>
            <w:vAlign w:val="bottom"/>
            <w:shd w:val="clear" w:color="auto" w:fill="EF3E2A"/>
          </w:tcPr>
          <w:p>
            <w:pPr>
              <w:jc w:val="center"/>
              <w:spacing w:after="0"/>
              <w:rPr>
                <w:sz w:val="20"/>
                <w:szCs w:val="20"/>
                <w:color w:val="auto"/>
              </w:rPr>
            </w:pPr>
            <w:r>
              <w:rPr>
                <w:rFonts w:ascii="Arial" w:cs="Arial" w:eastAsia="Arial" w:hAnsi="Arial"/>
                <w:sz w:val="20"/>
                <w:szCs w:val="20"/>
                <w:b w:val="1"/>
                <w:bCs w:val="1"/>
                <w:color w:val="FFFFFF"/>
                <w:w w:val="99"/>
              </w:rPr>
              <w:t>Page #</w:t>
            </w:r>
          </w:p>
        </w:tc>
      </w:tr>
      <w:tr>
        <w:trPr>
          <w:trHeight w:val="446"/>
        </w:trPr>
        <w:tc>
          <w:tcPr>
            <w:tcW w:w="4100" w:type="dxa"/>
            <w:vAlign w:val="bottom"/>
            <w:tcBorders>
              <w:bottom w:val="single" w:sz="8" w:color="EF3E2A"/>
            </w:tcBorders>
          </w:tcPr>
          <w:p>
            <w:pPr>
              <w:ind w:left="60"/>
              <w:spacing w:after="0"/>
              <w:rPr>
                <w:sz w:val="20"/>
                <w:szCs w:val="20"/>
                <w:color w:val="auto"/>
              </w:rPr>
            </w:pPr>
            <w:r>
              <w:rPr>
                <w:rFonts w:ascii="Arial" w:cs="Arial" w:eastAsia="Arial" w:hAnsi="Arial"/>
                <w:sz w:val="20"/>
                <w:szCs w:val="20"/>
                <w:b w:val="1"/>
                <w:bCs w:val="1"/>
                <w:color w:val="231F20"/>
              </w:rPr>
              <w:t>Introduction</w:t>
            </w:r>
          </w:p>
        </w:tc>
        <w:tc>
          <w:tcPr>
            <w:tcW w:w="820" w:type="dxa"/>
            <w:vAlign w:val="bottom"/>
            <w:tcBorders>
              <w:bottom w:val="single" w:sz="8" w:color="EF3E2A"/>
            </w:tcBorders>
          </w:tcPr>
          <w:p>
            <w:pPr>
              <w:jc w:val="center"/>
              <w:spacing w:after="0"/>
              <w:rPr>
                <w:sz w:val="20"/>
                <w:szCs w:val="20"/>
                <w:color w:val="auto"/>
              </w:rPr>
            </w:pPr>
            <w:r>
              <w:rPr>
                <w:rFonts w:ascii="Arial" w:cs="Arial" w:eastAsia="Arial" w:hAnsi="Arial"/>
                <w:sz w:val="20"/>
                <w:szCs w:val="20"/>
                <w:b w:val="1"/>
                <w:bCs w:val="1"/>
                <w:color w:val="231F20"/>
                <w:w w:val="98"/>
              </w:rPr>
              <w:t>21</w:t>
            </w:r>
          </w:p>
        </w:tc>
      </w:tr>
      <w:tr>
        <w:trPr>
          <w:trHeight w:val="276"/>
        </w:trPr>
        <w:tc>
          <w:tcPr>
            <w:tcW w:w="4100" w:type="dxa"/>
            <w:vAlign w:val="bottom"/>
          </w:tcPr>
          <w:p>
            <w:pPr>
              <w:ind w:left="60"/>
              <w:spacing w:after="0"/>
              <w:rPr>
                <w:sz w:val="20"/>
                <w:szCs w:val="20"/>
                <w:color w:val="auto"/>
              </w:rPr>
            </w:pPr>
            <w:r>
              <w:rPr>
                <w:rFonts w:ascii="Arial" w:cs="Arial" w:eastAsia="Arial" w:hAnsi="Arial"/>
                <w:sz w:val="20"/>
                <w:szCs w:val="20"/>
                <w:color w:val="231F20"/>
              </w:rPr>
              <w:t>2025 Business Highlights Supporting</w:t>
            </w:r>
          </w:p>
        </w:tc>
        <w:tc>
          <w:tcPr>
            <w:tcW w:w="820" w:type="dxa"/>
            <w:vAlign w:val="bottom"/>
          </w:tcPr>
          <w:p>
            <w:pPr>
              <w:spacing w:after="0"/>
              <w:rPr>
                <w:sz w:val="24"/>
                <w:szCs w:val="24"/>
                <w:color w:val="auto"/>
              </w:rPr>
            </w:pPr>
          </w:p>
        </w:tc>
      </w:tr>
      <w:tr>
        <w:trPr>
          <w:trHeight w:val="240"/>
        </w:trPr>
        <w:tc>
          <w:tcPr>
            <w:tcW w:w="4100" w:type="dxa"/>
            <w:vAlign w:val="bottom"/>
          </w:tcPr>
          <w:p>
            <w:pPr>
              <w:ind w:left="260"/>
              <w:spacing w:after="0"/>
              <w:rPr>
                <w:sz w:val="20"/>
                <w:szCs w:val="20"/>
                <w:color w:val="auto"/>
              </w:rPr>
            </w:pPr>
            <w:r>
              <w:rPr>
                <w:rFonts w:ascii="Arial" w:cs="Arial" w:eastAsia="Arial" w:hAnsi="Arial"/>
                <w:sz w:val="20"/>
                <w:szCs w:val="20"/>
                <w:color w:val="231F20"/>
              </w:rPr>
              <w:t>Compensation Decisions</w:t>
            </w:r>
          </w:p>
        </w:tc>
        <w:tc>
          <w:tcPr>
            <w:tcW w:w="820" w:type="dxa"/>
            <w:vAlign w:val="bottom"/>
          </w:tcPr>
          <w:p>
            <w:pPr>
              <w:jc w:val="center"/>
              <w:spacing w:after="0"/>
              <w:rPr>
                <w:sz w:val="20"/>
                <w:szCs w:val="20"/>
                <w:color w:val="auto"/>
              </w:rPr>
            </w:pPr>
            <w:r>
              <w:rPr>
                <w:rFonts w:ascii="Arial" w:cs="Arial" w:eastAsia="Arial" w:hAnsi="Arial"/>
                <w:sz w:val="20"/>
                <w:szCs w:val="20"/>
                <w:color w:val="231F20"/>
                <w:w w:val="98"/>
              </w:rPr>
              <w:t>21</w:t>
            </w:r>
          </w:p>
        </w:tc>
      </w:tr>
      <w:tr>
        <w:trPr>
          <w:trHeight w:val="300"/>
        </w:trPr>
        <w:tc>
          <w:tcPr>
            <w:tcW w:w="4100" w:type="dxa"/>
            <w:vAlign w:val="bottom"/>
          </w:tcPr>
          <w:p>
            <w:pPr>
              <w:ind w:left="60"/>
              <w:spacing w:after="0"/>
              <w:rPr>
                <w:sz w:val="20"/>
                <w:szCs w:val="20"/>
                <w:color w:val="auto"/>
              </w:rPr>
            </w:pPr>
            <w:r>
              <w:rPr>
                <w:rFonts w:ascii="Arial" w:cs="Arial" w:eastAsia="Arial" w:hAnsi="Arial"/>
                <w:sz w:val="20"/>
                <w:szCs w:val="20"/>
                <w:color w:val="231F20"/>
              </w:rPr>
              <w:t>Program Philosophy and Objectives</w:t>
            </w:r>
          </w:p>
        </w:tc>
        <w:tc>
          <w:tcPr>
            <w:tcW w:w="820" w:type="dxa"/>
            <w:vAlign w:val="bottom"/>
          </w:tcPr>
          <w:p>
            <w:pPr>
              <w:jc w:val="center"/>
              <w:spacing w:after="0"/>
              <w:rPr>
                <w:sz w:val="20"/>
                <w:szCs w:val="20"/>
                <w:color w:val="auto"/>
              </w:rPr>
            </w:pPr>
            <w:r>
              <w:rPr>
                <w:rFonts w:ascii="Arial" w:cs="Arial" w:eastAsia="Arial" w:hAnsi="Arial"/>
                <w:sz w:val="20"/>
                <w:szCs w:val="20"/>
                <w:color w:val="231F20"/>
                <w:w w:val="98"/>
              </w:rPr>
              <w:t>21</w:t>
            </w:r>
          </w:p>
        </w:tc>
      </w:tr>
      <w:tr>
        <w:trPr>
          <w:trHeight w:val="300"/>
        </w:trPr>
        <w:tc>
          <w:tcPr>
            <w:tcW w:w="4100" w:type="dxa"/>
            <w:vAlign w:val="bottom"/>
          </w:tcPr>
          <w:p>
            <w:pPr>
              <w:ind w:left="60"/>
              <w:spacing w:after="0"/>
              <w:rPr>
                <w:sz w:val="20"/>
                <w:szCs w:val="20"/>
                <w:color w:val="auto"/>
              </w:rPr>
            </w:pPr>
            <w:r>
              <w:rPr>
                <w:rFonts w:ascii="Arial" w:cs="Arial" w:eastAsia="Arial" w:hAnsi="Arial"/>
                <w:sz w:val="20"/>
                <w:szCs w:val="20"/>
                <w:color w:val="231F20"/>
              </w:rPr>
              <w:t>Executive Compensation Practices</w:t>
            </w:r>
          </w:p>
        </w:tc>
        <w:tc>
          <w:tcPr>
            <w:tcW w:w="820" w:type="dxa"/>
            <w:vAlign w:val="bottom"/>
          </w:tcPr>
          <w:p>
            <w:pPr>
              <w:jc w:val="center"/>
              <w:spacing w:after="0"/>
              <w:rPr>
                <w:sz w:val="20"/>
                <w:szCs w:val="20"/>
                <w:color w:val="auto"/>
              </w:rPr>
            </w:pPr>
            <w:r>
              <w:rPr>
                <w:rFonts w:ascii="Arial" w:cs="Arial" w:eastAsia="Arial" w:hAnsi="Arial"/>
                <w:sz w:val="20"/>
                <w:szCs w:val="20"/>
                <w:color w:val="231F20"/>
                <w:w w:val="98"/>
              </w:rPr>
              <w:t>22</w:t>
            </w:r>
          </w:p>
        </w:tc>
      </w:tr>
      <w:tr>
        <w:trPr>
          <w:trHeight w:val="300"/>
        </w:trPr>
        <w:tc>
          <w:tcPr>
            <w:tcW w:w="4100" w:type="dxa"/>
            <w:vAlign w:val="bottom"/>
          </w:tcPr>
          <w:p>
            <w:pPr>
              <w:ind w:left="60"/>
              <w:spacing w:after="0"/>
              <w:rPr>
                <w:sz w:val="20"/>
                <w:szCs w:val="20"/>
                <w:color w:val="auto"/>
              </w:rPr>
            </w:pPr>
            <w:r>
              <w:rPr>
                <w:rFonts w:ascii="Arial" w:cs="Arial" w:eastAsia="Arial" w:hAnsi="Arial"/>
                <w:sz w:val="20"/>
                <w:szCs w:val="20"/>
                <w:color w:val="231F20"/>
              </w:rPr>
              <w:t>Components of Compensation</w:t>
            </w:r>
          </w:p>
        </w:tc>
        <w:tc>
          <w:tcPr>
            <w:tcW w:w="820" w:type="dxa"/>
            <w:vAlign w:val="bottom"/>
          </w:tcPr>
          <w:p>
            <w:pPr>
              <w:jc w:val="center"/>
              <w:spacing w:after="0"/>
              <w:rPr>
                <w:sz w:val="20"/>
                <w:szCs w:val="20"/>
                <w:color w:val="auto"/>
              </w:rPr>
            </w:pPr>
            <w:r>
              <w:rPr>
                <w:rFonts w:ascii="Arial" w:cs="Arial" w:eastAsia="Arial" w:hAnsi="Arial"/>
                <w:sz w:val="20"/>
                <w:szCs w:val="20"/>
                <w:color w:val="231F20"/>
                <w:w w:val="98"/>
              </w:rPr>
              <w:t>22</w:t>
            </w:r>
          </w:p>
        </w:tc>
      </w:tr>
      <w:tr>
        <w:trPr>
          <w:trHeight w:val="464"/>
        </w:trPr>
        <w:tc>
          <w:tcPr>
            <w:tcW w:w="4100" w:type="dxa"/>
            <w:vAlign w:val="bottom"/>
            <w:tcBorders>
              <w:bottom w:val="single" w:sz="8" w:color="EF3E2A"/>
            </w:tcBorders>
          </w:tcPr>
          <w:p>
            <w:pPr>
              <w:ind w:left="60"/>
              <w:spacing w:after="0"/>
              <w:rPr>
                <w:sz w:val="20"/>
                <w:szCs w:val="20"/>
                <w:color w:val="auto"/>
              </w:rPr>
            </w:pPr>
            <w:r>
              <w:rPr>
                <w:rFonts w:ascii="Arial" w:cs="Arial" w:eastAsia="Arial" w:hAnsi="Arial"/>
                <w:sz w:val="20"/>
                <w:szCs w:val="20"/>
                <w:b w:val="1"/>
                <w:bCs w:val="1"/>
                <w:color w:val="231F20"/>
              </w:rPr>
              <w:t>Compensation Setting Process</w:t>
            </w:r>
          </w:p>
        </w:tc>
        <w:tc>
          <w:tcPr>
            <w:tcW w:w="820" w:type="dxa"/>
            <w:vAlign w:val="bottom"/>
            <w:tcBorders>
              <w:bottom w:val="single" w:sz="8" w:color="EF3E2A"/>
            </w:tcBorders>
          </w:tcPr>
          <w:p>
            <w:pPr>
              <w:jc w:val="center"/>
              <w:spacing w:after="0"/>
              <w:rPr>
                <w:sz w:val="20"/>
                <w:szCs w:val="20"/>
                <w:color w:val="auto"/>
              </w:rPr>
            </w:pPr>
            <w:r>
              <w:rPr>
                <w:rFonts w:ascii="Arial" w:cs="Arial" w:eastAsia="Arial" w:hAnsi="Arial"/>
                <w:sz w:val="20"/>
                <w:szCs w:val="20"/>
                <w:b w:val="1"/>
                <w:bCs w:val="1"/>
                <w:color w:val="231F20"/>
                <w:w w:val="98"/>
              </w:rPr>
              <w:t>23</w:t>
            </w:r>
          </w:p>
        </w:tc>
      </w:tr>
      <w:tr>
        <w:trPr>
          <w:trHeight w:val="276"/>
        </w:trPr>
        <w:tc>
          <w:tcPr>
            <w:tcW w:w="4100" w:type="dxa"/>
            <w:vAlign w:val="bottom"/>
          </w:tcPr>
          <w:p>
            <w:pPr>
              <w:ind w:left="60"/>
              <w:spacing w:after="0"/>
              <w:rPr>
                <w:sz w:val="20"/>
                <w:szCs w:val="20"/>
                <w:color w:val="auto"/>
              </w:rPr>
            </w:pPr>
            <w:r>
              <w:rPr>
                <w:rFonts w:ascii="Arial" w:cs="Arial" w:eastAsia="Arial" w:hAnsi="Arial"/>
                <w:sz w:val="20"/>
                <w:szCs w:val="20"/>
                <w:color w:val="231F20"/>
              </w:rPr>
              <w:t>Annual Compensation Decision Making</w:t>
            </w:r>
          </w:p>
        </w:tc>
        <w:tc>
          <w:tcPr>
            <w:tcW w:w="820" w:type="dxa"/>
            <w:vAlign w:val="bottom"/>
          </w:tcPr>
          <w:p>
            <w:pPr>
              <w:jc w:val="center"/>
              <w:spacing w:after="0"/>
              <w:rPr>
                <w:sz w:val="20"/>
                <w:szCs w:val="20"/>
                <w:color w:val="auto"/>
              </w:rPr>
            </w:pPr>
            <w:r>
              <w:rPr>
                <w:rFonts w:ascii="Arial" w:cs="Arial" w:eastAsia="Arial" w:hAnsi="Arial"/>
                <w:sz w:val="20"/>
                <w:szCs w:val="20"/>
                <w:color w:val="231F20"/>
                <w:w w:val="98"/>
              </w:rPr>
              <w:t>23</w:t>
            </w:r>
          </w:p>
        </w:tc>
      </w:tr>
      <w:tr>
        <w:trPr>
          <w:trHeight w:val="300"/>
        </w:trPr>
        <w:tc>
          <w:tcPr>
            <w:tcW w:w="4100" w:type="dxa"/>
            <w:vAlign w:val="bottom"/>
          </w:tcPr>
          <w:p>
            <w:pPr>
              <w:ind w:left="60"/>
              <w:spacing w:after="0"/>
              <w:rPr>
                <w:sz w:val="20"/>
                <w:szCs w:val="20"/>
                <w:color w:val="auto"/>
              </w:rPr>
            </w:pPr>
            <w:r>
              <w:rPr>
                <w:rFonts w:ascii="Arial" w:cs="Arial" w:eastAsia="Arial" w:hAnsi="Arial"/>
                <w:sz w:val="20"/>
                <w:szCs w:val="20"/>
                <w:color w:val="231F20"/>
              </w:rPr>
              <w:t>Role of the Compensation Committee</w:t>
            </w:r>
          </w:p>
        </w:tc>
        <w:tc>
          <w:tcPr>
            <w:tcW w:w="820" w:type="dxa"/>
            <w:vAlign w:val="bottom"/>
          </w:tcPr>
          <w:p>
            <w:pPr>
              <w:jc w:val="center"/>
              <w:spacing w:after="0"/>
              <w:rPr>
                <w:sz w:val="20"/>
                <w:szCs w:val="20"/>
                <w:color w:val="auto"/>
              </w:rPr>
            </w:pPr>
            <w:r>
              <w:rPr>
                <w:rFonts w:ascii="Arial" w:cs="Arial" w:eastAsia="Arial" w:hAnsi="Arial"/>
                <w:sz w:val="20"/>
                <w:szCs w:val="20"/>
                <w:color w:val="231F20"/>
                <w:w w:val="98"/>
              </w:rPr>
              <w:t>23</w:t>
            </w:r>
          </w:p>
        </w:tc>
      </w:tr>
      <w:tr>
        <w:trPr>
          <w:trHeight w:val="298"/>
        </w:trPr>
        <w:tc>
          <w:tcPr>
            <w:tcW w:w="4100" w:type="dxa"/>
            <w:vAlign w:val="bottom"/>
          </w:tcPr>
          <w:p>
            <w:pPr>
              <w:ind w:left="60"/>
              <w:spacing w:after="0"/>
              <w:rPr>
                <w:sz w:val="20"/>
                <w:szCs w:val="20"/>
                <w:color w:val="auto"/>
              </w:rPr>
            </w:pPr>
            <w:r>
              <w:rPr>
                <w:rFonts w:ascii="Arial" w:cs="Arial" w:eastAsia="Arial" w:hAnsi="Arial"/>
                <w:sz w:val="20"/>
                <w:szCs w:val="20"/>
                <w:color w:val="231F20"/>
              </w:rPr>
              <w:t>Role of Management</w:t>
            </w:r>
          </w:p>
        </w:tc>
        <w:tc>
          <w:tcPr>
            <w:tcW w:w="820" w:type="dxa"/>
            <w:vAlign w:val="bottom"/>
          </w:tcPr>
          <w:p>
            <w:pPr>
              <w:jc w:val="center"/>
              <w:spacing w:after="0"/>
              <w:rPr>
                <w:sz w:val="20"/>
                <w:szCs w:val="20"/>
                <w:color w:val="auto"/>
              </w:rPr>
            </w:pPr>
            <w:r>
              <w:rPr>
                <w:rFonts w:ascii="Arial" w:cs="Arial" w:eastAsia="Arial" w:hAnsi="Arial"/>
                <w:sz w:val="20"/>
                <w:szCs w:val="20"/>
                <w:color w:val="231F20"/>
                <w:w w:val="98"/>
              </w:rPr>
              <w:t>23</w:t>
            </w:r>
          </w:p>
        </w:tc>
      </w:tr>
      <w:tr>
        <w:trPr>
          <w:trHeight w:val="300"/>
        </w:trPr>
        <w:tc>
          <w:tcPr>
            <w:tcW w:w="4100" w:type="dxa"/>
            <w:vAlign w:val="bottom"/>
          </w:tcPr>
          <w:p>
            <w:pPr>
              <w:ind w:left="60"/>
              <w:spacing w:after="0"/>
              <w:rPr>
                <w:sz w:val="20"/>
                <w:szCs w:val="20"/>
                <w:color w:val="auto"/>
              </w:rPr>
            </w:pPr>
            <w:r>
              <w:rPr>
                <w:rFonts w:ascii="Arial" w:cs="Arial" w:eastAsia="Arial" w:hAnsi="Arial"/>
                <w:sz w:val="20"/>
                <w:szCs w:val="20"/>
                <w:color w:val="231F20"/>
              </w:rPr>
              <w:t>Role of Independent Compensation</w:t>
            </w:r>
          </w:p>
        </w:tc>
        <w:tc>
          <w:tcPr>
            <w:tcW w:w="820" w:type="dxa"/>
            <w:vAlign w:val="bottom"/>
          </w:tcPr>
          <w:p>
            <w:pPr>
              <w:spacing w:after="0"/>
              <w:rPr>
                <w:sz w:val="24"/>
                <w:szCs w:val="24"/>
                <w:color w:val="auto"/>
              </w:rPr>
            </w:pPr>
          </w:p>
        </w:tc>
      </w:tr>
      <w:tr>
        <w:trPr>
          <w:trHeight w:val="240"/>
        </w:trPr>
        <w:tc>
          <w:tcPr>
            <w:tcW w:w="4100" w:type="dxa"/>
            <w:vAlign w:val="bottom"/>
          </w:tcPr>
          <w:p>
            <w:pPr>
              <w:ind w:left="260"/>
              <w:spacing w:after="0"/>
              <w:rPr>
                <w:sz w:val="20"/>
                <w:szCs w:val="20"/>
                <w:color w:val="auto"/>
              </w:rPr>
            </w:pPr>
            <w:r>
              <w:rPr>
                <w:rFonts w:ascii="Arial" w:cs="Arial" w:eastAsia="Arial" w:hAnsi="Arial"/>
                <w:sz w:val="20"/>
                <w:szCs w:val="20"/>
                <w:color w:val="231F20"/>
              </w:rPr>
              <w:t>Consultant</w:t>
            </w:r>
          </w:p>
        </w:tc>
        <w:tc>
          <w:tcPr>
            <w:tcW w:w="820" w:type="dxa"/>
            <w:vAlign w:val="bottom"/>
          </w:tcPr>
          <w:p>
            <w:pPr>
              <w:jc w:val="center"/>
              <w:spacing w:after="0"/>
              <w:rPr>
                <w:sz w:val="20"/>
                <w:szCs w:val="20"/>
                <w:color w:val="auto"/>
              </w:rPr>
            </w:pPr>
            <w:r>
              <w:rPr>
                <w:rFonts w:ascii="Arial" w:cs="Arial" w:eastAsia="Arial" w:hAnsi="Arial"/>
                <w:sz w:val="20"/>
                <w:szCs w:val="20"/>
                <w:color w:val="231F20"/>
                <w:w w:val="98"/>
              </w:rPr>
              <w:t>23</w:t>
            </w:r>
          </w:p>
        </w:tc>
      </w:tr>
      <w:tr>
        <w:trPr>
          <w:trHeight w:val="465"/>
        </w:trPr>
        <w:tc>
          <w:tcPr>
            <w:tcW w:w="4100" w:type="dxa"/>
            <w:vAlign w:val="bottom"/>
            <w:tcBorders>
              <w:bottom w:val="single" w:sz="8" w:color="EF3E2A"/>
            </w:tcBorders>
          </w:tcPr>
          <w:p>
            <w:pPr>
              <w:ind w:left="60"/>
              <w:spacing w:after="0"/>
              <w:rPr>
                <w:sz w:val="20"/>
                <w:szCs w:val="20"/>
                <w:color w:val="auto"/>
              </w:rPr>
            </w:pPr>
            <w:r>
              <w:rPr>
                <w:rFonts w:ascii="Arial" w:cs="Arial" w:eastAsia="Arial" w:hAnsi="Arial"/>
                <w:sz w:val="20"/>
                <w:szCs w:val="20"/>
                <w:b w:val="1"/>
                <w:bCs w:val="1"/>
                <w:color w:val="231F20"/>
              </w:rPr>
              <w:t>2025 Compensation Decisions</w:t>
            </w:r>
          </w:p>
        </w:tc>
        <w:tc>
          <w:tcPr>
            <w:tcW w:w="820" w:type="dxa"/>
            <w:vAlign w:val="bottom"/>
            <w:tcBorders>
              <w:bottom w:val="single" w:sz="8" w:color="EF3E2A"/>
            </w:tcBorders>
          </w:tcPr>
          <w:p>
            <w:pPr>
              <w:jc w:val="center"/>
              <w:spacing w:after="0"/>
              <w:rPr>
                <w:sz w:val="20"/>
                <w:szCs w:val="20"/>
                <w:color w:val="auto"/>
              </w:rPr>
            </w:pPr>
            <w:r>
              <w:rPr>
                <w:rFonts w:ascii="Arial" w:cs="Arial" w:eastAsia="Arial" w:hAnsi="Arial"/>
                <w:sz w:val="20"/>
                <w:szCs w:val="20"/>
                <w:b w:val="1"/>
                <w:bCs w:val="1"/>
                <w:color w:val="231F20"/>
                <w:w w:val="98"/>
              </w:rPr>
              <w:t>23</w:t>
            </w:r>
          </w:p>
        </w:tc>
      </w:tr>
      <w:tr>
        <w:trPr>
          <w:trHeight w:val="275"/>
        </w:trPr>
        <w:tc>
          <w:tcPr>
            <w:tcW w:w="4100" w:type="dxa"/>
            <w:vAlign w:val="bottom"/>
          </w:tcPr>
          <w:p>
            <w:pPr>
              <w:ind w:left="60"/>
              <w:spacing w:after="0"/>
              <w:rPr>
                <w:sz w:val="20"/>
                <w:szCs w:val="20"/>
                <w:color w:val="auto"/>
              </w:rPr>
            </w:pPr>
            <w:r>
              <w:rPr>
                <w:rFonts w:ascii="Arial" w:cs="Arial" w:eastAsia="Arial" w:hAnsi="Arial"/>
                <w:sz w:val="20"/>
                <w:szCs w:val="20"/>
                <w:color w:val="231F20"/>
              </w:rPr>
              <w:t>Setting 2025 Target Compensation</w:t>
            </w:r>
          </w:p>
        </w:tc>
        <w:tc>
          <w:tcPr>
            <w:tcW w:w="820" w:type="dxa"/>
            <w:vAlign w:val="bottom"/>
          </w:tcPr>
          <w:p>
            <w:pPr>
              <w:jc w:val="center"/>
              <w:spacing w:after="0"/>
              <w:rPr>
                <w:sz w:val="20"/>
                <w:szCs w:val="20"/>
                <w:color w:val="auto"/>
              </w:rPr>
            </w:pPr>
            <w:r>
              <w:rPr>
                <w:rFonts w:ascii="Arial" w:cs="Arial" w:eastAsia="Arial" w:hAnsi="Arial"/>
                <w:sz w:val="20"/>
                <w:szCs w:val="20"/>
                <w:color w:val="231F20"/>
                <w:w w:val="98"/>
              </w:rPr>
              <w:t>23</w:t>
            </w:r>
          </w:p>
        </w:tc>
      </w:tr>
      <w:tr>
        <w:trPr>
          <w:trHeight w:val="300"/>
        </w:trPr>
        <w:tc>
          <w:tcPr>
            <w:tcW w:w="4100" w:type="dxa"/>
            <w:vAlign w:val="bottom"/>
          </w:tcPr>
          <w:p>
            <w:pPr>
              <w:ind w:left="60"/>
              <w:spacing w:after="0"/>
              <w:rPr>
                <w:sz w:val="20"/>
                <w:szCs w:val="20"/>
                <w:color w:val="auto"/>
              </w:rPr>
            </w:pPr>
            <w:r>
              <w:rPr>
                <w:rFonts w:ascii="Arial" w:cs="Arial" w:eastAsia="Arial" w:hAnsi="Arial"/>
                <w:sz w:val="20"/>
                <w:szCs w:val="20"/>
                <w:color w:val="231F20"/>
              </w:rPr>
              <w:t>Individual Elements of 2025 Pay</w:t>
            </w:r>
          </w:p>
        </w:tc>
        <w:tc>
          <w:tcPr>
            <w:tcW w:w="820" w:type="dxa"/>
            <w:vAlign w:val="bottom"/>
          </w:tcPr>
          <w:p>
            <w:pPr>
              <w:jc w:val="center"/>
              <w:spacing w:after="0"/>
              <w:rPr>
                <w:sz w:val="20"/>
                <w:szCs w:val="20"/>
                <w:color w:val="auto"/>
              </w:rPr>
            </w:pPr>
            <w:r>
              <w:rPr>
                <w:rFonts w:ascii="Arial" w:cs="Arial" w:eastAsia="Arial" w:hAnsi="Arial"/>
                <w:sz w:val="20"/>
                <w:szCs w:val="20"/>
                <w:color w:val="231F20"/>
                <w:w w:val="98"/>
              </w:rPr>
              <w:t>24</w:t>
            </w:r>
          </w:p>
        </w:tc>
      </w:tr>
      <w:tr>
        <w:trPr>
          <w:trHeight w:val="300"/>
        </w:trPr>
        <w:tc>
          <w:tcPr>
            <w:tcW w:w="4100" w:type="dxa"/>
            <w:vAlign w:val="bottom"/>
          </w:tcPr>
          <w:p>
            <w:pPr>
              <w:ind w:left="460"/>
              <w:spacing w:after="0"/>
              <w:rPr>
                <w:sz w:val="20"/>
                <w:szCs w:val="20"/>
                <w:color w:val="auto"/>
              </w:rPr>
            </w:pPr>
            <w:r>
              <w:rPr>
                <w:rFonts w:ascii="Arial" w:cs="Arial" w:eastAsia="Arial" w:hAnsi="Arial"/>
                <w:sz w:val="20"/>
                <w:szCs w:val="20"/>
                <w:i w:val="1"/>
                <w:iCs w:val="1"/>
                <w:color w:val="231F20"/>
              </w:rPr>
              <w:t>Base Pay</w:t>
            </w:r>
          </w:p>
        </w:tc>
        <w:tc>
          <w:tcPr>
            <w:tcW w:w="820" w:type="dxa"/>
            <w:vAlign w:val="bottom"/>
          </w:tcPr>
          <w:p>
            <w:pPr>
              <w:jc w:val="center"/>
              <w:spacing w:after="0"/>
              <w:rPr>
                <w:sz w:val="20"/>
                <w:szCs w:val="20"/>
                <w:color w:val="auto"/>
              </w:rPr>
            </w:pPr>
            <w:r>
              <w:rPr>
                <w:rFonts w:ascii="Arial" w:cs="Arial" w:eastAsia="Arial" w:hAnsi="Arial"/>
                <w:sz w:val="20"/>
                <w:szCs w:val="20"/>
                <w:color w:val="231F20"/>
                <w:w w:val="98"/>
              </w:rPr>
              <w:t>24</w:t>
            </w:r>
          </w:p>
        </w:tc>
      </w:tr>
      <w:tr>
        <w:trPr>
          <w:trHeight w:val="300"/>
        </w:trPr>
        <w:tc>
          <w:tcPr>
            <w:tcW w:w="4100" w:type="dxa"/>
            <w:vAlign w:val="bottom"/>
          </w:tcPr>
          <w:p>
            <w:pPr>
              <w:ind w:left="460"/>
              <w:spacing w:after="0"/>
              <w:rPr>
                <w:sz w:val="20"/>
                <w:szCs w:val="20"/>
                <w:color w:val="auto"/>
              </w:rPr>
            </w:pPr>
            <w:r>
              <w:rPr>
                <w:rFonts w:ascii="Arial" w:cs="Arial" w:eastAsia="Arial" w:hAnsi="Arial"/>
                <w:sz w:val="20"/>
                <w:szCs w:val="20"/>
                <w:i w:val="1"/>
                <w:iCs w:val="1"/>
                <w:color w:val="231F20"/>
              </w:rPr>
              <w:t>Annual Bonus Program</w:t>
            </w:r>
          </w:p>
        </w:tc>
        <w:tc>
          <w:tcPr>
            <w:tcW w:w="820" w:type="dxa"/>
            <w:vAlign w:val="bottom"/>
          </w:tcPr>
          <w:p>
            <w:pPr>
              <w:jc w:val="center"/>
              <w:spacing w:after="0"/>
              <w:rPr>
                <w:sz w:val="20"/>
                <w:szCs w:val="20"/>
                <w:color w:val="auto"/>
              </w:rPr>
            </w:pPr>
            <w:r>
              <w:rPr>
                <w:rFonts w:ascii="Arial" w:cs="Arial" w:eastAsia="Arial" w:hAnsi="Arial"/>
                <w:sz w:val="20"/>
                <w:szCs w:val="20"/>
                <w:color w:val="231F20"/>
                <w:w w:val="98"/>
              </w:rPr>
              <w:t>24</w:t>
            </w:r>
          </w:p>
        </w:tc>
      </w:tr>
      <w:tr>
        <w:trPr>
          <w:trHeight w:val="300"/>
        </w:trPr>
        <w:tc>
          <w:tcPr>
            <w:tcW w:w="4100" w:type="dxa"/>
            <w:vAlign w:val="bottom"/>
          </w:tcPr>
          <w:p>
            <w:pPr>
              <w:ind w:left="460"/>
              <w:spacing w:after="0"/>
              <w:rPr>
                <w:sz w:val="20"/>
                <w:szCs w:val="20"/>
                <w:color w:val="auto"/>
              </w:rPr>
            </w:pPr>
            <w:r>
              <w:rPr>
                <w:rFonts w:ascii="Arial" w:cs="Arial" w:eastAsia="Arial" w:hAnsi="Arial"/>
                <w:sz w:val="20"/>
                <w:szCs w:val="20"/>
                <w:i w:val="1"/>
                <w:iCs w:val="1"/>
                <w:color w:val="231F20"/>
              </w:rPr>
              <w:t>Long-Term Incentive Program</w:t>
            </w:r>
          </w:p>
        </w:tc>
        <w:tc>
          <w:tcPr>
            <w:tcW w:w="820" w:type="dxa"/>
            <w:vAlign w:val="bottom"/>
          </w:tcPr>
          <w:p>
            <w:pPr>
              <w:jc w:val="center"/>
              <w:spacing w:after="0"/>
              <w:rPr>
                <w:sz w:val="20"/>
                <w:szCs w:val="20"/>
                <w:color w:val="auto"/>
              </w:rPr>
            </w:pPr>
            <w:r>
              <w:rPr>
                <w:rFonts w:ascii="Arial" w:cs="Arial" w:eastAsia="Arial" w:hAnsi="Arial"/>
                <w:sz w:val="20"/>
                <w:szCs w:val="20"/>
                <w:color w:val="231F20"/>
                <w:w w:val="98"/>
              </w:rPr>
              <w:t>25</w:t>
            </w:r>
          </w:p>
        </w:tc>
      </w:tr>
      <w:tr>
        <w:trPr>
          <w:trHeight w:val="465"/>
        </w:trPr>
        <w:tc>
          <w:tcPr>
            <w:tcW w:w="4100" w:type="dxa"/>
            <w:vAlign w:val="bottom"/>
            <w:tcBorders>
              <w:bottom w:val="single" w:sz="8" w:color="EF3E2A"/>
            </w:tcBorders>
          </w:tcPr>
          <w:p>
            <w:pPr>
              <w:ind w:left="60"/>
              <w:spacing w:after="0"/>
              <w:rPr>
                <w:sz w:val="20"/>
                <w:szCs w:val="20"/>
                <w:color w:val="auto"/>
              </w:rPr>
            </w:pPr>
            <w:r>
              <w:rPr>
                <w:rFonts w:ascii="Arial" w:cs="Arial" w:eastAsia="Arial" w:hAnsi="Arial"/>
                <w:sz w:val="20"/>
                <w:szCs w:val="20"/>
                <w:b w:val="1"/>
                <w:bCs w:val="1"/>
                <w:color w:val="231F20"/>
              </w:rPr>
              <w:t>2025 NEO Performance Summary</w:t>
            </w:r>
          </w:p>
        </w:tc>
        <w:tc>
          <w:tcPr>
            <w:tcW w:w="820" w:type="dxa"/>
            <w:vAlign w:val="bottom"/>
            <w:tcBorders>
              <w:bottom w:val="single" w:sz="8" w:color="EF3E2A"/>
            </w:tcBorders>
          </w:tcPr>
          <w:p>
            <w:pPr>
              <w:jc w:val="center"/>
              <w:spacing w:after="0"/>
              <w:rPr>
                <w:sz w:val="20"/>
                <w:szCs w:val="20"/>
                <w:color w:val="auto"/>
              </w:rPr>
            </w:pPr>
            <w:r>
              <w:rPr>
                <w:rFonts w:ascii="Arial" w:cs="Arial" w:eastAsia="Arial" w:hAnsi="Arial"/>
                <w:sz w:val="20"/>
                <w:szCs w:val="20"/>
                <w:b w:val="1"/>
                <w:bCs w:val="1"/>
                <w:color w:val="231F20"/>
                <w:w w:val="98"/>
              </w:rPr>
              <w:t>27</w:t>
            </w:r>
          </w:p>
        </w:tc>
      </w:tr>
      <w:tr>
        <w:trPr>
          <w:trHeight w:val="435"/>
        </w:trPr>
        <w:tc>
          <w:tcPr>
            <w:tcW w:w="4100" w:type="dxa"/>
            <w:vAlign w:val="bottom"/>
          </w:tcPr>
          <w:p>
            <w:pPr>
              <w:ind w:left="60"/>
              <w:spacing w:after="0"/>
              <w:rPr>
                <w:sz w:val="20"/>
                <w:szCs w:val="20"/>
                <w:color w:val="auto"/>
              </w:rPr>
            </w:pPr>
            <w:r>
              <w:rPr>
                <w:rFonts w:ascii="Arial" w:cs="Arial" w:eastAsia="Arial" w:hAnsi="Arial"/>
                <w:sz w:val="20"/>
                <w:szCs w:val="20"/>
                <w:b w:val="1"/>
                <w:bCs w:val="1"/>
                <w:color w:val="231F20"/>
              </w:rPr>
              <w:t>Other Compensation Practices and</w:t>
            </w:r>
          </w:p>
        </w:tc>
        <w:tc>
          <w:tcPr>
            <w:tcW w:w="820" w:type="dxa"/>
            <w:vAlign w:val="bottom"/>
          </w:tcPr>
          <w:p>
            <w:pPr>
              <w:spacing w:after="0"/>
              <w:rPr>
                <w:sz w:val="24"/>
                <w:szCs w:val="24"/>
                <w:color w:val="auto"/>
              </w:rPr>
            </w:pPr>
          </w:p>
        </w:tc>
      </w:tr>
      <w:tr>
        <w:trPr>
          <w:trHeight w:val="245"/>
        </w:trPr>
        <w:tc>
          <w:tcPr>
            <w:tcW w:w="4100" w:type="dxa"/>
            <w:vAlign w:val="bottom"/>
            <w:tcBorders>
              <w:bottom w:val="single" w:sz="8" w:color="EF3E2A"/>
            </w:tcBorders>
          </w:tcPr>
          <w:p>
            <w:pPr>
              <w:ind w:left="260"/>
              <w:spacing w:after="0"/>
              <w:rPr>
                <w:sz w:val="20"/>
                <w:szCs w:val="20"/>
                <w:color w:val="auto"/>
              </w:rPr>
            </w:pPr>
            <w:r>
              <w:rPr>
                <w:rFonts w:ascii="Arial" w:cs="Arial" w:eastAsia="Arial" w:hAnsi="Arial"/>
                <w:sz w:val="20"/>
                <w:szCs w:val="20"/>
                <w:b w:val="1"/>
                <w:bCs w:val="1"/>
                <w:color w:val="231F20"/>
              </w:rPr>
              <w:t>Policies</w:t>
            </w:r>
          </w:p>
        </w:tc>
        <w:tc>
          <w:tcPr>
            <w:tcW w:w="820" w:type="dxa"/>
            <w:vAlign w:val="bottom"/>
            <w:tcBorders>
              <w:bottom w:val="single" w:sz="8" w:color="EF3E2A"/>
            </w:tcBorders>
          </w:tcPr>
          <w:p>
            <w:pPr>
              <w:jc w:val="center"/>
              <w:spacing w:after="0"/>
              <w:rPr>
                <w:sz w:val="20"/>
                <w:szCs w:val="20"/>
                <w:color w:val="auto"/>
              </w:rPr>
            </w:pPr>
            <w:r>
              <w:rPr>
                <w:rFonts w:ascii="Arial" w:cs="Arial" w:eastAsia="Arial" w:hAnsi="Arial"/>
                <w:sz w:val="20"/>
                <w:szCs w:val="20"/>
                <w:b w:val="1"/>
                <w:bCs w:val="1"/>
                <w:color w:val="231F20"/>
                <w:w w:val="98"/>
              </w:rPr>
              <w:t>28</w:t>
            </w:r>
          </w:p>
        </w:tc>
      </w:tr>
      <w:tr>
        <w:trPr>
          <w:trHeight w:val="275"/>
        </w:trPr>
        <w:tc>
          <w:tcPr>
            <w:tcW w:w="4100" w:type="dxa"/>
            <w:vAlign w:val="bottom"/>
          </w:tcPr>
          <w:p>
            <w:pPr>
              <w:ind w:left="60"/>
              <w:spacing w:after="0"/>
              <w:rPr>
                <w:sz w:val="20"/>
                <w:szCs w:val="20"/>
                <w:color w:val="auto"/>
              </w:rPr>
            </w:pPr>
            <w:r>
              <w:rPr>
                <w:rFonts w:ascii="Arial" w:cs="Arial" w:eastAsia="Arial" w:hAnsi="Arial"/>
                <w:sz w:val="20"/>
                <w:szCs w:val="20"/>
                <w:color w:val="231F20"/>
              </w:rPr>
              <w:t>Consideration of Say on Pay Vote</w:t>
            </w:r>
          </w:p>
        </w:tc>
        <w:tc>
          <w:tcPr>
            <w:tcW w:w="820" w:type="dxa"/>
            <w:vAlign w:val="bottom"/>
          </w:tcPr>
          <w:p>
            <w:pPr>
              <w:jc w:val="center"/>
              <w:spacing w:after="0"/>
              <w:rPr>
                <w:sz w:val="20"/>
                <w:szCs w:val="20"/>
                <w:color w:val="auto"/>
              </w:rPr>
            </w:pPr>
            <w:r>
              <w:rPr>
                <w:rFonts w:ascii="Arial" w:cs="Arial" w:eastAsia="Arial" w:hAnsi="Arial"/>
                <w:sz w:val="20"/>
                <w:szCs w:val="20"/>
                <w:color w:val="231F20"/>
                <w:w w:val="98"/>
              </w:rPr>
              <w:t>28</w:t>
            </w:r>
          </w:p>
        </w:tc>
      </w:tr>
      <w:tr>
        <w:trPr>
          <w:trHeight w:val="300"/>
        </w:trPr>
        <w:tc>
          <w:tcPr>
            <w:tcW w:w="4100" w:type="dxa"/>
            <w:vAlign w:val="bottom"/>
          </w:tcPr>
          <w:p>
            <w:pPr>
              <w:ind w:left="60"/>
              <w:spacing w:after="0"/>
              <w:rPr>
                <w:sz w:val="20"/>
                <w:szCs w:val="20"/>
                <w:color w:val="auto"/>
              </w:rPr>
            </w:pPr>
            <w:r>
              <w:rPr>
                <w:rFonts w:ascii="Arial" w:cs="Arial" w:eastAsia="Arial" w:hAnsi="Arial"/>
                <w:sz w:val="20"/>
                <w:szCs w:val="20"/>
                <w:color w:val="231F20"/>
              </w:rPr>
              <w:t>No Hedging or Pledging of Our Shares</w:t>
            </w:r>
          </w:p>
        </w:tc>
        <w:tc>
          <w:tcPr>
            <w:tcW w:w="820" w:type="dxa"/>
            <w:vAlign w:val="bottom"/>
          </w:tcPr>
          <w:p>
            <w:pPr>
              <w:jc w:val="center"/>
              <w:spacing w:after="0"/>
              <w:rPr>
                <w:sz w:val="20"/>
                <w:szCs w:val="20"/>
                <w:color w:val="auto"/>
              </w:rPr>
            </w:pPr>
            <w:r>
              <w:rPr>
                <w:rFonts w:ascii="Arial" w:cs="Arial" w:eastAsia="Arial" w:hAnsi="Arial"/>
                <w:sz w:val="20"/>
                <w:szCs w:val="20"/>
                <w:color w:val="231F20"/>
                <w:w w:val="98"/>
              </w:rPr>
              <w:t>28</w:t>
            </w:r>
          </w:p>
        </w:tc>
      </w:tr>
      <w:tr>
        <w:trPr>
          <w:trHeight w:val="300"/>
        </w:trPr>
        <w:tc>
          <w:tcPr>
            <w:tcW w:w="4100" w:type="dxa"/>
            <w:vAlign w:val="bottom"/>
          </w:tcPr>
          <w:p>
            <w:pPr>
              <w:ind w:left="60"/>
              <w:spacing w:after="0"/>
              <w:rPr>
                <w:sz w:val="20"/>
                <w:szCs w:val="20"/>
                <w:color w:val="auto"/>
              </w:rPr>
            </w:pPr>
            <w:r>
              <w:rPr>
                <w:rFonts w:ascii="Arial" w:cs="Arial" w:eastAsia="Arial" w:hAnsi="Arial"/>
                <w:sz w:val="20"/>
                <w:szCs w:val="20"/>
                <w:color w:val="231F20"/>
              </w:rPr>
              <w:t>Severance and Change-in-Control</w:t>
            </w:r>
          </w:p>
        </w:tc>
        <w:tc>
          <w:tcPr>
            <w:tcW w:w="820" w:type="dxa"/>
            <w:vAlign w:val="bottom"/>
          </w:tcPr>
          <w:p>
            <w:pPr>
              <w:spacing w:after="0"/>
              <w:rPr>
                <w:sz w:val="24"/>
                <w:szCs w:val="24"/>
                <w:color w:val="auto"/>
              </w:rPr>
            </w:pPr>
          </w:p>
        </w:tc>
      </w:tr>
      <w:tr>
        <w:trPr>
          <w:trHeight w:val="240"/>
        </w:trPr>
        <w:tc>
          <w:tcPr>
            <w:tcW w:w="4100" w:type="dxa"/>
            <w:vAlign w:val="bottom"/>
          </w:tcPr>
          <w:p>
            <w:pPr>
              <w:ind w:left="260"/>
              <w:spacing w:after="0"/>
              <w:rPr>
                <w:sz w:val="20"/>
                <w:szCs w:val="20"/>
                <w:color w:val="auto"/>
              </w:rPr>
            </w:pPr>
            <w:r>
              <w:rPr>
                <w:rFonts w:ascii="Arial" w:cs="Arial" w:eastAsia="Arial" w:hAnsi="Arial"/>
                <w:sz w:val="20"/>
                <w:szCs w:val="20"/>
                <w:color w:val="231F20"/>
              </w:rPr>
              <w:t>Arrangements</w:t>
            </w:r>
          </w:p>
        </w:tc>
        <w:tc>
          <w:tcPr>
            <w:tcW w:w="820" w:type="dxa"/>
            <w:vAlign w:val="bottom"/>
          </w:tcPr>
          <w:p>
            <w:pPr>
              <w:jc w:val="center"/>
              <w:spacing w:after="0"/>
              <w:rPr>
                <w:sz w:val="20"/>
                <w:szCs w:val="20"/>
                <w:color w:val="auto"/>
              </w:rPr>
            </w:pPr>
            <w:r>
              <w:rPr>
                <w:rFonts w:ascii="Arial" w:cs="Arial" w:eastAsia="Arial" w:hAnsi="Arial"/>
                <w:sz w:val="20"/>
                <w:szCs w:val="20"/>
                <w:color w:val="231F20"/>
                <w:w w:val="98"/>
              </w:rPr>
              <w:t>28</w:t>
            </w:r>
          </w:p>
        </w:tc>
      </w:tr>
      <w:tr>
        <w:trPr>
          <w:trHeight w:val="302"/>
        </w:trPr>
        <w:tc>
          <w:tcPr>
            <w:tcW w:w="4100" w:type="dxa"/>
            <w:vAlign w:val="bottom"/>
          </w:tcPr>
          <w:p>
            <w:pPr>
              <w:ind w:left="60"/>
              <w:spacing w:after="0"/>
              <w:rPr>
                <w:sz w:val="20"/>
                <w:szCs w:val="20"/>
                <w:color w:val="auto"/>
              </w:rPr>
            </w:pPr>
            <w:r>
              <w:rPr>
                <w:rFonts w:ascii="Arial" w:cs="Arial" w:eastAsia="Arial" w:hAnsi="Arial"/>
                <w:sz w:val="20"/>
                <w:szCs w:val="20"/>
                <w:color w:val="231F20"/>
              </w:rPr>
              <w:t>Clawback Policy</w:t>
            </w:r>
          </w:p>
        </w:tc>
        <w:tc>
          <w:tcPr>
            <w:tcW w:w="820" w:type="dxa"/>
            <w:vAlign w:val="bottom"/>
          </w:tcPr>
          <w:p>
            <w:pPr>
              <w:jc w:val="center"/>
              <w:spacing w:after="0"/>
              <w:rPr>
                <w:sz w:val="20"/>
                <w:szCs w:val="20"/>
                <w:color w:val="auto"/>
              </w:rPr>
            </w:pPr>
            <w:r>
              <w:rPr>
                <w:rFonts w:ascii="Arial" w:cs="Arial" w:eastAsia="Arial" w:hAnsi="Arial"/>
                <w:sz w:val="20"/>
                <w:szCs w:val="20"/>
                <w:color w:val="231F20"/>
                <w:w w:val="98"/>
              </w:rPr>
              <w:t>29</w:t>
            </w:r>
          </w:p>
        </w:tc>
      </w:tr>
      <w:tr>
        <w:trPr>
          <w:trHeight w:val="300"/>
        </w:trPr>
        <w:tc>
          <w:tcPr>
            <w:tcW w:w="4100" w:type="dxa"/>
            <w:vAlign w:val="bottom"/>
          </w:tcPr>
          <w:p>
            <w:pPr>
              <w:ind w:left="60"/>
              <w:spacing w:after="0"/>
              <w:rPr>
                <w:sz w:val="20"/>
                <w:szCs w:val="20"/>
                <w:color w:val="auto"/>
              </w:rPr>
            </w:pPr>
            <w:r>
              <w:rPr>
                <w:rFonts w:ascii="Arial" w:cs="Arial" w:eastAsia="Arial" w:hAnsi="Arial"/>
                <w:sz w:val="20"/>
                <w:szCs w:val="20"/>
                <w:color w:val="231F20"/>
              </w:rPr>
              <w:t>Share Ownership Guidelines</w:t>
            </w:r>
          </w:p>
        </w:tc>
        <w:tc>
          <w:tcPr>
            <w:tcW w:w="820" w:type="dxa"/>
            <w:vAlign w:val="bottom"/>
          </w:tcPr>
          <w:p>
            <w:pPr>
              <w:jc w:val="center"/>
              <w:spacing w:after="0"/>
              <w:rPr>
                <w:sz w:val="20"/>
                <w:szCs w:val="20"/>
                <w:color w:val="auto"/>
              </w:rPr>
            </w:pPr>
            <w:r>
              <w:rPr>
                <w:rFonts w:ascii="Arial" w:cs="Arial" w:eastAsia="Arial" w:hAnsi="Arial"/>
                <w:sz w:val="20"/>
                <w:szCs w:val="20"/>
                <w:color w:val="231F20"/>
                <w:w w:val="98"/>
              </w:rPr>
              <w:t>29</w:t>
            </w:r>
          </w:p>
        </w:tc>
      </w:tr>
      <w:tr>
        <w:trPr>
          <w:trHeight w:val="300"/>
        </w:trPr>
        <w:tc>
          <w:tcPr>
            <w:tcW w:w="4100" w:type="dxa"/>
            <w:vAlign w:val="bottom"/>
          </w:tcPr>
          <w:p>
            <w:pPr>
              <w:ind w:left="60"/>
              <w:spacing w:after="0"/>
              <w:rPr>
                <w:sz w:val="20"/>
                <w:szCs w:val="20"/>
                <w:color w:val="auto"/>
              </w:rPr>
            </w:pPr>
            <w:r>
              <w:rPr>
                <w:rFonts w:ascii="Arial" w:cs="Arial" w:eastAsia="Arial" w:hAnsi="Arial"/>
                <w:sz w:val="20"/>
                <w:szCs w:val="20"/>
                <w:color w:val="231F20"/>
              </w:rPr>
              <w:t>Risk Assessment of Compensation</w:t>
            </w:r>
          </w:p>
        </w:tc>
        <w:tc>
          <w:tcPr>
            <w:tcW w:w="820" w:type="dxa"/>
            <w:vAlign w:val="bottom"/>
          </w:tcPr>
          <w:p>
            <w:pPr>
              <w:spacing w:after="0"/>
              <w:rPr>
                <w:sz w:val="24"/>
                <w:szCs w:val="24"/>
                <w:color w:val="auto"/>
              </w:rPr>
            </w:pPr>
          </w:p>
        </w:tc>
      </w:tr>
      <w:tr>
        <w:trPr>
          <w:trHeight w:val="240"/>
        </w:trPr>
        <w:tc>
          <w:tcPr>
            <w:tcW w:w="4100" w:type="dxa"/>
            <w:vAlign w:val="bottom"/>
          </w:tcPr>
          <w:p>
            <w:pPr>
              <w:ind w:left="260"/>
              <w:spacing w:after="0"/>
              <w:rPr>
                <w:sz w:val="20"/>
                <w:szCs w:val="20"/>
                <w:color w:val="auto"/>
              </w:rPr>
            </w:pPr>
            <w:r>
              <w:rPr>
                <w:rFonts w:ascii="Arial" w:cs="Arial" w:eastAsia="Arial" w:hAnsi="Arial"/>
                <w:sz w:val="20"/>
                <w:szCs w:val="20"/>
                <w:color w:val="231F20"/>
              </w:rPr>
              <w:t>Programs</w:t>
            </w:r>
          </w:p>
        </w:tc>
        <w:tc>
          <w:tcPr>
            <w:tcW w:w="820" w:type="dxa"/>
            <w:vAlign w:val="bottom"/>
          </w:tcPr>
          <w:p>
            <w:pPr>
              <w:jc w:val="center"/>
              <w:spacing w:after="0"/>
              <w:rPr>
                <w:sz w:val="20"/>
                <w:szCs w:val="20"/>
                <w:color w:val="auto"/>
              </w:rPr>
            </w:pPr>
            <w:r>
              <w:rPr>
                <w:rFonts w:ascii="Arial" w:cs="Arial" w:eastAsia="Arial" w:hAnsi="Arial"/>
                <w:sz w:val="20"/>
                <w:szCs w:val="20"/>
                <w:color w:val="231F20"/>
                <w:w w:val="98"/>
              </w:rPr>
              <w:t>29</w:t>
            </w:r>
          </w:p>
        </w:tc>
      </w:tr>
      <w:tr>
        <w:trPr>
          <w:trHeight w:val="300"/>
        </w:trPr>
        <w:tc>
          <w:tcPr>
            <w:tcW w:w="4100" w:type="dxa"/>
            <w:vAlign w:val="bottom"/>
          </w:tcPr>
          <w:p>
            <w:pPr>
              <w:ind w:left="60"/>
              <w:spacing w:after="0"/>
              <w:rPr>
                <w:sz w:val="20"/>
                <w:szCs w:val="20"/>
                <w:color w:val="auto"/>
              </w:rPr>
            </w:pPr>
            <w:r>
              <w:rPr>
                <w:rFonts w:ascii="Arial" w:cs="Arial" w:eastAsia="Arial" w:hAnsi="Arial"/>
                <w:sz w:val="20"/>
                <w:szCs w:val="20"/>
                <w:color w:val="231F20"/>
              </w:rPr>
              <w:t>Equity Grant Practices</w:t>
            </w:r>
          </w:p>
        </w:tc>
        <w:tc>
          <w:tcPr>
            <w:tcW w:w="820" w:type="dxa"/>
            <w:vAlign w:val="bottom"/>
          </w:tcPr>
          <w:p>
            <w:pPr>
              <w:jc w:val="center"/>
              <w:spacing w:after="0"/>
              <w:rPr>
                <w:sz w:val="20"/>
                <w:szCs w:val="20"/>
                <w:color w:val="auto"/>
              </w:rPr>
            </w:pPr>
            <w:r>
              <w:rPr>
                <w:rFonts w:ascii="Arial" w:cs="Arial" w:eastAsia="Arial" w:hAnsi="Arial"/>
                <w:sz w:val="20"/>
                <w:szCs w:val="20"/>
                <w:color w:val="231F20"/>
                <w:w w:val="98"/>
              </w:rPr>
              <w:t>30</w:t>
            </w:r>
          </w:p>
        </w:tc>
      </w:tr>
      <w:tr>
        <w:trPr>
          <w:trHeight w:val="300"/>
        </w:trPr>
        <w:tc>
          <w:tcPr>
            <w:tcW w:w="4100" w:type="dxa"/>
            <w:vAlign w:val="bottom"/>
          </w:tcPr>
          <w:p>
            <w:pPr>
              <w:ind w:left="60"/>
              <w:spacing w:after="0"/>
              <w:rPr>
                <w:sz w:val="20"/>
                <w:szCs w:val="20"/>
                <w:color w:val="auto"/>
              </w:rPr>
            </w:pPr>
            <w:r>
              <w:rPr>
                <w:rFonts w:ascii="Arial" w:cs="Arial" w:eastAsia="Arial" w:hAnsi="Arial"/>
                <w:sz w:val="20"/>
                <w:szCs w:val="20"/>
                <w:color w:val="231F20"/>
              </w:rPr>
              <w:t>Insider Trading Policy</w:t>
            </w:r>
          </w:p>
        </w:tc>
        <w:tc>
          <w:tcPr>
            <w:tcW w:w="820" w:type="dxa"/>
            <w:vAlign w:val="bottom"/>
          </w:tcPr>
          <w:p>
            <w:pPr>
              <w:jc w:val="center"/>
              <w:spacing w:after="0"/>
              <w:rPr>
                <w:sz w:val="20"/>
                <w:szCs w:val="20"/>
                <w:color w:val="auto"/>
              </w:rPr>
            </w:pPr>
            <w:r>
              <w:rPr>
                <w:rFonts w:ascii="Arial" w:cs="Arial" w:eastAsia="Arial" w:hAnsi="Arial"/>
                <w:sz w:val="20"/>
                <w:szCs w:val="20"/>
                <w:color w:val="231F20"/>
                <w:w w:val="98"/>
              </w:rPr>
              <w:t>30</w:t>
            </w:r>
          </w:p>
        </w:tc>
      </w:tr>
      <w:tr>
        <w:trPr>
          <w:trHeight w:val="300"/>
        </w:trPr>
        <w:tc>
          <w:tcPr>
            <w:tcW w:w="4100" w:type="dxa"/>
            <w:vAlign w:val="bottom"/>
          </w:tcPr>
          <w:p>
            <w:pPr>
              <w:ind w:left="60"/>
              <w:spacing w:after="0"/>
              <w:rPr>
                <w:sz w:val="20"/>
                <w:szCs w:val="20"/>
                <w:color w:val="auto"/>
              </w:rPr>
            </w:pPr>
            <w:r>
              <w:rPr>
                <w:rFonts w:ascii="Arial" w:cs="Arial" w:eastAsia="Arial" w:hAnsi="Arial"/>
                <w:sz w:val="20"/>
                <w:szCs w:val="20"/>
                <w:color w:val="231F20"/>
              </w:rPr>
              <w:t>Tax Deductibility of Executive Compensation</w:t>
            </w:r>
          </w:p>
        </w:tc>
        <w:tc>
          <w:tcPr>
            <w:tcW w:w="820" w:type="dxa"/>
            <w:vAlign w:val="bottom"/>
          </w:tcPr>
          <w:p>
            <w:pPr>
              <w:jc w:val="center"/>
              <w:spacing w:after="0"/>
              <w:rPr>
                <w:sz w:val="20"/>
                <w:szCs w:val="20"/>
                <w:color w:val="auto"/>
              </w:rPr>
            </w:pPr>
            <w:r>
              <w:rPr>
                <w:rFonts w:ascii="Arial" w:cs="Arial" w:eastAsia="Arial" w:hAnsi="Arial"/>
                <w:sz w:val="20"/>
                <w:szCs w:val="20"/>
                <w:color w:val="231F20"/>
                <w:w w:val="98"/>
              </w:rPr>
              <w:t>30</w:t>
            </w:r>
          </w:p>
        </w:tc>
      </w:tr>
      <w:tr>
        <w:trPr>
          <w:trHeight w:val="300"/>
        </w:trPr>
        <w:tc>
          <w:tcPr>
            <w:tcW w:w="4100" w:type="dxa"/>
            <w:vAlign w:val="bottom"/>
          </w:tcPr>
          <w:p>
            <w:pPr>
              <w:ind w:left="60"/>
              <w:spacing w:after="0"/>
              <w:rPr>
                <w:sz w:val="20"/>
                <w:szCs w:val="20"/>
                <w:color w:val="auto"/>
              </w:rPr>
            </w:pPr>
            <w:r>
              <w:rPr>
                <w:rFonts w:ascii="Arial" w:cs="Arial" w:eastAsia="Arial" w:hAnsi="Arial"/>
                <w:sz w:val="20"/>
                <w:szCs w:val="20"/>
                <w:color w:val="231F20"/>
              </w:rPr>
              <w:t>Health and Welfare Benefits</w:t>
            </w:r>
          </w:p>
        </w:tc>
        <w:tc>
          <w:tcPr>
            <w:tcW w:w="820" w:type="dxa"/>
            <w:vAlign w:val="bottom"/>
          </w:tcPr>
          <w:p>
            <w:pPr>
              <w:jc w:val="center"/>
              <w:spacing w:after="0"/>
              <w:rPr>
                <w:sz w:val="20"/>
                <w:szCs w:val="20"/>
                <w:color w:val="auto"/>
              </w:rPr>
            </w:pPr>
            <w:r>
              <w:rPr>
                <w:rFonts w:ascii="Arial" w:cs="Arial" w:eastAsia="Arial" w:hAnsi="Arial"/>
                <w:sz w:val="20"/>
                <w:szCs w:val="20"/>
                <w:color w:val="231F20"/>
                <w:w w:val="98"/>
              </w:rPr>
              <w:t>30</w:t>
            </w:r>
          </w:p>
        </w:tc>
      </w:tr>
    </w:tbl>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ind w:left="520"/>
        <w:spacing w:after="0"/>
        <w:rPr>
          <w:sz w:val="20"/>
          <w:szCs w:val="20"/>
          <w:color w:val="auto"/>
        </w:rPr>
      </w:pPr>
      <w:r>
        <w:rPr>
          <w:rFonts w:ascii="Arial" w:cs="Arial" w:eastAsia="Arial" w:hAnsi="Arial"/>
          <w:sz w:val="20"/>
          <w:szCs w:val="20"/>
          <w:b w:val="1"/>
          <w:bCs w:val="1"/>
          <w:color w:val="231F20"/>
        </w:rPr>
        <w:t>Current NEOs</w:t>
      </w:r>
    </w:p>
    <w:p>
      <w:pPr>
        <w:spacing w:after="0" w:line="285"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DONALD C. WOOD</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231F20"/>
        </w:rPr>
        <w:t>Chief Executive Officer and President</w:t>
      </w:r>
    </w:p>
    <w:p>
      <w:pPr>
        <w:spacing w:after="0" w:line="10" w:lineRule="exact"/>
        <w:rPr>
          <w:sz w:val="20"/>
          <w:szCs w:val="20"/>
          <w:color w:val="auto"/>
        </w:rPr>
      </w:pPr>
    </w:p>
    <w:p>
      <w:pPr>
        <w:spacing w:after="0"/>
        <w:tabs>
          <w:tab w:leader="none" w:pos="1400" w:val="left"/>
        </w:tabs>
        <w:rPr>
          <w:sz w:val="20"/>
          <w:szCs w:val="20"/>
          <w:color w:val="auto"/>
        </w:rPr>
      </w:pPr>
      <w:r>
        <w:rPr>
          <w:rFonts w:ascii="Arial" w:cs="Arial" w:eastAsia="Arial" w:hAnsi="Arial"/>
          <w:sz w:val="20"/>
          <w:szCs w:val="20"/>
          <w:color w:val="231F20"/>
        </w:rPr>
        <w:t>Age: 65</w:t>
      </w:r>
      <w:r>
        <w:rPr>
          <w:sz w:val="20"/>
          <w:szCs w:val="20"/>
          <w:color w:val="auto"/>
        </w:rPr>
        <w:tab/>
      </w:r>
      <w:r>
        <w:rPr>
          <w:rFonts w:ascii="Arial" w:cs="Arial" w:eastAsia="Arial" w:hAnsi="Arial"/>
          <w:sz w:val="19"/>
          <w:szCs w:val="19"/>
          <w:color w:val="231F20"/>
        </w:rPr>
        <w:t>Joined Federal: 1998</w:t>
      </w:r>
    </w:p>
    <w:p>
      <w:pPr>
        <w:spacing w:after="0" w:line="10" w:lineRule="exact"/>
        <w:rPr>
          <w:sz w:val="20"/>
          <w:szCs w:val="20"/>
          <w:color w:val="auto"/>
        </w:rPr>
      </w:pPr>
    </w:p>
    <w:p>
      <w:pPr>
        <w:ind w:left="1460"/>
        <w:spacing w:after="0"/>
        <w:rPr>
          <w:sz w:val="20"/>
          <w:szCs w:val="20"/>
          <w:color w:val="auto"/>
        </w:rPr>
      </w:pPr>
      <w:r>
        <w:rPr>
          <w:rFonts w:ascii="Arial" w:cs="Arial" w:eastAsia="Arial" w:hAnsi="Arial"/>
          <w:sz w:val="20"/>
          <w:szCs w:val="20"/>
          <w:color w:val="231F20"/>
        </w:rPr>
        <w:t>In position since: 2003</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line="248" w:lineRule="auto"/>
        <w:rPr>
          <w:sz w:val="20"/>
          <w:szCs w:val="20"/>
          <w:color w:val="auto"/>
        </w:rPr>
      </w:pPr>
      <w:r>
        <w:rPr>
          <w:rFonts w:ascii="Arial" w:cs="Arial" w:eastAsia="Arial" w:hAnsi="Arial"/>
          <w:sz w:val="20"/>
          <w:szCs w:val="20"/>
          <w:b w:val="1"/>
          <w:bCs w:val="1"/>
          <w:color w:val="231F20"/>
        </w:rPr>
        <w:t xml:space="preserve">DANIEL GUGLIELMONE </w:t>
      </w:r>
      <w:r>
        <w:rPr>
          <w:rFonts w:ascii="Arial" w:cs="Arial" w:eastAsia="Arial" w:hAnsi="Arial"/>
          <w:sz w:val="20"/>
          <w:szCs w:val="20"/>
          <w:color w:val="231F20"/>
        </w:rPr>
        <w:t>EVP-Chief Financial Officer and Treasurer</w:t>
      </w:r>
    </w:p>
    <w:p>
      <w:pPr>
        <w:spacing w:after="0" w:line="5" w:lineRule="exact"/>
        <w:rPr>
          <w:sz w:val="20"/>
          <w:szCs w:val="20"/>
          <w:color w:val="auto"/>
        </w:rPr>
      </w:pPr>
    </w:p>
    <w:p>
      <w:pPr>
        <w:jc w:val="right"/>
        <w:ind w:right="160"/>
        <w:spacing w:after="0"/>
        <w:tabs>
          <w:tab w:leader="none" w:pos="2000" w:val="left"/>
        </w:tabs>
        <w:rPr>
          <w:sz w:val="20"/>
          <w:szCs w:val="20"/>
          <w:color w:val="auto"/>
        </w:rPr>
      </w:pPr>
      <w:r>
        <w:rPr>
          <w:rFonts w:ascii="Arial" w:cs="Arial" w:eastAsia="Arial" w:hAnsi="Arial"/>
          <w:sz w:val="20"/>
          <w:szCs w:val="20"/>
          <w:color w:val="231F20"/>
        </w:rPr>
        <w:t>Age: 59</w:t>
      </w:r>
      <w:r>
        <w:rPr>
          <w:sz w:val="20"/>
          <w:szCs w:val="20"/>
          <w:color w:val="auto"/>
        </w:rPr>
        <w:tab/>
      </w:r>
      <w:r>
        <w:rPr>
          <w:rFonts w:ascii="Arial" w:cs="Arial" w:eastAsia="Arial" w:hAnsi="Arial"/>
          <w:sz w:val="19"/>
          <w:szCs w:val="19"/>
          <w:color w:val="231F20"/>
        </w:rPr>
        <w:t>Joined Federal: 2016</w:t>
      </w:r>
    </w:p>
    <w:p>
      <w:pPr>
        <w:spacing w:after="0" w:line="10" w:lineRule="exact"/>
        <w:rPr>
          <w:sz w:val="20"/>
          <w:szCs w:val="20"/>
          <w:color w:val="auto"/>
        </w:rPr>
      </w:pPr>
    </w:p>
    <w:p>
      <w:pPr>
        <w:jc w:val="right"/>
        <w:ind w:right="100"/>
        <w:spacing w:after="0"/>
        <w:rPr>
          <w:sz w:val="20"/>
          <w:szCs w:val="20"/>
          <w:color w:val="auto"/>
        </w:rPr>
      </w:pPr>
      <w:r>
        <w:rPr>
          <w:rFonts w:ascii="Arial" w:cs="Arial" w:eastAsia="Arial" w:hAnsi="Arial"/>
          <w:sz w:val="20"/>
          <w:szCs w:val="20"/>
          <w:color w:val="231F20"/>
        </w:rPr>
        <w:t>In position since: 2016</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right="60"/>
        <w:spacing w:after="0" w:line="248" w:lineRule="auto"/>
        <w:rPr>
          <w:sz w:val="20"/>
          <w:szCs w:val="20"/>
          <w:color w:val="auto"/>
        </w:rPr>
      </w:pPr>
      <w:r>
        <w:rPr>
          <w:rFonts w:ascii="Arial" w:cs="Arial" w:eastAsia="Arial" w:hAnsi="Arial"/>
          <w:sz w:val="20"/>
          <w:szCs w:val="20"/>
          <w:b w:val="1"/>
          <w:bCs w:val="1"/>
          <w:color w:val="231F20"/>
        </w:rPr>
        <w:t xml:space="preserve">DAWN M. BECKER </w:t>
      </w:r>
      <w:r>
        <w:rPr>
          <w:rFonts w:ascii="Arial" w:cs="Arial" w:eastAsia="Arial" w:hAnsi="Arial"/>
          <w:sz w:val="20"/>
          <w:szCs w:val="20"/>
          <w:color w:val="231F20"/>
        </w:rPr>
        <w:t>EVP-Chief Legal Officer and Secretary</w:t>
      </w:r>
    </w:p>
    <w:p>
      <w:pPr>
        <w:spacing w:after="0" w:line="3" w:lineRule="exact"/>
        <w:rPr>
          <w:sz w:val="20"/>
          <w:szCs w:val="20"/>
          <w:color w:val="auto"/>
        </w:rPr>
      </w:pPr>
    </w:p>
    <w:p>
      <w:pPr>
        <w:spacing w:after="0"/>
        <w:tabs>
          <w:tab w:leader="none" w:pos="1440" w:val="left"/>
        </w:tabs>
        <w:rPr>
          <w:sz w:val="20"/>
          <w:szCs w:val="20"/>
          <w:color w:val="auto"/>
        </w:rPr>
      </w:pPr>
      <w:r>
        <w:rPr>
          <w:rFonts w:ascii="Arial" w:cs="Arial" w:eastAsia="Arial" w:hAnsi="Arial"/>
          <w:sz w:val="20"/>
          <w:szCs w:val="20"/>
          <w:color w:val="231F20"/>
        </w:rPr>
        <w:t>Age: 62</w:t>
      </w:r>
      <w:r>
        <w:rPr>
          <w:sz w:val="20"/>
          <w:szCs w:val="20"/>
          <w:color w:val="auto"/>
        </w:rPr>
        <w:tab/>
      </w:r>
      <w:r>
        <w:rPr>
          <w:rFonts w:ascii="Arial" w:cs="Arial" w:eastAsia="Arial" w:hAnsi="Arial"/>
          <w:sz w:val="19"/>
          <w:szCs w:val="19"/>
          <w:color w:val="231F20"/>
        </w:rPr>
        <w:t>Joined Federal: 1997</w:t>
      </w:r>
    </w:p>
    <w:p>
      <w:pPr>
        <w:spacing w:after="0" w:line="10" w:lineRule="exact"/>
        <w:rPr>
          <w:sz w:val="20"/>
          <w:szCs w:val="20"/>
          <w:color w:val="auto"/>
        </w:rPr>
      </w:pPr>
    </w:p>
    <w:p>
      <w:pPr>
        <w:ind w:left="1480"/>
        <w:spacing w:after="0"/>
        <w:rPr>
          <w:sz w:val="20"/>
          <w:szCs w:val="20"/>
          <w:color w:val="auto"/>
        </w:rPr>
      </w:pPr>
      <w:r>
        <w:rPr>
          <w:rFonts w:ascii="Arial" w:cs="Arial" w:eastAsia="Arial" w:hAnsi="Arial"/>
          <w:sz w:val="20"/>
          <w:szCs w:val="20"/>
          <w:color w:val="231F20"/>
        </w:rPr>
        <w:t>In position since: 2002</w:t>
      </w:r>
    </w:p>
    <w:p>
      <w:pPr>
        <w:spacing w:after="0" w:line="6211" w:lineRule="exact"/>
        <w:rPr>
          <w:sz w:val="20"/>
          <w:szCs w:val="20"/>
          <w:color w:val="auto"/>
        </w:rPr>
      </w:pPr>
    </w:p>
    <w:p>
      <w:pPr>
        <w:sectPr>
          <w:pgSz w:w="11880" w:h="15480" w:orient="portrait"/>
          <w:cols w:equalWidth="0" w:num="2">
            <w:col w:w="5720" w:space="720"/>
            <w:col w:w="3480"/>
          </w:cols>
          <w:pgMar w:left="900" w:top="1343" w:right="1060" w:bottom="763" w:gutter="0" w:footer="0" w:header="0"/>
          <w:type w:val="continuous"/>
        </w:sectPr>
      </w:pP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820" w:type="dxa"/>
            <w:vAlign w:val="bottom"/>
            <w:tcBorders>
              <w:bottom w:val="single" w:sz="8" w:color="EF3E2A"/>
            </w:tcBorders>
          </w:tcPr>
          <w:p>
            <w:pPr>
              <w:ind w:left="60"/>
              <w:spacing w:after="0"/>
              <w:rPr>
                <w:sz w:val="20"/>
                <w:szCs w:val="20"/>
                <w:color w:val="auto"/>
              </w:rPr>
            </w:pPr>
            <w:r>
              <w:rPr>
                <w:rFonts w:ascii="Arial" w:cs="Arial" w:eastAsia="Arial" w:hAnsi="Arial"/>
                <w:sz w:val="20"/>
                <w:szCs w:val="20"/>
                <w:b w:val="1"/>
                <w:bCs w:val="1"/>
                <w:color w:val="231F20"/>
              </w:rPr>
              <w:t>Compensation Committee Report</w:t>
            </w:r>
          </w:p>
        </w:tc>
        <w:tc>
          <w:tcPr>
            <w:tcW w:w="1100" w:type="dxa"/>
            <w:vAlign w:val="bottom"/>
            <w:tcBorders>
              <w:bottom w:val="single" w:sz="8" w:color="EF3E2A"/>
            </w:tcBorders>
          </w:tcPr>
          <w:p>
            <w:pPr>
              <w:jc w:val="right"/>
              <w:ind w:right="220"/>
              <w:spacing w:after="0"/>
              <w:rPr>
                <w:sz w:val="20"/>
                <w:szCs w:val="20"/>
                <w:color w:val="auto"/>
              </w:rPr>
            </w:pPr>
            <w:r>
              <w:rPr>
                <w:rFonts w:ascii="Arial" w:cs="Arial" w:eastAsia="Arial" w:hAnsi="Arial"/>
                <w:sz w:val="20"/>
                <w:szCs w:val="20"/>
                <w:b w:val="1"/>
                <w:bCs w:val="1"/>
                <w:color w:val="231F20"/>
              </w:rPr>
              <w:t>31</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520700</wp:posOffset>
                </wp:positionV>
                <wp:extent cx="6400800" cy="177800"/>
                <wp:wrapNone/>
                <wp:docPr id="307" name="Shape 3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177800"/>
                        </a:xfrm>
                        <a:prstGeom prst="rect">
                          <a:avLst/>
                        </a:prstGeom>
                        <a:solidFill>
                          <a:srgbClr val="E8E7E5"/>
                        </a:solidFill>
                      </wps:spPr>
                      <wps:bodyPr/>
                    </wps:wsp>
                  </a:graphicData>
                </a:graphic>
              </wp:anchor>
            </w:drawing>
          </mc:Choice>
          <mc:Fallback>
            <w:pict>
              <v:rect id="Shape 307" o:spid="_x0000_s1332" style="position:absolute;margin-left:0pt;margin-top:41pt;width:504pt;height:1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8E7E5" stroked="f"/>
            </w:pict>
          </mc:Fallback>
        </mc:AlternateContent>
        <mc:AlternateContent>
          <mc:Choice Requires="wps">
            <w:drawing>
              <wp:anchor simplePos="0" relativeHeight="251657728" behindDoc="1" locked="0" layoutInCell="0" allowOverlap="1">
                <wp:simplePos x="0" y="0"/>
                <wp:positionH relativeFrom="column">
                  <wp:posOffset>6350</wp:posOffset>
                </wp:positionH>
                <wp:positionV relativeFrom="paragraph">
                  <wp:posOffset>520700</wp:posOffset>
                </wp:positionV>
                <wp:extent cx="0" cy="177800"/>
                <wp:wrapNone/>
                <wp:docPr id="308" name="Shape 3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308" o:spid="_x0000_s13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pt,41pt" to="0.5pt,55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527050</wp:posOffset>
                </wp:positionV>
                <wp:extent cx="6400800" cy="0"/>
                <wp:wrapNone/>
                <wp:docPr id="309" name="Shape 3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309" o:spid="_x0000_s13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41.5pt" to="504pt,41.5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6394450</wp:posOffset>
                </wp:positionH>
                <wp:positionV relativeFrom="paragraph">
                  <wp:posOffset>520700</wp:posOffset>
                </wp:positionV>
                <wp:extent cx="0" cy="177800"/>
                <wp:wrapNone/>
                <wp:docPr id="310" name="Shape 3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310" o:spid="_x0000_s13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3.5pt,41pt" to="503.5pt,55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692150</wp:posOffset>
                </wp:positionV>
                <wp:extent cx="6400800" cy="0"/>
                <wp:wrapNone/>
                <wp:docPr id="311" name="Shape 3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311" o:spid="_x0000_s13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4.5pt" to="504pt,54.5pt" o:allowincell="f" strokecolor="#231F20" strokeweight="1pt"/>
            </w:pict>
          </mc:Fallback>
        </mc:AlternateContent>
      </w:r>
    </w:p>
    <w:p>
      <w:pPr>
        <w:sectPr>
          <w:pgSz w:w="11880" w:h="15480" w:orient="portrait"/>
          <w:cols w:equalWidth="0" w:num="1">
            <w:col w:w="9920"/>
          </w:cols>
          <w:pgMar w:left="900" w:top="1343" w:right="1060" w:bottom="763"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80"/>
        <w:spacing w:after="0"/>
        <w:tabs>
          <w:tab w:leader="none" w:pos="1420" w:val="left"/>
          <w:tab w:leader="none" w:pos="3160" w:val="left"/>
        </w:tabs>
        <w:rPr>
          <w:sz w:val="20"/>
          <w:szCs w:val="20"/>
          <w:color w:val="auto"/>
        </w:rPr>
      </w:pPr>
      <w:r>
        <w:rPr>
          <w:rFonts w:ascii="Arial" w:cs="Arial" w:eastAsia="Arial" w:hAnsi="Arial"/>
          <w:sz w:val="16"/>
          <w:szCs w:val="16"/>
          <w:color w:val="EF3E2A"/>
        </w:rPr>
        <w:t>Federal Realty</w:t>
      </w:r>
      <w:r>
        <w:rPr>
          <w:sz w:val="20"/>
          <w:szCs w:val="20"/>
          <w:color w:val="auto"/>
        </w:rPr>
        <w:tab/>
      </w:r>
      <w:r>
        <w:rPr>
          <w:rFonts w:ascii="Arial" w:cs="Arial" w:eastAsia="Arial" w:hAnsi="Arial"/>
          <w:sz w:val="16"/>
          <w:szCs w:val="16"/>
          <w:color w:val="231F20"/>
        </w:rPr>
        <w:t>2026 Proxy Statement</w:t>
        <w:tab/>
        <w:t>20</w:t>
      </w:r>
    </w:p>
    <w:p>
      <w:pPr>
        <w:sectPr>
          <w:pgSz w:w="11880" w:h="15480" w:orient="portrait"/>
          <w:cols w:equalWidth="0" w:num="1">
            <w:col w:w="9920"/>
          </w:cols>
          <w:pgMar w:left="900" w:top="1343" w:right="1060" w:bottom="763" w:gutter="0" w:footer="0" w:header="0"/>
          <w:type w:val="continuous"/>
        </w:sectPr>
      </w:pPr>
    </w:p>
    <w:bookmarkStart w:id="140" w:name="page141"/>
    <w:bookmarkEnd w:id="140"/>
    <w:p>
      <w:pPr>
        <w:ind w:left="120"/>
        <w:spacing w:after="0"/>
        <w:rPr>
          <w:sz w:val="20"/>
          <w:szCs w:val="20"/>
          <w:color w:val="auto"/>
        </w:rPr>
      </w:pPr>
      <w:r>
        <w:rPr>
          <w:rFonts w:ascii="Arial" w:cs="Arial" w:eastAsia="Arial" w:hAnsi="Arial"/>
          <w:sz w:val="24"/>
          <w:szCs w:val="24"/>
          <w:b w:val="1"/>
          <w:bCs w:val="1"/>
          <w:color w:val="EF3E2A"/>
        </w:rPr>
        <mc:AlternateContent>
          <mc:Choice Requires="wps">
            <w:drawing>
              <wp:anchor simplePos="0" relativeHeight="251657728" behindDoc="1" locked="0" layoutInCell="0" allowOverlap="1">
                <wp:simplePos x="0" y="0"/>
                <wp:positionH relativeFrom="page">
                  <wp:posOffset>571500</wp:posOffset>
                </wp:positionH>
                <wp:positionV relativeFrom="page">
                  <wp:posOffset>828675</wp:posOffset>
                </wp:positionV>
                <wp:extent cx="6400800" cy="0"/>
                <wp:wrapNone/>
                <wp:docPr id="312" name="Shape 3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312" o:spid="_x0000_s133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5pt,65.25pt" to="549pt,65.25pt" o:allowincell="f" strokecolor="#231F20" strokeweight="0.5pt">
                <w10:wrap anchorx="page" anchory="page"/>
              </v:line>
            </w:pict>
          </mc:Fallback>
        </mc:AlternateContent>
        <w:t>I</w:t>
      </w:r>
      <w:r>
        <w:rPr>
          <w:rFonts w:ascii="Arial" w:cs="Arial" w:eastAsia="Arial" w:hAnsi="Arial"/>
          <w:sz w:val="18"/>
          <w:szCs w:val="18"/>
          <w:b w:val="1"/>
          <w:bCs w:val="1"/>
          <w:color w:val="EF3E2A"/>
        </w:rPr>
        <w:t>NTRODUCTION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2540</wp:posOffset>
                </wp:positionV>
                <wp:extent cx="6400800" cy="0"/>
                <wp:wrapNone/>
                <wp:docPr id="313" name="Shape 3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313" o:spid="_x0000_s13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0.2pt" to="504pt,0.2pt" o:allowincell="f" strokecolor="#231F20" strokeweight="0.5pt"/>
            </w:pict>
          </mc:Fallback>
        </mc:AlternateContent>
      </w:r>
    </w:p>
    <w:p>
      <w:pPr>
        <w:spacing w:after="0" w:line="244" w:lineRule="exact"/>
        <w:rPr>
          <w:sz w:val="20"/>
          <w:szCs w:val="20"/>
          <w:color w:val="auto"/>
        </w:rPr>
      </w:pPr>
    </w:p>
    <w:p>
      <w:pPr>
        <w:spacing w:after="0" w:line="268" w:lineRule="exact"/>
        <w:rPr>
          <w:sz w:val="20"/>
          <w:szCs w:val="20"/>
          <w:color w:val="auto"/>
        </w:rPr>
      </w:pPr>
      <w:r>
        <w:rPr>
          <w:rFonts w:ascii="Arial Unicode MS" w:cs="Arial Unicode MS" w:eastAsia="Arial Unicode MS" w:hAnsi="Arial Unicode MS"/>
          <w:sz w:val="20"/>
          <w:szCs w:val="20"/>
          <w:color w:val="EF3E2A"/>
        </w:rPr>
        <w:t>➣</w:t>
      </w:r>
      <w:r>
        <w:rPr>
          <w:rFonts w:ascii="Arial" w:cs="Arial" w:eastAsia="Arial" w:hAnsi="Arial"/>
          <w:sz w:val="20"/>
          <w:szCs w:val="20"/>
          <w:b w:val="1"/>
          <w:bCs w:val="1"/>
          <w:color w:val="231F20"/>
        </w:rPr>
        <w:t xml:space="preserve"> 2025 BUSINESS HIGHLIGHTS SUPPORTING COMPENSATION DECISIONS:</w:t>
      </w:r>
    </w:p>
    <w:p>
      <w:pPr>
        <w:spacing w:after="0" w:line="255" w:lineRule="exact"/>
        <w:rPr>
          <w:sz w:val="20"/>
          <w:szCs w:val="20"/>
          <w:color w:val="auto"/>
        </w:rPr>
      </w:pPr>
    </w:p>
    <w:p>
      <w:pPr>
        <w:spacing w:after="0" w:line="245" w:lineRule="auto"/>
        <w:rPr>
          <w:sz w:val="20"/>
          <w:szCs w:val="20"/>
          <w:color w:val="auto"/>
        </w:rPr>
      </w:pPr>
      <w:r>
        <w:rPr>
          <w:rFonts w:ascii="Arial" w:cs="Arial" w:eastAsia="Arial" w:hAnsi="Arial"/>
          <w:sz w:val="20"/>
          <w:szCs w:val="20"/>
          <w:color w:val="231F20"/>
        </w:rPr>
        <w:t>Business accomplishments for the year ended December 31, 2025 that were considered as part of compensation decisions included, without limitation, the following: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762000</wp:posOffset>
                </wp:positionH>
                <wp:positionV relativeFrom="paragraph">
                  <wp:posOffset>123190</wp:posOffset>
                </wp:positionV>
                <wp:extent cx="1076325" cy="3784600"/>
                <wp:wrapNone/>
                <wp:docPr id="314" name="Shape 3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76325" cy="3784600"/>
                        </a:xfrm>
                        <a:prstGeom prst="rect">
                          <a:avLst/>
                        </a:prstGeom>
                        <a:solidFill>
                          <a:srgbClr val="B2B4B6"/>
                        </a:solidFill>
                      </wps:spPr>
                      <wps:bodyPr/>
                    </wps:wsp>
                  </a:graphicData>
                </a:graphic>
              </wp:anchor>
            </w:drawing>
          </mc:Choice>
          <mc:Fallback>
            <w:pict>
              <v:rect id="Shape 314" o:spid="_x0000_s1339" style="position:absolute;margin-left:60pt;margin-top:9.7pt;width:84.75pt;height:29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B2B4B6" stroked="f"/>
            </w:pict>
          </mc:Fallback>
        </mc:AlternateContent>
        <mc:AlternateContent>
          <mc:Choice Requires="wps">
            <w:drawing>
              <wp:anchor simplePos="0" relativeHeight="251657728" behindDoc="1" locked="0" layoutInCell="0" allowOverlap="1">
                <wp:simplePos x="0" y="0"/>
                <wp:positionH relativeFrom="column">
                  <wp:posOffset>1838325</wp:posOffset>
                </wp:positionH>
                <wp:positionV relativeFrom="paragraph">
                  <wp:posOffset>123190</wp:posOffset>
                </wp:positionV>
                <wp:extent cx="4562475" cy="3784600"/>
                <wp:wrapNone/>
                <wp:docPr id="315" name="Shape 3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562475" cy="3784600"/>
                        </a:xfrm>
                        <a:prstGeom prst="rect">
                          <a:avLst/>
                        </a:prstGeom>
                        <a:solidFill>
                          <a:srgbClr val="F1F1F2"/>
                        </a:solidFill>
                      </wps:spPr>
                      <wps:bodyPr/>
                    </wps:wsp>
                  </a:graphicData>
                </a:graphic>
              </wp:anchor>
            </w:drawing>
          </mc:Choice>
          <mc:Fallback>
            <w:pict>
              <v:rect id="Shape 315" o:spid="_x0000_s1340" style="position:absolute;margin-left:144.75pt;margin-top:9.7pt;width:359.25pt;height:29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1F1F2" stroked="f"/>
            </w:pict>
          </mc:Fallback>
        </mc:AlternateContent>
      </w:r>
    </w:p>
    <w:p>
      <w:pPr>
        <w:sectPr>
          <w:pgSz w:w="11880" w:h="15480" w:orient="portrait"/>
          <w:cols w:equalWidth="0" w:num="1">
            <w:col w:w="10080"/>
          </w:cols>
          <w:pgMar w:left="900" w:top="1364" w:right="900" w:bottom="763" w:gutter="0" w:footer="0" w:header="0"/>
        </w:sectPr>
      </w:pPr>
    </w:p>
    <w:p>
      <w:pPr>
        <w:spacing w:after="0" w:line="200" w:lineRule="exact"/>
        <w:rPr>
          <w:sz w:val="20"/>
          <w:szCs w:val="20"/>
          <w:color w:val="auto"/>
        </w:rPr>
      </w:pPr>
    </w:p>
    <w:p>
      <w:pPr>
        <w:spacing w:after="0" w:line="386" w:lineRule="exact"/>
        <w:rPr>
          <w:sz w:val="20"/>
          <w:szCs w:val="20"/>
          <w:color w:val="auto"/>
        </w:rPr>
      </w:pPr>
    </w:p>
    <w:p>
      <w:pPr>
        <w:jc w:val="center"/>
        <w:ind w:left="1360"/>
        <w:spacing w:after="0" w:line="249" w:lineRule="auto"/>
        <w:rPr>
          <w:sz w:val="20"/>
          <w:szCs w:val="20"/>
          <w:color w:val="auto"/>
        </w:rPr>
      </w:pPr>
      <w:r>
        <w:rPr>
          <w:rFonts w:ascii="Arial" w:cs="Arial" w:eastAsia="Arial" w:hAnsi="Arial"/>
          <w:sz w:val="20"/>
          <w:szCs w:val="20"/>
          <w:b w:val="1"/>
          <w:bCs w:val="1"/>
          <w:color w:val="FFFFFF"/>
        </w:rPr>
        <w:t>NAREIT FFO Per Share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-508635</wp:posOffset>
            </wp:positionV>
            <wp:extent cx="568325" cy="49847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81">
                      <a:extLst>
                        <a:ext uri="{28A0092B-C50C-407E-A947-70E740481C1C}"/>
                      </a:extLst>
                    </a:blip>
                    <a:srcRect/>
                    <a:stretch>
                      <a:fillRect/>
                    </a:stretch>
                  </pic:blipFill>
                  <pic:spPr bwMode="auto">
                    <a:xfrm>
                      <a:off x="0" y="0"/>
                      <a:ext cx="568325" cy="498475"/>
                    </a:xfrm>
                    <a:prstGeom prst="rect">
                      <a:avLst/>
                    </a:prstGeom>
                    <a:noFill/>
                  </pic:spPr>
                </pic:pic>
              </a:graphicData>
            </a:graphic>
          </wp:anchor>
        </w:drawing>
        <w:drawing>
          <wp:anchor simplePos="0" relativeHeight="251657728" behindDoc="1" locked="0" layoutInCell="0" allowOverlap="1">
            <wp:simplePos x="0" y="0"/>
            <wp:positionH relativeFrom="column">
              <wp:posOffset>148590</wp:posOffset>
            </wp:positionH>
            <wp:positionV relativeFrom="paragraph">
              <wp:posOffset>305435</wp:posOffset>
            </wp:positionV>
            <wp:extent cx="467995" cy="46482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82">
                      <a:extLst>
                        <a:ext uri="{28A0092B-C50C-407E-A947-70E740481C1C}"/>
                      </a:extLst>
                    </a:blip>
                    <a:srcRect/>
                    <a:stretch>
                      <a:fillRect/>
                    </a:stretch>
                  </pic:blipFill>
                  <pic:spPr bwMode="auto">
                    <a:xfrm>
                      <a:off x="0" y="0"/>
                      <a:ext cx="467995" cy="4648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0" w:lineRule="exact"/>
        <w:rPr>
          <w:sz w:val="20"/>
          <w:szCs w:val="20"/>
          <w:color w:val="auto"/>
        </w:rPr>
      </w:pPr>
    </w:p>
    <w:p>
      <w:pPr>
        <w:jc w:val="both"/>
        <w:ind w:right="120"/>
        <w:spacing w:after="0" w:line="248" w:lineRule="auto"/>
        <w:rPr>
          <w:sz w:val="20"/>
          <w:szCs w:val="20"/>
          <w:color w:val="auto"/>
        </w:rPr>
      </w:pPr>
      <w:r>
        <w:rPr>
          <w:rFonts w:ascii="Arial" w:cs="Arial" w:eastAsia="Arial" w:hAnsi="Arial"/>
          <w:sz w:val="20"/>
          <w:szCs w:val="20"/>
          <w:color w:val="231F20"/>
        </w:rPr>
        <w:t xml:space="preserve">NAREIT FFO per diluted share* of </w:t>
      </w:r>
      <w:r>
        <w:rPr>
          <w:rFonts w:ascii="Arial" w:cs="Arial" w:eastAsia="Arial" w:hAnsi="Arial"/>
          <w:sz w:val="20"/>
          <w:szCs w:val="20"/>
          <w:color w:val="EF3E2A"/>
        </w:rPr>
        <w:t>$7.22</w:t>
      </w:r>
      <w:r>
        <w:rPr>
          <w:rFonts w:ascii="Arial" w:cs="Arial" w:eastAsia="Arial" w:hAnsi="Arial"/>
          <w:sz w:val="20"/>
          <w:szCs w:val="20"/>
          <w:color w:val="231F20"/>
        </w:rPr>
        <w:t xml:space="preserve"> representing growth of </w:t>
      </w:r>
      <w:r>
        <w:rPr>
          <w:rFonts w:ascii="Arial" w:cs="Arial" w:eastAsia="Arial" w:hAnsi="Arial"/>
          <w:sz w:val="20"/>
          <w:szCs w:val="20"/>
          <w:color w:val="EF3E2A"/>
        </w:rPr>
        <w:t>6.6%</w:t>
      </w:r>
      <w:r>
        <w:rPr>
          <w:rFonts w:ascii="Arial" w:cs="Arial" w:eastAsia="Arial" w:hAnsi="Arial"/>
          <w:sz w:val="20"/>
          <w:szCs w:val="20"/>
          <w:color w:val="231F20"/>
        </w:rPr>
        <w:t xml:space="preserve"> over 2024 driven by record levels of total revenue, positive impacts from capital investment, and overall continued strength in the broader retail real estate market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-1914525</wp:posOffset>
                </wp:positionH>
                <wp:positionV relativeFrom="paragraph">
                  <wp:posOffset>93345</wp:posOffset>
                </wp:positionV>
                <wp:extent cx="6394450" cy="0"/>
                <wp:wrapNone/>
                <wp:docPr id="318" name="Shape 3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94450"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318" o:spid="_x0000_s13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0.7499pt,7.35pt" to="352.75pt,7.35pt" o:allowincell="f" strokecolor="#231F20" strokeweight="0.5pt"/>
            </w:pict>
          </mc:Fallback>
        </mc:AlternateContent>
      </w:r>
    </w:p>
    <w:p>
      <w:pPr>
        <w:spacing w:after="0" w:line="200" w:lineRule="exact"/>
        <w:rPr>
          <w:sz w:val="20"/>
          <w:szCs w:val="20"/>
          <w:color w:val="auto"/>
        </w:rPr>
      </w:pPr>
    </w:p>
    <w:p>
      <w:pPr>
        <w:sectPr>
          <w:pgSz w:w="11880" w:h="15480" w:orient="portrait"/>
          <w:cols w:equalWidth="0" w:num="2">
            <w:col w:w="2740" w:space="280"/>
            <w:col w:w="7060"/>
          </w:cols>
          <w:pgMar w:left="900" w:top="1364" w:right="900" w:bottom="763" w:gutter="0" w:footer="0" w:header="0"/>
          <w:type w:val="continuous"/>
        </w:sectPr>
      </w:pPr>
    </w:p>
    <w:p>
      <w:pPr>
        <w:spacing w:after="0" w:line="139" w:lineRule="exact"/>
        <w:rPr>
          <w:sz w:val="20"/>
          <w:szCs w:val="20"/>
          <w:color w:val="auto"/>
        </w:rPr>
      </w:pPr>
    </w:p>
    <w:p>
      <w:pPr>
        <w:jc w:val="right"/>
        <w:ind w:right="120"/>
        <w:spacing w:after="0"/>
        <w:tabs>
          <w:tab w:leader="none" w:pos="5680" w:val="left"/>
          <w:tab w:leader="none" w:pos="360" w:val="left"/>
        </w:tabs>
        <w:rPr>
          <w:sz w:val="20"/>
          <w:szCs w:val="20"/>
          <w:color w:val="auto"/>
        </w:rPr>
      </w:pPr>
      <w:r>
        <w:rPr>
          <w:rFonts w:ascii="Arial" w:cs="Arial" w:eastAsia="Arial" w:hAnsi="Arial"/>
          <w:sz w:val="20"/>
          <w:szCs w:val="20"/>
          <w:color w:val="231F20"/>
        </w:rPr>
        <w:t>Signed  new</w:t>
        <w:tab/>
        <w:t>and  renewal  comparable  space  leases  covering  more</w:t>
      </w:r>
      <w:r>
        <w:rPr>
          <w:sz w:val="20"/>
          <w:szCs w:val="20"/>
          <w:color w:val="auto"/>
        </w:rPr>
        <w:tab/>
      </w:r>
      <w:r>
        <w:rPr>
          <w:rFonts w:ascii="Arial" w:cs="Arial" w:eastAsia="Arial" w:hAnsi="Arial"/>
          <w:sz w:val="19"/>
          <w:szCs w:val="19"/>
          <w:color w:val="231F20"/>
        </w:rPr>
        <w:t>than</w:t>
      </w:r>
    </w:p>
    <w:p>
      <w:pPr>
        <w:ind w:left="1320"/>
        <w:spacing w:after="0" w:line="193" w:lineRule="auto"/>
        <w:rPr>
          <w:sz w:val="20"/>
          <w:szCs w:val="20"/>
          <w:color w:val="auto"/>
        </w:rPr>
      </w:pPr>
      <w:r>
        <w:rPr>
          <w:rFonts w:ascii="Arial" w:cs="Arial" w:eastAsia="Arial" w:hAnsi="Arial"/>
          <w:sz w:val="13"/>
          <w:szCs w:val="13"/>
          <w:b w:val="1"/>
          <w:bCs w:val="1"/>
          <w:color w:val="FFFFFF"/>
        </w:rPr>
        <w:t>Strong Leasing</w:t>
      </w:r>
    </w:p>
    <w:p>
      <w:pPr>
        <w:jc w:val="right"/>
        <w:ind w:right="120"/>
        <w:spacing w:after="0" w:line="192" w:lineRule="auto"/>
        <w:rPr>
          <w:sz w:val="20"/>
          <w:szCs w:val="20"/>
          <w:color w:val="auto"/>
        </w:rPr>
      </w:pPr>
      <w:r>
        <w:rPr>
          <w:rFonts w:ascii="Arial" w:cs="Arial" w:eastAsia="Arial" w:hAnsi="Arial"/>
          <w:sz w:val="13"/>
          <w:szCs w:val="13"/>
          <w:color w:val="EF3E2A"/>
        </w:rPr>
        <w:t xml:space="preserve">2.3 million </w:t>
      </w:r>
      <w:r>
        <w:rPr>
          <w:rFonts w:ascii="Arial" w:cs="Arial" w:eastAsia="Arial" w:hAnsi="Arial"/>
          <w:sz w:val="13"/>
          <w:szCs w:val="13"/>
          <w:color w:val="231F20"/>
        </w:rPr>
        <w:t>square feet of space and approximately $88.9 million of year 1</w:t>
      </w:r>
    </w:p>
    <w:p>
      <w:pPr>
        <w:ind w:left="1680"/>
        <w:spacing w:after="0" w:line="180" w:lineRule="auto"/>
        <w:rPr>
          <w:sz w:val="20"/>
          <w:szCs w:val="20"/>
          <w:color w:val="auto"/>
        </w:rPr>
      </w:pPr>
      <w:r>
        <w:rPr>
          <w:rFonts w:ascii="Arial" w:cs="Arial" w:eastAsia="Arial" w:hAnsi="Arial"/>
          <w:sz w:val="14"/>
          <w:szCs w:val="14"/>
          <w:b w:val="1"/>
          <w:bCs w:val="1"/>
          <w:color w:val="FFFFFF"/>
        </w:rPr>
        <w:t>Activity</w:t>
      </w:r>
    </w:p>
    <w:p>
      <w:pPr>
        <w:ind w:left="3020"/>
        <w:spacing w:after="0" w:line="193" w:lineRule="auto"/>
        <w:rPr>
          <w:sz w:val="20"/>
          <w:szCs w:val="20"/>
          <w:color w:val="auto"/>
        </w:rPr>
      </w:pPr>
      <w:r>
        <w:rPr>
          <w:rFonts w:ascii="Arial" w:cs="Arial" w:eastAsia="Arial" w:hAnsi="Arial"/>
          <w:sz w:val="20"/>
          <w:szCs w:val="20"/>
          <w:color w:val="231F20"/>
        </w:rPr>
        <w:t>revenue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97155</wp:posOffset>
                </wp:positionV>
                <wp:extent cx="6394450" cy="0"/>
                <wp:wrapNone/>
                <wp:docPr id="319" name="Shape 3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94450"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319" o:spid="_x0000_s13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5pt,7.65pt" to="503.75pt,7.65pt" o:allowincell="f" strokecolor="#231F20" strokeweight="0.5pt"/>
            </w:pict>
          </mc:Fallback>
        </mc:AlternateContent>
      </w:r>
    </w:p>
    <w:p>
      <w:pPr>
        <w:sectPr>
          <w:pgSz w:w="11880" w:h="15480" w:orient="portrait"/>
          <w:cols w:equalWidth="0" w:num="1">
            <w:col w:w="10080"/>
          </w:cols>
          <w:pgMar w:left="900" w:top="1364" w:right="900" w:bottom="763" w:gutter="0" w:footer="0" w:header="0"/>
          <w:type w:val="continuous"/>
        </w:sectPr>
      </w:pPr>
    </w:p>
    <w:p>
      <w:pPr>
        <w:spacing w:after="0" w:line="200" w:lineRule="exact"/>
        <w:rPr>
          <w:sz w:val="20"/>
          <w:szCs w:val="20"/>
          <w:color w:val="auto"/>
        </w:rPr>
      </w:pPr>
    </w:p>
    <w:p>
      <w:pPr>
        <w:spacing w:after="0" w:line="331" w:lineRule="exact"/>
        <w:rPr>
          <w:sz w:val="20"/>
          <w:szCs w:val="20"/>
          <w:color w:val="auto"/>
        </w:rPr>
      </w:pPr>
    </w:p>
    <w:p>
      <w:pPr>
        <w:jc w:val="center"/>
        <w:ind w:left="1460"/>
        <w:spacing w:after="0" w:line="249" w:lineRule="auto"/>
        <w:rPr>
          <w:sz w:val="20"/>
          <w:szCs w:val="20"/>
          <w:color w:val="auto"/>
        </w:rPr>
      </w:pPr>
      <w:r>
        <w:rPr>
          <w:rFonts w:ascii="Arial" w:cs="Arial" w:eastAsia="Arial" w:hAnsi="Arial"/>
          <w:sz w:val="20"/>
          <w:szCs w:val="20"/>
          <w:b w:val="1"/>
          <w:bCs w:val="1"/>
          <w:color w:val="FFFFFF"/>
        </w:rPr>
        <w:t>Productive Capital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160655</wp:posOffset>
            </wp:positionH>
            <wp:positionV relativeFrom="paragraph">
              <wp:posOffset>-481965</wp:posOffset>
            </wp:positionV>
            <wp:extent cx="440690" cy="4400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83">
                      <a:extLst>
                        <a:ext uri="{28A0092B-C50C-407E-A947-70E740481C1C}"/>
                      </a:extLst>
                    </a:blip>
                    <a:srcRect/>
                    <a:stretch>
                      <a:fillRect/>
                    </a:stretch>
                  </pic:blipFill>
                  <pic:spPr bwMode="auto">
                    <a:xfrm>
                      <a:off x="0" y="0"/>
                      <a:ext cx="440690" cy="440055"/>
                    </a:xfrm>
                    <a:prstGeom prst="rect">
                      <a:avLst/>
                    </a:prstGeom>
                    <a:noFill/>
                  </pic:spPr>
                </pic:pic>
              </a:graphicData>
            </a:graphic>
          </wp:anchor>
        </w:drawing>
        <w:drawing>
          <wp:anchor simplePos="0" relativeHeight="251657728" behindDoc="1" locked="0" layoutInCell="0" allowOverlap="1">
            <wp:simplePos x="0" y="0"/>
            <wp:positionH relativeFrom="column">
              <wp:posOffset>67945</wp:posOffset>
            </wp:positionH>
            <wp:positionV relativeFrom="paragraph">
              <wp:posOffset>234950</wp:posOffset>
            </wp:positionV>
            <wp:extent cx="632460" cy="53530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84">
                      <a:extLst>
                        <a:ext uri="{28A0092B-C50C-407E-A947-70E740481C1C}"/>
                      </a:extLst>
                    </a:blip>
                    <a:srcRect/>
                    <a:stretch>
                      <a:fillRect/>
                    </a:stretch>
                  </pic:blipFill>
                  <pic:spPr bwMode="auto">
                    <a:xfrm>
                      <a:off x="0" y="0"/>
                      <a:ext cx="632460" cy="535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95" w:lineRule="exact"/>
        <w:rPr>
          <w:sz w:val="20"/>
          <w:szCs w:val="20"/>
          <w:color w:val="auto"/>
        </w:rPr>
      </w:pPr>
    </w:p>
    <w:p>
      <w:pPr>
        <w:jc w:val="both"/>
        <w:ind w:right="120"/>
        <w:spacing w:after="0" w:line="248" w:lineRule="auto"/>
        <w:rPr>
          <w:sz w:val="20"/>
          <w:szCs w:val="20"/>
          <w:color w:val="auto"/>
        </w:rPr>
      </w:pPr>
      <w:r>
        <w:rPr>
          <w:rFonts w:ascii="Arial" w:cs="Arial" w:eastAsia="Arial" w:hAnsi="Arial"/>
          <w:sz w:val="20"/>
          <w:szCs w:val="20"/>
          <w:color w:val="231F20"/>
        </w:rPr>
        <w:t xml:space="preserve">Investments in new acquisitions such as </w:t>
      </w:r>
      <w:r>
        <w:rPr>
          <w:rFonts w:ascii="Arial" w:cs="Arial" w:eastAsia="Arial" w:hAnsi="Arial"/>
          <w:sz w:val="20"/>
          <w:szCs w:val="20"/>
          <w:color w:val="EF3E2A"/>
        </w:rPr>
        <w:t>Del Monte Shopping Center, Town</w:t>
      </w:r>
      <w:r>
        <w:rPr>
          <w:rFonts w:ascii="Arial" w:cs="Arial" w:eastAsia="Arial" w:hAnsi="Arial"/>
          <w:sz w:val="20"/>
          <w:szCs w:val="20"/>
          <w:color w:val="231F20"/>
        </w:rPr>
        <w:t xml:space="preserve"> </w:t>
      </w:r>
      <w:r>
        <w:rPr>
          <w:rFonts w:ascii="Arial" w:cs="Arial" w:eastAsia="Arial" w:hAnsi="Arial"/>
          <w:sz w:val="20"/>
          <w:szCs w:val="20"/>
          <w:color w:val="EF3E2A"/>
        </w:rPr>
        <w:t xml:space="preserve">Center Plaza and Town Center Crossing, Annapolis Town Center </w:t>
      </w:r>
      <w:r>
        <w:rPr>
          <w:rFonts w:ascii="Arial" w:cs="Arial" w:eastAsia="Arial" w:hAnsi="Arial"/>
          <w:sz w:val="20"/>
          <w:szCs w:val="20"/>
          <w:color w:val="231F20"/>
        </w:rPr>
        <w:t>and</w:t>
      </w:r>
      <w:r>
        <w:rPr>
          <w:rFonts w:ascii="Arial" w:cs="Arial" w:eastAsia="Arial" w:hAnsi="Arial"/>
          <w:sz w:val="20"/>
          <w:szCs w:val="20"/>
          <w:color w:val="EF3E2A"/>
        </w:rPr>
        <w:t xml:space="preserve"> Village Pointe </w:t>
      </w:r>
      <w:r>
        <w:rPr>
          <w:rFonts w:ascii="Arial" w:cs="Arial" w:eastAsia="Arial" w:hAnsi="Arial"/>
          <w:sz w:val="20"/>
          <w:szCs w:val="20"/>
          <w:color w:val="231F20"/>
        </w:rPr>
        <w:t>producing year over year growth and positioning the company for</w:t>
      </w:r>
      <w:r>
        <w:rPr>
          <w:rFonts w:ascii="Arial" w:cs="Arial" w:eastAsia="Arial" w:hAnsi="Arial"/>
          <w:sz w:val="20"/>
          <w:szCs w:val="20"/>
          <w:color w:val="EF3E2A"/>
        </w:rPr>
        <w:t xml:space="preserve"> </w:t>
      </w:r>
      <w:r>
        <w:rPr>
          <w:rFonts w:ascii="Arial" w:cs="Arial" w:eastAsia="Arial" w:hAnsi="Arial"/>
          <w:sz w:val="20"/>
          <w:szCs w:val="20"/>
          <w:color w:val="231F20"/>
        </w:rPr>
        <w:t>continued growth</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-1914525</wp:posOffset>
                </wp:positionH>
                <wp:positionV relativeFrom="paragraph">
                  <wp:posOffset>93345</wp:posOffset>
                </wp:positionV>
                <wp:extent cx="6394450" cy="0"/>
                <wp:wrapNone/>
                <wp:docPr id="322" name="Shape 3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94450"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322" o:spid="_x0000_s13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0.7499pt,7.35pt" to="352.75pt,7.35pt" o:allowincell="f" strokecolor="#231F20" strokeweight="0.5pt"/>
            </w:pict>
          </mc:Fallback>
        </mc:AlternateContent>
      </w:r>
    </w:p>
    <w:p>
      <w:pPr>
        <w:spacing w:after="0" w:line="200" w:lineRule="exact"/>
        <w:rPr>
          <w:sz w:val="20"/>
          <w:szCs w:val="20"/>
          <w:color w:val="auto"/>
        </w:rPr>
      </w:pPr>
    </w:p>
    <w:p>
      <w:pPr>
        <w:sectPr>
          <w:pgSz w:w="11880" w:h="15480" w:orient="portrait"/>
          <w:cols w:equalWidth="0" w:num="2">
            <w:col w:w="2640" w:space="380"/>
            <w:col w:w="7060"/>
          </w:cols>
          <w:pgMar w:left="900" w:top="1364" w:right="900" w:bottom="763" w:gutter="0" w:footer="0" w:header="0"/>
          <w:type w:val="continuous"/>
        </w:sectPr>
      </w:pP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860" w:type="dxa"/>
            <w:vAlign w:val="bottom"/>
          </w:tcPr>
          <w:p>
            <w:pPr>
              <w:jc w:val="center"/>
              <w:ind w:left="1140"/>
              <w:spacing w:after="0"/>
              <w:rPr>
                <w:sz w:val="20"/>
                <w:szCs w:val="20"/>
                <w:color w:val="auto"/>
              </w:rPr>
            </w:pPr>
            <w:r>
              <w:rPr>
                <w:rFonts w:ascii="Arial" w:cs="Arial" w:eastAsia="Arial" w:hAnsi="Arial"/>
                <w:sz w:val="20"/>
                <w:szCs w:val="20"/>
                <w:b w:val="1"/>
                <w:bCs w:val="1"/>
                <w:color w:val="FFFFFF"/>
                <w:w w:val="99"/>
              </w:rPr>
              <w:t>58th Year of</w:t>
            </w:r>
          </w:p>
        </w:tc>
        <w:tc>
          <w:tcPr>
            <w:tcW w:w="7220" w:type="dxa"/>
            <w:vAlign w:val="bottom"/>
          </w:tcPr>
          <w:p>
            <w:pPr>
              <w:ind w:left="160"/>
              <w:spacing w:after="0"/>
              <w:rPr>
                <w:sz w:val="20"/>
                <w:szCs w:val="20"/>
                <w:color w:val="auto"/>
              </w:rPr>
            </w:pPr>
            <w:r>
              <w:rPr>
                <w:rFonts w:ascii="Arial" w:cs="Arial" w:eastAsia="Arial" w:hAnsi="Arial"/>
                <w:sz w:val="20"/>
                <w:szCs w:val="20"/>
                <w:color w:val="231F20"/>
              </w:rPr>
              <w:t xml:space="preserve">Raised the dividend on our common shares for the </w:t>
            </w:r>
            <w:r>
              <w:rPr>
                <w:rFonts w:ascii="Arial" w:cs="Arial" w:eastAsia="Arial" w:hAnsi="Arial"/>
                <w:sz w:val="20"/>
                <w:szCs w:val="20"/>
                <w:color w:val="EF3E2A"/>
              </w:rPr>
              <w:t>58th</w:t>
            </w:r>
            <w:r>
              <w:rPr>
                <w:rFonts w:ascii="Arial" w:cs="Arial" w:eastAsia="Arial" w:hAnsi="Arial"/>
                <w:sz w:val="20"/>
                <w:szCs w:val="20"/>
                <w:color w:val="231F20"/>
              </w:rPr>
              <w:t xml:space="preserve"> consecutive year, a</w:t>
            </w:r>
          </w:p>
        </w:tc>
      </w:tr>
      <w:tr>
        <w:trPr>
          <w:trHeight w:val="240"/>
        </w:trPr>
        <w:tc>
          <w:tcPr>
            <w:tcW w:w="2860" w:type="dxa"/>
            <w:vAlign w:val="bottom"/>
          </w:tcPr>
          <w:p>
            <w:pPr>
              <w:jc w:val="center"/>
              <w:ind w:left="1120"/>
              <w:spacing w:after="0"/>
              <w:rPr>
                <w:sz w:val="20"/>
                <w:szCs w:val="20"/>
                <w:color w:val="auto"/>
              </w:rPr>
            </w:pPr>
            <w:r>
              <w:rPr>
                <w:rFonts w:ascii="Arial" w:cs="Arial" w:eastAsia="Arial" w:hAnsi="Arial"/>
                <w:sz w:val="20"/>
                <w:szCs w:val="20"/>
                <w:b w:val="1"/>
                <w:bCs w:val="1"/>
                <w:color w:val="FFFFFF"/>
                <w:w w:val="99"/>
              </w:rPr>
              <w:t>Dividend</w:t>
            </w:r>
          </w:p>
        </w:tc>
        <w:tc>
          <w:tcPr>
            <w:tcW w:w="7220" w:type="dxa"/>
            <w:vAlign w:val="bottom"/>
          </w:tcPr>
          <w:p>
            <w:pPr>
              <w:ind w:left="160"/>
              <w:spacing w:after="0" w:line="226" w:lineRule="exact"/>
              <w:rPr>
                <w:sz w:val="20"/>
                <w:szCs w:val="20"/>
                <w:color w:val="auto"/>
              </w:rPr>
            </w:pPr>
            <w:r>
              <w:rPr>
                <w:rFonts w:ascii="Arial" w:cs="Arial" w:eastAsia="Arial" w:hAnsi="Arial"/>
                <w:sz w:val="20"/>
                <w:szCs w:val="20"/>
                <w:color w:val="231F20"/>
              </w:rPr>
              <w:t>record in the REIT industry, representing a compound annual growth rate of</w:t>
            </w:r>
          </w:p>
        </w:tc>
      </w:tr>
      <w:tr>
        <w:trPr>
          <w:trHeight w:val="265"/>
        </w:trPr>
        <w:tc>
          <w:tcPr>
            <w:tcW w:w="2860" w:type="dxa"/>
            <w:vAlign w:val="bottom"/>
          </w:tcPr>
          <w:p>
            <w:pPr>
              <w:jc w:val="center"/>
              <w:ind w:left="1120"/>
              <w:spacing w:after="0"/>
              <w:rPr>
                <w:sz w:val="20"/>
                <w:szCs w:val="20"/>
                <w:color w:val="auto"/>
              </w:rPr>
            </w:pPr>
            <w:r>
              <w:rPr>
                <w:rFonts w:ascii="Arial" w:cs="Arial" w:eastAsia="Arial" w:hAnsi="Arial"/>
                <w:sz w:val="20"/>
                <w:szCs w:val="20"/>
                <w:b w:val="1"/>
                <w:bCs w:val="1"/>
                <w:color w:val="FFFFFF"/>
                <w:w w:val="99"/>
              </w:rPr>
              <w:t>Increases</w:t>
            </w:r>
          </w:p>
        </w:tc>
        <w:tc>
          <w:tcPr>
            <w:tcW w:w="7220" w:type="dxa"/>
            <w:vAlign w:val="bottom"/>
          </w:tcPr>
          <w:p>
            <w:pPr>
              <w:ind w:left="160"/>
              <w:spacing w:after="0" w:line="226" w:lineRule="exact"/>
              <w:rPr>
                <w:sz w:val="20"/>
                <w:szCs w:val="20"/>
                <w:color w:val="auto"/>
              </w:rPr>
            </w:pPr>
            <w:r>
              <w:rPr>
                <w:rFonts w:ascii="Arial" w:cs="Arial" w:eastAsia="Arial" w:hAnsi="Arial"/>
                <w:sz w:val="20"/>
                <w:szCs w:val="20"/>
                <w:color w:val="231F20"/>
              </w:rPr>
              <w:t xml:space="preserve">approximately </w:t>
            </w:r>
            <w:r>
              <w:rPr>
                <w:rFonts w:ascii="Arial" w:cs="Arial" w:eastAsia="Arial" w:hAnsi="Arial"/>
                <w:sz w:val="20"/>
                <w:szCs w:val="20"/>
                <w:color w:val="EF3E2A"/>
              </w:rPr>
              <w:t>6.5%</w:t>
            </w:r>
            <w:r>
              <w:rPr>
                <w:rFonts w:ascii="Arial" w:cs="Arial" w:eastAsia="Arial" w:hAnsi="Arial"/>
                <w:sz w:val="20"/>
                <w:szCs w:val="20"/>
                <w:color w:val="231F20"/>
              </w:rPr>
              <w:t xml:space="preserve"> over that 58-year period</w:t>
            </w:r>
          </w:p>
        </w:tc>
      </w:tr>
      <w:tr>
        <w:trPr>
          <w:trHeight w:val="108"/>
        </w:trPr>
        <w:tc>
          <w:tcPr>
            <w:tcW w:w="2860" w:type="dxa"/>
            <w:vAlign w:val="bottom"/>
            <w:tcBorders>
              <w:bottom w:val="single" w:sz="8" w:color="231F20"/>
            </w:tcBorders>
          </w:tcPr>
          <w:p>
            <w:pPr>
              <w:spacing w:after="0"/>
              <w:rPr>
                <w:sz w:val="9"/>
                <w:szCs w:val="9"/>
                <w:color w:val="auto"/>
              </w:rPr>
            </w:pPr>
          </w:p>
        </w:tc>
        <w:tc>
          <w:tcPr>
            <w:tcW w:w="7220" w:type="dxa"/>
            <w:vAlign w:val="bottom"/>
            <w:tcBorders>
              <w:bottom w:val="single" w:sz="8" w:color="231F20"/>
            </w:tcBorders>
          </w:tcPr>
          <w:p>
            <w:pPr>
              <w:spacing w:after="0"/>
              <w:rPr>
                <w:sz w:val="9"/>
                <w:szCs w:val="9"/>
                <w:color w:val="auto"/>
              </w:rPr>
            </w:pPr>
          </w:p>
        </w:tc>
      </w:tr>
      <w:tr>
        <w:trPr>
          <w:trHeight w:val="407"/>
        </w:trPr>
        <w:tc>
          <w:tcPr>
            <w:tcW w:w="2860" w:type="dxa"/>
            <w:vAlign w:val="bottom"/>
          </w:tcPr>
          <w:p>
            <w:pPr>
              <w:spacing w:after="0"/>
              <w:rPr>
                <w:sz w:val="24"/>
                <w:szCs w:val="24"/>
                <w:color w:val="auto"/>
              </w:rPr>
            </w:pPr>
          </w:p>
        </w:tc>
        <w:tc>
          <w:tcPr>
            <w:tcW w:w="7220" w:type="dxa"/>
            <w:vAlign w:val="bottom"/>
          </w:tcPr>
          <w:p>
            <w:pPr>
              <w:ind w:left="160"/>
              <w:spacing w:after="0"/>
              <w:rPr>
                <w:sz w:val="20"/>
                <w:szCs w:val="20"/>
                <w:color w:val="auto"/>
              </w:rPr>
            </w:pPr>
            <w:r>
              <w:rPr>
                <w:rFonts w:ascii="Arial" w:cs="Arial" w:eastAsia="Arial" w:hAnsi="Arial"/>
                <w:sz w:val="20"/>
                <w:szCs w:val="20"/>
                <w:color w:val="231F20"/>
              </w:rPr>
              <w:t xml:space="preserve">Achieved </w:t>
            </w:r>
            <w:r>
              <w:rPr>
                <w:rFonts w:ascii="Symbol" w:cs="Symbol" w:eastAsia="Symbol" w:hAnsi="Symbol"/>
                <w:sz w:val="20"/>
                <w:szCs w:val="20"/>
                <w:color w:val="231F20"/>
              </w:rPr>
              <w:t>≈</w:t>
            </w:r>
            <w:r>
              <w:rPr>
                <w:rFonts w:ascii="Arial" w:cs="Arial" w:eastAsia="Arial" w:hAnsi="Arial"/>
                <w:sz w:val="20"/>
                <w:szCs w:val="20"/>
                <w:color w:val="231F20"/>
              </w:rPr>
              <w:t xml:space="preserve"> </w:t>
            </w:r>
            <w:r>
              <w:rPr>
                <w:rFonts w:ascii="Arial" w:cs="Arial" w:eastAsia="Arial" w:hAnsi="Arial"/>
                <w:sz w:val="20"/>
                <w:szCs w:val="20"/>
                <w:color w:val="EF3E2A"/>
              </w:rPr>
              <w:t>35%</w:t>
            </w:r>
            <w:r>
              <w:rPr>
                <w:rFonts w:ascii="Arial" w:cs="Arial" w:eastAsia="Arial" w:hAnsi="Arial"/>
                <w:sz w:val="20"/>
                <w:szCs w:val="20"/>
                <w:color w:val="231F20"/>
              </w:rPr>
              <w:t xml:space="preserve"> decrease in Scope 1 and 2 GHG emissions through 2024</w:t>
            </w:r>
          </w:p>
        </w:tc>
      </w:tr>
      <w:tr>
        <w:trPr>
          <w:trHeight w:val="240"/>
        </w:trPr>
        <w:tc>
          <w:tcPr>
            <w:tcW w:w="2860" w:type="dxa"/>
            <w:vAlign w:val="bottom"/>
          </w:tcPr>
          <w:p>
            <w:pPr>
              <w:jc w:val="center"/>
              <w:ind w:left="1140"/>
              <w:spacing w:after="0"/>
              <w:rPr>
                <w:sz w:val="20"/>
                <w:szCs w:val="20"/>
                <w:color w:val="auto"/>
              </w:rPr>
            </w:pPr>
            <w:r>
              <w:rPr>
                <w:rFonts w:ascii="Arial" w:cs="Arial" w:eastAsia="Arial" w:hAnsi="Arial"/>
                <w:sz w:val="20"/>
                <w:szCs w:val="20"/>
                <w:b w:val="1"/>
                <w:bCs w:val="1"/>
                <w:color w:val="FFFFFF"/>
                <w:w w:val="99"/>
              </w:rPr>
              <w:t>Sustainability</w:t>
            </w:r>
          </w:p>
        </w:tc>
        <w:tc>
          <w:tcPr>
            <w:tcW w:w="7220" w:type="dxa"/>
            <w:vAlign w:val="bottom"/>
          </w:tcPr>
          <w:p>
            <w:pPr>
              <w:ind w:left="160"/>
              <w:spacing w:after="0" w:line="226" w:lineRule="exact"/>
              <w:rPr>
                <w:sz w:val="20"/>
                <w:szCs w:val="20"/>
                <w:color w:val="auto"/>
              </w:rPr>
            </w:pPr>
            <w:r>
              <w:rPr>
                <w:rFonts w:ascii="Arial" w:cs="Arial" w:eastAsia="Arial" w:hAnsi="Arial"/>
                <w:sz w:val="20"/>
                <w:szCs w:val="20"/>
                <w:color w:val="231F20"/>
              </w:rPr>
              <w:t>versus 2019 baseline in alignment with our 2030 GHG reduction target set in</w:t>
            </w:r>
          </w:p>
        </w:tc>
      </w:tr>
      <w:tr>
        <w:trPr>
          <w:trHeight w:val="225"/>
        </w:trPr>
        <w:tc>
          <w:tcPr>
            <w:tcW w:w="2860" w:type="dxa"/>
            <w:vAlign w:val="bottom"/>
          </w:tcPr>
          <w:p>
            <w:pPr>
              <w:spacing w:after="0"/>
              <w:rPr>
                <w:sz w:val="19"/>
                <w:szCs w:val="19"/>
                <w:color w:val="auto"/>
              </w:rPr>
            </w:pPr>
          </w:p>
        </w:tc>
        <w:tc>
          <w:tcPr>
            <w:tcW w:w="7220" w:type="dxa"/>
            <w:vAlign w:val="bottom"/>
          </w:tcPr>
          <w:p>
            <w:pPr>
              <w:ind w:left="160"/>
              <w:spacing w:after="0" w:line="226" w:lineRule="exact"/>
              <w:rPr>
                <w:sz w:val="20"/>
                <w:szCs w:val="20"/>
                <w:color w:val="auto"/>
              </w:rPr>
            </w:pPr>
            <w:r>
              <w:rPr>
                <w:rFonts w:ascii="Arial" w:cs="Arial" w:eastAsia="Arial" w:hAnsi="Arial"/>
                <w:sz w:val="20"/>
                <w:szCs w:val="20"/>
                <w:color w:val="231F20"/>
              </w:rPr>
              <w:t>accordance with the Science-Based Target initiative</w:t>
            </w:r>
          </w:p>
        </w:tc>
      </w:tr>
      <w:tr>
        <w:trPr>
          <w:trHeight w:val="148"/>
        </w:trPr>
        <w:tc>
          <w:tcPr>
            <w:tcW w:w="2860" w:type="dxa"/>
            <w:vAlign w:val="bottom"/>
            <w:tcBorders>
              <w:bottom w:val="single" w:sz="8" w:color="231F20"/>
            </w:tcBorders>
          </w:tcPr>
          <w:p>
            <w:pPr>
              <w:spacing w:after="0"/>
              <w:rPr>
                <w:sz w:val="12"/>
                <w:szCs w:val="12"/>
                <w:color w:val="auto"/>
              </w:rPr>
            </w:pPr>
          </w:p>
        </w:tc>
        <w:tc>
          <w:tcPr>
            <w:tcW w:w="7220" w:type="dxa"/>
            <w:vAlign w:val="bottom"/>
            <w:tcBorders>
              <w:bottom w:val="single" w:sz="8" w:color="231F20"/>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136525</wp:posOffset>
            </wp:positionH>
            <wp:positionV relativeFrom="paragraph">
              <wp:posOffset>-576580</wp:posOffset>
            </wp:positionV>
            <wp:extent cx="495300" cy="48831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85">
                      <a:extLst>
                        <a:ext uri="{28A0092B-C50C-407E-A947-70E740481C1C}"/>
                      </a:extLst>
                    </a:blip>
                    <a:srcRect/>
                    <a:stretch>
                      <a:fillRect/>
                    </a:stretch>
                  </pic:blipFill>
                  <pic:spPr bwMode="auto">
                    <a:xfrm>
                      <a:off x="0" y="0"/>
                      <a:ext cx="495300" cy="488315"/>
                    </a:xfrm>
                    <a:prstGeom prst="rect">
                      <a:avLst/>
                    </a:prstGeom>
                    <a:noFill/>
                  </pic:spPr>
                </pic:pic>
              </a:graphicData>
            </a:graphic>
          </wp:anchor>
        </w:drawing>
      </w:r>
    </w:p>
    <w:p>
      <w:pPr>
        <w:spacing w:after="0" w:line="257" w:lineRule="exact"/>
        <w:rPr>
          <w:sz w:val="20"/>
          <w:szCs w:val="20"/>
          <w:color w:val="auto"/>
        </w:rPr>
      </w:pPr>
    </w:p>
    <w:p>
      <w:pPr>
        <w:ind w:left="360" w:hanging="360"/>
        <w:spacing w:after="0" w:line="232" w:lineRule="auto"/>
        <w:tabs>
          <w:tab w:leader="none" w:pos="360" w:val="left"/>
        </w:tabs>
        <w:numPr>
          <w:ilvl w:val="0"/>
          <w:numId w:val="112"/>
        </w:numPr>
        <w:rPr>
          <w:rFonts w:ascii="Arial" w:cs="Arial" w:eastAsia="Arial" w:hAnsi="Arial"/>
          <w:sz w:val="20"/>
          <w:szCs w:val="20"/>
          <w:color w:val="231F20"/>
        </w:rPr>
      </w:pPr>
      <w:r>
        <w:rPr>
          <w:rFonts w:ascii="Arial" w:cs="Arial" w:eastAsia="Arial" w:hAnsi="Arial"/>
          <w:sz w:val="20"/>
          <w:szCs w:val="20"/>
          <w:color w:val="231F20"/>
        </w:rPr>
        <w:t>NAREIT FFO per share is a non-GAAP financial measure that we consider significant in our business. See Appendix A for a reconciliation of NAREIT FFO per share to net income.</w:t>
      </w:r>
    </w:p>
    <w:p>
      <w:pPr>
        <w:spacing w:after="0" w:line="213" w:lineRule="exact"/>
        <w:rPr>
          <w:sz w:val="20"/>
          <w:szCs w:val="20"/>
          <w:color w:val="auto"/>
        </w:rPr>
      </w:pPr>
    </w:p>
    <w:p>
      <w:pPr>
        <w:spacing w:after="0" w:line="268" w:lineRule="exact"/>
        <w:rPr>
          <w:sz w:val="20"/>
          <w:szCs w:val="20"/>
          <w:color w:val="auto"/>
        </w:rPr>
      </w:pPr>
      <w:r>
        <w:rPr>
          <w:rFonts w:ascii="Arial Unicode MS" w:cs="Arial Unicode MS" w:eastAsia="Arial Unicode MS" w:hAnsi="Arial Unicode MS"/>
          <w:sz w:val="20"/>
          <w:szCs w:val="20"/>
          <w:color w:val="EF3E2A"/>
        </w:rPr>
        <w:t>➣</w:t>
      </w:r>
      <w:r>
        <w:rPr>
          <w:rFonts w:ascii="Arial" w:cs="Arial" w:eastAsia="Arial" w:hAnsi="Arial"/>
          <w:sz w:val="20"/>
          <w:szCs w:val="20"/>
          <w:b w:val="1"/>
          <w:bCs w:val="1"/>
          <w:color w:val="231F20"/>
        </w:rPr>
        <w:t xml:space="preserve"> PROGRAM PHILOSOPHY AND OBJECTIVES</w:t>
      </w:r>
    </w:p>
    <w:p>
      <w:pPr>
        <w:spacing w:after="0" w:line="255"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231F20"/>
        </w:rPr>
        <w:t>Our executive compensation philosophy and practices reflect a commitment to paying for performance – both short-term and long-term. Our programs are designed to attract, retain, motivate and reward talented, experienced executives to successfully manage our business, execute our strategy and drive shareholder value. We have three key objectives within this philosophy:</w:t>
      </w:r>
    </w:p>
    <w:p>
      <w:pPr>
        <w:spacing w:after="0" w:line="125" w:lineRule="exact"/>
        <w:rPr>
          <w:sz w:val="20"/>
          <w:szCs w:val="20"/>
          <w:color w:val="auto"/>
        </w:rPr>
      </w:pPr>
    </w:p>
    <w:p>
      <w:pPr>
        <w:ind w:left="800" w:hanging="300"/>
        <w:spacing w:after="0"/>
        <w:tabs>
          <w:tab w:leader="none" w:pos="800" w:val="left"/>
        </w:tabs>
        <w:numPr>
          <w:ilvl w:val="0"/>
          <w:numId w:val="114"/>
        </w:numPr>
        <w:rPr>
          <w:rFonts w:ascii="Arial" w:cs="Arial" w:eastAsia="Arial" w:hAnsi="Arial"/>
          <w:sz w:val="20"/>
          <w:szCs w:val="20"/>
          <w:color w:val="231F20"/>
        </w:rPr>
      </w:pPr>
      <w:r>
        <w:rPr>
          <w:rFonts w:ascii="Arial" w:cs="Arial" w:eastAsia="Arial" w:hAnsi="Arial"/>
          <w:sz w:val="20"/>
          <w:szCs w:val="20"/>
          <w:color w:val="231F20"/>
        </w:rPr>
        <w:t>Establish a strong link between pay and performance</w:t>
      </w:r>
    </w:p>
    <w:p>
      <w:pPr>
        <w:spacing w:after="0" w:line="10" w:lineRule="exact"/>
        <w:rPr>
          <w:rFonts w:ascii="Arial" w:cs="Arial" w:eastAsia="Arial" w:hAnsi="Arial"/>
          <w:sz w:val="20"/>
          <w:szCs w:val="20"/>
          <w:color w:val="231F20"/>
        </w:rPr>
      </w:pPr>
    </w:p>
    <w:p>
      <w:pPr>
        <w:ind w:left="800" w:hanging="300"/>
        <w:spacing w:after="0"/>
        <w:tabs>
          <w:tab w:leader="none" w:pos="800" w:val="left"/>
        </w:tabs>
        <w:numPr>
          <w:ilvl w:val="0"/>
          <w:numId w:val="114"/>
        </w:numPr>
        <w:rPr>
          <w:rFonts w:ascii="Arial" w:cs="Arial" w:eastAsia="Arial" w:hAnsi="Arial"/>
          <w:sz w:val="20"/>
          <w:szCs w:val="20"/>
          <w:color w:val="231F20"/>
        </w:rPr>
      </w:pPr>
      <w:r>
        <w:rPr>
          <w:rFonts w:ascii="Arial" w:cs="Arial" w:eastAsia="Arial" w:hAnsi="Arial"/>
          <w:sz w:val="20"/>
          <w:szCs w:val="20"/>
          <w:color w:val="231F20"/>
        </w:rPr>
        <w:t>Align the financial interest of our NEOs with our shareholders, particularly over the longer term</w:t>
      </w:r>
    </w:p>
    <w:p>
      <w:pPr>
        <w:spacing w:after="0" w:line="10" w:lineRule="exact"/>
        <w:rPr>
          <w:rFonts w:ascii="Arial" w:cs="Arial" w:eastAsia="Arial" w:hAnsi="Arial"/>
          <w:sz w:val="20"/>
          <w:szCs w:val="20"/>
          <w:color w:val="231F20"/>
        </w:rPr>
      </w:pPr>
    </w:p>
    <w:p>
      <w:pPr>
        <w:ind w:left="800" w:hanging="300"/>
        <w:spacing w:after="0"/>
        <w:tabs>
          <w:tab w:leader="none" w:pos="800" w:val="left"/>
        </w:tabs>
        <w:numPr>
          <w:ilvl w:val="0"/>
          <w:numId w:val="114"/>
        </w:numPr>
        <w:rPr>
          <w:rFonts w:ascii="Arial" w:cs="Arial" w:eastAsia="Arial" w:hAnsi="Arial"/>
          <w:sz w:val="20"/>
          <w:szCs w:val="20"/>
          <w:color w:val="231F20"/>
        </w:rPr>
      </w:pPr>
      <w:r>
        <w:rPr>
          <w:rFonts w:ascii="Arial" w:cs="Arial" w:eastAsia="Arial" w:hAnsi="Arial"/>
          <w:sz w:val="20"/>
          <w:szCs w:val="20"/>
          <w:color w:val="231F20"/>
        </w:rPr>
        <w:t>Reinforce business strategies and objectives and drive sustained shareholder value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1033780</wp:posOffset>
                </wp:positionV>
                <wp:extent cx="6400800" cy="177800"/>
                <wp:wrapNone/>
                <wp:docPr id="324" name="Shape 3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177800"/>
                        </a:xfrm>
                        <a:prstGeom prst="rect">
                          <a:avLst/>
                        </a:prstGeom>
                        <a:solidFill>
                          <a:srgbClr val="E8E7E5"/>
                        </a:solidFill>
                      </wps:spPr>
                      <wps:bodyPr/>
                    </wps:wsp>
                  </a:graphicData>
                </a:graphic>
              </wp:anchor>
            </w:drawing>
          </mc:Choice>
          <mc:Fallback>
            <w:pict>
              <v:rect id="Shape 324" o:spid="_x0000_s1349" style="position:absolute;margin-left:0pt;margin-top:81.4pt;width:504pt;height:1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8E7E5" stroked="f"/>
            </w:pict>
          </mc:Fallback>
        </mc:AlternateContent>
        <mc:AlternateContent>
          <mc:Choice Requires="wps">
            <w:drawing>
              <wp:anchor simplePos="0" relativeHeight="251657728" behindDoc="1" locked="0" layoutInCell="0" allowOverlap="1">
                <wp:simplePos x="0" y="0"/>
                <wp:positionH relativeFrom="column">
                  <wp:posOffset>6350</wp:posOffset>
                </wp:positionH>
                <wp:positionV relativeFrom="paragraph">
                  <wp:posOffset>1033780</wp:posOffset>
                </wp:positionV>
                <wp:extent cx="0" cy="177800"/>
                <wp:wrapNone/>
                <wp:docPr id="325" name="Shape 3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325" o:spid="_x0000_s13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pt,81.4pt" to="0.5pt,95.4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1040130</wp:posOffset>
                </wp:positionV>
                <wp:extent cx="6400800" cy="0"/>
                <wp:wrapNone/>
                <wp:docPr id="326" name="Shape 3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326" o:spid="_x0000_s13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81.9pt" to="504pt,81.9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6394450</wp:posOffset>
                </wp:positionH>
                <wp:positionV relativeFrom="paragraph">
                  <wp:posOffset>1033780</wp:posOffset>
                </wp:positionV>
                <wp:extent cx="0" cy="177800"/>
                <wp:wrapNone/>
                <wp:docPr id="327" name="Shape 3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327" o:spid="_x0000_s13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3.5pt,81.4pt" to="503.5pt,95.4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1205230</wp:posOffset>
                </wp:positionV>
                <wp:extent cx="6400800" cy="0"/>
                <wp:wrapNone/>
                <wp:docPr id="328" name="Shape 3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328" o:spid="_x0000_s13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94.9pt" to="504pt,94.9pt" o:allowincell="f" strokecolor="#231F20" strokeweight="1pt"/>
            </w:pict>
          </mc:Fallback>
        </mc:AlternateContent>
      </w:r>
    </w:p>
    <w:p>
      <w:pPr>
        <w:sectPr>
          <w:pgSz w:w="11880" w:h="15480" w:orient="portrait"/>
          <w:cols w:equalWidth="0" w:num="1">
            <w:col w:w="10080"/>
          </w:cols>
          <w:pgMar w:left="900" w:top="1364" w:right="900" w:bottom="763"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720"/>
        <w:spacing w:after="0"/>
        <w:tabs>
          <w:tab w:leader="none" w:pos="8060" w:val="left"/>
          <w:tab w:leader="none" w:pos="9800" w:val="left"/>
        </w:tabs>
        <w:rPr>
          <w:sz w:val="20"/>
          <w:szCs w:val="20"/>
          <w:color w:val="auto"/>
        </w:rPr>
      </w:pPr>
      <w:r>
        <w:rPr>
          <w:rFonts w:ascii="Arial" w:cs="Arial" w:eastAsia="Arial" w:hAnsi="Arial"/>
          <w:sz w:val="16"/>
          <w:szCs w:val="16"/>
          <w:color w:val="EF3E2A"/>
        </w:rPr>
        <w:t>Federal Realty</w:t>
      </w:r>
      <w:r>
        <w:rPr>
          <w:sz w:val="20"/>
          <w:szCs w:val="20"/>
          <w:color w:val="auto"/>
        </w:rPr>
        <w:tab/>
      </w:r>
      <w:r>
        <w:rPr>
          <w:rFonts w:ascii="Arial" w:cs="Arial" w:eastAsia="Arial" w:hAnsi="Arial"/>
          <w:sz w:val="16"/>
          <w:szCs w:val="16"/>
          <w:color w:val="231F20"/>
        </w:rPr>
        <w:t>2026 Proxy Statement</w:t>
        <w:tab/>
        <w:t>21</w:t>
      </w:r>
    </w:p>
    <w:p>
      <w:pPr>
        <w:sectPr>
          <w:pgSz w:w="11880" w:h="15480" w:orient="portrait"/>
          <w:cols w:equalWidth="0" w:num="1">
            <w:col w:w="10080"/>
          </w:cols>
          <w:pgMar w:left="900" w:top="1364" w:right="900" w:bottom="763" w:gutter="0" w:footer="0" w:header="0"/>
          <w:type w:val="continuous"/>
        </w:sectPr>
      </w:pPr>
    </w:p>
    <w:bookmarkStart w:id="141" w:name="page142"/>
    <w:bookmarkEnd w:id="141"/>
    <w:p>
      <w:pPr>
        <w:spacing w:after="0" w:line="268" w:lineRule="exact"/>
        <w:rPr>
          <w:sz w:val="20"/>
          <w:szCs w:val="20"/>
          <w:color w:val="auto"/>
        </w:rPr>
      </w:pPr>
      <w:r>
        <w:rPr>
          <w:rFonts w:ascii="Arial Unicode MS" w:cs="Arial Unicode MS" w:eastAsia="Arial Unicode MS" w:hAnsi="Arial Unicode MS"/>
          <w:sz w:val="20"/>
          <w:szCs w:val="20"/>
          <w:color w:val="EF3E2A"/>
        </w:rPr>
        <w:t>➣</w:t>
      </w:r>
      <w:r>
        <w:rPr>
          <w:rFonts w:ascii="Arial" w:cs="Arial" w:eastAsia="Arial" w:hAnsi="Arial"/>
          <w:sz w:val="20"/>
          <w:szCs w:val="20"/>
          <w:b w:val="1"/>
          <w:bCs w:val="1"/>
          <w:color w:val="231F20"/>
        </w:rPr>
        <w:t xml:space="preserve"> EXECUTIVE COMPENSATION PRACTICES</w:t>
      </w:r>
    </w:p>
    <w:p>
      <w:pPr>
        <w:spacing w:after="0" w:line="257" w:lineRule="exact"/>
        <w:rPr>
          <w:sz w:val="20"/>
          <w:szCs w:val="20"/>
          <w:color w:val="auto"/>
        </w:rPr>
      </w:pPr>
    </w:p>
    <w:p>
      <w:pPr>
        <w:spacing w:after="0"/>
        <w:rPr>
          <w:sz w:val="20"/>
          <w:szCs w:val="20"/>
          <w:color w:val="auto"/>
        </w:rPr>
      </w:pPr>
      <w:r>
        <w:rPr>
          <w:rFonts w:ascii="Arial" w:cs="Arial" w:eastAsia="Arial" w:hAnsi="Arial"/>
          <w:sz w:val="19"/>
          <w:szCs w:val="19"/>
          <w:color w:val="231F20"/>
        </w:rPr>
        <w:t>The following table summarizes key governance elements related to our compensation programs: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130175</wp:posOffset>
                </wp:positionV>
                <wp:extent cx="6400800" cy="279400"/>
                <wp:wrapNone/>
                <wp:docPr id="329" name="Shape 3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279400"/>
                        </a:xfrm>
                        <a:prstGeom prst="rect">
                          <a:avLst/>
                        </a:prstGeom>
                        <a:solidFill>
                          <a:srgbClr val="EF3E2A"/>
                        </a:solidFill>
                      </wps:spPr>
                      <wps:bodyPr/>
                    </wps:wsp>
                  </a:graphicData>
                </a:graphic>
              </wp:anchor>
            </w:drawing>
          </mc:Choice>
          <mc:Fallback>
            <w:pict>
              <v:rect id="Shape 329" o:spid="_x0000_s1354" style="position:absolute;margin-left:0pt;margin-top:10.25pt;width:504pt;height: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F3E2A" stroked="f"/>
            </w:pict>
          </mc:Fallback>
        </mc:AlternateContent>
        <mc:AlternateContent>
          <mc:Choice Requires="wps">
            <w:drawing>
              <wp:anchor simplePos="0" relativeHeight="251657728" behindDoc="1" locked="0" layoutInCell="0" allowOverlap="1">
                <wp:simplePos x="0" y="0"/>
                <wp:positionH relativeFrom="column">
                  <wp:posOffset>3387725</wp:posOffset>
                </wp:positionH>
                <wp:positionV relativeFrom="paragraph">
                  <wp:posOffset>132715</wp:posOffset>
                </wp:positionV>
                <wp:extent cx="0" cy="2917190"/>
                <wp:wrapNone/>
                <wp:docPr id="330" name="Shape 3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917190"/>
                        </a:xfrm>
                        <a:prstGeom prst="line">
                          <a:avLst/>
                        </a:prstGeom>
                        <a:solidFill>
                          <a:srgbClr val="FFFFFF"/>
                        </a:solidFill>
                        <a:ln w="6350">
                          <a:solidFill>
                            <a:srgbClr val="231F20"/>
                          </a:solidFill>
                          <a:miter lim="800000"/>
                          <a:headEnd/>
                          <a:tailEnd/>
                        </a:ln>
                      </wps:spPr>
                      <wps:bodyPr/>
                    </wps:wsp>
                  </a:graphicData>
                </a:graphic>
              </wp:anchor>
            </w:drawing>
          </mc:Choice>
          <mc:Fallback>
            <w:pict>
              <v:line id="Shape 330" o:spid="_x0000_s13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6.75pt,10.45pt" to="266.75pt,240.15pt" o:allowincell="f" strokecolor="#231F20" strokeweight="0.5pt"/>
            </w:pict>
          </mc:Fallback>
        </mc:AlternateContent>
      </w:r>
    </w:p>
    <w:p>
      <w:pPr>
        <w:sectPr>
          <w:pgSz w:w="11880" w:h="15480" w:orient="portrait"/>
          <w:cols w:equalWidth="0" w:num="1">
            <w:col w:w="10080"/>
          </w:cols>
          <w:pgMar w:left="900" w:top="1272" w:right="900" w:bottom="763" w:gutter="0" w:footer="0" w:header="0"/>
        </w:sectPr>
      </w:pPr>
    </w:p>
    <w:p>
      <w:pPr>
        <w:spacing w:after="0" w:line="217"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FFFFFF"/>
        </w:rPr>
        <w:t>What We Do</w:t>
      </w:r>
    </w:p>
    <w:p>
      <w:pPr>
        <w:spacing w:after="0" w:line="243" w:lineRule="exact"/>
        <w:rPr>
          <w:sz w:val="20"/>
          <w:szCs w:val="20"/>
          <w:color w:val="auto"/>
        </w:rPr>
      </w:pPr>
    </w:p>
    <w:p>
      <w:pPr>
        <w:ind w:left="640" w:right="1140"/>
        <w:spacing w:after="0" w:line="236" w:lineRule="auto"/>
        <w:rPr>
          <w:sz w:val="20"/>
          <w:szCs w:val="20"/>
          <w:color w:val="auto"/>
        </w:rPr>
      </w:pPr>
      <w:r>
        <w:rPr>
          <w:rFonts w:ascii="Arial" w:cs="Arial" w:eastAsia="Arial" w:hAnsi="Arial"/>
          <w:sz w:val="20"/>
          <w:szCs w:val="20"/>
          <w:color w:val="231F20"/>
        </w:rPr>
        <w:t>Maintain a pay mix that is heavily performance-based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wp:posOffset>
            </wp:positionH>
            <wp:positionV relativeFrom="paragraph">
              <wp:posOffset>-285750</wp:posOffset>
            </wp:positionV>
            <wp:extent cx="222885" cy="2120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86">
                      <a:extLst>
                        <a:ext uri="{28A0092B-C50C-407E-A947-70E740481C1C}"/>
                      </a:extLst>
                    </a:blip>
                    <a:srcRect/>
                    <a:stretch>
                      <a:fillRect/>
                    </a:stretch>
                  </pic:blipFill>
                  <pic:spPr bwMode="auto">
                    <a:xfrm>
                      <a:off x="0" y="0"/>
                      <a:ext cx="222885" cy="212090"/>
                    </a:xfrm>
                    <a:prstGeom prst="rect">
                      <a:avLst/>
                    </a:prstGeom>
                    <a:noFill/>
                  </pic:spPr>
                </pic:pic>
              </a:graphicData>
            </a:graphic>
          </wp:anchor>
        </w:drawing>
        <w:drawing>
          <wp:anchor simplePos="0" relativeHeight="251657728" behindDoc="1" locked="0" layoutInCell="0" allowOverlap="1">
            <wp:simplePos x="0" y="0"/>
            <wp:positionH relativeFrom="column">
              <wp:posOffset>69850</wp:posOffset>
            </wp:positionH>
            <wp:positionV relativeFrom="paragraph">
              <wp:posOffset>-285750</wp:posOffset>
            </wp:positionV>
            <wp:extent cx="222885" cy="2120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87">
                      <a:extLst>
                        <a:ext uri="{28A0092B-C50C-407E-A947-70E740481C1C}"/>
                      </a:extLst>
                    </a:blip>
                    <a:srcRect/>
                    <a:stretch>
                      <a:fillRect/>
                    </a:stretch>
                  </pic:blipFill>
                  <pic:spPr bwMode="auto">
                    <a:xfrm>
                      <a:off x="0" y="0"/>
                      <a:ext cx="222885" cy="212090"/>
                    </a:xfrm>
                    <a:prstGeom prst="rect">
                      <a:avLst/>
                    </a:prstGeom>
                    <a:noFill/>
                  </pic:spPr>
                </pic:pic>
              </a:graphicData>
            </a:graphic>
          </wp:anchor>
        </w:drawing>
        <w:drawing>
          <wp:anchor simplePos="0" relativeHeight="251657728" behindDoc="1" locked="0" layoutInCell="0" allowOverlap="1">
            <wp:simplePos x="0" y="0"/>
            <wp:positionH relativeFrom="column">
              <wp:posOffset>50800</wp:posOffset>
            </wp:positionH>
            <wp:positionV relativeFrom="paragraph">
              <wp:posOffset>52705</wp:posOffset>
            </wp:positionV>
            <wp:extent cx="280035" cy="25781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88">
                      <a:extLst>
                        <a:ext uri="{28A0092B-C50C-407E-A947-70E740481C1C}"/>
                      </a:extLst>
                    </a:blip>
                    <a:srcRect/>
                    <a:stretch>
                      <a:fillRect/>
                    </a:stretch>
                  </pic:blipFill>
                  <pic:spPr bwMode="auto">
                    <a:xfrm>
                      <a:off x="0" y="0"/>
                      <a:ext cx="280035" cy="257810"/>
                    </a:xfrm>
                    <a:prstGeom prst="rect">
                      <a:avLst/>
                    </a:prstGeom>
                    <a:noFill/>
                  </pic:spPr>
                </pic:pic>
              </a:graphicData>
            </a:graphic>
          </wp:anchor>
        </w:drawing>
        <w:drawing>
          <wp:anchor simplePos="0" relativeHeight="251657728" behindDoc="1" locked="0" layoutInCell="0" allowOverlap="1">
            <wp:simplePos x="0" y="0"/>
            <wp:positionH relativeFrom="column">
              <wp:posOffset>50800</wp:posOffset>
            </wp:positionH>
            <wp:positionV relativeFrom="paragraph">
              <wp:posOffset>52705</wp:posOffset>
            </wp:positionV>
            <wp:extent cx="280035" cy="25781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89">
                      <a:extLst>
                        <a:ext uri="{28A0092B-C50C-407E-A947-70E740481C1C}"/>
                      </a:extLst>
                    </a:blip>
                    <a:srcRect/>
                    <a:stretch>
                      <a:fillRect/>
                    </a:stretch>
                  </pic:blipFill>
                  <pic:spPr bwMode="auto">
                    <a:xfrm>
                      <a:off x="0" y="0"/>
                      <a:ext cx="280035" cy="257810"/>
                    </a:xfrm>
                    <a:prstGeom prst="rect">
                      <a:avLst/>
                    </a:prstGeom>
                    <a:noFill/>
                  </pic:spPr>
                </pic:pic>
              </a:graphicData>
            </a:graphic>
          </wp:anchor>
        </w:drawing>
      </w:r>
    </w:p>
    <w:p>
      <w:pPr>
        <w:spacing w:after="0" w:line="104" w:lineRule="exact"/>
        <w:rPr>
          <w:sz w:val="20"/>
          <w:szCs w:val="20"/>
          <w:color w:val="auto"/>
        </w:rPr>
      </w:pPr>
    </w:p>
    <w:p>
      <w:pPr>
        <w:ind w:left="640" w:right="660"/>
        <w:spacing w:after="0" w:line="236" w:lineRule="auto"/>
        <w:rPr>
          <w:sz w:val="20"/>
          <w:szCs w:val="20"/>
          <w:color w:val="auto"/>
        </w:rPr>
      </w:pPr>
      <w:r>
        <w:rPr>
          <w:rFonts w:ascii="Arial" w:cs="Arial" w:eastAsia="Arial" w:hAnsi="Arial"/>
          <w:sz w:val="20"/>
          <w:szCs w:val="20"/>
          <w:color w:val="231F20"/>
        </w:rPr>
        <w:t>Align compensation with company and individual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wp:posOffset>
            </wp:positionH>
            <wp:positionV relativeFrom="paragraph">
              <wp:posOffset>128905</wp:posOffset>
            </wp:positionV>
            <wp:extent cx="280035" cy="25781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90">
                      <a:extLst>
                        <a:ext uri="{28A0092B-C50C-407E-A947-70E740481C1C}"/>
                      </a:extLst>
                    </a:blip>
                    <a:srcRect/>
                    <a:stretch>
                      <a:fillRect/>
                    </a:stretch>
                  </pic:blipFill>
                  <pic:spPr bwMode="auto">
                    <a:xfrm>
                      <a:off x="0" y="0"/>
                      <a:ext cx="280035" cy="257810"/>
                    </a:xfrm>
                    <a:prstGeom prst="rect">
                      <a:avLst/>
                    </a:prstGeom>
                    <a:noFill/>
                  </pic:spPr>
                </pic:pic>
              </a:graphicData>
            </a:graphic>
          </wp:anchor>
        </w:drawing>
        <w:drawing>
          <wp:anchor simplePos="0" relativeHeight="251657728" behindDoc="1" locked="0" layoutInCell="0" allowOverlap="1">
            <wp:simplePos x="0" y="0"/>
            <wp:positionH relativeFrom="column">
              <wp:posOffset>50800</wp:posOffset>
            </wp:positionH>
            <wp:positionV relativeFrom="paragraph">
              <wp:posOffset>128905</wp:posOffset>
            </wp:positionV>
            <wp:extent cx="280035" cy="25781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91">
                      <a:extLst>
                        <a:ext uri="{28A0092B-C50C-407E-A947-70E740481C1C}"/>
                      </a:extLst>
                    </a:blip>
                    <a:srcRect/>
                    <a:stretch>
                      <a:fillRect/>
                    </a:stretch>
                  </pic:blipFill>
                  <pic:spPr bwMode="auto">
                    <a:xfrm>
                      <a:off x="0" y="0"/>
                      <a:ext cx="280035" cy="257810"/>
                    </a:xfrm>
                    <a:prstGeom prst="rect">
                      <a:avLst/>
                    </a:prstGeom>
                    <a:noFill/>
                  </pic:spPr>
                </pic:pic>
              </a:graphicData>
            </a:graphic>
          </wp:anchor>
        </w:drawing>
      </w:r>
    </w:p>
    <w:p>
      <w:pPr>
        <w:spacing w:after="0" w:line="224" w:lineRule="exact"/>
        <w:rPr>
          <w:sz w:val="20"/>
          <w:szCs w:val="20"/>
          <w:color w:val="auto"/>
        </w:rPr>
      </w:pPr>
    </w:p>
    <w:p>
      <w:pPr>
        <w:ind w:left="640" w:right="20"/>
        <w:spacing w:after="0" w:line="236" w:lineRule="auto"/>
        <w:rPr>
          <w:sz w:val="20"/>
          <w:szCs w:val="20"/>
          <w:color w:val="auto"/>
        </w:rPr>
      </w:pPr>
      <w:r>
        <w:rPr>
          <w:rFonts w:ascii="Arial" w:cs="Arial" w:eastAsia="Arial" w:hAnsi="Arial"/>
          <w:sz w:val="20"/>
          <w:szCs w:val="20"/>
          <w:color w:val="231F20"/>
        </w:rPr>
        <w:t>Seek annual shareholder advisory approval of executive compensation</w:t>
      </w:r>
    </w:p>
    <w:p>
      <w:pPr>
        <w:spacing w:after="0" w:line="244" w:lineRule="exact"/>
        <w:rPr>
          <w:sz w:val="20"/>
          <w:szCs w:val="20"/>
          <w:color w:val="auto"/>
        </w:rPr>
      </w:pPr>
    </w:p>
    <w:p>
      <w:pPr>
        <w:ind w:left="640" w:right="20"/>
        <w:spacing w:after="0" w:line="236" w:lineRule="auto"/>
        <w:rPr>
          <w:sz w:val="20"/>
          <w:szCs w:val="20"/>
          <w:color w:val="auto"/>
        </w:rPr>
      </w:pPr>
      <w:r>
        <w:rPr>
          <w:rFonts w:ascii="Arial" w:cs="Arial" w:eastAsia="Arial" w:hAnsi="Arial"/>
          <w:sz w:val="20"/>
          <w:szCs w:val="20"/>
          <w:color w:val="231F20"/>
        </w:rPr>
        <w:t>Maintain strong share ownership guidelines of 7x base salary for our CEO and 2.5x base salary plus annual bonus for our other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wp:posOffset>
            </wp:positionH>
            <wp:positionV relativeFrom="paragraph">
              <wp:posOffset>-383540</wp:posOffset>
            </wp:positionV>
            <wp:extent cx="280035" cy="25781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92">
                      <a:extLst>
                        <a:ext uri="{28A0092B-C50C-407E-A947-70E740481C1C}"/>
                      </a:extLst>
                    </a:blip>
                    <a:srcRect/>
                    <a:stretch>
                      <a:fillRect/>
                    </a:stretch>
                  </pic:blipFill>
                  <pic:spPr bwMode="auto">
                    <a:xfrm>
                      <a:off x="0" y="0"/>
                      <a:ext cx="280035" cy="257810"/>
                    </a:xfrm>
                    <a:prstGeom prst="rect">
                      <a:avLst/>
                    </a:prstGeom>
                    <a:noFill/>
                  </pic:spPr>
                </pic:pic>
              </a:graphicData>
            </a:graphic>
          </wp:anchor>
        </w:drawing>
        <w:drawing>
          <wp:anchor simplePos="0" relativeHeight="251657728" behindDoc="1" locked="0" layoutInCell="0" allowOverlap="1">
            <wp:simplePos x="0" y="0"/>
            <wp:positionH relativeFrom="column">
              <wp:posOffset>50800</wp:posOffset>
            </wp:positionH>
            <wp:positionV relativeFrom="paragraph">
              <wp:posOffset>-383540</wp:posOffset>
            </wp:positionV>
            <wp:extent cx="280035" cy="25781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93">
                      <a:extLst>
                        <a:ext uri="{28A0092B-C50C-407E-A947-70E740481C1C}"/>
                      </a:extLst>
                    </a:blip>
                    <a:srcRect/>
                    <a:stretch>
                      <a:fillRect/>
                    </a:stretch>
                  </pic:blipFill>
                  <pic:spPr bwMode="auto">
                    <a:xfrm>
                      <a:off x="0" y="0"/>
                      <a:ext cx="280035" cy="257810"/>
                    </a:xfrm>
                    <a:prstGeom prst="rect">
                      <a:avLst/>
                    </a:prstGeom>
                    <a:noFill/>
                  </pic:spPr>
                </pic:pic>
              </a:graphicData>
            </a:graphic>
          </wp:anchor>
        </w:drawing>
        <w:drawing>
          <wp:anchor simplePos="0" relativeHeight="251657728" behindDoc="1" locked="0" layoutInCell="0" allowOverlap="1">
            <wp:simplePos x="0" y="0"/>
            <wp:positionH relativeFrom="column">
              <wp:posOffset>50800</wp:posOffset>
            </wp:positionH>
            <wp:positionV relativeFrom="paragraph">
              <wp:posOffset>130175</wp:posOffset>
            </wp:positionV>
            <wp:extent cx="280035" cy="25781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94">
                      <a:extLst>
                        <a:ext uri="{28A0092B-C50C-407E-A947-70E740481C1C}"/>
                      </a:extLst>
                    </a:blip>
                    <a:srcRect/>
                    <a:stretch>
                      <a:fillRect/>
                    </a:stretch>
                  </pic:blipFill>
                  <pic:spPr bwMode="auto">
                    <a:xfrm>
                      <a:off x="0" y="0"/>
                      <a:ext cx="280035" cy="257810"/>
                    </a:xfrm>
                    <a:prstGeom prst="rect">
                      <a:avLst/>
                    </a:prstGeom>
                    <a:noFill/>
                  </pic:spPr>
                </pic:pic>
              </a:graphicData>
            </a:graphic>
          </wp:anchor>
        </w:drawing>
        <w:drawing>
          <wp:anchor simplePos="0" relativeHeight="251657728" behindDoc="1" locked="0" layoutInCell="0" allowOverlap="1">
            <wp:simplePos x="0" y="0"/>
            <wp:positionH relativeFrom="column">
              <wp:posOffset>50800</wp:posOffset>
            </wp:positionH>
            <wp:positionV relativeFrom="paragraph">
              <wp:posOffset>130175</wp:posOffset>
            </wp:positionV>
            <wp:extent cx="280035" cy="25781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95">
                      <a:extLst>
                        <a:ext uri="{28A0092B-C50C-407E-A947-70E740481C1C}"/>
                      </a:extLst>
                    </a:blip>
                    <a:srcRect/>
                    <a:stretch>
                      <a:fillRect/>
                    </a:stretch>
                  </pic:blipFill>
                  <pic:spPr bwMode="auto">
                    <a:xfrm>
                      <a:off x="0" y="0"/>
                      <a:ext cx="280035" cy="257810"/>
                    </a:xfrm>
                    <a:prstGeom prst="rect">
                      <a:avLst/>
                    </a:prstGeom>
                    <a:noFill/>
                  </pic:spPr>
                </pic:pic>
              </a:graphicData>
            </a:graphic>
          </wp:anchor>
        </w:drawing>
      </w:r>
    </w:p>
    <w:p>
      <w:pPr>
        <w:spacing w:after="0" w:line="226" w:lineRule="exact"/>
        <w:rPr>
          <w:sz w:val="20"/>
          <w:szCs w:val="20"/>
          <w:color w:val="auto"/>
        </w:rPr>
      </w:pPr>
    </w:p>
    <w:p>
      <w:pPr>
        <w:ind w:left="640" w:right="300"/>
        <w:spacing w:after="0" w:line="236" w:lineRule="auto"/>
        <w:rPr>
          <w:sz w:val="20"/>
          <w:szCs w:val="20"/>
          <w:color w:val="auto"/>
        </w:rPr>
      </w:pPr>
      <w:r>
        <w:rPr>
          <w:rFonts w:ascii="Arial" w:cs="Arial" w:eastAsia="Arial" w:hAnsi="Arial"/>
          <w:sz w:val="20"/>
          <w:szCs w:val="20"/>
          <w:color w:val="231F20"/>
        </w:rPr>
        <w:t>Maintain incentive compensation clawback policy</w:t>
      </w:r>
    </w:p>
    <w:p>
      <w:pPr>
        <w:spacing w:after="0" w:line="244" w:lineRule="exact"/>
        <w:rPr>
          <w:sz w:val="20"/>
          <w:szCs w:val="20"/>
          <w:color w:val="auto"/>
        </w:rPr>
      </w:pPr>
    </w:p>
    <w:p>
      <w:pPr>
        <w:ind w:left="640" w:right="1020"/>
        <w:spacing w:after="0" w:line="236" w:lineRule="auto"/>
        <w:rPr>
          <w:sz w:val="20"/>
          <w:szCs w:val="20"/>
          <w:color w:val="auto"/>
        </w:rPr>
      </w:pPr>
      <w:r>
        <w:rPr>
          <w:rFonts w:ascii="Arial" w:cs="Arial" w:eastAsia="Arial" w:hAnsi="Arial"/>
          <w:sz w:val="20"/>
          <w:szCs w:val="20"/>
          <w:color w:val="231F20"/>
        </w:rPr>
        <w:t>Conduct annual compensation risk assessment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wp:posOffset>
            </wp:positionH>
            <wp:positionV relativeFrom="paragraph">
              <wp:posOffset>-285750</wp:posOffset>
            </wp:positionV>
            <wp:extent cx="222885" cy="2120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96">
                      <a:extLst>
                        <a:ext uri="{28A0092B-C50C-407E-A947-70E740481C1C}"/>
                      </a:extLst>
                    </a:blip>
                    <a:srcRect/>
                    <a:stretch>
                      <a:fillRect/>
                    </a:stretch>
                  </pic:blipFill>
                  <pic:spPr bwMode="auto">
                    <a:xfrm>
                      <a:off x="0" y="0"/>
                      <a:ext cx="222885" cy="212090"/>
                    </a:xfrm>
                    <a:prstGeom prst="rect">
                      <a:avLst/>
                    </a:prstGeom>
                    <a:noFill/>
                  </pic:spPr>
                </pic:pic>
              </a:graphicData>
            </a:graphic>
          </wp:anchor>
        </w:drawing>
        <w:drawing>
          <wp:anchor simplePos="0" relativeHeight="251657728" behindDoc="1" locked="0" layoutInCell="0" allowOverlap="1">
            <wp:simplePos x="0" y="0"/>
            <wp:positionH relativeFrom="column">
              <wp:posOffset>69850</wp:posOffset>
            </wp:positionH>
            <wp:positionV relativeFrom="paragraph">
              <wp:posOffset>-285750</wp:posOffset>
            </wp:positionV>
            <wp:extent cx="222885" cy="2120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97">
                      <a:extLst>
                        <a:ext uri="{28A0092B-C50C-407E-A947-70E740481C1C}"/>
                      </a:extLst>
                    </a:blip>
                    <a:srcRect/>
                    <a:stretch>
                      <a:fillRect/>
                    </a:stretch>
                  </pic:blipFill>
                  <pic:spPr bwMode="auto">
                    <a:xfrm>
                      <a:off x="0" y="0"/>
                      <a:ext cx="222885" cy="2120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color w:val="FFFFFF"/>
        </w:rPr>
        <w:t>What We Don’t Do</w:t>
      </w:r>
    </w:p>
    <w:p>
      <w:pPr>
        <w:spacing w:after="0" w:line="243" w:lineRule="exact"/>
        <w:rPr>
          <w:sz w:val="20"/>
          <w:szCs w:val="20"/>
          <w:color w:val="auto"/>
        </w:rPr>
      </w:pPr>
    </w:p>
    <w:p>
      <w:pPr>
        <w:ind w:left="540" w:right="40"/>
        <w:spacing w:after="0" w:line="257" w:lineRule="auto"/>
        <w:rPr>
          <w:sz w:val="20"/>
          <w:szCs w:val="20"/>
          <w:color w:val="auto"/>
        </w:rPr>
      </w:pPr>
      <w:r>
        <w:rPr>
          <w:rFonts w:ascii="Arial" w:cs="Arial" w:eastAsia="Arial" w:hAnsi="Arial"/>
          <w:sz w:val="19"/>
          <w:szCs w:val="19"/>
          <w:color w:val="231F20"/>
        </w:rPr>
        <w:t>Have employment agreements with our NEOs with required fixed compensation increases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-295275</wp:posOffset>
            </wp:positionV>
            <wp:extent cx="212090" cy="2120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98">
                      <a:extLst>
                        <a:ext uri="{28A0092B-C50C-407E-A947-70E740481C1C}"/>
                      </a:extLst>
                    </a:blip>
                    <a:srcRect/>
                    <a:stretch>
                      <a:fillRect/>
                    </a:stretch>
                  </pic:blipFill>
                  <pic:spPr bwMode="auto">
                    <a:xfrm>
                      <a:off x="0" y="0"/>
                      <a:ext cx="212090" cy="212090"/>
                    </a:xfrm>
                    <a:prstGeom prst="rect">
                      <a:avLst/>
                    </a:prstGeom>
                    <a:noFill/>
                  </pic:spPr>
                </pic:pic>
              </a:graphicData>
            </a:graphic>
          </wp:anchor>
        </w:drawing>
      </w:r>
    </w:p>
    <w:p>
      <w:pPr>
        <w:spacing w:after="0" w:line="88" w:lineRule="exact"/>
        <w:rPr>
          <w:sz w:val="20"/>
          <w:szCs w:val="20"/>
          <w:color w:val="auto"/>
        </w:rPr>
      </w:pPr>
    </w:p>
    <w:p>
      <w:pPr>
        <w:ind w:left="540" w:right="560"/>
        <w:spacing w:after="0" w:line="236" w:lineRule="auto"/>
        <w:rPr>
          <w:sz w:val="20"/>
          <w:szCs w:val="20"/>
          <w:color w:val="auto"/>
        </w:rPr>
      </w:pPr>
      <w:r>
        <w:rPr>
          <w:rFonts w:ascii="Arial" w:cs="Arial" w:eastAsia="Arial" w:hAnsi="Arial"/>
          <w:sz w:val="20"/>
          <w:szCs w:val="20"/>
          <w:color w:val="231F20"/>
        </w:rPr>
        <w:t>Grant options below fair market value or reprice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-285750</wp:posOffset>
            </wp:positionV>
            <wp:extent cx="212090" cy="2120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99">
                      <a:extLst>
                        <a:ext uri="{28A0092B-C50C-407E-A947-70E740481C1C}"/>
                      </a:extLst>
                    </a:blip>
                    <a:srcRect/>
                    <a:stretch>
                      <a:fillRect/>
                    </a:stretch>
                  </pic:blipFill>
                  <pic:spPr bwMode="auto">
                    <a:xfrm>
                      <a:off x="0" y="0"/>
                      <a:ext cx="212090" cy="2120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155575</wp:posOffset>
            </wp:positionV>
            <wp:extent cx="212090" cy="2120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100">
                      <a:extLst>
                        <a:ext uri="{28A0092B-C50C-407E-A947-70E740481C1C}"/>
                      </a:extLst>
                    </a:blip>
                    <a:srcRect/>
                    <a:stretch>
                      <a:fillRect/>
                    </a:stretch>
                  </pic:blipFill>
                  <pic:spPr bwMode="auto">
                    <a:xfrm>
                      <a:off x="0" y="0"/>
                      <a:ext cx="212090" cy="212090"/>
                    </a:xfrm>
                    <a:prstGeom prst="rect">
                      <a:avLst/>
                    </a:prstGeom>
                    <a:noFill/>
                  </pic:spPr>
                </pic:pic>
              </a:graphicData>
            </a:graphic>
          </wp:anchor>
        </w:drawing>
      </w:r>
    </w:p>
    <w:p>
      <w:pPr>
        <w:spacing w:after="0" w:line="333" w:lineRule="exact"/>
        <w:rPr>
          <w:sz w:val="20"/>
          <w:szCs w:val="20"/>
          <w:color w:val="auto"/>
        </w:rPr>
      </w:pPr>
    </w:p>
    <w:p>
      <w:pPr>
        <w:ind w:left="540"/>
        <w:spacing w:after="0"/>
        <w:rPr>
          <w:sz w:val="20"/>
          <w:szCs w:val="20"/>
          <w:color w:val="auto"/>
        </w:rPr>
      </w:pPr>
      <w:r>
        <w:rPr>
          <w:rFonts w:ascii="Arial" w:cs="Arial" w:eastAsia="Arial" w:hAnsi="Arial"/>
          <w:sz w:val="20"/>
          <w:szCs w:val="20"/>
          <w:color w:val="231F20"/>
        </w:rPr>
        <w:t>Permit hedging or pledging of our shares</w:t>
      </w:r>
    </w:p>
    <w:p>
      <w:pPr>
        <w:spacing w:after="0" w:line="200" w:lineRule="exact"/>
        <w:rPr>
          <w:sz w:val="20"/>
          <w:szCs w:val="20"/>
          <w:color w:val="auto"/>
        </w:rPr>
      </w:pPr>
    </w:p>
    <w:p>
      <w:pPr>
        <w:spacing w:after="0" w:line="271" w:lineRule="exact"/>
        <w:rPr>
          <w:sz w:val="20"/>
          <w:szCs w:val="20"/>
          <w:color w:val="auto"/>
        </w:rPr>
      </w:pPr>
    </w:p>
    <w:p>
      <w:pPr>
        <w:ind w:left="540" w:right="780"/>
        <w:spacing w:after="0" w:line="255" w:lineRule="auto"/>
        <w:rPr>
          <w:sz w:val="20"/>
          <w:szCs w:val="20"/>
          <w:color w:val="auto"/>
        </w:rPr>
      </w:pPr>
      <w:r>
        <w:rPr>
          <w:rFonts w:ascii="Arial" w:cs="Arial" w:eastAsia="Arial" w:hAnsi="Arial"/>
          <w:sz w:val="19"/>
          <w:szCs w:val="19"/>
          <w:color w:val="231F20"/>
        </w:rPr>
        <w:t>Provide perquisites that are not made available to all of our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-293370</wp:posOffset>
            </wp:positionV>
            <wp:extent cx="212090" cy="2120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101">
                      <a:extLst>
                        <a:ext uri="{28A0092B-C50C-407E-A947-70E740481C1C}"/>
                      </a:extLst>
                    </a:blip>
                    <a:srcRect/>
                    <a:stretch>
                      <a:fillRect/>
                    </a:stretch>
                  </pic:blipFill>
                  <pic:spPr bwMode="auto">
                    <a:xfrm>
                      <a:off x="0" y="0"/>
                      <a:ext cx="212090" cy="212090"/>
                    </a:xfrm>
                    <a:prstGeom prst="rect">
                      <a:avLst/>
                    </a:prstGeom>
                    <a:noFill/>
                  </pic:spPr>
                </pic:pic>
              </a:graphicData>
            </a:graphic>
          </wp:anchor>
        </w:drawing>
      </w:r>
    </w:p>
    <w:p>
      <w:pPr>
        <w:spacing w:after="0" w:line="1694" w:lineRule="exact"/>
        <w:rPr>
          <w:sz w:val="20"/>
          <w:szCs w:val="20"/>
          <w:color w:val="auto"/>
        </w:rPr>
      </w:pPr>
    </w:p>
    <w:p>
      <w:pPr>
        <w:sectPr>
          <w:pgSz w:w="11880" w:h="15480" w:orient="portrait"/>
          <w:cols w:equalWidth="0" w:num="2">
            <w:col w:w="4720" w:space="720"/>
            <w:col w:w="4640"/>
          </w:cols>
          <w:pgMar w:left="900" w:top="1272" w:right="900" w:bottom="763" w:gutter="0" w:footer="0" w:header="0"/>
          <w:type w:val="continuous"/>
        </w:sectPr>
      </w:pPr>
    </w:p>
    <w:p>
      <w:pPr>
        <w:spacing w:after="0" w:line="133" w:lineRule="exact"/>
        <w:rPr>
          <w:sz w:val="20"/>
          <w:szCs w:val="20"/>
          <w:color w:val="auto"/>
        </w:rPr>
      </w:pPr>
    </w:p>
    <w:p>
      <w:pPr>
        <w:spacing w:after="0" w:line="268" w:lineRule="exact"/>
        <w:rPr>
          <w:sz w:val="20"/>
          <w:szCs w:val="20"/>
          <w:color w:val="auto"/>
        </w:rPr>
      </w:pPr>
      <w:r>
        <w:rPr>
          <w:rFonts w:ascii="Arial Unicode MS" w:cs="Arial Unicode MS" w:eastAsia="Arial Unicode MS" w:hAnsi="Arial Unicode MS"/>
          <w:sz w:val="20"/>
          <w:szCs w:val="20"/>
          <w:color w:val="EF3E2A"/>
        </w:rPr>
        <w:t>➣</w:t>
      </w:r>
      <w:r>
        <w:rPr>
          <w:rFonts w:ascii="Arial" w:cs="Arial" w:eastAsia="Arial" w:hAnsi="Arial"/>
          <w:sz w:val="20"/>
          <w:szCs w:val="20"/>
          <w:b w:val="1"/>
          <w:bCs w:val="1"/>
          <w:color w:val="231F20"/>
        </w:rPr>
        <w:t xml:space="preserve"> COMPONENTS OF COMPENSATION</w:t>
      </w:r>
    </w:p>
    <w:p>
      <w:pPr>
        <w:spacing w:after="0" w:line="255" w:lineRule="exact"/>
        <w:rPr>
          <w:sz w:val="20"/>
          <w:szCs w:val="20"/>
          <w:color w:val="auto"/>
        </w:rPr>
      </w:pPr>
    </w:p>
    <w:p>
      <w:pPr>
        <w:spacing w:after="0" w:line="245" w:lineRule="auto"/>
        <w:rPr>
          <w:sz w:val="20"/>
          <w:szCs w:val="20"/>
          <w:color w:val="auto"/>
        </w:rPr>
      </w:pPr>
      <w:r>
        <w:rPr>
          <w:rFonts w:ascii="Arial" w:cs="Arial" w:eastAsia="Arial" w:hAnsi="Arial"/>
          <w:sz w:val="20"/>
          <w:szCs w:val="20"/>
          <w:color w:val="231F20"/>
        </w:rPr>
        <w:t>The following table sets out the three components of our compensation plan as well as key information about each component.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123190</wp:posOffset>
                </wp:positionV>
                <wp:extent cx="6400800" cy="165100"/>
                <wp:wrapNone/>
                <wp:docPr id="347" name="Shape 3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165100"/>
                        </a:xfrm>
                        <a:prstGeom prst="rect">
                          <a:avLst/>
                        </a:prstGeom>
                        <a:solidFill>
                          <a:srgbClr val="E6E7E8"/>
                        </a:solidFill>
                      </wps:spPr>
                      <wps:bodyPr/>
                    </wps:wsp>
                  </a:graphicData>
                </a:graphic>
              </wp:anchor>
            </w:drawing>
          </mc:Choice>
          <mc:Fallback>
            <w:pict>
              <v:rect id="Shape 347" o:spid="_x0000_s1372" style="position:absolute;margin-left:0pt;margin-top:9.7pt;width:504pt;height:13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7E8" stroked="f"/>
            </w:pict>
          </mc:Fallback>
        </mc:AlternateContent>
        <mc:AlternateContent>
          <mc:Choice Requires="wps">
            <w:drawing>
              <wp:anchor simplePos="0" relativeHeight="251657728" behindDoc="1" locked="0" layoutInCell="0" allowOverlap="1">
                <wp:simplePos x="0" y="0"/>
                <wp:positionH relativeFrom="column">
                  <wp:posOffset>-3175</wp:posOffset>
                </wp:positionH>
                <wp:positionV relativeFrom="paragraph">
                  <wp:posOffset>125730</wp:posOffset>
                </wp:positionV>
                <wp:extent cx="6407150" cy="0"/>
                <wp:wrapNone/>
                <wp:docPr id="348" name="Shape 3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7150"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348" o:spid="_x0000_s13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499pt,9.9pt" to="504.25pt,9.9pt" o:allowincell="f" strokecolor="#231F20" strokeweight="0.5pt"/>
            </w:pict>
          </mc:Fallback>
        </mc:AlternateContent>
        <mc:AlternateContent>
          <mc:Choice Requires="wps">
            <w:drawing>
              <wp:anchor simplePos="0" relativeHeight="251657728" behindDoc="1" locked="0" layoutInCell="0" allowOverlap="1">
                <wp:simplePos x="0" y="0"/>
                <wp:positionH relativeFrom="column">
                  <wp:posOffset>-3175</wp:posOffset>
                </wp:positionH>
                <wp:positionV relativeFrom="paragraph">
                  <wp:posOffset>284480</wp:posOffset>
                </wp:positionV>
                <wp:extent cx="6407150" cy="0"/>
                <wp:wrapNone/>
                <wp:docPr id="349" name="Shape 3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7150"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349" o:spid="_x0000_s13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499pt,22.4pt" to="504.25pt,22.4pt" o:allowincell="f" strokecolor="#231F20" strokeweight="0.5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122555</wp:posOffset>
                </wp:positionV>
                <wp:extent cx="0" cy="165100"/>
                <wp:wrapNone/>
                <wp:docPr id="350" name="Shape 3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65100"/>
                        </a:xfrm>
                        <a:prstGeom prst="line">
                          <a:avLst/>
                        </a:prstGeom>
                        <a:solidFill>
                          <a:srgbClr val="FFFFFF"/>
                        </a:solidFill>
                        <a:ln w="6350">
                          <a:solidFill>
                            <a:srgbClr val="231F20"/>
                          </a:solidFill>
                          <a:miter lim="800000"/>
                          <a:headEnd/>
                          <a:tailEnd/>
                        </a:ln>
                      </wps:spPr>
                      <wps:bodyPr/>
                    </wps:wsp>
                  </a:graphicData>
                </a:graphic>
              </wp:anchor>
            </w:drawing>
          </mc:Choice>
          <mc:Fallback>
            <w:pict>
              <v:line id="Shape 350" o:spid="_x0000_s13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9.65pt" to="0pt,22.65pt" o:allowincell="f" strokecolor="#231F20" strokeweight="0.5pt"/>
            </w:pict>
          </mc:Fallback>
        </mc:AlternateContent>
        <mc:AlternateContent>
          <mc:Choice Requires="wps">
            <w:drawing>
              <wp:anchor simplePos="0" relativeHeight="251657728" behindDoc="1" locked="0" layoutInCell="0" allowOverlap="1">
                <wp:simplePos x="0" y="0"/>
                <wp:positionH relativeFrom="column">
                  <wp:posOffset>6400800</wp:posOffset>
                </wp:positionH>
                <wp:positionV relativeFrom="paragraph">
                  <wp:posOffset>122555</wp:posOffset>
                </wp:positionV>
                <wp:extent cx="0" cy="165100"/>
                <wp:wrapNone/>
                <wp:docPr id="351" name="Shape 3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65100"/>
                        </a:xfrm>
                        <a:prstGeom prst="line">
                          <a:avLst/>
                        </a:prstGeom>
                        <a:solidFill>
                          <a:srgbClr val="FFFFFF"/>
                        </a:solidFill>
                        <a:ln w="6350">
                          <a:solidFill>
                            <a:srgbClr val="231F20"/>
                          </a:solidFill>
                          <a:miter lim="800000"/>
                          <a:headEnd/>
                          <a:tailEnd/>
                        </a:ln>
                      </wps:spPr>
                      <wps:bodyPr/>
                    </wps:wsp>
                  </a:graphicData>
                </a:graphic>
              </wp:anchor>
            </w:drawing>
          </mc:Choice>
          <mc:Fallback>
            <w:pict>
              <v:line id="Shape 351" o:spid="_x0000_s13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4pt,9.65pt" to="504pt,22.65pt" o:allowincell="f" strokecolor="#231F20" strokeweight="0.5pt"/>
            </w:pict>
          </mc:Fallback>
        </mc:AlternateContent>
      </w:r>
    </w:p>
    <w:p>
      <w:pPr>
        <w:sectPr>
          <w:pgSz w:w="11880" w:h="15480" w:orient="portrait"/>
          <w:cols w:equalWidth="0" w:num="1">
            <w:col w:w="10080"/>
          </w:cols>
          <w:pgMar w:left="900" w:top="1272" w:right="900" w:bottom="763"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35" w:type="dxa"/>
        <w:tblCellMar>
          <w:top w:w="0" w:type="dxa"/>
          <w:left w:w="0" w:type="dxa"/>
          <w:bottom w:w="0" w:type="dxa"/>
          <w:right w:w="0" w:type="dxa"/>
        </w:tblCellMar>
      </w:tblPr>
      <w:tr>
        <w:trPr>
          <w:trHeight w:val="3140"/>
        </w:trPr>
        <w:tc>
          <w:tcPr>
            <w:tcW w:w="207" w:type="dxa"/>
            <w:vAlign w:val="bottom"/>
            <w:textDirection w:val="btLr"/>
          </w:tcPr>
          <w:p>
            <w:pPr>
              <w:spacing w:after="0"/>
              <w:rPr>
                <w:sz w:val="20"/>
                <w:szCs w:val="20"/>
                <w:color w:val="auto"/>
              </w:rPr>
            </w:pPr>
            <w:r>
              <w:rPr>
                <w:rFonts w:ascii="Arial" w:cs="Arial" w:eastAsia="Arial" w:hAnsi="Arial"/>
                <w:sz w:val="18"/>
                <w:szCs w:val="18"/>
                <w:color w:val="FFFFFF"/>
              </w:rPr>
              <w:t>Long-Term         Annual / Short-Term</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-2270125</wp:posOffset>
                </wp:positionV>
                <wp:extent cx="190500" cy="1574800"/>
                <wp:wrapNone/>
                <wp:docPr id="352" name="Shape 3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0500" cy="1574800"/>
                        </a:xfrm>
                        <a:prstGeom prst="rect">
                          <a:avLst/>
                        </a:prstGeom>
                        <a:solidFill>
                          <a:srgbClr val="231F20"/>
                        </a:solidFill>
                      </wps:spPr>
                      <wps:bodyPr/>
                    </wps:wsp>
                  </a:graphicData>
                </a:graphic>
              </wp:anchor>
            </w:drawing>
          </mc:Choice>
          <mc:Fallback>
            <w:pict>
              <v:rect id="Shape 352" o:spid="_x0000_s1377" style="position:absolute;margin-left:0pt;margin-top:-178.7499pt;width:15pt;height:12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231F20"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-695325</wp:posOffset>
                </wp:positionV>
                <wp:extent cx="190500" cy="837565"/>
                <wp:wrapNone/>
                <wp:docPr id="353" name="Shape 3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0500" cy="837565"/>
                        </a:xfrm>
                        <a:prstGeom prst="rect">
                          <a:avLst/>
                        </a:prstGeom>
                        <a:solidFill>
                          <a:srgbClr val="EF3E2A"/>
                        </a:solidFill>
                      </wps:spPr>
                      <wps:bodyPr/>
                    </wps:wsp>
                  </a:graphicData>
                </a:graphic>
              </wp:anchor>
            </w:drawing>
          </mc:Choice>
          <mc:Fallback>
            <w:pict>
              <v:rect id="Shape 353" o:spid="_x0000_s1378" style="position:absolute;margin-left:0pt;margin-top:-54.7499pt;width:15pt;height:65.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F3E2A" stroked="f"/>
            </w:pict>
          </mc:Fallback>
        </mc:AlternateConten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800" w:type="dxa"/>
            <w:vAlign w:val="bottom"/>
          </w:tcPr>
          <w:p>
            <w:pPr>
              <w:ind w:left="60"/>
              <w:spacing w:after="0"/>
              <w:rPr>
                <w:sz w:val="20"/>
                <w:szCs w:val="20"/>
                <w:color w:val="auto"/>
              </w:rPr>
            </w:pPr>
            <w:r>
              <w:rPr>
                <w:rFonts w:ascii="Arial" w:cs="Arial" w:eastAsia="Arial" w:hAnsi="Arial"/>
                <w:sz w:val="18"/>
                <w:szCs w:val="18"/>
                <w:b w:val="1"/>
                <w:bCs w:val="1"/>
                <w:color w:val="231F20"/>
              </w:rPr>
              <w:t>Pay Component</w:t>
            </w:r>
          </w:p>
        </w:tc>
        <w:tc>
          <w:tcPr>
            <w:tcW w:w="700" w:type="dxa"/>
            <w:vAlign w:val="bottom"/>
            <w:gridSpan w:val="2"/>
          </w:tcPr>
          <w:p>
            <w:pPr>
              <w:ind w:left="100"/>
              <w:spacing w:after="0"/>
              <w:rPr>
                <w:sz w:val="20"/>
                <w:szCs w:val="20"/>
                <w:color w:val="auto"/>
              </w:rPr>
            </w:pPr>
            <w:r>
              <w:rPr>
                <w:rFonts w:ascii="Arial" w:cs="Arial" w:eastAsia="Arial" w:hAnsi="Arial"/>
                <w:sz w:val="18"/>
                <w:szCs w:val="18"/>
                <w:b w:val="1"/>
                <w:bCs w:val="1"/>
                <w:color w:val="231F20"/>
              </w:rPr>
              <w:t>Time</w:t>
            </w:r>
          </w:p>
        </w:tc>
        <w:tc>
          <w:tcPr>
            <w:tcW w:w="2440" w:type="dxa"/>
            <w:vAlign w:val="bottom"/>
          </w:tcPr>
          <w:p>
            <w:pPr>
              <w:ind w:left="100"/>
              <w:spacing w:after="0"/>
              <w:rPr>
                <w:sz w:val="20"/>
                <w:szCs w:val="20"/>
                <w:color w:val="auto"/>
              </w:rPr>
            </w:pPr>
            <w:r>
              <w:rPr>
                <w:rFonts w:ascii="Arial" w:cs="Arial" w:eastAsia="Arial" w:hAnsi="Arial"/>
                <w:sz w:val="18"/>
                <w:szCs w:val="18"/>
                <w:b w:val="1"/>
                <w:bCs w:val="1"/>
                <w:color w:val="231F20"/>
              </w:rPr>
              <w:t>Metric</w:t>
            </w:r>
          </w:p>
        </w:tc>
        <w:tc>
          <w:tcPr>
            <w:tcW w:w="2440" w:type="dxa"/>
            <w:vAlign w:val="bottom"/>
          </w:tcPr>
          <w:p>
            <w:pPr>
              <w:ind w:left="100"/>
              <w:spacing w:after="0"/>
              <w:rPr>
                <w:sz w:val="20"/>
                <w:szCs w:val="20"/>
                <w:color w:val="auto"/>
              </w:rPr>
            </w:pPr>
            <w:r>
              <w:rPr>
                <w:rFonts w:ascii="Arial" w:cs="Arial" w:eastAsia="Arial" w:hAnsi="Arial"/>
                <w:sz w:val="18"/>
                <w:szCs w:val="18"/>
                <w:b w:val="1"/>
                <w:bCs w:val="1"/>
                <w:color w:val="231F20"/>
              </w:rPr>
              <w:t>Purpose</w:t>
            </w:r>
          </w:p>
        </w:tc>
        <w:tc>
          <w:tcPr>
            <w:tcW w:w="2100" w:type="dxa"/>
            <w:vAlign w:val="bottom"/>
          </w:tcPr>
          <w:p>
            <w:pPr>
              <w:ind w:left="100"/>
              <w:spacing w:after="0"/>
              <w:rPr>
                <w:sz w:val="20"/>
                <w:szCs w:val="20"/>
                <w:color w:val="auto"/>
              </w:rPr>
            </w:pPr>
            <w:r>
              <w:rPr>
                <w:rFonts w:ascii="Arial" w:cs="Arial" w:eastAsia="Arial" w:hAnsi="Arial"/>
                <w:sz w:val="18"/>
                <w:szCs w:val="18"/>
                <w:b w:val="1"/>
                <w:bCs w:val="1"/>
                <w:color w:val="231F20"/>
              </w:rPr>
              <w:t>Impact</w:t>
            </w:r>
          </w:p>
        </w:tc>
      </w:tr>
      <w:tr>
        <w:trPr>
          <w:trHeight w:val="259"/>
        </w:trPr>
        <w:tc>
          <w:tcPr>
            <w:tcW w:w="1800" w:type="dxa"/>
            <w:vAlign w:val="bottom"/>
          </w:tcPr>
          <w:p>
            <w:pPr>
              <w:ind w:left="60"/>
              <w:spacing w:after="0"/>
              <w:rPr>
                <w:sz w:val="20"/>
                <w:szCs w:val="20"/>
                <w:color w:val="auto"/>
              </w:rPr>
            </w:pPr>
            <w:r>
              <w:rPr>
                <w:rFonts w:ascii="Arial" w:cs="Arial" w:eastAsia="Arial" w:hAnsi="Arial"/>
                <w:sz w:val="18"/>
                <w:szCs w:val="18"/>
                <w:b w:val="1"/>
                <w:bCs w:val="1"/>
                <w:color w:val="231F20"/>
              </w:rPr>
              <w:t>Base Pay</w:t>
            </w:r>
          </w:p>
        </w:tc>
        <w:tc>
          <w:tcPr>
            <w:tcW w:w="700" w:type="dxa"/>
            <w:vAlign w:val="bottom"/>
            <w:gridSpan w:val="2"/>
          </w:tcPr>
          <w:p>
            <w:pPr>
              <w:ind w:left="100"/>
              <w:spacing w:after="0"/>
              <w:rPr>
                <w:sz w:val="20"/>
                <w:szCs w:val="20"/>
                <w:color w:val="auto"/>
              </w:rPr>
            </w:pPr>
            <w:r>
              <w:rPr>
                <w:rFonts w:ascii="Arial" w:cs="Arial" w:eastAsia="Arial" w:hAnsi="Arial"/>
                <w:sz w:val="18"/>
                <w:szCs w:val="18"/>
                <w:color w:val="231F20"/>
              </w:rPr>
              <w:t>1 year</w:t>
            </w:r>
          </w:p>
        </w:tc>
        <w:tc>
          <w:tcPr>
            <w:tcW w:w="2440" w:type="dxa"/>
            <w:vAlign w:val="bottom"/>
          </w:tcPr>
          <w:p>
            <w:pPr>
              <w:ind w:left="100"/>
              <w:spacing w:after="0"/>
              <w:rPr>
                <w:sz w:val="20"/>
                <w:szCs w:val="20"/>
                <w:color w:val="auto"/>
              </w:rPr>
            </w:pPr>
            <w:r>
              <w:rPr>
                <w:rFonts w:ascii="Arial" w:cs="Arial" w:eastAsia="Arial" w:hAnsi="Arial"/>
                <w:sz w:val="18"/>
                <w:szCs w:val="18"/>
                <w:color w:val="231F20"/>
              </w:rPr>
              <w:t>Individual performance</w:t>
            </w:r>
          </w:p>
        </w:tc>
        <w:tc>
          <w:tcPr>
            <w:tcW w:w="2440" w:type="dxa"/>
            <w:vAlign w:val="bottom"/>
          </w:tcPr>
          <w:p>
            <w:pPr>
              <w:ind w:left="100"/>
              <w:spacing w:after="0"/>
              <w:rPr>
                <w:sz w:val="20"/>
                <w:szCs w:val="20"/>
                <w:color w:val="auto"/>
              </w:rPr>
            </w:pPr>
            <w:r>
              <w:rPr>
                <w:rFonts w:ascii="Arial" w:cs="Arial" w:eastAsia="Arial" w:hAnsi="Arial"/>
                <w:sz w:val="18"/>
                <w:szCs w:val="18"/>
                <w:color w:val="231F20"/>
              </w:rPr>
              <w:t>To provide fair and</w:t>
            </w:r>
          </w:p>
        </w:tc>
        <w:tc>
          <w:tcPr>
            <w:tcW w:w="2100" w:type="dxa"/>
            <w:vAlign w:val="bottom"/>
          </w:tcPr>
          <w:p>
            <w:pPr>
              <w:ind w:left="100"/>
              <w:spacing w:after="0"/>
              <w:rPr>
                <w:sz w:val="20"/>
                <w:szCs w:val="20"/>
                <w:color w:val="auto"/>
              </w:rPr>
            </w:pPr>
            <w:r>
              <w:rPr>
                <w:rFonts w:ascii="Arial" w:cs="Arial" w:eastAsia="Arial" w:hAnsi="Arial"/>
                <w:sz w:val="18"/>
                <w:szCs w:val="18"/>
                <w:color w:val="231F20"/>
              </w:rPr>
              <w:t>Attract and retain talent</w:t>
            </w:r>
          </w:p>
        </w:tc>
      </w:tr>
      <w:tr>
        <w:trPr>
          <w:trHeight w:val="200"/>
        </w:trPr>
        <w:tc>
          <w:tcPr>
            <w:tcW w:w="18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2440" w:type="dxa"/>
            <w:vAlign w:val="bottom"/>
          </w:tcPr>
          <w:p>
            <w:pPr>
              <w:ind w:left="100"/>
              <w:spacing w:after="0" w:line="200" w:lineRule="exact"/>
              <w:rPr>
                <w:sz w:val="20"/>
                <w:szCs w:val="20"/>
                <w:color w:val="auto"/>
              </w:rPr>
            </w:pPr>
            <w:r>
              <w:rPr>
                <w:rFonts w:ascii="Arial" w:cs="Arial" w:eastAsia="Arial" w:hAnsi="Arial"/>
                <w:sz w:val="18"/>
                <w:szCs w:val="18"/>
                <w:color w:val="231F20"/>
                <w:w w:val="99"/>
              </w:rPr>
              <w:t>competitive compensation for</w:t>
            </w:r>
          </w:p>
        </w:tc>
        <w:tc>
          <w:tcPr>
            <w:tcW w:w="2100" w:type="dxa"/>
            <w:vAlign w:val="bottom"/>
          </w:tcPr>
          <w:p>
            <w:pPr>
              <w:spacing w:after="0"/>
              <w:rPr>
                <w:sz w:val="17"/>
                <w:szCs w:val="17"/>
                <w:color w:val="auto"/>
              </w:rPr>
            </w:pPr>
          </w:p>
        </w:tc>
      </w:tr>
      <w:tr>
        <w:trPr>
          <w:trHeight w:val="200"/>
        </w:trPr>
        <w:tc>
          <w:tcPr>
            <w:tcW w:w="18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2440" w:type="dxa"/>
            <w:vAlign w:val="bottom"/>
          </w:tcPr>
          <w:p>
            <w:pPr>
              <w:ind w:left="100"/>
              <w:spacing w:after="0" w:line="200" w:lineRule="exact"/>
              <w:rPr>
                <w:sz w:val="20"/>
                <w:szCs w:val="20"/>
                <w:color w:val="auto"/>
              </w:rPr>
            </w:pPr>
            <w:r>
              <w:rPr>
                <w:rFonts w:ascii="Arial" w:cs="Arial" w:eastAsia="Arial" w:hAnsi="Arial"/>
                <w:sz w:val="18"/>
                <w:szCs w:val="18"/>
                <w:color w:val="231F20"/>
              </w:rPr>
              <w:t>individual performance and</w:t>
            </w:r>
          </w:p>
        </w:tc>
        <w:tc>
          <w:tcPr>
            <w:tcW w:w="2100" w:type="dxa"/>
            <w:vAlign w:val="bottom"/>
          </w:tcPr>
          <w:p>
            <w:pPr>
              <w:spacing w:after="0"/>
              <w:rPr>
                <w:sz w:val="17"/>
                <w:szCs w:val="17"/>
                <w:color w:val="auto"/>
              </w:rPr>
            </w:pPr>
          </w:p>
        </w:tc>
      </w:tr>
      <w:tr>
        <w:trPr>
          <w:trHeight w:val="200"/>
        </w:trPr>
        <w:tc>
          <w:tcPr>
            <w:tcW w:w="18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2440" w:type="dxa"/>
            <w:vAlign w:val="bottom"/>
          </w:tcPr>
          <w:p>
            <w:pPr>
              <w:ind w:left="100"/>
              <w:spacing w:after="0" w:line="200" w:lineRule="exact"/>
              <w:rPr>
                <w:sz w:val="20"/>
                <w:szCs w:val="20"/>
                <w:color w:val="auto"/>
              </w:rPr>
            </w:pPr>
            <w:r>
              <w:rPr>
                <w:rFonts w:ascii="Arial" w:cs="Arial" w:eastAsia="Arial" w:hAnsi="Arial"/>
                <w:sz w:val="18"/>
                <w:szCs w:val="18"/>
                <w:color w:val="231F20"/>
              </w:rPr>
              <w:t>level of responsibility of</w:t>
            </w:r>
          </w:p>
        </w:tc>
        <w:tc>
          <w:tcPr>
            <w:tcW w:w="2100" w:type="dxa"/>
            <w:vAlign w:val="bottom"/>
          </w:tcPr>
          <w:p>
            <w:pPr>
              <w:spacing w:after="0"/>
              <w:rPr>
                <w:sz w:val="17"/>
                <w:szCs w:val="17"/>
                <w:color w:val="auto"/>
              </w:rPr>
            </w:pPr>
          </w:p>
        </w:tc>
      </w:tr>
      <w:tr>
        <w:trPr>
          <w:trHeight w:val="201"/>
        </w:trPr>
        <w:tc>
          <w:tcPr>
            <w:tcW w:w="18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2440" w:type="dxa"/>
            <w:vAlign w:val="bottom"/>
          </w:tcPr>
          <w:p>
            <w:pPr>
              <w:ind w:left="100"/>
              <w:spacing w:after="0" w:line="201" w:lineRule="exact"/>
              <w:rPr>
                <w:sz w:val="20"/>
                <w:szCs w:val="20"/>
                <w:color w:val="auto"/>
              </w:rPr>
            </w:pPr>
            <w:r>
              <w:rPr>
                <w:rFonts w:ascii="Arial" w:cs="Arial" w:eastAsia="Arial" w:hAnsi="Arial"/>
                <w:sz w:val="18"/>
                <w:szCs w:val="18"/>
                <w:color w:val="231F20"/>
              </w:rPr>
              <w:t>position held</w:t>
            </w:r>
          </w:p>
        </w:tc>
        <w:tc>
          <w:tcPr>
            <w:tcW w:w="2100" w:type="dxa"/>
            <w:vAlign w:val="bottom"/>
          </w:tcPr>
          <w:p>
            <w:pPr>
              <w:spacing w:after="0"/>
              <w:rPr>
                <w:sz w:val="17"/>
                <w:szCs w:val="17"/>
                <w:color w:val="auto"/>
              </w:rPr>
            </w:pPr>
          </w:p>
        </w:tc>
      </w:tr>
      <w:tr>
        <w:trPr>
          <w:trHeight w:val="357"/>
        </w:trPr>
        <w:tc>
          <w:tcPr>
            <w:tcW w:w="1800" w:type="dxa"/>
            <w:vAlign w:val="bottom"/>
          </w:tcPr>
          <w:p>
            <w:pPr>
              <w:ind w:left="60"/>
              <w:spacing w:after="0"/>
              <w:rPr>
                <w:sz w:val="20"/>
                <w:szCs w:val="20"/>
                <w:color w:val="auto"/>
              </w:rPr>
            </w:pPr>
            <w:r>
              <w:rPr>
                <w:rFonts w:ascii="Arial" w:cs="Arial" w:eastAsia="Arial" w:hAnsi="Arial"/>
                <w:sz w:val="18"/>
                <w:szCs w:val="18"/>
                <w:b w:val="1"/>
                <w:bCs w:val="1"/>
                <w:color w:val="231F20"/>
              </w:rPr>
              <w:t>Annual</w:t>
            </w:r>
          </w:p>
        </w:tc>
        <w:tc>
          <w:tcPr>
            <w:tcW w:w="700" w:type="dxa"/>
            <w:vAlign w:val="bottom"/>
            <w:gridSpan w:val="2"/>
          </w:tcPr>
          <w:p>
            <w:pPr>
              <w:ind w:left="100"/>
              <w:spacing w:after="0"/>
              <w:rPr>
                <w:sz w:val="20"/>
                <w:szCs w:val="20"/>
                <w:color w:val="auto"/>
              </w:rPr>
            </w:pPr>
            <w:r>
              <w:rPr>
                <w:rFonts w:ascii="Arial" w:cs="Arial" w:eastAsia="Arial" w:hAnsi="Arial"/>
                <w:sz w:val="18"/>
                <w:szCs w:val="18"/>
                <w:color w:val="231F20"/>
              </w:rPr>
              <w:t>1 year</w:t>
            </w:r>
          </w:p>
        </w:tc>
        <w:tc>
          <w:tcPr>
            <w:tcW w:w="2440" w:type="dxa"/>
            <w:vAlign w:val="bottom"/>
          </w:tcPr>
          <w:p>
            <w:pPr>
              <w:ind w:left="100"/>
              <w:spacing w:after="0"/>
              <w:rPr>
                <w:sz w:val="20"/>
                <w:szCs w:val="20"/>
                <w:color w:val="auto"/>
              </w:rPr>
            </w:pPr>
            <w:r>
              <w:rPr>
                <w:rFonts w:ascii="Arial" w:cs="Arial" w:eastAsia="Arial" w:hAnsi="Arial"/>
                <w:sz w:val="18"/>
                <w:szCs w:val="18"/>
                <w:color w:val="231F20"/>
              </w:rPr>
              <w:t>NAREIT FFO per Share*</w:t>
            </w:r>
          </w:p>
        </w:tc>
        <w:tc>
          <w:tcPr>
            <w:tcW w:w="2440" w:type="dxa"/>
            <w:vAlign w:val="bottom"/>
          </w:tcPr>
          <w:p>
            <w:pPr>
              <w:ind w:left="100"/>
              <w:spacing w:after="0"/>
              <w:rPr>
                <w:sz w:val="20"/>
                <w:szCs w:val="20"/>
                <w:color w:val="auto"/>
              </w:rPr>
            </w:pPr>
            <w:r>
              <w:rPr>
                <w:rFonts w:ascii="Arial" w:cs="Arial" w:eastAsia="Arial" w:hAnsi="Arial"/>
                <w:sz w:val="18"/>
                <w:szCs w:val="18"/>
                <w:color w:val="231F20"/>
              </w:rPr>
              <w:t>To provide performance</w:t>
            </w:r>
          </w:p>
        </w:tc>
        <w:tc>
          <w:tcPr>
            <w:tcW w:w="2100" w:type="dxa"/>
            <w:vAlign w:val="bottom"/>
          </w:tcPr>
          <w:p>
            <w:pPr>
              <w:ind w:left="100"/>
              <w:spacing w:after="0"/>
              <w:rPr>
                <w:sz w:val="20"/>
                <w:szCs w:val="20"/>
                <w:color w:val="auto"/>
              </w:rPr>
            </w:pPr>
            <w:r>
              <w:rPr>
                <w:rFonts w:ascii="Arial" w:cs="Arial" w:eastAsia="Arial" w:hAnsi="Arial"/>
                <w:sz w:val="18"/>
                <w:szCs w:val="18"/>
                <w:color w:val="231F20"/>
              </w:rPr>
              <w:t>Drive near-term</w:t>
            </w:r>
          </w:p>
        </w:tc>
      </w:tr>
      <w:tr>
        <w:trPr>
          <w:trHeight w:val="202"/>
        </w:trPr>
        <w:tc>
          <w:tcPr>
            <w:tcW w:w="1800" w:type="dxa"/>
            <w:vAlign w:val="bottom"/>
          </w:tcPr>
          <w:p>
            <w:pPr>
              <w:ind w:left="60"/>
              <w:spacing w:after="0" w:line="202" w:lineRule="exact"/>
              <w:rPr>
                <w:sz w:val="20"/>
                <w:szCs w:val="20"/>
                <w:color w:val="auto"/>
              </w:rPr>
            </w:pPr>
            <w:r>
              <w:rPr>
                <w:rFonts w:ascii="Arial" w:cs="Arial" w:eastAsia="Arial" w:hAnsi="Arial"/>
                <w:sz w:val="18"/>
                <w:szCs w:val="18"/>
                <w:b w:val="1"/>
                <w:bCs w:val="1"/>
                <w:color w:val="231F20"/>
              </w:rPr>
              <w:t>Performance Bonus</w:t>
            </w: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40" w:type="dxa"/>
            <w:vAlign w:val="bottom"/>
          </w:tcPr>
          <w:p>
            <w:pPr>
              <w:ind w:left="100"/>
              <w:spacing w:after="0" w:line="202" w:lineRule="exact"/>
              <w:rPr>
                <w:sz w:val="20"/>
                <w:szCs w:val="20"/>
                <w:color w:val="auto"/>
              </w:rPr>
            </w:pPr>
            <w:r>
              <w:rPr>
                <w:rFonts w:ascii="Arial" w:cs="Arial" w:eastAsia="Arial" w:hAnsi="Arial"/>
                <w:sz w:val="18"/>
                <w:szCs w:val="18"/>
                <w:color w:val="231F20"/>
              </w:rPr>
              <w:t>Individual performance</w:t>
            </w:r>
          </w:p>
        </w:tc>
        <w:tc>
          <w:tcPr>
            <w:tcW w:w="2440" w:type="dxa"/>
            <w:vAlign w:val="bottom"/>
          </w:tcPr>
          <w:p>
            <w:pPr>
              <w:ind w:left="100"/>
              <w:spacing w:after="0" w:line="202" w:lineRule="exact"/>
              <w:rPr>
                <w:sz w:val="20"/>
                <w:szCs w:val="20"/>
                <w:color w:val="auto"/>
              </w:rPr>
            </w:pPr>
            <w:r>
              <w:rPr>
                <w:rFonts w:ascii="Arial" w:cs="Arial" w:eastAsia="Arial" w:hAnsi="Arial"/>
                <w:sz w:val="18"/>
                <w:szCs w:val="18"/>
                <w:color w:val="231F20"/>
                <w:w w:val="99"/>
              </w:rPr>
              <w:t>based annual cash awards to</w:t>
            </w:r>
          </w:p>
        </w:tc>
        <w:tc>
          <w:tcPr>
            <w:tcW w:w="2100" w:type="dxa"/>
            <w:vAlign w:val="bottom"/>
          </w:tcPr>
          <w:p>
            <w:pPr>
              <w:ind w:left="100"/>
              <w:spacing w:after="0" w:line="202" w:lineRule="exact"/>
              <w:rPr>
                <w:sz w:val="20"/>
                <w:szCs w:val="20"/>
                <w:color w:val="auto"/>
              </w:rPr>
            </w:pPr>
            <w:r>
              <w:rPr>
                <w:rFonts w:ascii="Arial" w:cs="Arial" w:eastAsia="Arial" w:hAnsi="Arial"/>
                <w:sz w:val="18"/>
                <w:szCs w:val="18"/>
                <w:color w:val="231F20"/>
              </w:rPr>
              <w:t>corporate and individual</w:t>
            </w:r>
          </w:p>
        </w:tc>
      </w:tr>
      <w:tr>
        <w:trPr>
          <w:trHeight w:val="200"/>
        </w:trPr>
        <w:tc>
          <w:tcPr>
            <w:tcW w:w="18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2440" w:type="dxa"/>
            <w:vAlign w:val="bottom"/>
          </w:tcPr>
          <w:p>
            <w:pPr>
              <w:ind w:left="100"/>
              <w:spacing w:after="0" w:line="200" w:lineRule="exact"/>
              <w:rPr>
                <w:sz w:val="20"/>
                <w:szCs w:val="20"/>
                <w:color w:val="auto"/>
              </w:rPr>
            </w:pPr>
            <w:r>
              <w:rPr>
                <w:rFonts w:ascii="Arial" w:cs="Arial" w:eastAsia="Arial" w:hAnsi="Arial"/>
                <w:sz w:val="18"/>
                <w:szCs w:val="18"/>
                <w:color w:val="231F20"/>
              </w:rPr>
              <w:t>motivate and reward</w:t>
            </w:r>
          </w:p>
        </w:tc>
        <w:tc>
          <w:tcPr>
            <w:tcW w:w="2100" w:type="dxa"/>
            <w:vAlign w:val="bottom"/>
          </w:tcPr>
          <w:p>
            <w:pPr>
              <w:ind w:left="100"/>
              <w:spacing w:after="0" w:line="200" w:lineRule="exact"/>
              <w:rPr>
                <w:sz w:val="20"/>
                <w:szCs w:val="20"/>
                <w:color w:val="auto"/>
              </w:rPr>
            </w:pPr>
            <w:r>
              <w:rPr>
                <w:rFonts w:ascii="Arial" w:cs="Arial" w:eastAsia="Arial" w:hAnsi="Arial"/>
                <w:sz w:val="18"/>
                <w:szCs w:val="18"/>
                <w:color w:val="231F20"/>
              </w:rPr>
              <w:t>performance goals</w:t>
            </w:r>
          </w:p>
        </w:tc>
      </w:tr>
      <w:tr>
        <w:trPr>
          <w:trHeight w:val="200"/>
        </w:trPr>
        <w:tc>
          <w:tcPr>
            <w:tcW w:w="18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2440" w:type="dxa"/>
            <w:vAlign w:val="bottom"/>
          </w:tcPr>
          <w:p>
            <w:pPr>
              <w:ind w:left="100"/>
              <w:spacing w:after="0" w:line="200" w:lineRule="exact"/>
              <w:rPr>
                <w:sz w:val="20"/>
                <w:szCs w:val="20"/>
                <w:color w:val="auto"/>
              </w:rPr>
            </w:pPr>
            <w:r>
              <w:rPr>
                <w:rFonts w:ascii="Arial" w:cs="Arial" w:eastAsia="Arial" w:hAnsi="Arial"/>
                <w:sz w:val="18"/>
                <w:szCs w:val="18"/>
                <w:color w:val="231F20"/>
              </w:rPr>
              <w:t>employees for achieving our</w:t>
            </w:r>
          </w:p>
        </w:tc>
        <w:tc>
          <w:tcPr>
            <w:tcW w:w="2100" w:type="dxa"/>
            <w:vAlign w:val="bottom"/>
          </w:tcPr>
          <w:p>
            <w:pPr>
              <w:spacing w:after="0"/>
              <w:rPr>
                <w:sz w:val="17"/>
                <w:szCs w:val="17"/>
                <w:color w:val="auto"/>
              </w:rPr>
            </w:pPr>
          </w:p>
        </w:tc>
      </w:tr>
      <w:tr>
        <w:trPr>
          <w:trHeight w:val="200"/>
        </w:trPr>
        <w:tc>
          <w:tcPr>
            <w:tcW w:w="18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2440" w:type="dxa"/>
            <w:vAlign w:val="bottom"/>
          </w:tcPr>
          <w:p>
            <w:pPr>
              <w:ind w:left="100"/>
              <w:spacing w:after="0" w:line="200" w:lineRule="exact"/>
              <w:rPr>
                <w:sz w:val="20"/>
                <w:szCs w:val="20"/>
                <w:color w:val="auto"/>
              </w:rPr>
            </w:pPr>
            <w:r>
              <w:rPr>
                <w:rFonts w:ascii="Arial" w:cs="Arial" w:eastAsia="Arial" w:hAnsi="Arial"/>
                <w:sz w:val="18"/>
                <w:szCs w:val="18"/>
                <w:color w:val="231F20"/>
              </w:rPr>
              <w:t>short-term business</w:t>
            </w:r>
          </w:p>
        </w:tc>
        <w:tc>
          <w:tcPr>
            <w:tcW w:w="2100" w:type="dxa"/>
            <w:vAlign w:val="bottom"/>
          </w:tcPr>
          <w:p>
            <w:pPr>
              <w:spacing w:after="0"/>
              <w:rPr>
                <w:sz w:val="17"/>
                <w:szCs w:val="17"/>
                <w:color w:val="auto"/>
              </w:rPr>
            </w:pPr>
          </w:p>
        </w:tc>
      </w:tr>
      <w:tr>
        <w:trPr>
          <w:trHeight w:val="201"/>
        </w:trPr>
        <w:tc>
          <w:tcPr>
            <w:tcW w:w="18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2440" w:type="dxa"/>
            <w:vAlign w:val="bottom"/>
          </w:tcPr>
          <w:p>
            <w:pPr>
              <w:ind w:left="100"/>
              <w:spacing w:after="0" w:line="201" w:lineRule="exact"/>
              <w:rPr>
                <w:sz w:val="20"/>
                <w:szCs w:val="20"/>
                <w:color w:val="auto"/>
              </w:rPr>
            </w:pPr>
            <w:r>
              <w:rPr>
                <w:rFonts w:ascii="Arial" w:cs="Arial" w:eastAsia="Arial" w:hAnsi="Arial"/>
                <w:sz w:val="18"/>
                <w:szCs w:val="18"/>
                <w:color w:val="231F20"/>
              </w:rPr>
              <w:t>objectives</w:t>
            </w:r>
          </w:p>
        </w:tc>
        <w:tc>
          <w:tcPr>
            <w:tcW w:w="2100" w:type="dxa"/>
            <w:vAlign w:val="bottom"/>
          </w:tcPr>
          <w:p>
            <w:pPr>
              <w:spacing w:after="0"/>
              <w:rPr>
                <w:sz w:val="17"/>
                <w:szCs w:val="17"/>
                <w:color w:val="auto"/>
              </w:rPr>
            </w:pPr>
          </w:p>
        </w:tc>
      </w:tr>
      <w:tr>
        <w:trPr>
          <w:trHeight w:val="79"/>
        </w:trPr>
        <w:tc>
          <w:tcPr>
            <w:tcW w:w="1800" w:type="dxa"/>
            <w:vAlign w:val="bottom"/>
            <w:tcBorders>
              <w:bottom w:val="single" w:sz="8" w:color="231F20"/>
            </w:tcBorders>
          </w:tcPr>
          <w:p>
            <w:pPr>
              <w:spacing w:after="0"/>
              <w:rPr>
                <w:sz w:val="6"/>
                <w:szCs w:val="6"/>
                <w:color w:val="auto"/>
              </w:rPr>
            </w:pPr>
          </w:p>
        </w:tc>
        <w:tc>
          <w:tcPr>
            <w:tcW w:w="680" w:type="dxa"/>
            <w:vAlign w:val="bottom"/>
            <w:tcBorders>
              <w:bottom w:val="single" w:sz="8" w:color="231F20"/>
            </w:tcBorders>
          </w:tcPr>
          <w:p>
            <w:pPr>
              <w:spacing w:after="0"/>
              <w:rPr>
                <w:sz w:val="6"/>
                <w:szCs w:val="6"/>
                <w:color w:val="auto"/>
              </w:rPr>
            </w:pPr>
          </w:p>
        </w:tc>
        <w:tc>
          <w:tcPr>
            <w:tcW w:w="20" w:type="dxa"/>
            <w:vAlign w:val="bottom"/>
          </w:tcPr>
          <w:p>
            <w:pPr>
              <w:spacing w:after="0"/>
              <w:rPr>
                <w:sz w:val="6"/>
                <w:szCs w:val="6"/>
                <w:color w:val="auto"/>
              </w:rPr>
            </w:pPr>
          </w:p>
        </w:tc>
        <w:tc>
          <w:tcPr>
            <w:tcW w:w="2440" w:type="dxa"/>
            <w:vAlign w:val="bottom"/>
            <w:tcBorders>
              <w:bottom w:val="single" w:sz="8" w:color="231F20"/>
            </w:tcBorders>
          </w:tcPr>
          <w:p>
            <w:pPr>
              <w:spacing w:after="0"/>
              <w:rPr>
                <w:sz w:val="6"/>
                <w:szCs w:val="6"/>
                <w:color w:val="auto"/>
              </w:rPr>
            </w:pPr>
          </w:p>
        </w:tc>
        <w:tc>
          <w:tcPr>
            <w:tcW w:w="2440" w:type="dxa"/>
            <w:vAlign w:val="bottom"/>
            <w:tcBorders>
              <w:bottom w:val="single" w:sz="8" w:color="231F20"/>
            </w:tcBorders>
          </w:tcPr>
          <w:p>
            <w:pPr>
              <w:spacing w:after="0"/>
              <w:rPr>
                <w:sz w:val="6"/>
                <w:szCs w:val="6"/>
                <w:color w:val="auto"/>
              </w:rPr>
            </w:pPr>
          </w:p>
        </w:tc>
        <w:tc>
          <w:tcPr>
            <w:tcW w:w="2100" w:type="dxa"/>
            <w:vAlign w:val="bottom"/>
            <w:tcBorders>
              <w:bottom w:val="single" w:sz="8" w:color="231F20"/>
            </w:tcBorders>
          </w:tcPr>
          <w:p>
            <w:pPr>
              <w:spacing w:after="0"/>
              <w:rPr>
                <w:sz w:val="6"/>
                <w:szCs w:val="6"/>
                <w:color w:val="auto"/>
              </w:rPr>
            </w:pPr>
          </w:p>
        </w:tc>
      </w:tr>
      <w:tr>
        <w:trPr>
          <w:trHeight w:val="220"/>
        </w:trPr>
        <w:tc>
          <w:tcPr>
            <w:tcW w:w="1800" w:type="dxa"/>
            <w:vAlign w:val="bottom"/>
          </w:tcPr>
          <w:p>
            <w:pPr>
              <w:ind w:left="60"/>
              <w:spacing w:after="0"/>
              <w:rPr>
                <w:sz w:val="20"/>
                <w:szCs w:val="20"/>
                <w:color w:val="auto"/>
              </w:rPr>
            </w:pPr>
            <w:r>
              <w:rPr>
                <w:rFonts w:ascii="Arial" w:cs="Arial" w:eastAsia="Arial" w:hAnsi="Arial"/>
                <w:sz w:val="18"/>
                <w:szCs w:val="18"/>
                <w:b w:val="1"/>
                <w:bCs w:val="1"/>
                <w:color w:val="231F20"/>
              </w:rPr>
              <w:t>Equity Incentive</w:t>
            </w:r>
          </w:p>
        </w:tc>
        <w:tc>
          <w:tcPr>
            <w:tcW w:w="700" w:type="dxa"/>
            <w:vAlign w:val="bottom"/>
            <w:gridSpan w:val="2"/>
          </w:tcPr>
          <w:p>
            <w:pPr>
              <w:ind w:left="100"/>
              <w:spacing w:after="0"/>
              <w:rPr>
                <w:sz w:val="20"/>
                <w:szCs w:val="20"/>
                <w:color w:val="auto"/>
              </w:rPr>
            </w:pPr>
            <w:r>
              <w:rPr>
                <w:rFonts w:ascii="Arial" w:cs="Arial" w:eastAsia="Arial" w:hAnsi="Arial"/>
                <w:sz w:val="18"/>
                <w:szCs w:val="18"/>
                <w:color w:val="231F20"/>
                <w:w w:val="98"/>
              </w:rPr>
              <w:t>3 years</w:t>
            </w:r>
          </w:p>
        </w:tc>
        <w:tc>
          <w:tcPr>
            <w:tcW w:w="2440" w:type="dxa"/>
            <w:vAlign w:val="bottom"/>
          </w:tcPr>
          <w:p>
            <w:pPr>
              <w:ind w:left="100"/>
              <w:spacing w:after="0"/>
              <w:rPr>
                <w:sz w:val="20"/>
                <w:szCs w:val="20"/>
                <w:color w:val="auto"/>
              </w:rPr>
            </w:pPr>
            <w:r>
              <w:rPr>
                <w:rFonts w:ascii="Arial" w:cs="Arial" w:eastAsia="Arial" w:hAnsi="Arial"/>
                <w:sz w:val="18"/>
                <w:szCs w:val="18"/>
                <w:color w:val="231F20"/>
              </w:rPr>
              <w:t>Relative total shareholder</w:t>
            </w:r>
          </w:p>
        </w:tc>
        <w:tc>
          <w:tcPr>
            <w:tcW w:w="2440" w:type="dxa"/>
            <w:vAlign w:val="bottom"/>
          </w:tcPr>
          <w:p>
            <w:pPr>
              <w:ind w:left="100"/>
              <w:spacing w:after="0"/>
              <w:rPr>
                <w:sz w:val="20"/>
                <w:szCs w:val="20"/>
                <w:color w:val="auto"/>
              </w:rPr>
            </w:pPr>
            <w:r>
              <w:rPr>
                <w:rFonts w:ascii="Arial" w:cs="Arial" w:eastAsia="Arial" w:hAnsi="Arial"/>
                <w:sz w:val="18"/>
                <w:szCs w:val="18"/>
                <w:color w:val="231F20"/>
              </w:rPr>
              <w:t>To provide performance-</w:t>
            </w:r>
          </w:p>
        </w:tc>
        <w:tc>
          <w:tcPr>
            <w:tcW w:w="2100" w:type="dxa"/>
            <w:vAlign w:val="bottom"/>
          </w:tcPr>
          <w:p>
            <w:pPr>
              <w:ind w:left="100"/>
              <w:spacing w:after="0"/>
              <w:rPr>
                <w:sz w:val="20"/>
                <w:szCs w:val="20"/>
                <w:color w:val="auto"/>
              </w:rPr>
            </w:pPr>
            <w:r>
              <w:rPr>
                <w:rFonts w:ascii="Arial" w:cs="Arial" w:eastAsia="Arial" w:hAnsi="Arial"/>
                <w:sz w:val="18"/>
                <w:szCs w:val="18"/>
                <w:color w:val="231F20"/>
              </w:rPr>
              <w:t>Drive medium and long-</w:t>
            </w:r>
          </w:p>
        </w:tc>
      </w:tr>
      <w:tr>
        <w:trPr>
          <w:trHeight w:val="200"/>
        </w:trPr>
        <w:tc>
          <w:tcPr>
            <w:tcW w:w="18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40" w:type="dxa"/>
            <w:vAlign w:val="bottom"/>
          </w:tcPr>
          <w:p>
            <w:pPr>
              <w:ind w:left="100"/>
              <w:spacing w:after="0" w:line="200" w:lineRule="exact"/>
              <w:rPr>
                <w:sz w:val="20"/>
                <w:szCs w:val="20"/>
                <w:color w:val="auto"/>
              </w:rPr>
            </w:pPr>
            <w:r>
              <w:rPr>
                <w:rFonts w:ascii="Arial" w:cs="Arial" w:eastAsia="Arial" w:hAnsi="Arial"/>
                <w:sz w:val="18"/>
                <w:szCs w:val="18"/>
                <w:color w:val="231F20"/>
              </w:rPr>
              <w:t>return (34%)</w:t>
            </w:r>
          </w:p>
        </w:tc>
        <w:tc>
          <w:tcPr>
            <w:tcW w:w="2440" w:type="dxa"/>
            <w:vAlign w:val="bottom"/>
          </w:tcPr>
          <w:p>
            <w:pPr>
              <w:ind w:left="100"/>
              <w:spacing w:after="0" w:line="200" w:lineRule="exact"/>
              <w:rPr>
                <w:sz w:val="20"/>
                <w:szCs w:val="20"/>
                <w:color w:val="auto"/>
              </w:rPr>
            </w:pPr>
            <w:r>
              <w:rPr>
                <w:rFonts w:ascii="Arial" w:cs="Arial" w:eastAsia="Arial" w:hAnsi="Arial"/>
                <w:sz w:val="18"/>
                <w:szCs w:val="18"/>
                <w:color w:val="231F20"/>
              </w:rPr>
              <w:t>based equity compensation</w:t>
            </w:r>
          </w:p>
        </w:tc>
        <w:tc>
          <w:tcPr>
            <w:tcW w:w="2100" w:type="dxa"/>
            <w:vAlign w:val="bottom"/>
          </w:tcPr>
          <w:p>
            <w:pPr>
              <w:ind w:left="100"/>
              <w:spacing w:after="0" w:line="200" w:lineRule="exact"/>
              <w:rPr>
                <w:sz w:val="20"/>
                <w:szCs w:val="20"/>
                <w:color w:val="auto"/>
              </w:rPr>
            </w:pPr>
            <w:r>
              <w:rPr>
                <w:rFonts w:ascii="Arial" w:cs="Arial" w:eastAsia="Arial" w:hAnsi="Arial"/>
                <w:sz w:val="18"/>
                <w:szCs w:val="18"/>
                <w:color w:val="231F20"/>
              </w:rPr>
              <w:t>term performance goals</w:t>
            </w:r>
          </w:p>
        </w:tc>
      </w:tr>
      <w:tr>
        <w:trPr>
          <w:trHeight w:val="200"/>
        </w:trPr>
        <w:tc>
          <w:tcPr>
            <w:tcW w:w="18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40" w:type="dxa"/>
            <w:vAlign w:val="bottom"/>
          </w:tcPr>
          <w:p>
            <w:pPr>
              <w:ind w:left="100"/>
              <w:spacing w:after="0" w:line="200" w:lineRule="exact"/>
              <w:rPr>
                <w:sz w:val="20"/>
                <w:szCs w:val="20"/>
                <w:color w:val="auto"/>
              </w:rPr>
            </w:pPr>
            <w:r>
              <w:rPr>
                <w:rFonts w:ascii="Arial" w:cs="Arial" w:eastAsia="Arial" w:hAnsi="Arial"/>
                <w:sz w:val="18"/>
                <w:szCs w:val="18"/>
                <w:color w:val="231F20"/>
              </w:rPr>
              <w:t>NAREIT FFO multiple</w:t>
            </w:r>
          </w:p>
        </w:tc>
        <w:tc>
          <w:tcPr>
            <w:tcW w:w="2440" w:type="dxa"/>
            <w:vAlign w:val="bottom"/>
          </w:tcPr>
          <w:p>
            <w:pPr>
              <w:ind w:left="100"/>
              <w:spacing w:after="0" w:line="200" w:lineRule="exact"/>
              <w:rPr>
                <w:sz w:val="20"/>
                <w:szCs w:val="20"/>
                <w:color w:val="auto"/>
              </w:rPr>
            </w:pPr>
            <w:r>
              <w:rPr>
                <w:rFonts w:ascii="Arial" w:cs="Arial" w:eastAsia="Arial" w:hAnsi="Arial"/>
                <w:sz w:val="18"/>
                <w:szCs w:val="18"/>
                <w:color w:val="231F20"/>
              </w:rPr>
              <w:t>in the form of restricted</w:t>
            </w:r>
          </w:p>
        </w:tc>
        <w:tc>
          <w:tcPr>
            <w:tcW w:w="2100" w:type="dxa"/>
            <w:vAlign w:val="bottom"/>
          </w:tcPr>
          <w:p>
            <w:pPr>
              <w:ind w:left="100"/>
              <w:spacing w:after="0" w:line="200" w:lineRule="exact"/>
              <w:rPr>
                <w:sz w:val="20"/>
                <w:szCs w:val="20"/>
                <w:color w:val="auto"/>
              </w:rPr>
            </w:pPr>
            <w:r>
              <w:rPr>
                <w:rFonts w:ascii="Arial" w:cs="Arial" w:eastAsia="Arial" w:hAnsi="Arial"/>
                <w:sz w:val="18"/>
                <w:szCs w:val="18"/>
                <w:color w:val="231F20"/>
              </w:rPr>
              <w:t>and retain talent</w:t>
            </w:r>
          </w:p>
        </w:tc>
      </w:tr>
      <w:tr>
        <w:trPr>
          <w:trHeight w:val="200"/>
        </w:trPr>
        <w:tc>
          <w:tcPr>
            <w:tcW w:w="18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40" w:type="dxa"/>
            <w:vAlign w:val="bottom"/>
          </w:tcPr>
          <w:p>
            <w:pPr>
              <w:ind w:left="100"/>
              <w:spacing w:after="0" w:line="200" w:lineRule="exact"/>
              <w:rPr>
                <w:sz w:val="20"/>
                <w:szCs w:val="20"/>
                <w:color w:val="auto"/>
              </w:rPr>
            </w:pPr>
            <w:r>
              <w:rPr>
                <w:rFonts w:ascii="Arial" w:cs="Arial" w:eastAsia="Arial" w:hAnsi="Arial"/>
                <w:sz w:val="18"/>
                <w:szCs w:val="18"/>
                <w:color w:val="231F20"/>
              </w:rPr>
              <w:t>premium (33%)</w:t>
            </w:r>
          </w:p>
        </w:tc>
        <w:tc>
          <w:tcPr>
            <w:tcW w:w="2440" w:type="dxa"/>
            <w:vAlign w:val="bottom"/>
          </w:tcPr>
          <w:p>
            <w:pPr>
              <w:ind w:left="100"/>
              <w:spacing w:after="0" w:line="200" w:lineRule="exact"/>
              <w:rPr>
                <w:sz w:val="20"/>
                <w:szCs w:val="20"/>
                <w:color w:val="auto"/>
              </w:rPr>
            </w:pPr>
            <w:r>
              <w:rPr>
                <w:rFonts w:ascii="Arial" w:cs="Arial" w:eastAsia="Arial" w:hAnsi="Arial"/>
                <w:sz w:val="18"/>
                <w:szCs w:val="18"/>
                <w:color w:val="231F20"/>
              </w:rPr>
              <w:t>shares to drive medium and</w:t>
            </w:r>
          </w:p>
        </w:tc>
        <w:tc>
          <w:tcPr>
            <w:tcW w:w="2100" w:type="dxa"/>
            <w:vAlign w:val="bottom"/>
          </w:tcPr>
          <w:p>
            <w:pPr>
              <w:spacing w:after="0"/>
              <w:rPr>
                <w:sz w:val="17"/>
                <w:szCs w:val="17"/>
                <w:color w:val="auto"/>
              </w:rPr>
            </w:pPr>
          </w:p>
        </w:tc>
      </w:tr>
      <w:tr>
        <w:trPr>
          <w:trHeight w:val="200"/>
        </w:trPr>
        <w:tc>
          <w:tcPr>
            <w:tcW w:w="18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40" w:type="dxa"/>
            <w:vAlign w:val="bottom"/>
          </w:tcPr>
          <w:p>
            <w:pPr>
              <w:ind w:left="100"/>
              <w:spacing w:after="0" w:line="200" w:lineRule="exact"/>
              <w:rPr>
                <w:sz w:val="20"/>
                <w:szCs w:val="20"/>
                <w:color w:val="auto"/>
              </w:rPr>
            </w:pPr>
            <w:r>
              <w:rPr>
                <w:rFonts w:ascii="Arial" w:cs="Arial" w:eastAsia="Arial" w:hAnsi="Arial"/>
                <w:sz w:val="18"/>
                <w:szCs w:val="18"/>
                <w:color w:val="231F20"/>
              </w:rPr>
              <w:t>Return on invested capital</w:t>
            </w:r>
          </w:p>
        </w:tc>
        <w:tc>
          <w:tcPr>
            <w:tcW w:w="2440" w:type="dxa"/>
            <w:vAlign w:val="bottom"/>
          </w:tcPr>
          <w:p>
            <w:pPr>
              <w:ind w:left="100"/>
              <w:spacing w:after="0" w:line="200" w:lineRule="exact"/>
              <w:rPr>
                <w:sz w:val="20"/>
                <w:szCs w:val="20"/>
                <w:color w:val="auto"/>
              </w:rPr>
            </w:pPr>
            <w:r>
              <w:rPr>
                <w:rFonts w:ascii="Arial" w:cs="Arial" w:eastAsia="Arial" w:hAnsi="Arial"/>
                <w:sz w:val="18"/>
                <w:szCs w:val="18"/>
                <w:color w:val="231F20"/>
              </w:rPr>
              <w:t>longer-term business</w:t>
            </w:r>
          </w:p>
        </w:tc>
        <w:tc>
          <w:tcPr>
            <w:tcW w:w="2100" w:type="dxa"/>
            <w:vAlign w:val="bottom"/>
          </w:tcPr>
          <w:p>
            <w:pPr>
              <w:spacing w:after="0"/>
              <w:rPr>
                <w:sz w:val="17"/>
                <w:szCs w:val="17"/>
                <w:color w:val="auto"/>
              </w:rPr>
            </w:pPr>
          </w:p>
        </w:tc>
      </w:tr>
      <w:tr>
        <w:trPr>
          <w:trHeight w:val="201"/>
        </w:trPr>
        <w:tc>
          <w:tcPr>
            <w:tcW w:w="18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40" w:type="dxa"/>
            <w:vAlign w:val="bottom"/>
          </w:tcPr>
          <w:p>
            <w:pPr>
              <w:ind w:left="100"/>
              <w:spacing w:after="0" w:line="201" w:lineRule="exact"/>
              <w:rPr>
                <w:sz w:val="20"/>
                <w:szCs w:val="20"/>
                <w:color w:val="auto"/>
              </w:rPr>
            </w:pPr>
            <w:r>
              <w:rPr>
                <w:rFonts w:ascii="Arial" w:cs="Arial" w:eastAsia="Arial" w:hAnsi="Arial"/>
                <w:sz w:val="18"/>
                <w:szCs w:val="18"/>
                <w:color w:val="231F20"/>
              </w:rPr>
              <w:t>(33%)</w:t>
            </w:r>
          </w:p>
        </w:tc>
        <w:tc>
          <w:tcPr>
            <w:tcW w:w="2440" w:type="dxa"/>
            <w:vAlign w:val="bottom"/>
          </w:tcPr>
          <w:p>
            <w:pPr>
              <w:ind w:left="100"/>
              <w:spacing w:after="0" w:line="201" w:lineRule="exact"/>
              <w:rPr>
                <w:sz w:val="20"/>
                <w:szCs w:val="20"/>
                <w:color w:val="auto"/>
              </w:rPr>
            </w:pPr>
            <w:r>
              <w:rPr>
                <w:rFonts w:ascii="Arial" w:cs="Arial" w:eastAsia="Arial" w:hAnsi="Arial"/>
                <w:sz w:val="18"/>
                <w:szCs w:val="18"/>
                <w:color w:val="231F20"/>
              </w:rPr>
              <w:t>objectives</w:t>
            </w:r>
          </w:p>
        </w:tc>
        <w:tc>
          <w:tcPr>
            <w:tcW w:w="210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6019800</wp:posOffset>
                </wp:positionH>
                <wp:positionV relativeFrom="paragraph">
                  <wp:posOffset>-2359025</wp:posOffset>
                </wp:positionV>
                <wp:extent cx="190500" cy="711200"/>
                <wp:wrapNone/>
                <wp:docPr id="354" name="Shape 3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0500" cy="711200"/>
                        </a:xfrm>
                        <a:prstGeom prst="rect">
                          <a:avLst/>
                        </a:prstGeom>
                        <a:solidFill>
                          <a:srgbClr val="231F20"/>
                        </a:solidFill>
                      </wps:spPr>
                      <wps:bodyPr/>
                    </wps:wsp>
                  </a:graphicData>
                </a:graphic>
              </wp:anchor>
            </w:drawing>
          </mc:Choice>
          <mc:Fallback>
            <w:pict>
              <v:rect id="Shape 354" o:spid="_x0000_s1379" style="position:absolute;margin-left:474pt;margin-top:-185.7499pt;width:15pt;height:56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231F20" stroked="f"/>
            </w:pict>
          </mc:Fallback>
        </mc:AlternateContent>
        <mc:AlternateContent>
          <mc:Choice Requires="wps">
            <w:drawing>
              <wp:anchor simplePos="0" relativeHeight="251657728" behindDoc="1" locked="0" layoutInCell="0" allowOverlap="1">
                <wp:simplePos x="0" y="0"/>
                <wp:positionH relativeFrom="column">
                  <wp:posOffset>-187325</wp:posOffset>
                </wp:positionH>
                <wp:positionV relativeFrom="paragraph">
                  <wp:posOffset>-1651000</wp:posOffset>
                </wp:positionV>
                <wp:extent cx="6394450" cy="0"/>
                <wp:wrapNone/>
                <wp:docPr id="355" name="Shape 3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94450"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355" o:spid="_x0000_s13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7499pt,-130pt" to="488.75pt,-130pt" o:allowincell="f" strokecolor="#231F20" strokeweight="0.5pt"/>
            </w:pict>
          </mc:Fallback>
        </mc:AlternateContent>
        <mc:AlternateContent>
          <mc:Choice Requires="wps">
            <w:drawing>
              <wp:anchor simplePos="0" relativeHeight="251657728" behindDoc="1" locked="0" layoutInCell="0" allowOverlap="1">
                <wp:simplePos x="0" y="0"/>
                <wp:positionH relativeFrom="column">
                  <wp:posOffset>6019800</wp:posOffset>
                </wp:positionH>
                <wp:positionV relativeFrom="paragraph">
                  <wp:posOffset>-1647825</wp:posOffset>
                </wp:positionV>
                <wp:extent cx="190500" cy="1701165"/>
                <wp:wrapNone/>
                <wp:docPr id="356" name="Shape 3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0500" cy="1701165"/>
                        </a:xfrm>
                        <a:prstGeom prst="rect">
                          <a:avLst/>
                        </a:prstGeom>
                        <a:solidFill>
                          <a:srgbClr val="EF3E2A"/>
                        </a:solidFill>
                      </wps:spPr>
                      <wps:bodyPr/>
                    </wps:wsp>
                  </a:graphicData>
                </a:graphic>
              </wp:anchor>
            </w:drawing>
          </mc:Choice>
          <mc:Fallback>
            <w:pict>
              <v:rect id="Shape 356" o:spid="_x0000_s1381" style="position:absolute;margin-left:474pt;margin-top:-129.7499pt;width:15pt;height:133.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F3E2A" stroked="f"/>
            </w:pict>
          </mc:Fallback>
        </mc:AlternateContent>
        <mc:AlternateContent>
          <mc:Choice Requires="wps">
            <w:drawing>
              <wp:anchor simplePos="0" relativeHeight="251657728" behindDoc="1" locked="0" layoutInCell="0" allowOverlap="1">
                <wp:simplePos x="0" y="0"/>
                <wp:positionH relativeFrom="column">
                  <wp:posOffset>6022975</wp:posOffset>
                </wp:positionH>
                <wp:positionV relativeFrom="paragraph">
                  <wp:posOffset>-1622425</wp:posOffset>
                </wp:positionV>
                <wp:extent cx="184150" cy="0"/>
                <wp:wrapNone/>
                <wp:docPr id="357" name="Shape 3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0" cy="4763"/>
                        </a:xfrm>
                        <a:prstGeom prst="line">
                          <a:avLst/>
                        </a:prstGeom>
                        <a:solidFill>
                          <a:srgbClr val="FFFFFF"/>
                        </a:solidFill>
                        <a:ln w="6350">
                          <a:solidFill>
                            <a:srgbClr val="EF3E2A"/>
                          </a:solidFill>
                          <a:miter lim="800000"/>
                          <a:headEnd/>
                          <a:tailEnd/>
                        </a:ln>
                      </wps:spPr>
                      <wps:bodyPr/>
                    </wps:wsp>
                  </a:graphicData>
                </a:graphic>
              </wp:anchor>
            </w:drawing>
          </mc:Choice>
          <mc:Fallback>
            <w:pict>
              <v:line id="Shape 357" o:spid="_x0000_s13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74.25pt,-127.7499pt" to="488.75pt,-127.7499pt" o:allowincell="f" strokecolor="#EF3E2A" strokeweight="0.5pt"/>
            </w:pict>
          </mc:Fallback>
        </mc:AlternateContent>
        <mc:AlternateContent>
          <mc:Choice Requires="wps">
            <w:drawing>
              <wp:anchor simplePos="0" relativeHeight="251657728" behindDoc="1" locked="0" layoutInCell="0" allowOverlap="1">
                <wp:simplePos x="0" y="0"/>
                <wp:positionH relativeFrom="column">
                  <wp:posOffset>-187325</wp:posOffset>
                </wp:positionH>
                <wp:positionV relativeFrom="paragraph">
                  <wp:posOffset>50165</wp:posOffset>
                </wp:positionV>
                <wp:extent cx="6394450" cy="0"/>
                <wp:wrapNone/>
                <wp:docPr id="358" name="Shape 3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94450"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358" o:spid="_x0000_s13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7499pt,3.95pt" to="488.75pt,3.95pt" o:allowincell="f" strokecolor="#231F20" strokeweight="0.5pt"/>
            </w:pict>
          </mc:Fallback>
        </mc:AlternateConten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5" w:type="dxa"/>
        <w:tblCellMar>
          <w:top w:w="0" w:type="dxa"/>
          <w:left w:w="0" w:type="dxa"/>
          <w:bottom w:w="0" w:type="dxa"/>
          <w:right w:w="0" w:type="dxa"/>
        </w:tblCellMar>
      </w:tblPr>
      <w:tr>
        <w:trPr>
          <w:trHeight w:val="440"/>
        </w:trPr>
        <w:tc>
          <w:tcPr>
            <w:tcW w:w="195" w:type="dxa"/>
            <w:vAlign w:val="bottom"/>
            <w:textDirection w:val="btLr"/>
          </w:tcPr>
          <w:p>
            <w:pPr>
              <w:spacing w:after="0"/>
              <w:rPr>
                <w:sz w:val="20"/>
                <w:szCs w:val="20"/>
                <w:color w:val="auto"/>
              </w:rPr>
            </w:pPr>
            <w:r>
              <w:rPr>
                <w:rFonts w:ascii="Arial" w:cs="Arial" w:eastAsia="Arial" w:hAnsi="Arial"/>
                <w:sz w:val="17"/>
                <w:szCs w:val="17"/>
                <w:color w:val="FFFFFF"/>
              </w:rPr>
              <w:t>Fixed</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320"/>
        </w:trPr>
        <w:tc>
          <w:tcPr>
            <w:tcW w:w="200" w:type="dxa"/>
            <w:vAlign w:val="bottom"/>
            <w:textDirection w:val="btLr"/>
          </w:tcPr>
          <w:p>
            <w:pPr>
              <w:spacing w:after="0" w:line="232" w:lineRule="auto"/>
              <w:rPr>
                <w:sz w:val="20"/>
                <w:szCs w:val="20"/>
                <w:color w:val="auto"/>
              </w:rPr>
            </w:pPr>
            <w:r>
              <w:rPr>
                <w:rFonts w:ascii="Arial" w:cs="Arial" w:eastAsia="Arial" w:hAnsi="Arial"/>
                <w:sz w:val="18"/>
                <w:szCs w:val="18"/>
                <w:color w:val="FFFFFF"/>
              </w:rPr>
              <w:t>Variable / At risk</w:t>
            </w:r>
          </w:p>
        </w:tc>
      </w:tr>
    </w:tbl>
    <w:p>
      <w:pPr>
        <w:spacing w:after="0" w:line="779" w:lineRule="exact"/>
        <w:rPr>
          <w:sz w:val="20"/>
          <w:szCs w:val="20"/>
          <w:color w:val="auto"/>
        </w:rPr>
      </w:pPr>
    </w:p>
    <w:p>
      <w:pPr>
        <w:sectPr>
          <w:pgSz w:w="11880" w:h="15480" w:orient="portrait"/>
          <w:cols w:equalWidth="0" w:num="3">
            <w:col w:w="242" w:space="58"/>
            <w:col w:w="9480" w:space="33"/>
            <w:col w:w="267"/>
          </w:cols>
          <w:pgMar w:left="900" w:top="1272" w:right="900" w:bottom="763" w:gutter="0" w:footer="0" w:header="0"/>
          <w:type w:val="continuous"/>
        </w:sectPr>
      </w:pPr>
    </w:p>
    <w:p>
      <w:pPr>
        <w:spacing w:after="0" w:line="161" w:lineRule="exact"/>
        <w:rPr>
          <w:sz w:val="20"/>
          <w:szCs w:val="20"/>
          <w:color w:val="auto"/>
        </w:rPr>
      </w:pPr>
    </w:p>
    <w:p>
      <w:pPr>
        <w:ind w:left="360" w:hanging="360"/>
        <w:spacing w:after="0" w:line="231" w:lineRule="auto"/>
        <w:tabs>
          <w:tab w:leader="none" w:pos="360" w:val="left"/>
        </w:tabs>
        <w:numPr>
          <w:ilvl w:val="0"/>
          <w:numId w:val="117"/>
        </w:numPr>
        <w:rPr>
          <w:rFonts w:ascii="Arial" w:cs="Arial" w:eastAsia="Arial" w:hAnsi="Arial"/>
          <w:sz w:val="20"/>
          <w:szCs w:val="20"/>
          <w:color w:val="231F20"/>
        </w:rPr>
      </w:pPr>
      <w:r>
        <w:rPr>
          <w:rFonts w:ascii="Arial" w:cs="Arial" w:eastAsia="Arial" w:hAnsi="Arial"/>
          <w:sz w:val="20"/>
          <w:szCs w:val="20"/>
          <w:color w:val="231F20"/>
        </w:rPr>
        <w:t>NAREIT FFO per share is a non-GAAP financial measure that we consider significant in our business. See Appendix A for a reconciliation of NAREIT FFO per share to net income.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556260</wp:posOffset>
                </wp:positionV>
                <wp:extent cx="6400800" cy="177800"/>
                <wp:wrapNone/>
                <wp:docPr id="359" name="Shape 3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177800"/>
                        </a:xfrm>
                        <a:prstGeom prst="rect">
                          <a:avLst/>
                        </a:prstGeom>
                        <a:solidFill>
                          <a:srgbClr val="E8E7E5"/>
                        </a:solidFill>
                      </wps:spPr>
                      <wps:bodyPr/>
                    </wps:wsp>
                  </a:graphicData>
                </a:graphic>
              </wp:anchor>
            </w:drawing>
          </mc:Choice>
          <mc:Fallback>
            <w:pict>
              <v:rect id="Shape 359" o:spid="_x0000_s1384" style="position:absolute;margin-left:0pt;margin-top:43.8pt;width:504pt;height:1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8E7E5" stroked="f"/>
            </w:pict>
          </mc:Fallback>
        </mc:AlternateContent>
        <mc:AlternateContent>
          <mc:Choice Requires="wps">
            <w:drawing>
              <wp:anchor simplePos="0" relativeHeight="251657728" behindDoc="1" locked="0" layoutInCell="0" allowOverlap="1">
                <wp:simplePos x="0" y="0"/>
                <wp:positionH relativeFrom="column">
                  <wp:posOffset>6350</wp:posOffset>
                </wp:positionH>
                <wp:positionV relativeFrom="paragraph">
                  <wp:posOffset>556260</wp:posOffset>
                </wp:positionV>
                <wp:extent cx="0" cy="177800"/>
                <wp:wrapNone/>
                <wp:docPr id="360" name="Shape 3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360" o:spid="_x0000_s13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pt,43.8pt" to="0.5pt,57.8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562610</wp:posOffset>
                </wp:positionV>
                <wp:extent cx="6400800" cy="0"/>
                <wp:wrapNone/>
                <wp:docPr id="361" name="Shape 3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361" o:spid="_x0000_s13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44.3pt" to="504pt,44.3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6394450</wp:posOffset>
                </wp:positionH>
                <wp:positionV relativeFrom="paragraph">
                  <wp:posOffset>556260</wp:posOffset>
                </wp:positionV>
                <wp:extent cx="0" cy="177800"/>
                <wp:wrapNone/>
                <wp:docPr id="362" name="Shape 3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362" o:spid="_x0000_s13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3.5pt,43.8pt" to="503.5pt,57.8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727710</wp:posOffset>
                </wp:positionV>
                <wp:extent cx="6400800" cy="0"/>
                <wp:wrapNone/>
                <wp:docPr id="363" name="Shape 3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363" o:spid="_x0000_s13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7.3pt" to="504pt,57.3pt" o:allowincell="f" strokecolor="#231F20" strokeweight="1pt"/>
            </w:pict>
          </mc:Fallback>
        </mc:AlternateContent>
      </w:r>
    </w:p>
    <w:p>
      <w:pPr>
        <w:sectPr>
          <w:pgSz w:w="11880" w:h="15480" w:orient="portrait"/>
          <w:cols w:equalWidth="0" w:num="1">
            <w:col w:w="10080"/>
          </w:cols>
          <w:pgMar w:left="900" w:top="1272" w:right="900" w:bottom="763"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80"/>
        <w:spacing w:after="0"/>
        <w:tabs>
          <w:tab w:leader="none" w:pos="1420" w:val="left"/>
          <w:tab w:leader="none" w:pos="3160" w:val="left"/>
        </w:tabs>
        <w:rPr>
          <w:sz w:val="20"/>
          <w:szCs w:val="20"/>
          <w:color w:val="auto"/>
        </w:rPr>
      </w:pPr>
      <w:r>
        <w:rPr>
          <w:rFonts w:ascii="Arial" w:cs="Arial" w:eastAsia="Arial" w:hAnsi="Arial"/>
          <w:sz w:val="16"/>
          <w:szCs w:val="16"/>
          <w:color w:val="EF3E2A"/>
        </w:rPr>
        <w:t>Federal Realty</w:t>
      </w:r>
      <w:r>
        <w:rPr>
          <w:sz w:val="20"/>
          <w:szCs w:val="20"/>
          <w:color w:val="auto"/>
        </w:rPr>
        <w:tab/>
      </w:r>
      <w:r>
        <w:rPr>
          <w:rFonts w:ascii="Arial" w:cs="Arial" w:eastAsia="Arial" w:hAnsi="Arial"/>
          <w:sz w:val="16"/>
          <w:szCs w:val="16"/>
          <w:color w:val="231F20"/>
        </w:rPr>
        <w:t>2026 Proxy Statement</w:t>
        <w:tab/>
        <w:t>22</w:t>
      </w:r>
    </w:p>
    <w:p>
      <w:pPr>
        <w:sectPr>
          <w:pgSz w:w="11880" w:h="15480" w:orient="portrait"/>
          <w:cols w:equalWidth="0" w:num="1">
            <w:col w:w="10080"/>
          </w:cols>
          <w:pgMar w:left="900" w:top="1272" w:right="900" w:bottom="763" w:gutter="0" w:footer="0" w:header="0"/>
          <w:type w:val="continuous"/>
        </w:sectPr>
      </w:pPr>
    </w:p>
    <w:bookmarkStart w:id="142" w:name="page143"/>
    <w:bookmarkEnd w:id="142"/>
    <w:p>
      <w:pPr>
        <w:ind w:left="120"/>
        <w:spacing w:after="0"/>
        <w:rPr>
          <w:sz w:val="20"/>
          <w:szCs w:val="20"/>
          <w:color w:val="auto"/>
        </w:rPr>
      </w:pPr>
      <w:r>
        <w:rPr>
          <w:rFonts w:ascii="Arial" w:cs="Arial" w:eastAsia="Arial" w:hAnsi="Arial"/>
          <w:sz w:val="24"/>
          <w:szCs w:val="24"/>
          <w:b w:val="1"/>
          <w:bCs w:val="1"/>
          <w:color w:val="EF3E2A"/>
        </w:rPr>
        <mc:AlternateContent>
          <mc:Choice Requires="wps">
            <w:drawing>
              <wp:anchor simplePos="0" relativeHeight="251657728" behindDoc="1" locked="0" layoutInCell="0" allowOverlap="1">
                <wp:simplePos x="0" y="0"/>
                <wp:positionH relativeFrom="page">
                  <wp:posOffset>571500</wp:posOffset>
                </wp:positionH>
                <wp:positionV relativeFrom="page">
                  <wp:posOffset>828675</wp:posOffset>
                </wp:positionV>
                <wp:extent cx="6400800" cy="0"/>
                <wp:wrapNone/>
                <wp:docPr id="364" name="Shape 3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364" o:spid="_x0000_s138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5pt,65.25pt" to="549pt,65.25pt" o:allowincell="f" strokecolor="#231F20" strokeweight="0.5pt">
                <w10:wrap anchorx="page" anchory="page"/>
              </v:line>
            </w:pict>
          </mc:Fallback>
        </mc:AlternateContent>
        <w:t>C</w:t>
      </w:r>
      <w:r>
        <w:rPr>
          <w:rFonts w:ascii="Arial" w:cs="Arial" w:eastAsia="Arial" w:hAnsi="Arial"/>
          <w:sz w:val="18"/>
          <w:szCs w:val="18"/>
          <w:b w:val="1"/>
          <w:bCs w:val="1"/>
          <w:color w:val="EF3E2A"/>
        </w:rPr>
        <w:t>OMPENSATION</w:t>
      </w:r>
      <w:r>
        <w:rPr>
          <w:rFonts w:ascii="Arial" w:cs="Arial" w:eastAsia="Arial" w:hAnsi="Arial"/>
          <w:sz w:val="24"/>
          <w:szCs w:val="24"/>
          <w:b w:val="1"/>
          <w:bCs w:val="1"/>
          <w:color w:val="EF3E2A"/>
        </w:rPr>
        <w:t xml:space="preserve"> S</w:t>
      </w:r>
      <w:r>
        <w:rPr>
          <w:rFonts w:ascii="Arial" w:cs="Arial" w:eastAsia="Arial" w:hAnsi="Arial"/>
          <w:sz w:val="18"/>
          <w:szCs w:val="18"/>
          <w:b w:val="1"/>
          <w:bCs w:val="1"/>
          <w:color w:val="EF3E2A"/>
        </w:rPr>
        <w:t>ETTING</w:t>
      </w:r>
      <w:r>
        <w:rPr>
          <w:rFonts w:ascii="Arial" w:cs="Arial" w:eastAsia="Arial" w:hAnsi="Arial"/>
          <w:sz w:val="24"/>
          <w:szCs w:val="24"/>
          <w:b w:val="1"/>
          <w:bCs w:val="1"/>
          <w:color w:val="EF3E2A"/>
        </w:rPr>
        <w:t xml:space="preserve"> P</w:t>
      </w:r>
      <w:r>
        <w:rPr>
          <w:rFonts w:ascii="Arial" w:cs="Arial" w:eastAsia="Arial" w:hAnsi="Arial"/>
          <w:sz w:val="18"/>
          <w:szCs w:val="18"/>
          <w:b w:val="1"/>
          <w:bCs w:val="1"/>
          <w:color w:val="EF3E2A"/>
        </w:rPr>
        <w:t>ROCESS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2540</wp:posOffset>
                </wp:positionV>
                <wp:extent cx="6400800" cy="0"/>
                <wp:wrapNone/>
                <wp:docPr id="365" name="Shape 3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365" o:spid="_x0000_s13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0.2pt" to="504pt,0.2pt" o:allowincell="f" strokecolor="#231F20" strokeweight="0.5pt"/>
            </w:pict>
          </mc:Fallback>
        </mc:AlternateContent>
      </w:r>
    </w:p>
    <w:p>
      <w:pPr>
        <w:spacing w:after="0" w:line="224" w:lineRule="exact"/>
        <w:rPr>
          <w:sz w:val="20"/>
          <w:szCs w:val="20"/>
          <w:color w:val="auto"/>
        </w:rPr>
      </w:pPr>
    </w:p>
    <w:p>
      <w:pPr>
        <w:spacing w:after="0" w:line="268" w:lineRule="exact"/>
        <w:rPr>
          <w:sz w:val="20"/>
          <w:szCs w:val="20"/>
          <w:color w:val="auto"/>
        </w:rPr>
      </w:pPr>
      <w:r>
        <w:rPr>
          <w:rFonts w:ascii="Arial Unicode MS" w:cs="Arial Unicode MS" w:eastAsia="Arial Unicode MS" w:hAnsi="Arial Unicode MS"/>
          <w:sz w:val="20"/>
          <w:szCs w:val="20"/>
          <w:color w:val="EF3E2A"/>
        </w:rPr>
        <w:t>➣</w:t>
      </w:r>
      <w:r>
        <w:rPr>
          <w:rFonts w:ascii="Arial" w:cs="Arial" w:eastAsia="Arial" w:hAnsi="Arial"/>
          <w:sz w:val="20"/>
          <w:szCs w:val="20"/>
          <w:b w:val="1"/>
          <w:bCs w:val="1"/>
          <w:color w:val="231F20"/>
        </w:rPr>
        <w:t xml:space="preserve"> ANNUAL COMPENSATION DECISION MAKING</w:t>
      </w:r>
    </w:p>
    <w:p>
      <w:pPr>
        <w:spacing w:after="0" w:line="239"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231F20"/>
        </w:rPr>
        <w:t>Our Compensation Committee develops and executes our executive compensation program on behalf of the Board, including creating compensation programs and policies, setting target compensation levels for our NEOs, setting performance metrics for incentive compensation plans, establishing expectations for individual NEO performance and determining payouts of incentive compensation for completed performance periods.</w:t>
      </w:r>
    </w:p>
    <w:p>
      <w:pPr>
        <w:spacing w:after="0" w:line="231"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231F20"/>
        </w:rPr>
        <w:t>In setting NEO compensation, the Compensation Committee considers competitive market data for similar jobs and job levels in the market, Company performance measured against financial metrics and targets established by the Compensation Committee, general business climate and each individual’s experience, knowledge, skills and personal contributions.</w:t>
      </w:r>
    </w:p>
    <w:p>
      <w:pPr>
        <w:spacing w:after="0" w:line="187" w:lineRule="exact"/>
        <w:rPr>
          <w:sz w:val="20"/>
          <w:szCs w:val="20"/>
          <w:color w:val="auto"/>
        </w:rPr>
      </w:pPr>
    </w:p>
    <w:p>
      <w:pPr>
        <w:spacing w:after="0" w:line="268" w:lineRule="exact"/>
        <w:rPr>
          <w:sz w:val="20"/>
          <w:szCs w:val="20"/>
          <w:color w:val="auto"/>
        </w:rPr>
      </w:pPr>
      <w:r>
        <w:rPr>
          <w:rFonts w:ascii="Arial Unicode MS" w:cs="Arial Unicode MS" w:eastAsia="Arial Unicode MS" w:hAnsi="Arial Unicode MS"/>
          <w:sz w:val="20"/>
          <w:szCs w:val="20"/>
          <w:color w:val="EF3E2A"/>
        </w:rPr>
        <w:t>➣</w:t>
      </w:r>
      <w:r>
        <w:rPr>
          <w:rFonts w:ascii="Arial" w:cs="Arial" w:eastAsia="Arial" w:hAnsi="Arial"/>
          <w:sz w:val="20"/>
          <w:szCs w:val="20"/>
          <w:b w:val="1"/>
          <w:bCs w:val="1"/>
          <w:color w:val="231F20"/>
        </w:rPr>
        <w:t xml:space="preserve"> ROLE OF THE COMPENSATION COMMITTEE</w:t>
      </w:r>
    </w:p>
    <w:p>
      <w:pPr>
        <w:spacing w:after="0" w:line="23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231F20"/>
        </w:rPr>
        <w:t>The Compensation Committee approves all final compensation arrangements for our NEOs including final payouts under our incentive compensation programs. It also oversees an annual evaluation of our CEO’s performance by all of our independent Trustees.</w:t>
      </w:r>
    </w:p>
    <w:p>
      <w:pPr>
        <w:spacing w:after="0" w:line="192" w:lineRule="exact"/>
        <w:rPr>
          <w:sz w:val="20"/>
          <w:szCs w:val="20"/>
          <w:color w:val="auto"/>
        </w:rPr>
      </w:pPr>
    </w:p>
    <w:p>
      <w:pPr>
        <w:spacing w:after="0" w:line="268" w:lineRule="exact"/>
        <w:rPr>
          <w:sz w:val="20"/>
          <w:szCs w:val="20"/>
          <w:color w:val="auto"/>
        </w:rPr>
      </w:pPr>
      <w:r>
        <w:rPr>
          <w:rFonts w:ascii="Arial Unicode MS" w:cs="Arial Unicode MS" w:eastAsia="Arial Unicode MS" w:hAnsi="Arial Unicode MS"/>
          <w:sz w:val="20"/>
          <w:szCs w:val="20"/>
          <w:color w:val="EF3E2A"/>
        </w:rPr>
        <w:t>➣</w:t>
      </w:r>
      <w:r>
        <w:rPr>
          <w:rFonts w:ascii="Arial" w:cs="Arial" w:eastAsia="Arial" w:hAnsi="Arial"/>
          <w:sz w:val="20"/>
          <w:szCs w:val="20"/>
          <w:b w:val="1"/>
          <w:bCs w:val="1"/>
          <w:color w:val="231F20"/>
        </w:rPr>
        <w:t xml:space="preserve"> ROLE OF MANAGEMENT</w:t>
      </w:r>
    </w:p>
    <w:p>
      <w:pPr>
        <w:spacing w:after="0" w:line="237"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231F20"/>
        </w:rPr>
        <w:t>Our CEO makes recommendations to the Compensation Committee regarding compensation for our NEOs (other than himself) taking into account Company performance, each executive’s personal contributions to the Company’s accomplishments and relevant market data.</w:t>
      </w:r>
    </w:p>
    <w:p>
      <w:pPr>
        <w:spacing w:after="0" w:line="189" w:lineRule="exact"/>
        <w:rPr>
          <w:sz w:val="20"/>
          <w:szCs w:val="20"/>
          <w:color w:val="auto"/>
        </w:rPr>
      </w:pPr>
    </w:p>
    <w:p>
      <w:pPr>
        <w:spacing w:after="0" w:line="268" w:lineRule="exact"/>
        <w:rPr>
          <w:sz w:val="20"/>
          <w:szCs w:val="20"/>
          <w:color w:val="auto"/>
        </w:rPr>
      </w:pPr>
      <w:r>
        <w:rPr>
          <w:rFonts w:ascii="Arial Unicode MS" w:cs="Arial Unicode MS" w:eastAsia="Arial Unicode MS" w:hAnsi="Arial Unicode MS"/>
          <w:sz w:val="20"/>
          <w:szCs w:val="20"/>
          <w:color w:val="EF3E2A"/>
        </w:rPr>
        <w:t>➣</w:t>
      </w:r>
      <w:r>
        <w:rPr>
          <w:rFonts w:ascii="Arial" w:cs="Arial" w:eastAsia="Arial" w:hAnsi="Arial"/>
          <w:sz w:val="20"/>
          <w:szCs w:val="20"/>
          <w:b w:val="1"/>
          <w:bCs w:val="1"/>
          <w:color w:val="231F20"/>
        </w:rPr>
        <w:t xml:space="preserve"> ROLE OF INDEPENDENT COMPENSATION CONSULTANT</w:t>
      </w:r>
    </w:p>
    <w:p>
      <w:pPr>
        <w:spacing w:after="0" w:line="237"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231F20"/>
        </w:rPr>
        <w:t>The Compensation Committee retains consultants periodically to assist with setting compensation. For 2025 compensation, we did not use any compensation consultant; however, we did ask Semler Brossy Consulting Group (“SBCG”) to identify acceptable ways to calculate long-term incentive awards for a 3-year performance period when the third party measuring index used in the calculation is discontinued approximately 2.5 years into the 3-year performance period. See “Long-Term Incentive Program” below for a discussion of the discontinuation of the BBRESHOP.</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113030</wp:posOffset>
                </wp:positionV>
                <wp:extent cx="6400800" cy="0"/>
                <wp:wrapNone/>
                <wp:docPr id="366" name="Shape 3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366" o:spid="_x0000_s13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8.9pt" to="504pt,8.9pt" o:allowincell="f" strokecolor="#231F20" strokeweight="0.5pt"/>
            </w:pict>
          </mc:Fallback>
        </mc:AlternateContent>
      </w:r>
    </w:p>
    <w:p>
      <w:pPr>
        <w:spacing w:after="0" w:line="218" w:lineRule="exact"/>
        <w:rPr>
          <w:sz w:val="20"/>
          <w:szCs w:val="20"/>
          <w:color w:val="auto"/>
        </w:rPr>
      </w:pPr>
    </w:p>
    <w:p>
      <w:pPr>
        <w:ind w:left="120"/>
        <w:spacing w:after="0"/>
        <w:rPr>
          <w:sz w:val="20"/>
          <w:szCs w:val="20"/>
          <w:color w:val="auto"/>
        </w:rPr>
      </w:pPr>
      <w:r>
        <w:rPr>
          <w:rFonts w:ascii="Arial" w:cs="Arial" w:eastAsia="Arial" w:hAnsi="Arial"/>
          <w:sz w:val="24"/>
          <w:szCs w:val="24"/>
          <w:b w:val="1"/>
          <w:bCs w:val="1"/>
          <w:color w:val="EF3E2A"/>
        </w:rPr>
        <w:t>2025 C</w:t>
      </w:r>
      <w:r>
        <w:rPr>
          <w:rFonts w:ascii="Arial" w:cs="Arial" w:eastAsia="Arial" w:hAnsi="Arial"/>
          <w:sz w:val="18"/>
          <w:szCs w:val="18"/>
          <w:b w:val="1"/>
          <w:bCs w:val="1"/>
          <w:color w:val="EF3E2A"/>
        </w:rPr>
        <w:t>OMPENSATION</w:t>
      </w:r>
      <w:r>
        <w:rPr>
          <w:rFonts w:ascii="Arial" w:cs="Arial" w:eastAsia="Arial" w:hAnsi="Arial"/>
          <w:sz w:val="24"/>
          <w:szCs w:val="24"/>
          <w:b w:val="1"/>
          <w:bCs w:val="1"/>
          <w:color w:val="EF3E2A"/>
        </w:rPr>
        <w:t xml:space="preserve"> D</w:t>
      </w:r>
      <w:r>
        <w:rPr>
          <w:rFonts w:ascii="Arial" w:cs="Arial" w:eastAsia="Arial" w:hAnsi="Arial"/>
          <w:sz w:val="18"/>
          <w:szCs w:val="18"/>
          <w:b w:val="1"/>
          <w:bCs w:val="1"/>
          <w:color w:val="EF3E2A"/>
        </w:rPr>
        <w:t>ECISIONS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3175</wp:posOffset>
                </wp:positionV>
                <wp:extent cx="6400800" cy="0"/>
                <wp:wrapNone/>
                <wp:docPr id="367" name="Shape 3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367" o:spid="_x0000_s13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0.25pt" to="504pt,0.25pt" o:allowincell="f" strokecolor="#231F20" strokeweight="0.5pt"/>
            </w:pict>
          </mc:Fallback>
        </mc:AlternateContent>
      </w:r>
    </w:p>
    <w:p>
      <w:pPr>
        <w:spacing w:after="0" w:line="226" w:lineRule="exact"/>
        <w:rPr>
          <w:sz w:val="20"/>
          <w:szCs w:val="20"/>
          <w:color w:val="auto"/>
        </w:rPr>
      </w:pPr>
    </w:p>
    <w:p>
      <w:pPr>
        <w:spacing w:after="0" w:line="268" w:lineRule="exact"/>
        <w:rPr>
          <w:sz w:val="20"/>
          <w:szCs w:val="20"/>
          <w:color w:val="auto"/>
        </w:rPr>
      </w:pPr>
      <w:r>
        <w:rPr>
          <w:rFonts w:ascii="Arial Unicode MS" w:cs="Arial Unicode MS" w:eastAsia="Arial Unicode MS" w:hAnsi="Arial Unicode MS"/>
          <w:sz w:val="20"/>
          <w:szCs w:val="20"/>
          <w:color w:val="EF3E2A"/>
        </w:rPr>
        <w:t>➣</w:t>
      </w:r>
      <w:r>
        <w:rPr>
          <w:rFonts w:ascii="Arial" w:cs="Arial" w:eastAsia="Arial" w:hAnsi="Arial"/>
          <w:sz w:val="20"/>
          <w:szCs w:val="20"/>
          <w:b w:val="1"/>
          <w:bCs w:val="1"/>
          <w:color w:val="231F20"/>
        </w:rPr>
        <w:t xml:space="preserve"> SETTING 2025 TARGET COMPENSATION</w:t>
      </w:r>
    </w:p>
    <w:p>
      <w:pPr>
        <w:spacing w:after="0" w:line="237"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231F20"/>
        </w:rPr>
        <w:t>The Compensation Committee determined target compensation for each NEO by considering numerous individual factors, including job responsibilities and skill sets, performance in their position, importance to achieving our corporate objectives, retention risk, ability to replace the role, previously issued equity awards and tenure with the company. The Compensation Committee then reviewed the annual NAREIT compensation survey that gathers data from more than 100 REITs for the market compensation information for our NEOs. Applying their individual judgments to our NEOs after consulting the NAREIT survey, the Compensation Committee established the following target compensation for our NEOs in 2025.</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2020" w:type="dxa"/>
            <w:vAlign w:val="bottom"/>
            <w:shd w:val="clear" w:color="auto" w:fill="EF3E2A"/>
          </w:tcPr>
          <w:p>
            <w:pPr>
              <w:spacing w:after="0"/>
              <w:rPr>
                <w:sz w:val="20"/>
                <w:szCs w:val="20"/>
                <w:color w:val="auto"/>
              </w:rPr>
            </w:pPr>
          </w:p>
        </w:tc>
        <w:tc>
          <w:tcPr>
            <w:tcW w:w="820" w:type="dxa"/>
            <w:vAlign w:val="bottom"/>
            <w:shd w:val="clear" w:color="auto" w:fill="EF3E2A"/>
          </w:tcPr>
          <w:p>
            <w:pPr>
              <w:spacing w:after="0"/>
              <w:rPr>
                <w:sz w:val="20"/>
                <w:szCs w:val="20"/>
                <w:color w:val="auto"/>
              </w:rPr>
            </w:pPr>
          </w:p>
        </w:tc>
        <w:tc>
          <w:tcPr>
            <w:tcW w:w="1060" w:type="dxa"/>
            <w:vAlign w:val="bottom"/>
            <w:shd w:val="clear" w:color="auto" w:fill="EF3E2A"/>
          </w:tcPr>
          <w:p>
            <w:pPr>
              <w:spacing w:after="0"/>
              <w:rPr>
                <w:sz w:val="20"/>
                <w:szCs w:val="20"/>
                <w:color w:val="auto"/>
              </w:rPr>
            </w:pPr>
          </w:p>
        </w:tc>
        <w:tc>
          <w:tcPr>
            <w:tcW w:w="2340" w:type="dxa"/>
            <w:vAlign w:val="bottom"/>
            <w:gridSpan w:val="3"/>
            <w:shd w:val="clear" w:color="auto" w:fill="EF3E2A"/>
          </w:tcPr>
          <w:p>
            <w:pPr>
              <w:jc w:val="right"/>
              <w:ind w:right="170"/>
              <w:spacing w:after="0"/>
              <w:rPr>
                <w:sz w:val="20"/>
                <w:szCs w:val="20"/>
                <w:color w:val="auto"/>
              </w:rPr>
            </w:pPr>
            <w:r>
              <w:rPr>
                <w:rFonts w:ascii="Arial" w:cs="Arial" w:eastAsia="Arial" w:hAnsi="Arial"/>
                <w:sz w:val="18"/>
                <w:szCs w:val="18"/>
                <w:b w:val="1"/>
                <w:bCs w:val="1"/>
                <w:color w:val="FFFFFF"/>
              </w:rPr>
              <w:t>Target Annual Bonus</w:t>
            </w:r>
          </w:p>
        </w:tc>
        <w:tc>
          <w:tcPr>
            <w:tcW w:w="1460" w:type="dxa"/>
            <w:vAlign w:val="bottom"/>
            <w:gridSpan w:val="2"/>
            <w:shd w:val="clear" w:color="auto" w:fill="EF3E2A"/>
          </w:tcPr>
          <w:p>
            <w:pPr>
              <w:ind w:left="180"/>
              <w:spacing w:after="0"/>
              <w:rPr>
                <w:sz w:val="20"/>
                <w:szCs w:val="20"/>
                <w:color w:val="auto"/>
              </w:rPr>
            </w:pPr>
            <w:r>
              <w:rPr>
                <w:rFonts w:ascii="Arial" w:cs="Arial" w:eastAsia="Arial" w:hAnsi="Arial"/>
                <w:sz w:val="18"/>
                <w:szCs w:val="18"/>
                <w:b w:val="1"/>
                <w:bCs w:val="1"/>
                <w:color w:val="FFFFFF"/>
              </w:rPr>
              <w:t>Target Long-</w:t>
            </w:r>
          </w:p>
        </w:tc>
        <w:tc>
          <w:tcPr>
            <w:tcW w:w="300" w:type="dxa"/>
            <w:vAlign w:val="bottom"/>
            <w:shd w:val="clear" w:color="auto" w:fill="EF3E2A"/>
          </w:tcPr>
          <w:p>
            <w:pPr>
              <w:spacing w:after="0"/>
              <w:rPr>
                <w:sz w:val="20"/>
                <w:szCs w:val="20"/>
                <w:color w:val="auto"/>
              </w:rPr>
            </w:pPr>
          </w:p>
        </w:tc>
        <w:tc>
          <w:tcPr>
            <w:tcW w:w="880" w:type="dxa"/>
            <w:vAlign w:val="bottom"/>
            <w:shd w:val="clear" w:color="auto" w:fill="EF3E2A"/>
          </w:tcPr>
          <w:p>
            <w:pPr>
              <w:jc w:val="right"/>
              <w:ind w:right="230"/>
              <w:spacing w:after="0"/>
              <w:rPr>
                <w:sz w:val="20"/>
                <w:szCs w:val="20"/>
                <w:color w:val="auto"/>
              </w:rPr>
            </w:pPr>
            <w:r>
              <w:rPr>
                <w:rFonts w:ascii="Arial" w:cs="Arial" w:eastAsia="Arial" w:hAnsi="Arial"/>
                <w:sz w:val="18"/>
                <w:szCs w:val="18"/>
                <w:b w:val="1"/>
                <w:bCs w:val="1"/>
                <w:color w:val="FFFFFF"/>
              </w:rPr>
              <w:t>Total</w:t>
            </w:r>
          </w:p>
        </w:tc>
      </w:tr>
      <w:tr>
        <w:trPr>
          <w:trHeight w:val="220"/>
        </w:trPr>
        <w:tc>
          <w:tcPr>
            <w:tcW w:w="2020" w:type="dxa"/>
            <w:vAlign w:val="bottom"/>
            <w:tcBorders>
              <w:bottom w:val="single" w:sz="8" w:color="EF3E2A"/>
            </w:tcBorders>
            <w:shd w:val="clear" w:color="auto" w:fill="EF3E2A"/>
          </w:tcPr>
          <w:p>
            <w:pPr>
              <w:spacing w:after="0"/>
              <w:rPr>
                <w:sz w:val="19"/>
                <w:szCs w:val="19"/>
                <w:color w:val="auto"/>
              </w:rPr>
            </w:pPr>
          </w:p>
        </w:tc>
        <w:tc>
          <w:tcPr>
            <w:tcW w:w="820" w:type="dxa"/>
            <w:vAlign w:val="bottom"/>
            <w:tcBorders>
              <w:bottom w:val="single" w:sz="8" w:color="EF3E2A"/>
            </w:tcBorders>
            <w:shd w:val="clear" w:color="auto" w:fill="EF3E2A"/>
          </w:tcPr>
          <w:p>
            <w:pPr>
              <w:spacing w:after="0"/>
              <w:rPr>
                <w:sz w:val="19"/>
                <w:szCs w:val="19"/>
                <w:color w:val="auto"/>
              </w:rPr>
            </w:pPr>
          </w:p>
        </w:tc>
        <w:tc>
          <w:tcPr>
            <w:tcW w:w="1060" w:type="dxa"/>
            <w:vAlign w:val="bottom"/>
            <w:tcBorders>
              <w:bottom w:val="single" w:sz="8" w:color="EF3E2A"/>
            </w:tcBorders>
            <w:shd w:val="clear" w:color="auto" w:fill="EF3E2A"/>
          </w:tcPr>
          <w:p>
            <w:pPr>
              <w:jc w:val="right"/>
              <w:ind w:right="150"/>
              <w:spacing w:after="0"/>
              <w:rPr>
                <w:sz w:val="20"/>
                <w:szCs w:val="20"/>
                <w:color w:val="auto"/>
              </w:rPr>
            </w:pPr>
            <w:r>
              <w:rPr>
                <w:rFonts w:ascii="Arial" w:cs="Arial" w:eastAsia="Arial" w:hAnsi="Arial"/>
                <w:sz w:val="18"/>
                <w:szCs w:val="18"/>
                <w:b w:val="1"/>
                <w:bCs w:val="1"/>
                <w:color w:val="FFFFFF"/>
                <w:w w:val="99"/>
              </w:rPr>
              <w:t>Base Pay</w:t>
            </w:r>
          </w:p>
        </w:tc>
        <w:tc>
          <w:tcPr>
            <w:tcW w:w="950" w:type="dxa"/>
            <w:vAlign w:val="bottom"/>
            <w:tcBorders>
              <w:bottom w:val="single" w:sz="8" w:color="EF3E2A"/>
            </w:tcBorders>
            <w:shd w:val="clear" w:color="auto" w:fill="EF3E2A"/>
          </w:tcPr>
          <w:p>
            <w:pPr>
              <w:jc w:val="right"/>
              <w:spacing w:after="0"/>
              <w:rPr>
                <w:sz w:val="20"/>
                <w:szCs w:val="20"/>
                <w:color w:val="auto"/>
              </w:rPr>
            </w:pPr>
            <w:r>
              <w:rPr>
                <w:rFonts w:ascii="Arial" w:cs="Arial" w:eastAsia="Arial" w:hAnsi="Arial"/>
                <w:sz w:val="18"/>
                <w:szCs w:val="18"/>
                <w:b w:val="1"/>
                <w:bCs w:val="1"/>
                <w:color w:val="FFFFFF"/>
              </w:rPr>
              <w:t>% of Base</w:t>
            </w:r>
          </w:p>
        </w:tc>
        <w:tc>
          <w:tcPr>
            <w:tcW w:w="350" w:type="dxa"/>
            <w:vAlign w:val="bottom"/>
            <w:tcBorders>
              <w:bottom w:val="single" w:sz="8" w:color="EF3E2A"/>
            </w:tcBorders>
            <w:shd w:val="clear" w:color="auto" w:fill="EF3E2A"/>
          </w:tcPr>
          <w:p>
            <w:pPr>
              <w:spacing w:after="0"/>
              <w:rPr>
                <w:sz w:val="19"/>
                <w:szCs w:val="19"/>
                <w:color w:val="auto"/>
              </w:rPr>
            </w:pPr>
          </w:p>
        </w:tc>
        <w:tc>
          <w:tcPr>
            <w:tcW w:w="1040" w:type="dxa"/>
            <w:vAlign w:val="bottom"/>
            <w:tcBorders>
              <w:bottom w:val="single" w:sz="8" w:color="EF3E2A"/>
            </w:tcBorders>
            <w:shd w:val="clear" w:color="auto" w:fill="EF3E2A"/>
          </w:tcPr>
          <w:p>
            <w:pPr>
              <w:jc w:val="right"/>
              <w:ind w:right="230"/>
              <w:spacing w:after="0"/>
              <w:rPr>
                <w:sz w:val="20"/>
                <w:szCs w:val="20"/>
                <w:color w:val="auto"/>
              </w:rPr>
            </w:pPr>
            <w:r>
              <w:rPr>
                <w:rFonts w:ascii="Arial" w:cs="Arial" w:eastAsia="Arial" w:hAnsi="Arial"/>
                <w:sz w:val="18"/>
                <w:szCs w:val="18"/>
                <w:b w:val="1"/>
                <w:bCs w:val="1"/>
                <w:color w:val="FFFFFF"/>
              </w:rPr>
              <w:t>Amount</w:t>
            </w:r>
          </w:p>
        </w:tc>
        <w:tc>
          <w:tcPr>
            <w:tcW w:w="1460" w:type="dxa"/>
            <w:vAlign w:val="bottom"/>
            <w:tcBorders>
              <w:bottom w:val="single" w:sz="8" w:color="EF3E2A"/>
            </w:tcBorders>
            <w:gridSpan w:val="2"/>
            <w:shd w:val="clear" w:color="auto" w:fill="EF3E2A"/>
          </w:tcPr>
          <w:p>
            <w:pPr>
              <w:ind w:left="100"/>
              <w:spacing w:after="0"/>
              <w:rPr>
                <w:sz w:val="20"/>
                <w:szCs w:val="20"/>
                <w:color w:val="auto"/>
              </w:rPr>
            </w:pPr>
            <w:r>
              <w:rPr>
                <w:rFonts w:ascii="Arial" w:cs="Arial" w:eastAsia="Arial" w:hAnsi="Arial"/>
                <w:sz w:val="18"/>
                <w:szCs w:val="18"/>
                <w:b w:val="1"/>
                <w:bCs w:val="1"/>
                <w:color w:val="FFFFFF"/>
              </w:rPr>
              <w:t>Term Incentive</w:t>
            </w:r>
          </w:p>
        </w:tc>
        <w:tc>
          <w:tcPr>
            <w:tcW w:w="1180" w:type="dxa"/>
            <w:vAlign w:val="bottom"/>
            <w:tcBorders>
              <w:bottom w:val="single" w:sz="8" w:color="EF3E2A"/>
            </w:tcBorders>
            <w:gridSpan w:val="2"/>
            <w:shd w:val="clear" w:color="auto" w:fill="EF3E2A"/>
          </w:tcPr>
          <w:p>
            <w:pPr>
              <w:jc w:val="right"/>
              <w:spacing w:after="0"/>
              <w:rPr>
                <w:sz w:val="20"/>
                <w:szCs w:val="20"/>
                <w:color w:val="auto"/>
              </w:rPr>
            </w:pPr>
            <w:r>
              <w:rPr>
                <w:rFonts w:ascii="Arial" w:cs="Arial" w:eastAsia="Arial" w:hAnsi="Arial"/>
                <w:sz w:val="18"/>
                <w:szCs w:val="18"/>
                <w:b w:val="1"/>
                <w:bCs w:val="1"/>
                <w:color w:val="FFFFFF"/>
              </w:rPr>
              <w:t>2025 Target</w:t>
            </w:r>
          </w:p>
        </w:tc>
      </w:tr>
      <w:tr>
        <w:trPr>
          <w:trHeight w:val="245"/>
        </w:trPr>
        <w:tc>
          <w:tcPr>
            <w:tcW w:w="2020" w:type="dxa"/>
            <w:vAlign w:val="bottom"/>
          </w:tcPr>
          <w:p>
            <w:pPr>
              <w:spacing w:after="0"/>
              <w:rPr>
                <w:sz w:val="20"/>
                <w:szCs w:val="20"/>
                <w:color w:val="auto"/>
              </w:rPr>
            </w:pPr>
            <w:r>
              <w:rPr>
                <w:rFonts w:ascii="Arial" w:cs="Arial" w:eastAsia="Arial" w:hAnsi="Arial"/>
                <w:sz w:val="18"/>
                <w:szCs w:val="18"/>
                <w:color w:val="231F20"/>
              </w:rPr>
              <w:t>Mr. Wood</w:t>
            </w:r>
          </w:p>
        </w:tc>
        <w:tc>
          <w:tcPr>
            <w:tcW w:w="820" w:type="dxa"/>
            <w:vAlign w:val="bottom"/>
          </w:tcPr>
          <w:p>
            <w:pPr>
              <w:jc w:val="right"/>
              <w:spacing w:after="0"/>
              <w:rPr>
                <w:sz w:val="20"/>
                <w:szCs w:val="20"/>
                <w:color w:val="auto"/>
              </w:rPr>
            </w:pPr>
            <w:r>
              <w:rPr>
                <w:rFonts w:ascii="Arial" w:cs="Arial" w:eastAsia="Arial" w:hAnsi="Arial"/>
                <w:sz w:val="18"/>
                <w:szCs w:val="18"/>
                <w:color w:val="231F20"/>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231F20"/>
              </w:rPr>
              <w:t>1,000,000</w:t>
            </w:r>
          </w:p>
        </w:tc>
        <w:tc>
          <w:tcPr>
            <w:tcW w:w="950" w:type="dxa"/>
            <w:vAlign w:val="bottom"/>
          </w:tcPr>
          <w:p>
            <w:pPr>
              <w:jc w:val="right"/>
              <w:ind w:right="20"/>
              <w:spacing w:after="0"/>
              <w:rPr>
                <w:sz w:val="20"/>
                <w:szCs w:val="20"/>
                <w:color w:val="auto"/>
              </w:rPr>
            </w:pPr>
            <w:r>
              <w:rPr>
                <w:rFonts w:ascii="Arial" w:cs="Arial" w:eastAsia="Arial" w:hAnsi="Arial"/>
                <w:sz w:val="18"/>
                <w:szCs w:val="18"/>
                <w:color w:val="231F20"/>
              </w:rPr>
              <w:t>150%</w:t>
            </w:r>
          </w:p>
        </w:tc>
        <w:tc>
          <w:tcPr>
            <w:tcW w:w="350" w:type="dxa"/>
            <w:vAlign w:val="bottom"/>
          </w:tcPr>
          <w:p>
            <w:pPr>
              <w:jc w:val="right"/>
              <w:spacing w:after="0"/>
              <w:rPr>
                <w:sz w:val="20"/>
                <w:szCs w:val="20"/>
                <w:color w:val="auto"/>
              </w:rPr>
            </w:pPr>
            <w:r>
              <w:rPr>
                <w:rFonts w:ascii="Arial" w:cs="Arial" w:eastAsia="Arial" w:hAnsi="Arial"/>
                <w:sz w:val="18"/>
                <w:szCs w:val="18"/>
                <w:color w:val="231F20"/>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231F20"/>
              </w:rPr>
              <w:t>1,500,000</w:t>
            </w:r>
          </w:p>
        </w:tc>
        <w:tc>
          <w:tcPr>
            <w:tcW w:w="380" w:type="dxa"/>
            <w:vAlign w:val="bottom"/>
          </w:tcPr>
          <w:p>
            <w:pPr>
              <w:ind w:left="180"/>
              <w:spacing w:after="0"/>
              <w:rPr>
                <w:sz w:val="20"/>
                <w:szCs w:val="20"/>
                <w:color w:val="auto"/>
              </w:rPr>
            </w:pPr>
            <w:r>
              <w:rPr>
                <w:rFonts w:ascii="Arial" w:cs="Arial" w:eastAsia="Arial" w:hAnsi="Arial"/>
                <w:sz w:val="18"/>
                <w:szCs w:val="18"/>
                <w:color w:val="231F20"/>
              </w:rPr>
              <w:t>$</w:t>
            </w:r>
          </w:p>
        </w:tc>
        <w:tc>
          <w:tcPr>
            <w:tcW w:w="1080" w:type="dxa"/>
            <w:vAlign w:val="bottom"/>
          </w:tcPr>
          <w:p>
            <w:pPr>
              <w:jc w:val="right"/>
              <w:ind w:right="110"/>
              <w:spacing w:after="0"/>
              <w:rPr>
                <w:sz w:val="20"/>
                <w:szCs w:val="20"/>
                <w:color w:val="auto"/>
              </w:rPr>
            </w:pPr>
            <w:r>
              <w:rPr>
                <w:rFonts w:ascii="Arial" w:cs="Arial" w:eastAsia="Arial" w:hAnsi="Arial"/>
                <w:sz w:val="18"/>
                <w:szCs w:val="18"/>
                <w:color w:val="231F20"/>
              </w:rPr>
              <w:t>6,000,000</w:t>
            </w:r>
          </w:p>
        </w:tc>
        <w:tc>
          <w:tcPr>
            <w:tcW w:w="300" w:type="dxa"/>
            <w:vAlign w:val="bottom"/>
          </w:tcPr>
          <w:p>
            <w:pPr>
              <w:jc w:val="right"/>
              <w:ind w:right="10"/>
              <w:spacing w:after="0"/>
              <w:rPr>
                <w:sz w:val="20"/>
                <w:szCs w:val="20"/>
                <w:color w:val="auto"/>
              </w:rPr>
            </w:pPr>
            <w:r>
              <w:rPr>
                <w:rFonts w:ascii="Arial" w:cs="Arial" w:eastAsia="Arial" w:hAnsi="Arial"/>
                <w:sz w:val="18"/>
                <w:szCs w:val="18"/>
                <w:color w:val="231F20"/>
              </w:rPr>
              <w:t>$</w:t>
            </w:r>
          </w:p>
        </w:tc>
        <w:tc>
          <w:tcPr>
            <w:tcW w:w="880" w:type="dxa"/>
            <w:vAlign w:val="bottom"/>
          </w:tcPr>
          <w:p>
            <w:pPr>
              <w:jc w:val="right"/>
              <w:spacing w:after="0"/>
              <w:rPr>
                <w:sz w:val="20"/>
                <w:szCs w:val="20"/>
                <w:color w:val="auto"/>
              </w:rPr>
            </w:pPr>
            <w:r>
              <w:rPr>
                <w:rFonts w:ascii="Arial" w:cs="Arial" w:eastAsia="Arial" w:hAnsi="Arial"/>
                <w:sz w:val="18"/>
                <w:szCs w:val="18"/>
                <w:color w:val="231F20"/>
              </w:rPr>
              <w:t>8,500,000</w:t>
            </w:r>
          </w:p>
        </w:tc>
      </w:tr>
      <w:tr>
        <w:trPr>
          <w:trHeight w:val="209"/>
        </w:trPr>
        <w:tc>
          <w:tcPr>
            <w:tcW w:w="2020" w:type="dxa"/>
            <w:vAlign w:val="bottom"/>
          </w:tcPr>
          <w:p>
            <w:pPr>
              <w:spacing w:after="0"/>
              <w:rPr>
                <w:sz w:val="20"/>
                <w:szCs w:val="20"/>
                <w:color w:val="auto"/>
              </w:rPr>
            </w:pPr>
            <w:r>
              <w:rPr>
                <w:rFonts w:ascii="Arial" w:cs="Arial" w:eastAsia="Arial" w:hAnsi="Arial"/>
                <w:sz w:val="18"/>
                <w:szCs w:val="18"/>
                <w:color w:val="231F20"/>
              </w:rPr>
              <w:t>Mr. Guglielmone</w:t>
            </w:r>
          </w:p>
        </w:tc>
        <w:tc>
          <w:tcPr>
            <w:tcW w:w="820" w:type="dxa"/>
            <w:vAlign w:val="bottom"/>
          </w:tcPr>
          <w:p>
            <w:pPr>
              <w:jc w:val="right"/>
              <w:spacing w:after="0"/>
              <w:rPr>
                <w:sz w:val="20"/>
                <w:szCs w:val="20"/>
                <w:color w:val="auto"/>
              </w:rPr>
            </w:pPr>
            <w:r>
              <w:rPr>
                <w:rFonts w:ascii="Arial" w:cs="Arial" w:eastAsia="Arial" w:hAnsi="Arial"/>
                <w:sz w:val="18"/>
                <w:szCs w:val="18"/>
                <w:color w:val="231F20"/>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231F20"/>
              </w:rPr>
              <w:t>650,000</w:t>
            </w:r>
          </w:p>
        </w:tc>
        <w:tc>
          <w:tcPr>
            <w:tcW w:w="950" w:type="dxa"/>
            <w:vAlign w:val="bottom"/>
          </w:tcPr>
          <w:p>
            <w:pPr>
              <w:jc w:val="right"/>
              <w:ind w:right="20"/>
              <w:spacing w:after="0"/>
              <w:rPr>
                <w:sz w:val="20"/>
                <w:szCs w:val="20"/>
                <w:color w:val="auto"/>
              </w:rPr>
            </w:pPr>
            <w:r>
              <w:rPr>
                <w:rFonts w:ascii="Arial" w:cs="Arial" w:eastAsia="Arial" w:hAnsi="Arial"/>
                <w:sz w:val="18"/>
                <w:szCs w:val="18"/>
                <w:color w:val="231F20"/>
              </w:rPr>
              <w:t>150%</w:t>
            </w:r>
          </w:p>
        </w:tc>
        <w:tc>
          <w:tcPr>
            <w:tcW w:w="350" w:type="dxa"/>
            <w:vAlign w:val="bottom"/>
          </w:tcPr>
          <w:p>
            <w:pPr>
              <w:jc w:val="right"/>
              <w:spacing w:after="0"/>
              <w:rPr>
                <w:sz w:val="20"/>
                <w:szCs w:val="20"/>
                <w:color w:val="auto"/>
              </w:rPr>
            </w:pPr>
            <w:r>
              <w:rPr>
                <w:rFonts w:ascii="Arial" w:cs="Arial" w:eastAsia="Arial" w:hAnsi="Arial"/>
                <w:sz w:val="18"/>
                <w:szCs w:val="18"/>
                <w:color w:val="231F20"/>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231F20"/>
              </w:rPr>
              <w:t>975,000</w:t>
            </w:r>
          </w:p>
        </w:tc>
        <w:tc>
          <w:tcPr>
            <w:tcW w:w="380" w:type="dxa"/>
            <w:vAlign w:val="bottom"/>
          </w:tcPr>
          <w:p>
            <w:pPr>
              <w:ind w:left="180"/>
              <w:spacing w:after="0"/>
              <w:rPr>
                <w:sz w:val="20"/>
                <w:szCs w:val="20"/>
                <w:color w:val="auto"/>
              </w:rPr>
            </w:pPr>
            <w:r>
              <w:rPr>
                <w:rFonts w:ascii="Arial" w:cs="Arial" w:eastAsia="Arial" w:hAnsi="Arial"/>
                <w:sz w:val="18"/>
                <w:szCs w:val="18"/>
                <w:color w:val="231F20"/>
              </w:rPr>
              <w:t>$</w:t>
            </w:r>
          </w:p>
        </w:tc>
        <w:tc>
          <w:tcPr>
            <w:tcW w:w="1080" w:type="dxa"/>
            <w:vAlign w:val="bottom"/>
          </w:tcPr>
          <w:p>
            <w:pPr>
              <w:jc w:val="right"/>
              <w:ind w:right="110"/>
              <w:spacing w:after="0"/>
              <w:rPr>
                <w:sz w:val="20"/>
                <w:szCs w:val="20"/>
                <w:color w:val="auto"/>
              </w:rPr>
            </w:pPr>
            <w:r>
              <w:rPr>
                <w:rFonts w:ascii="Arial" w:cs="Arial" w:eastAsia="Arial" w:hAnsi="Arial"/>
                <w:sz w:val="18"/>
                <w:szCs w:val="18"/>
                <w:color w:val="231F20"/>
              </w:rPr>
              <w:t>1,500,000</w:t>
            </w:r>
          </w:p>
        </w:tc>
        <w:tc>
          <w:tcPr>
            <w:tcW w:w="300" w:type="dxa"/>
            <w:vAlign w:val="bottom"/>
          </w:tcPr>
          <w:p>
            <w:pPr>
              <w:jc w:val="right"/>
              <w:ind w:right="10"/>
              <w:spacing w:after="0"/>
              <w:rPr>
                <w:sz w:val="20"/>
                <w:szCs w:val="20"/>
                <w:color w:val="auto"/>
              </w:rPr>
            </w:pPr>
            <w:r>
              <w:rPr>
                <w:rFonts w:ascii="Arial" w:cs="Arial" w:eastAsia="Arial" w:hAnsi="Arial"/>
                <w:sz w:val="18"/>
                <w:szCs w:val="18"/>
                <w:color w:val="231F20"/>
              </w:rPr>
              <w:t>$</w:t>
            </w:r>
          </w:p>
        </w:tc>
        <w:tc>
          <w:tcPr>
            <w:tcW w:w="880" w:type="dxa"/>
            <w:vAlign w:val="bottom"/>
          </w:tcPr>
          <w:p>
            <w:pPr>
              <w:jc w:val="right"/>
              <w:spacing w:after="0"/>
              <w:rPr>
                <w:sz w:val="20"/>
                <w:szCs w:val="20"/>
                <w:color w:val="auto"/>
              </w:rPr>
            </w:pPr>
            <w:r>
              <w:rPr>
                <w:rFonts w:ascii="Arial" w:cs="Arial" w:eastAsia="Arial" w:hAnsi="Arial"/>
                <w:sz w:val="18"/>
                <w:szCs w:val="18"/>
                <w:color w:val="231F20"/>
              </w:rPr>
              <w:t>3,125,000</w:t>
            </w:r>
          </w:p>
        </w:tc>
      </w:tr>
      <w:tr>
        <w:trPr>
          <w:trHeight w:val="209"/>
        </w:trPr>
        <w:tc>
          <w:tcPr>
            <w:tcW w:w="2020" w:type="dxa"/>
            <w:vAlign w:val="bottom"/>
          </w:tcPr>
          <w:p>
            <w:pPr>
              <w:spacing w:after="0"/>
              <w:rPr>
                <w:sz w:val="20"/>
                <w:szCs w:val="20"/>
                <w:color w:val="auto"/>
              </w:rPr>
            </w:pPr>
            <w:r>
              <w:rPr>
                <w:rFonts w:ascii="Arial" w:cs="Arial" w:eastAsia="Arial" w:hAnsi="Arial"/>
                <w:sz w:val="18"/>
                <w:szCs w:val="18"/>
                <w:color w:val="231F20"/>
              </w:rPr>
              <w:t>Ms. Becker</w:t>
            </w:r>
          </w:p>
        </w:tc>
        <w:tc>
          <w:tcPr>
            <w:tcW w:w="820" w:type="dxa"/>
            <w:vAlign w:val="bottom"/>
          </w:tcPr>
          <w:p>
            <w:pPr>
              <w:jc w:val="right"/>
              <w:spacing w:after="0"/>
              <w:rPr>
                <w:sz w:val="20"/>
                <w:szCs w:val="20"/>
                <w:color w:val="auto"/>
              </w:rPr>
            </w:pPr>
            <w:r>
              <w:rPr>
                <w:rFonts w:ascii="Arial" w:cs="Arial" w:eastAsia="Arial" w:hAnsi="Arial"/>
                <w:sz w:val="18"/>
                <w:szCs w:val="18"/>
                <w:color w:val="231F20"/>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231F20"/>
              </w:rPr>
              <w:t>575,000</w:t>
            </w:r>
          </w:p>
        </w:tc>
        <w:tc>
          <w:tcPr>
            <w:tcW w:w="950" w:type="dxa"/>
            <w:vAlign w:val="bottom"/>
          </w:tcPr>
          <w:p>
            <w:pPr>
              <w:jc w:val="right"/>
              <w:ind w:right="20"/>
              <w:spacing w:after="0"/>
              <w:rPr>
                <w:sz w:val="20"/>
                <w:szCs w:val="20"/>
                <w:color w:val="auto"/>
              </w:rPr>
            </w:pPr>
            <w:r>
              <w:rPr>
                <w:rFonts w:ascii="Arial" w:cs="Arial" w:eastAsia="Arial" w:hAnsi="Arial"/>
                <w:sz w:val="18"/>
                <w:szCs w:val="18"/>
                <w:color w:val="231F20"/>
              </w:rPr>
              <w:t>100%</w:t>
            </w:r>
          </w:p>
        </w:tc>
        <w:tc>
          <w:tcPr>
            <w:tcW w:w="350" w:type="dxa"/>
            <w:vAlign w:val="bottom"/>
          </w:tcPr>
          <w:p>
            <w:pPr>
              <w:jc w:val="right"/>
              <w:spacing w:after="0"/>
              <w:rPr>
                <w:sz w:val="20"/>
                <w:szCs w:val="20"/>
                <w:color w:val="auto"/>
              </w:rPr>
            </w:pPr>
            <w:r>
              <w:rPr>
                <w:rFonts w:ascii="Arial" w:cs="Arial" w:eastAsia="Arial" w:hAnsi="Arial"/>
                <w:sz w:val="18"/>
                <w:szCs w:val="18"/>
                <w:color w:val="231F20"/>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231F20"/>
              </w:rPr>
              <w:t>575,000</w:t>
            </w:r>
          </w:p>
        </w:tc>
        <w:tc>
          <w:tcPr>
            <w:tcW w:w="380" w:type="dxa"/>
            <w:vAlign w:val="bottom"/>
          </w:tcPr>
          <w:p>
            <w:pPr>
              <w:ind w:left="180"/>
              <w:spacing w:after="0"/>
              <w:rPr>
                <w:sz w:val="20"/>
                <w:szCs w:val="20"/>
                <w:color w:val="auto"/>
              </w:rPr>
            </w:pPr>
            <w:r>
              <w:rPr>
                <w:rFonts w:ascii="Arial" w:cs="Arial" w:eastAsia="Arial" w:hAnsi="Arial"/>
                <w:sz w:val="18"/>
                <w:szCs w:val="18"/>
                <w:color w:val="231F20"/>
              </w:rPr>
              <w:t>$</w:t>
            </w:r>
          </w:p>
        </w:tc>
        <w:tc>
          <w:tcPr>
            <w:tcW w:w="1080" w:type="dxa"/>
            <w:vAlign w:val="bottom"/>
          </w:tcPr>
          <w:p>
            <w:pPr>
              <w:jc w:val="right"/>
              <w:ind w:right="110"/>
              <w:spacing w:after="0"/>
              <w:rPr>
                <w:sz w:val="20"/>
                <w:szCs w:val="20"/>
                <w:color w:val="auto"/>
              </w:rPr>
            </w:pPr>
            <w:r>
              <w:rPr>
                <w:rFonts w:ascii="Arial" w:cs="Arial" w:eastAsia="Arial" w:hAnsi="Arial"/>
                <w:sz w:val="18"/>
                <w:szCs w:val="18"/>
                <w:color w:val="231F20"/>
              </w:rPr>
              <w:t>1,000,000</w:t>
            </w:r>
          </w:p>
        </w:tc>
        <w:tc>
          <w:tcPr>
            <w:tcW w:w="300" w:type="dxa"/>
            <w:vAlign w:val="bottom"/>
          </w:tcPr>
          <w:p>
            <w:pPr>
              <w:jc w:val="right"/>
              <w:ind w:right="10"/>
              <w:spacing w:after="0"/>
              <w:rPr>
                <w:sz w:val="20"/>
                <w:szCs w:val="20"/>
                <w:color w:val="auto"/>
              </w:rPr>
            </w:pPr>
            <w:r>
              <w:rPr>
                <w:rFonts w:ascii="Arial" w:cs="Arial" w:eastAsia="Arial" w:hAnsi="Arial"/>
                <w:sz w:val="18"/>
                <w:szCs w:val="18"/>
                <w:color w:val="231F20"/>
              </w:rPr>
              <w:t>$</w:t>
            </w:r>
          </w:p>
        </w:tc>
        <w:tc>
          <w:tcPr>
            <w:tcW w:w="880" w:type="dxa"/>
            <w:vAlign w:val="bottom"/>
          </w:tcPr>
          <w:p>
            <w:pPr>
              <w:jc w:val="right"/>
              <w:spacing w:after="0"/>
              <w:rPr>
                <w:sz w:val="20"/>
                <w:szCs w:val="20"/>
                <w:color w:val="auto"/>
              </w:rPr>
            </w:pPr>
            <w:r>
              <w:rPr>
                <w:rFonts w:ascii="Arial" w:cs="Arial" w:eastAsia="Arial" w:hAnsi="Arial"/>
                <w:sz w:val="18"/>
                <w:szCs w:val="18"/>
                <w:color w:val="231F20"/>
              </w:rPr>
              <w:t>2,150,000</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133985</wp:posOffset>
                </wp:positionV>
                <wp:extent cx="6400800" cy="177800"/>
                <wp:wrapNone/>
                <wp:docPr id="368" name="Shape 3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177800"/>
                        </a:xfrm>
                        <a:prstGeom prst="rect">
                          <a:avLst/>
                        </a:prstGeom>
                        <a:solidFill>
                          <a:srgbClr val="E8E7E5"/>
                        </a:solidFill>
                      </wps:spPr>
                      <wps:bodyPr/>
                    </wps:wsp>
                  </a:graphicData>
                </a:graphic>
              </wp:anchor>
            </w:drawing>
          </mc:Choice>
          <mc:Fallback>
            <w:pict>
              <v:rect id="Shape 368" o:spid="_x0000_s1393" style="position:absolute;margin-left:0pt;margin-top:10.55pt;width:504pt;height:1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8E7E5" stroked="f"/>
            </w:pict>
          </mc:Fallback>
        </mc:AlternateContent>
        <mc:AlternateContent>
          <mc:Choice Requires="wps">
            <w:drawing>
              <wp:anchor simplePos="0" relativeHeight="251657728" behindDoc="1" locked="0" layoutInCell="0" allowOverlap="1">
                <wp:simplePos x="0" y="0"/>
                <wp:positionH relativeFrom="column">
                  <wp:posOffset>6350</wp:posOffset>
                </wp:positionH>
                <wp:positionV relativeFrom="paragraph">
                  <wp:posOffset>133985</wp:posOffset>
                </wp:positionV>
                <wp:extent cx="0" cy="177800"/>
                <wp:wrapNone/>
                <wp:docPr id="369" name="Shape 3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369" o:spid="_x0000_s13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pt,10.55pt" to="0.5pt,24.55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140335</wp:posOffset>
                </wp:positionV>
                <wp:extent cx="6400800" cy="0"/>
                <wp:wrapNone/>
                <wp:docPr id="370" name="Shape 3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370" o:spid="_x0000_s13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05pt" to="504pt,11.05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6394450</wp:posOffset>
                </wp:positionH>
                <wp:positionV relativeFrom="paragraph">
                  <wp:posOffset>133985</wp:posOffset>
                </wp:positionV>
                <wp:extent cx="0" cy="177800"/>
                <wp:wrapNone/>
                <wp:docPr id="371" name="Shape 3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371" o:spid="_x0000_s13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3.5pt,10.55pt" to="503.5pt,24.55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305435</wp:posOffset>
                </wp:positionV>
                <wp:extent cx="6400800" cy="0"/>
                <wp:wrapNone/>
                <wp:docPr id="372" name="Shape 3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372" o:spid="_x0000_s13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4.05pt" to="504pt,24.05pt" o:allowincell="f" strokecolor="#231F20" strokeweight="1pt"/>
            </w:pict>
          </mc:Fallback>
        </mc:AlternateContent>
      </w:r>
    </w:p>
    <w:p>
      <w:pPr>
        <w:sectPr>
          <w:pgSz w:w="11880" w:h="15480" w:orient="portrait"/>
          <w:cols w:equalWidth="0" w:num="1">
            <w:col w:w="10080"/>
          </w:cols>
          <w:pgMar w:left="900" w:top="1364" w:right="900" w:bottom="763" w:gutter="0" w:footer="0" w:header="0"/>
        </w:sectPr>
      </w:pPr>
    </w:p>
    <w:p>
      <w:pPr>
        <w:spacing w:after="0" w:line="259" w:lineRule="exact"/>
        <w:rPr>
          <w:sz w:val="20"/>
          <w:szCs w:val="20"/>
          <w:color w:val="auto"/>
        </w:rPr>
      </w:pPr>
    </w:p>
    <w:p>
      <w:pPr>
        <w:ind w:left="6720"/>
        <w:spacing w:after="0"/>
        <w:tabs>
          <w:tab w:leader="none" w:pos="8060" w:val="left"/>
          <w:tab w:leader="none" w:pos="9800" w:val="left"/>
        </w:tabs>
        <w:rPr>
          <w:sz w:val="20"/>
          <w:szCs w:val="20"/>
          <w:color w:val="auto"/>
        </w:rPr>
      </w:pPr>
      <w:r>
        <w:rPr>
          <w:rFonts w:ascii="Arial" w:cs="Arial" w:eastAsia="Arial" w:hAnsi="Arial"/>
          <w:sz w:val="16"/>
          <w:szCs w:val="16"/>
          <w:color w:val="EF3E2A"/>
        </w:rPr>
        <w:t>Federal Realty</w:t>
      </w:r>
      <w:r>
        <w:rPr>
          <w:sz w:val="20"/>
          <w:szCs w:val="20"/>
          <w:color w:val="auto"/>
        </w:rPr>
        <w:tab/>
      </w:r>
      <w:r>
        <w:rPr>
          <w:rFonts w:ascii="Arial" w:cs="Arial" w:eastAsia="Arial" w:hAnsi="Arial"/>
          <w:sz w:val="16"/>
          <w:szCs w:val="16"/>
          <w:color w:val="231F20"/>
        </w:rPr>
        <w:t>2026 Proxy Statement</w:t>
        <w:tab/>
        <w:t>23</w:t>
      </w:r>
    </w:p>
    <w:p>
      <w:pPr>
        <w:sectPr>
          <w:pgSz w:w="11880" w:h="15480" w:orient="portrait"/>
          <w:cols w:equalWidth="0" w:num="1">
            <w:col w:w="10080"/>
          </w:cols>
          <w:pgMar w:left="900" w:top="1364" w:right="900" w:bottom="763" w:gutter="0" w:footer="0" w:header="0"/>
          <w:type w:val="continuous"/>
        </w:sectPr>
      </w:pPr>
    </w:p>
    <w:bookmarkStart w:id="143" w:name="page144"/>
    <w:bookmarkEnd w:id="143"/>
    <w:p>
      <w:pPr>
        <w:jc w:val="both"/>
        <w:spacing w:after="0" w:line="248" w:lineRule="auto"/>
        <w:rPr>
          <w:sz w:val="20"/>
          <w:szCs w:val="20"/>
          <w:color w:val="auto"/>
        </w:rPr>
      </w:pPr>
      <w:r>
        <w:rPr>
          <w:rFonts w:ascii="Arial" w:cs="Arial" w:eastAsia="Arial" w:hAnsi="Arial"/>
          <w:sz w:val="20"/>
          <w:szCs w:val="20"/>
          <w:color w:val="231F20"/>
        </w:rPr>
        <w:t>The 2025 target compensation set for Mr. Wood and Ms. Becker was unchanged from 2024. The 2025 compensation for Mr. Guglielmone included a base pay increase and a change to his target bonus percentage. The target pay packages for all of our NEOs are heavily weighted to components that are paid based on both company and individual performance which creates significant alignment between our NEOs and shareholders.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180" w:type="dxa"/>
            <w:vAlign w:val="bottom"/>
            <w:vMerge w:val="restart"/>
          </w:tcPr>
          <w:p>
            <w:pPr>
              <w:jc w:val="center"/>
              <w:ind w:right="115"/>
              <w:spacing w:after="0"/>
              <w:rPr>
                <w:sz w:val="20"/>
                <w:szCs w:val="20"/>
                <w:color w:val="auto"/>
              </w:rPr>
            </w:pPr>
            <w:r>
              <w:rPr>
                <w:rFonts w:ascii="Arial" w:cs="Arial" w:eastAsia="Arial" w:hAnsi="Arial"/>
                <w:sz w:val="17"/>
                <w:szCs w:val="17"/>
                <w:b w:val="1"/>
                <w:bCs w:val="1"/>
                <w:color w:val="231F20"/>
                <w:w w:val="97"/>
              </w:rPr>
              <w:t>CEO Pay</w:t>
            </w:r>
          </w:p>
        </w:tc>
        <w:tc>
          <w:tcPr>
            <w:tcW w:w="1060" w:type="dxa"/>
            <w:vAlign w:val="bottom"/>
            <w:gridSpan w:val="2"/>
          </w:tcPr>
          <w:p>
            <w:pPr>
              <w:jc w:val="center"/>
              <w:spacing w:after="0"/>
              <w:rPr>
                <w:sz w:val="20"/>
                <w:szCs w:val="20"/>
                <w:color w:val="auto"/>
              </w:rPr>
            </w:pPr>
            <w:r>
              <w:rPr>
                <w:rFonts w:ascii="Arial" w:cs="Arial" w:eastAsia="Arial" w:hAnsi="Arial"/>
                <w:sz w:val="17"/>
                <w:szCs w:val="17"/>
                <w:color w:val="231F20"/>
                <w:w w:val="98"/>
              </w:rPr>
              <w:t>Base Pay</w:t>
            </w:r>
          </w:p>
        </w:tc>
        <w:tc>
          <w:tcPr>
            <w:tcW w:w="1600" w:type="dxa"/>
            <w:vAlign w:val="bottom"/>
            <w:gridSpan w:val="2"/>
          </w:tcPr>
          <w:p>
            <w:pPr>
              <w:jc w:val="center"/>
              <w:ind w:left="175"/>
              <w:spacing w:after="0"/>
              <w:rPr>
                <w:sz w:val="20"/>
                <w:szCs w:val="20"/>
                <w:color w:val="auto"/>
              </w:rPr>
            </w:pPr>
            <w:r>
              <w:rPr>
                <w:rFonts w:ascii="Arial" w:cs="Arial" w:eastAsia="Arial" w:hAnsi="Arial"/>
                <w:sz w:val="17"/>
                <w:szCs w:val="17"/>
                <w:color w:val="231F20"/>
              </w:rPr>
              <w:t>Annual Bonus</w:t>
            </w:r>
          </w:p>
        </w:tc>
        <w:tc>
          <w:tcPr>
            <w:tcW w:w="17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900" w:type="dxa"/>
            <w:vAlign w:val="bottom"/>
          </w:tcPr>
          <w:p>
            <w:pPr>
              <w:jc w:val="center"/>
              <w:ind w:right="2015"/>
              <w:spacing w:after="0"/>
              <w:rPr>
                <w:sz w:val="20"/>
                <w:szCs w:val="20"/>
                <w:color w:val="auto"/>
              </w:rPr>
            </w:pPr>
            <w:r>
              <w:rPr>
                <w:rFonts w:ascii="Arial" w:cs="Arial" w:eastAsia="Arial" w:hAnsi="Arial"/>
                <w:sz w:val="17"/>
                <w:szCs w:val="17"/>
                <w:color w:val="231F20"/>
              </w:rPr>
              <w:t>Long-Term</w:t>
            </w:r>
          </w:p>
        </w:tc>
        <w:tc>
          <w:tcPr>
            <w:tcW w:w="0" w:type="dxa"/>
            <w:vAlign w:val="bottom"/>
          </w:tcPr>
          <w:p>
            <w:pPr>
              <w:spacing w:after="0"/>
              <w:rPr>
                <w:sz w:val="1"/>
                <w:szCs w:val="1"/>
                <w:color w:val="auto"/>
              </w:rPr>
            </w:pPr>
          </w:p>
        </w:tc>
      </w:tr>
      <w:tr>
        <w:trPr>
          <w:trHeight w:val="26"/>
        </w:trPr>
        <w:tc>
          <w:tcPr>
            <w:tcW w:w="1180" w:type="dxa"/>
            <w:vAlign w:val="bottom"/>
            <w:vMerge w:val="continue"/>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9"/>
        </w:trPr>
        <w:tc>
          <w:tcPr>
            <w:tcW w:w="1180" w:type="dxa"/>
            <w:vAlign w:val="bottom"/>
            <w:vMerge w:val="continue"/>
          </w:tcPr>
          <w:p>
            <w:pPr>
              <w:spacing w:after="0"/>
              <w:rPr>
                <w:sz w:val="9"/>
                <w:szCs w:val="9"/>
                <w:color w:val="auto"/>
              </w:rPr>
            </w:pPr>
          </w:p>
        </w:tc>
        <w:tc>
          <w:tcPr>
            <w:tcW w:w="800" w:type="dxa"/>
            <w:vAlign w:val="bottom"/>
            <w:vMerge w:val="restart"/>
            <w:shd w:val="clear" w:color="auto" w:fill="E6E7E8"/>
          </w:tcPr>
          <w:p>
            <w:pPr>
              <w:jc w:val="right"/>
              <w:spacing w:after="0"/>
              <w:rPr>
                <w:sz w:val="20"/>
                <w:szCs w:val="20"/>
                <w:color w:val="auto"/>
              </w:rPr>
            </w:pPr>
            <w:r>
              <w:rPr>
                <w:rFonts w:ascii="Arial" w:cs="Arial" w:eastAsia="Arial" w:hAnsi="Arial"/>
                <w:sz w:val="17"/>
                <w:szCs w:val="17"/>
                <w:b w:val="1"/>
                <w:bCs w:val="1"/>
                <w:color w:val="231F20"/>
              </w:rPr>
              <w:t>12%</w:t>
            </w:r>
          </w:p>
        </w:tc>
        <w:tc>
          <w:tcPr>
            <w:tcW w:w="260" w:type="dxa"/>
            <w:vAlign w:val="bottom"/>
            <w:tcBorders>
              <w:right w:val="single" w:sz="8" w:color="E6E7E8"/>
            </w:tcBorders>
            <w:shd w:val="clear" w:color="auto" w:fill="E6E7E8"/>
          </w:tcPr>
          <w:p>
            <w:pPr>
              <w:spacing w:after="0"/>
              <w:rPr>
                <w:sz w:val="9"/>
                <w:szCs w:val="9"/>
                <w:color w:val="auto"/>
              </w:rPr>
            </w:pPr>
          </w:p>
        </w:tc>
        <w:tc>
          <w:tcPr>
            <w:tcW w:w="1360" w:type="dxa"/>
            <w:vAlign w:val="bottom"/>
            <w:vMerge w:val="restart"/>
            <w:shd w:val="clear" w:color="auto" w:fill="D1D3D4"/>
          </w:tcPr>
          <w:p>
            <w:pPr>
              <w:jc w:val="right"/>
              <w:ind w:right="175"/>
              <w:spacing w:after="0"/>
              <w:rPr>
                <w:sz w:val="20"/>
                <w:szCs w:val="20"/>
                <w:color w:val="auto"/>
              </w:rPr>
            </w:pPr>
            <w:r>
              <w:rPr>
                <w:rFonts w:ascii="Arial" w:cs="Arial" w:eastAsia="Arial" w:hAnsi="Arial"/>
                <w:sz w:val="17"/>
                <w:szCs w:val="17"/>
                <w:b w:val="1"/>
                <w:bCs w:val="1"/>
                <w:color w:val="231F20"/>
              </w:rPr>
              <w:t>18%</w:t>
            </w:r>
          </w:p>
        </w:tc>
        <w:tc>
          <w:tcPr>
            <w:tcW w:w="240" w:type="dxa"/>
            <w:vAlign w:val="bottom"/>
            <w:shd w:val="clear" w:color="auto" w:fill="D1D3D4"/>
          </w:tcPr>
          <w:p>
            <w:pPr>
              <w:spacing w:after="0"/>
              <w:rPr>
                <w:sz w:val="9"/>
                <w:szCs w:val="9"/>
                <w:color w:val="auto"/>
              </w:rPr>
            </w:pPr>
          </w:p>
        </w:tc>
        <w:tc>
          <w:tcPr>
            <w:tcW w:w="1740" w:type="dxa"/>
            <w:vAlign w:val="bottom"/>
            <w:shd w:val="clear" w:color="auto" w:fill="EF3E2A"/>
          </w:tcPr>
          <w:p>
            <w:pPr>
              <w:spacing w:after="0"/>
              <w:rPr>
                <w:sz w:val="9"/>
                <w:szCs w:val="9"/>
                <w:color w:val="auto"/>
              </w:rPr>
            </w:pPr>
          </w:p>
        </w:tc>
        <w:tc>
          <w:tcPr>
            <w:tcW w:w="4500" w:type="dxa"/>
            <w:vAlign w:val="bottom"/>
            <w:gridSpan w:val="2"/>
            <w:vMerge w:val="restart"/>
            <w:shd w:val="clear" w:color="auto" w:fill="EF3E2A"/>
          </w:tcPr>
          <w:p>
            <w:pPr>
              <w:jc w:val="right"/>
              <w:ind w:right="2735"/>
              <w:spacing w:after="0"/>
              <w:rPr>
                <w:sz w:val="20"/>
                <w:szCs w:val="20"/>
                <w:color w:val="auto"/>
              </w:rPr>
            </w:pPr>
            <w:r>
              <w:rPr>
                <w:rFonts w:ascii="Arial" w:cs="Arial" w:eastAsia="Arial" w:hAnsi="Arial"/>
                <w:sz w:val="17"/>
                <w:szCs w:val="17"/>
                <w:b w:val="1"/>
                <w:bCs w:val="1"/>
                <w:color w:val="FFFFFF"/>
              </w:rPr>
              <w:t>70%</w:t>
            </w:r>
          </w:p>
        </w:tc>
        <w:tc>
          <w:tcPr>
            <w:tcW w:w="0" w:type="dxa"/>
            <w:vAlign w:val="bottom"/>
          </w:tcPr>
          <w:p>
            <w:pPr>
              <w:spacing w:after="0"/>
              <w:rPr>
                <w:sz w:val="1"/>
                <w:szCs w:val="1"/>
                <w:color w:val="auto"/>
              </w:rPr>
            </w:pPr>
          </w:p>
        </w:tc>
      </w:tr>
      <w:tr>
        <w:trPr>
          <w:trHeight w:val="190"/>
        </w:trPr>
        <w:tc>
          <w:tcPr>
            <w:tcW w:w="1180" w:type="dxa"/>
            <w:vAlign w:val="bottom"/>
          </w:tcPr>
          <w:p>
            <w:pPr>
              <w:jc w:val="center"/>
              <w:ind w:right="115"/>
              <w:spacing w:after="0" w:line="190" w:lineRule="exact"/>
              <w:rPr>
                <w:sz w:val="20"/>
                <w:szCs w:val="20"/>
                <w:color w:val="auto"/>
              </w:rPr>
            </w:pPr>
            <w:r>
              <w:rPr>
                <w:rFonts w:ascii="Arial" w:cs="Arial" w:eastAsia="Arial" w:hAnsi="Arial"/>
                <w:sz w:val="17"/>
                <w:szCs w:val="17"/>
                <w:b w:val="1"/>
                <w:bCs w:val="1"/>
                <w:color w:val="231F20"/>
              </w:rPr>
              <w:t>Mix</w:t>
            </w:r>
          </w:p>
        </w:tc>
        <w:tc>
          <w:tcPr>
            <w:tcW w:w="800" w:type="dxa"/>
            <w:vAlign w:val="bottom"/>
            <w:tcBorders>
              <w:bottom w:val="single" w:sz="8" w:color="E6E7E8"/>
            </w:tcBorders>
            <w:vMerge w:val="continue"/>
            <w:shd w:val="clear" w:color="auto" w:fill="E6E7E8"/>
          </w:tcPr>
          <w:p>
            <w:pPr>
              <w:spacing w:after="0"/>
              <w:rPr>
                <w:sz w:val="16"/>
                <w:szCs w:val="16"/>
                <w:color w:val="auto"/>
              </w:rPr>
            </w:pPr>
          </w:p>
        </w:tc>
        <w:tc>
          <w:tcPr>
            <w:tcW w:w="260" w:type="dxa"/>
            <w:vAlign w:val="bottom"/>
            <w:tcBorders>
              <w:bottom w:val="single" w:sz="8" w:color="E6E7E8"/>
              <w:right w:val="single" w:sz="8" w:color="E6E7E8"/>
            </w:tcBorders>
            <w:shd w:val="clear" w:color="auto" w:fill="E6E7E8"/>
          </w:tcPr>
          <w:p>
            <w:pPr>
              <w:spacing w:after="0"/>
              <w:rPr>
                <w:sz w:val="16"/>
                <w:szCs w:val="16"/>
                <w:color w:val="auto"/>
              </w:rPr>
            </w:pPr>
          </w:p>
        </w:tc>
        <w:tc>
          <w:tcPr>
            <w:tcW w:w="1360" w:type="dxa"/>
            <w:vAlign w:val="bottom"/>
            <w:tcBorders>
              <w:bottom w:val="single" w:sz="8" w:color="D1D3D4"/>
            </w:tcBorders>
            <w:vMerge w:val="continue"/>
            <w:shd w:val="clear" w:color="auto" w:fill="D1D3D4"/>
          </w:tcPr>
          <w:p>
            <w:pPr>
              <w:spacing w:after="0"/>
              <w:rPr>
                <w:sz w:val="16"/>
                <w:szCs w:val="16"/>
                <w:color w:val="auto"/>
              </w:rPr>
            </w:pPr>
          </w:p>
        </w:tc>
        <w:tc>
          <w:tcPr>
            <w:tcW w:w="240" w:type="dxa"/>
            <w:vAlign w:val="bottom"/>
            <w:tcBorders>
              <w:bottom w:val="single" w:sz="8" w:color="D1D3D4"/>
            </w:tcBorders>
            <w:shd w:val="clear" w:color="auto" w:fill="D1D3D4"/>
          </w:tcPr>
          <w:p>
            <w:pPr>
              <w:spacing w:after="0"/>
              <w:rPr>
                <w:sz w:val="16"/>
                <w:szCs w:val="16"/>
                <w:color w:val="auto"/>
              </w:rPr>
            </w:pPr>
          </w:p>
        </w:tc>
        <w:tc>
          <w:tcPr>
            <w:tcW w:w="1740" w:type="dxa"/>
            <w:vAlign w:val="bottom"/>
            <w:tcBorders>
              <w:bottom w:val="single" w:sz="8" w:color="EF3E2A"/>
            </w:tcBorders>
            <w:shd w:val="clear" w:color="auto" w:fill="EF3E2A"/>
          </w:tcPr>
          <w:p>
            <w:pPr>
              <w:spacing w:after="0"/>
              <w:rPr>
                <w:sz w:val="16"/>
                <w:szCs w:val="16"/>
                <w:color w:val="auto"/>
              </w:rPr>
            </w:pPr>
          </w:p>
        </w:tc>
        <w:tc>
          <w:tcPr>
            <w:tcW w:w="4500" w:type="dxa"/>
            <w:vAlign w:val="bottom"/>
            <w:tcBorders>
              <w:bottom w:val="single" w:sz="8" w:color="EF3E2A"/>
            </w:tcBorders>
            <w:gridSpan w:val="2"/>
            <w:vMerge w:val="continue"/>
            <w:shd w:val="clear" w:color="auto" w:fill="EF3E2A"/>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1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tcBorders>
              <w:top w:val="single" w:sz="8" w:color="231F20"/>
              <w:bottom w:val="single" w:sz="8" w:color="231F20"/>
            </w:tcBorders>
            <w:shd w:val="clear" w:color="auto" w:fill="231F20"/>
          </w:tcPr>
          <w:p>
            <w:pPr>
              <w:spacing w:after="0"/>
              <w:rPr>
                <w:sz w:val="17"/>
                <w:szCs w:val="17"/>
                <w:color w:val="auto"/>
              </w:rPr>
            </w:pPr>
          </w:p>
        </w:tc>
        <w:tc>
          <w:tcPr>
            <w:tcW w:w="240" w:type="dxa"/>
            <w:vAlign w:val="bottom"/>
            <w:tcBorders>
              <w:top w:val="single" w:sz="8" w:color="231F20"/>
              <w:bottom w:val="single" w:sz="8" w:color="231F20"/>
            </w:tcBorders>
            <w:shd w:val="clear" w:color="auto" w:fill="231F20"/>
          </w:tcPr>
          <w:p>
            <w:pPr>
              <w:spacing w:after="0"/>
              <w:rPr>
                <w:sz w:val="17"/>
                <w:szCs w:val="17"/>
                <w:color w:val="auto"/>
              </w:rPr>
            </w:pPr>
          </w:p>
        </w:tc>
        <w:tc>
          <w:tcPr>
            <w:tcW w:w="6240" w:type="dxa"/>
            <w:vAlign w:val="bottom"/>
            <w:tcBorders>
              <w:top w:val="single" w:sz="8" w:color="231F20"/>
              <w:bottom w:val="single" w:sz="8" w:color="231F20"/>
            </w:tcBorders>
            <w:gridSpan w:val="3"/>
            <w:shd w:val="clear" w:color="auto" w:fill="231F20"/>
          </w:tcPr>
          <w:p>
            <w:pPr>
              <w:ind w:left="1120"/>
              <w:spacing w:after="0"/>
              <w:rPr>
                <w:sz w:val="20"/>
                <w:szCs w:val="20"/>
                <w:color w:val="auto"/>
              </w:rPr>
            </w:pPr>
            <w:r>
              <w:rPr>
                <w:rFonts w:ascii="Arial" w:cs="Arial" w:eastAsia="Arial" w:hAnsi="Arial"/>
                <w:sz w:val="17"/>
                <w:szCs w:val="17"/>
                <w:b w:val="1"/>
                <w:bCs w:val="1"/>
                <w:color w:val="FFFFFF"/>
              </w:rPr>
              <w:t>88% Performance-Based At Risk</w:t>
            </w:r>
          </w:p>
        </w:tc>
        <w:tc>
          <w:tcPr>
            <w:tcW w:w="0" w:type="dxa"/>
            <w:vAlign w:val="bottom"/>
          </w:tcPr>
          <w:p>
            <w:pPr>
              <w:spacing w:after="0"/>
              <w:rPr>
                <w:sz w:val="1"/>
                <w:szCs w:val="1"/>
                <w:color w:val="auto"/>
              </w:rPr>
            </w:pPr>
          </w:p>
        </w:tc>
      </w:tr>
      <w:tr>
        <w:trPr>
          <w:trHeight w:val="523"/>
        </w:trPr>
        <w:tc>
          <w:tcPr>
            <w:tcW w:w="1180" w:type="dxa"/>
            <w:vAlign w:val="bottom"/>
          </w:tcPr>
          <w:p>
            <w:pPr>
              <w:jc w:val="center"/>
              <w:ind w:right="115"/>
              <w:spacing w:after="0"/>
              <w:rPr>
                <w:sz w:val="20"/>
                <w:szCs w:val="20"/>
                <w:color w:val="auto"/>
              </w:rPr>
            </w:pPr>
            <w:r>
              <w:rPr>
                <w:rFonts w:ascii="Arial" w:cs="Arial" w:eastAsia="Arial" w:hAnsi="Arial"/>
                <w:sz w:val="17"/>
                <w:szCs w:val="17"/>
                <w:b w:val="1"/>
                <w:bCs w:val="1"/>
                <w:color w:val="231F20"/>
                <w:w w:val="98"/>
              </w:rPr>
              <w:t>Average</w:t>
            </w:r>
          </w:p>
        </w:tc>
        <w:tc>
          <w:tcPr>
            <w:tcW w:w="800" w:type="dxa"/>
            <w:vAlign w:val="bottom"/>
          </w:tcPr>
          <w:p>
            <w:pPr>
              <w:spacing w:after="0"/>
              <w:rPr>
                <w:sz w:val="24"/>
                <w:szCs w:val="24"/>
                <w:color w:val="auto"/>
              </w:rPr>
            </w:pPr>
          </w:p>
        </w:tc>
        <w:tc>
          <w:tcPr>
            <w:tcW w:w="1860" w:type="dxa"/>
            <w:vAlign w:val="bottom"/>
            <w:gridSpan w:val="3"/>
          </w:tcPr>
          <w:p>
            <w:pPr>
              <w:jc w:val="center"/>
              <w:ind w:right="980"/>
              <w:spacing w:after="0"/>
              <w:rPr>
                <w:sz w:val="20"/>
                <w:szCs w:val="20"/>
                <w:color w:val="auto"/>
              </w:rPr>
            </w:pPr>
            <w:r>
              <w:rPr>
                <w:rFonts w:ascii="Arial" w:cs="Arial" w:eastAsia="Arial" w:hAnsi="Arial"/>
                <w:sz w:val="17"/>
                <w:szCs w:val="17"/>
                <w:color w:val="231F20"/>
                <w:w w:val="98"/>
              </w:rPr>
              <w:t>Base Pay</w:t>
            </w:r>
          </w:p>
        </w:tc>
        <w:tc>
          <w:tcPr>
            <w:tcW w:w="1740" w:type="dxa"/>
            <w:vAlign w:val="bottom"/>
          </w:tcPr>
          <w:p>
            <w:pPr>
              <w:jc w:val="center"/>
              <w:ind w:left="515"/>
              <w:spacing w:after="0"/>
              <w:rPr>
                <w:sz w:val="20"/>
                <w:szCs w:val="20"/>
                <w:color w:val="auto"/>
              </w:rPr>
            </w:pPr>
            <w:r>
              <w:rPr>
                <w:rFonts w:ascii="Arial" w:cs="Arial" w:eastAsia="Arial" w:hAnsi="Arial"/>
                <w:sz w:val="17"/>
                <w:szCs w:val="17"/>
                <w:color w:val="231F20"/>
              </w:rPr>
              <w:t>Annual Bonus</w:t>
            </w:r>
          </w:p>
        </w:tc>
        <w:tc>
          <w:tcPr>
            <w:tcW w:w="600" w:type="dxa"/>
            <w:vAlign w:val="bottom"/>
          </w:tcPr>
          <w:p>
            <w:pPr>
              <w:spacing w:after="0"/>
              <w:rPr>
                <w:sz w:val="24"/>
                <w:szCs w:val="24"/>
                <w:color w:val="auto"/>
              </w:rPr>
            </w:pPr>
          </w:p>
        </w:tc>
        <w:tc>
          <w:tcPr>
            <w:tcW w:w="3900" w:type="dxa"/>
            <w:vAlign w:val="bottom"/>
          </w:tcPr>
          <w:p>
            <w:pPr>
              <w:jc w:val="center"/>
              <w:ind w:left="155"/>
              <w:spacing w:after="0"/>
              <w:rPr>
                <w:sz w:val="20"/>
                <w:szCs w:val="20"/>
                <w:color w:val="auto"/>
              </w:rPr>
            </w:pPr>
            <w:r>
              <w:rPr>
                <w:rFonts w:ascii="Arial" w:cs="Arial" w:eastAsia="Arial" w:hAnsi="Arial"/>
                <w:sz w:val="17"/>
                <w:szCs w:val="17"/>
                <w:color w:val="231F20"/>
                <w:w w:val="98"/>
              </w:rPr>
              <w:t>Long-Term</w:t>
            </w:r>
          </w:p>
        </w:tc>
        <w:tc>
          <w:tcPr>
            <w:tcW w:w="0" w:type="dxa"/>
            <w:vAlign w:val="bottom"/>
          </w:tcPr>
          <w:p>
            <w:pPr>
              <w:spacing w:after="0"/>
              <w:rPr>
                <w:sz w:val="1"/>
                <w:szCs w:val="1"/>
                <w:color w:val="auto"/>
              </w:rPr>
            </w:pPr>
          </w:p>
        </w:tc>
      </w:tr>
      <w:tr>
        <w:trPr>
          <w:trHeight w:val="250"/>
        </w:trPr>
        <w:tc>
          <w:tcPr>
            <w:tcW w:w="1180" w:type="dxa"/>
            <w:vAlign w:val="bottom"/>
          </w:tcPr>
          <w:p>
            <w:pPr>
              <w:jc w:val="center"/>
              <w:ind w:right="115"/>
              <w:spacing w:after="0"/>
              <w:rPr>
                <w:sz w:val="20"/>
                <w:szCs w:val="20"/>
                <w:color w:val="auto"/>
              </w:rPr>
            </w:pPr>
            <w:r>
              <w:rPr>
                <w:rFonts w:ascii="Arial" w:cs="Arial" w:eastAsia="Arial" w:hAnsi="Arial"/>
                <w:sz w:val="17"/>
                <w:szCs w:val="17"/>
                <w:b w:val="1"/>
                <w:bCs w:val="1"/>
                <w:color w:val="231F20"/>
              </w:rPr>
              <w:t>Other NEOs</w:t>
            </w:r>
          </w:p>
        </w:tc>
        <w:tc>
          <w:tcPr>
            <w:tcW w:w="800" w:type="dxa"/>
            <w:vAlign w:val="bottom"/>
            <w:tcBorders>
              <w:bottom w:val="single" w:sz="8" w:color="E6E7E8"/>
            </w:tcBorders>
            <w:shd w:val="clear" w:color="auto" w:fill="E6E7E8"/>
          </w:tcPr>
          <w:p>
            <w:pPr>
              <w:spacing w:after="0"/>
              <w:rPr>
                <w:sz w:val="21"/>
                <w:szCs w:val="21"/>
                <w:color w:val="auto"/>
              </w:rPr>
            </w:pPr>
          </w:p>
        </w:tc>
        <w:tc>
          <w:tcPr>
            <w:tcW w:w="260" w:type="dxa"/>
            <w:vAlign w:val="bottom"/>
            <w:tcBorders>
              <w:bottom w:val="single" w:sz="8" w:color="E6E7E8"/>
              <w:right w:val="single" w:sz="8" w:color="E6E7E8"/>
            </w:tcBorders>
            <w:shd w:val="clear" w:color="auto" w:fill="E6E7E8"/>
          </w:tcPr>
          <w:p>
            <w:pPr>
              <w:spacing w:after="0"/>
              <w:rPr>
                <w:sz w:val="21"/>
                <w:szCs w:val="21"/>
                <w:color w:val="auto"/>
              </w:rPr>
            </w:pPr>
          </w:p>
        </w:tc>
        <w:tc>
          <w:tcPr>
            <w:tcW w:w="1360" w:type="dxa"/>
            <w:vAlign w:val="bottom"/>
            <w:tcBorders>
              <w:bottom w:val="single" w:sz="8" w:color="E6E7E8"/>
            </w:tcBorders>
            <w:shd w:val="clear" w:color="auto" w:fill="E6E7E8"/>
          </w:tcPr>
          <w:p>
            <w:pPr>
              <w:jc w:val="right"/>
              <w:ind w:right="935"/>
              <w:spacing w:after="0"/>
              <w:rPr>
                <w:sz w:val="20"/>
                <w:szCs w:val="20"/>
                <w:color w:val="auto"/>
              </w:rPr>
            </w:pPr>
            <w:r>
              <w:rPr>
                <w:rFonts w:ascii="Arial" w:cs="Arial" w:eastAsia="Arial" w:hAnsi="Arial"/>
                <w:sz w:val="17"/>
                <w:szCs w:val="17"/>
                <w:b w:val="1"/>
                <w:bCs w:val="1"/>
                <w:color w:val="231F20"/>
                <w:w w:val="93"/>
              </w:rPr>
              <w:t>23%</w:t>
            </w:r>
          </w:p>
        </w:tc>
        <w:tc>
          <w:tcPr>
            <w:tcW w:w="240" w:type="dxa"/>
            <w:vAlign w:val="bottom"/>
            <w:tcBorders>
              <w:bottom w:val="single" w:sz="8" w:color="D1D3D4"/>
            </w:tcBorders>
            <w:shd w:val="clear" w:color="auto" w:fill="D1D3D4"/>
          </w:tcPr>
          <w:p>
            <w:pPr>
              <w:spacing w:after="0"/>
              <w:rPr>
                <w:sz w:val="21"/>
                <w:szCs w:val="21"/>
                <w:color w:val="auto"/>
              </w:rPr>
            </w:pPr>
          </w:p>
        </w:tc>
        <w:tc>
          <w:tcPr>
            <w:tcW w:w="1740" w:type="dxa"/>
            <w:vAlign w:val="bottom"/>
            <w:tcBorders>
              <w:bottom w:val="single" w:sz="8" w:color="D1D3D4"/>
            </w:tcBorders>
            <w:shd w:val="clear" w:color="auto" w:fill="D1D3D4"/>
          </w:tcPr>
          <w:p>
            <w:pPr>
              <w:jc w:val="right"/>
              <w:ind w:right="315"/>
              <w:spacing w:after="0"/>
              <w:rPr>
                <w:sz w:val="20"/>
                <w:szCs w:val="20"/>
                <w:color w:val="auto"/>
              </w:rPr>
            </w:pPr>
            <w:r>
              <w:rPr>
                <w:rFonts w:ascii="Arial" w:cs="Arial" w:eastAsia="Arial" w:hAnsi="Arial"/>
                <w:sz w:val="17"/>
                <w:szCs w:val="17"/>
                <w:b w:val="1"/>
                <w:bCs w:val="1"/>
                <w:color w:val="231F20"/>
              </w:rPr>
              <w:t>29%</w:t>
            </w:r>
          </w:p>
        </w:tc>
        <w:tc>
          <w:tcPr>
            <w:tcW w:w="600" w:type="dxa"/>
            <w:vAlign w:val="bottom"/>
            <w:tcBorders>
              <w:bottom w:val="single" w:sz="8" w:color="D1D3D4"/>
            </w:tcBorders>
            <w:shd w:val="clear" w:color="auto" w:fill="D1D3D4"/>
          </w:tcPr>
          <w:p>
            <w:pPr>
              <w:spacing w:after="0"/>
              <w:rPr>
                <w:sz w:val="21"/>
                <w:szCs w:val="21"/>
                <w:color w:val="auto"/>
              </w:rPr>
            </w:pPr>
          </w:p>
        </w:tc>
        <w:tc>
          <w:tcPr>
            <w:tcW w:w="3900" w:type="dxa"/>
            <w:vAlign w:val="bottom"/>
            <w:tcBorders>
              <w:bottom w:val="single" w:sz="8" w:color="EF3E2A"/>
            </w:tcBorders>
            <w:shd w:val="clear" w:color="auto" w:fill="EF3E2A"/>
          </w:tcPr>
          <w:p>
            <w:pPr>
              <w:jc w:val="right"/>
              <w:ind w:right="1575"/>
              <w:spacing w:after="0"/>
              <w:rPr>
                <w:sz w:val="20"/>
                <w:szCs w:val="20"/>
                <w:color w:val="auto"/>
              </w:rPr>
            </w:pPr>
            <w:r>
              <w:rPr>
                <w:rFonts w:ascii="Arial" w:cs="Arial" w:eastAsia="Arial" w:hAnsi="Arial"/>
                <w:sz w:val="17"/>
                <w:szCs w:val="17"/>
                <w:b w:val="1"/>
                <w:bCs w:val="1"/>
                <w:color w:val="FFFFFF"/>
              </w:rPr>
              <w:t>48%</w:t>
            </w:r>
          </w:p>
        </w:tc>
        <w:tc>
          <w:tcPr>
            <w:tcW w:w="0" w:type="dxa"/>
            <w:vAlign w:val="bottom"/>
          </w:tcPr>
          <w:p>
            <w:pPr>
              <w:spacing w:after="0"/>
              <w:rPr>
                <w:sz w:val="1"/>
                <w:szCs w:val="1"/>
                <w:color w:val="auto"/>
              </w:rPr>
            </w:pPr>
          </w:p>
        </w:tc>
      </w:tr>
      <w:tr>
        <w:trPr>
          <w:trHeight w:val="154"/>
        </w:trPr>
        <w:tc>
          <w:tcPr>
            <w:tcW w:w="1180" w:type="dxa"/>
            <w:vAlign w:val="bottom"/>
          </w:tcPr>
          <w:p>
            <w:pPr>
              <w:jc w:val="center"/>
              <w:ind w:right="115"/>
              <w:spacing w:after="0" w:line="154" w:lineRule="exact"/>
              <w:rPr>
                <w:sz w:val="20"/>
                <w:szCs w:val="20"/>
                <w:color w:val="auto"/>
              </w:rPr>
            </w:pPr>
            <w:r>
              <w:rPr>
                <w:rFonts w:ascii="Arial" w:cs="Arial" w:eastAsia="Arial" w:hAnsi="Arial"/>
                <w:sz w:val="17"/>
                <w:szCs w:val="17"/>
                <w:b w:val="1"/>
                <w:bCs w:val="1"/>
                <w:color w:val="231F20"/>
                <w:w w:val="97"/>
              </w:rPr>
              <w:t>Pay Mix</w:t>
            </w: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40" w:type="dxa"/>
            <w:vAlign w:val="bottom"/>
            <w:shd w:val="clear" w:color="auto" w:fill="231F20"/>
          </w:tcPr>
          <w:p>
            <w:pPr>
              <w:spacing w:after="0"/>
              <w:rPr>
                <w:sz w:val="13"/>
                <w:szCs w:val="13"/>
                <w:color w:val="auto"/>
              </w:rPr>
            </w:pPr>
          </w:p>
        </w:tc>
        <w:tc>
          <w:tcPr>
            <w:tcW w:w="1740" w:type="dxa"/>
            <w:vAlign w:val="bottom"/>
            <w:shd w:val="clear" w:color="auto" w:fill="231F20"/>
          </w:tcPr>
          <w:p>
            <w:pPr>
              <w:spacing w:after="0"/>
              <w:rPr>
                <w:sz w:val="13"/>
                <w:szCs w:val="13"/>
                <w:color w:val="auto"/>
              </w:rPr>
            </w:pPr>
          </w:p>
        </w:tc>
        <w:tc>
          <w:tcPr>
            <w:tcW w:w="4500" w:type="dxa"/>
            <w:vAlign w:val="bottom"/>
            <w:gridSpan w:val="2"/>
            <w:vMerge w:val="restart"/>
            <w:shd w:val="clear" w:color="auto" w:fill="231F20"/>
          </w:tcPr>
          <w:p>
            <w:pPr>
              <w:ind w:left="60"/>
              <w:spacing w:after="0"/>
              <w:rPr>
                <w:sz w:val="20"/>
                <w:szCs w:val="20"/>
                <w:color w:val="auto"/>
              </w:rPr>
            </w:pPr>
            <w:r>
              <w:rPr>
                <w:rFonts w:ascii="Arial" w:cs="Arial" w:eastAsia="Arial" w:hAnsi="Arial"/>
                <w:sz w:val="17"/>
                <w:szCs w:val="17"/>
                <w:b w:val="1"/>
                <w:bCs w:val="1"/>
                <w:color w:val="FFFFFF"/>
              </w:rPr>
              <w:t>77% Performance-Based At Risk</w:t>
            </w:r>
          </w:p>
        </w:tc>
        <w:tc>
          <w:tcPr>
            <w:tcW w:w="0" w:type="dxa"/>
            <w:vAlign w:val="bottom"/>
          </w:tcPr>
          <w:p>
            <w:pPr>
              <w:spacing w:after="0"/>
              <w:rPr>
                <w:sz w:val="1"/>
                <w:szCs w:val="1"/>
                <w:color w:val="auto"/>
              </w:rPr>
            </w:pPr>
          </w:p>
        </w:tc>
      </w:tr>
      <w:tr>
        <w:trPr>
          <w:trHeight w:val="90"/>
        </w:trPr>
        <w:tc>
          <w:tcPr>
            <w:tcW w:w="1180" w:type="dxa"/>
            <w:vAlign w:val="bottom"/>
          </w:tcPr>
          <w:p>
            <w:pPr>
              <w:spacing w:after="0"/>
              <w:rPr>
                <w:sz w:val="7"/>
                <w:szCs w:val="7"/>
                <w:color w:val="auto"/>
              </w:rPr>
            </w:pPr>
          </w:p>
        </w:tc>
        <w:tc>
          <w:tcPr>
            <w:tcW w:w="8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360" w:type="dxa"/>
            <w:vAlign w:val="bottom"/>
          </w:tcPr>
          <w:p>
            <w:pPr>
              <w:spacing w:after="0"/>
              <w:rPr>
                <w:sz w:val="7"/>
                <w:szCs w:val="7"/>
                <w:color w:val="auto"/>
              </w:rPr>
            </w:pPr>
          </w:p>
        </w:tc>
        <w:tc>
          <w:tcPr>
            <w:tcW w:w="240" w:type="dxa"/>
            <w:vAlign w:val="bottom"/>
            <w:shd w:val="clear" w:color="auto" w:fill="231F20"/>
          </w:tcPr>
          <w:p>
            <w:pPr>
              <w:spacing w:after="0"/>
              <w:rPr>
                <w:sz w:val="7"/>
                <w:szCs w:val="7"/>
                <w:color w:val="auto"/>
              </w:rPr>
            </w:pPr>
          </w:p>
        </w:tc>
        <w:tc>
          <w:tcPr>
            <w:tcW w:w="1740" w:type="dxa"/>
            <w:vAlign w:val="bottom"/>
            <w:shd w:val="clear" w:color="auto" w:fill="231F20"/>
          </w:tcPr>
          <w:p>
            <w:pPr>
              <w:spacing w:after="0"/>
              <w:rPr>
                <w:sz w:val="7"/>
                <w:szCs w:val="7"/>
                <w:color w:val="auto"/>
              </w:rPr>
            </w:pPr>
          </w:p>
        </w:tc>
        <w:tc>
          <w:tcPr>
            <w:tcW w:w="4500" w:type="dxa"/>
            <w:vAlign w:val="bottom"/>
            <w:gridSpan w:val="2"/>
            <w:vMerge w:val="continue"/>
            <w:shd w:val="clear" w:color="auto" w:fill="231F20"/>
          </w:tcPr>
          <w:p>
            <w:pPr>
              <w:spacing w:after="0"/>
              <w:rPr>
                <w:sz w:val="7"/>
                <w:szCs w:val="7"/>
                <w:color w:val="auto"/>
              </w:rPr>
            </w:pPr>
          </w:p>
        </w:tc>
        <w:tc>
          <w:tcPr>
            <w:tcW w:w="0" w:type="dxa"/>
            <w:vAlign w:val="bottom"/>
          </w:tcPr>
          <w:p>
            <w:pPr>
              <w:spacing w:after="0"/>
              <w:rPr>
                <w:sz w:val="1"/>
                <w:szCs w:val="1"/>
                <w:color w:val="auto"/>
              </w:rPr>
            </w:pPr>
          </w:p>
        </w:tc>
      </w:tr>
      <w:tr>
        <w:trPr>
          <w:trHeight w:val="26"/>
        </w:trPr>
        <w:tc>
          <w:tcPr>
            <w:tcW w:w="1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40" w:type="dxa"/>
            <w:vAlign w:val="bottom"/>
            <w:shd w:val="clear" w:color="auto" w:fill="231F20"/>
          </w:tcPr>
          <w:p>
            <w:pPr>
              <w:spacing w:after="0"/>
              <w:rPr>
                <w:sz w:val="2"/>
                <w:szCs w:val="2"/>
                <w:color w:val="auto"/>
              </w:rPr>
            </w:pPr>
          </w:p>
        </w:tc>
        <w:tc>
          <w:tcPr>
            <w:tcW w:w="1740" w:type="dxa"/>
            <w:vAlign w:val="bottom"/>
            <w:shd w:val="clear" w:color="auto" w:fill="231F20"/>
          </w:tcPr>
          <w:p>
            <w:pPr>
              <w:spacing w:after="0"/>
              <w:rPr>
                <w:sz w:val="2"/>
                <w:szCs w:val="2"/>
                <w:color w:val="auto"/>
              </w:rPr>
            </w:pPr>
          </w:p>
        </w:tc>
        <w:tc>
          <w:tcPr>
            <w:tcW w:w="600" w:type="dxa"/>
            <w:vAlign w:val="bottom"/>
            <w:shd w:val="clear" w:color="auto" w:fill="231F20"/>
          </w:tcPr>
          <w:p>
            <w:pPr>
              <w:spacing w:after="0"/>
              <w:rPr>
                <w:sz w:val="2"/>
                <w:szCs w:val="2"/>
                <w:color w:val="auto"/>
              </w:rPr>
            </w:pPr>
          </w:p>
        </w:tc>
        <w:tc>
          <w:tcPr>
            <w:tcW w:w="3900" w:type="dxa"/>
            <w:vAlign w:val="bottom"/>
            <w:shd w:val="clear" w:color="auto" w:fill="231F2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spacing w:after="0" w:line="268" w:lineRule="exact"/>
        <w:rPr>
          <w:sz w:val="20"/>
          <w:szCs w:val="20"/>
          <w:color w:val="auto"/>
        </w:rPr>
      </w:pPr>
      <w:r>
        <w:rPr>
          <w:rFonts w:ascii="Arial Unicode MS" w:cs="Arial Unicode MS" w:eastAsia="Arial Unicode MS" w:hAnsi="Arial Unicode MS"/>
          <w:sz w:val="20"/>
          <w:szCs w:val="20"/>
          <w:color w:val="EF3E2A"/>
        </w:rPr>
        <w:t>➣</w:t>
      </w:r>
      <w:r>
        <w:rPr>
          <w:rFonts w:ascii="Arial" w:cs="Arial" w:eastAsia="Arial" w:hAnsi="Arial"/>
          <w:sz w:val="20"/>
          <w:szCs w:val="20"/>
          <w:b w:val="1"/>
          <w:bCs w:val="1"/>
          <w:color w:val="231F20"/>
        </w:rPr>
        <w:t xml:space="preserve"> INDIVIDUAL ELEMENTS OF 2025 PAY</w:t>
      </w:r>
    </w:p>
    <w:p>
      <w:pPr>
        <w:spacing w:after="0" w:line="265" w:lineRule="exact"/>
        <w:rPr>
          <w:sz w:val="20"/>
          <w:szCs w:val="20"/>
          <w:color w:val="auto"/>
        </w:rPr>
      </w:pPr>
    </w:p>
    <w:p>
      <w:pPr>
        <w:spacing w:after="0"/>
        <w:rPr>
          <w:sz w:val="20"/>
          <w:szCs w:val="20"/>
          <w:color w:val="auto"/>
        </w:rPr>
      </w:pPr>
      <w:r>
        <w:rPr>
          <w:rFonts w:ascii="Arial" w:cs="Arial" w:eastAsia="Arial" w:hAnsi="Arial"/>
          <w:sz w:val="20"/>
          <w:szCs w:val="20"/>
          <w:i w:val="1"/>
          <w:iCs w:val="1"/>
          <w:color w:val="231F20"/>
        </w:rPr>
        <w:t>Base Pay</w:t>
      </w:r>
    </w:p>
    <w:p>
      <w:pPr>
        <w:spacing w:after="0" w:line="268"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231F20"/>
        </w:rPr>
        <w:t>The base pay level established for each of our NEOs represents a modest portion of each individual’s total compensation package and the Compensation Committee believes them to be competitive and appropriate based on market data.</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i w:val="1"/>
          <w:iCs w:val="1"/>
          <w:color w:val="231F20"/>
        </w:rPr>
        <w:t>Annual Bonus Program</w:t>
      </w:r>
    </w:p>
    <w:p>
      <w:pPr>
        <w:spacing w:after="0" w:line="270"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231F20"/>
        </w:rPr>
        <w:t>Our bonus plan is an annual cash incentive program designed to reward achievement for the current year based on achieving a level of NAREIT FFO per share that the Compensation Committee has determined is necessary for the Company to achieve its business objectives for the year. The Compensation Committee has determined that NAREIT FFO per share is the appropriate measure to use for our annual bonus program because it is a key annual metric used by investors, the Board and management to evaluate the Company’s annual performance and it reflects the full range of decision making and execution for the Company for the year. The Compensation Committee sets the required performance level for NAREIT FFO per share at the beginning of each year with levels reflecting performance that ranges from acceptable at the threshold level to exceptional at the stretch level based on budgets reviewed by the entire Board. Approximately 96% of our employees participate in this annual bonus plan.</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980" w:type="dxa"/>
            <w:vAlign w:val="bottom"/>
            <w:shd w:val="clear" w:color="auto" w:fill="EF3E2A"/>
          </w:tcPr>
          <w:p>
            <w:pPr>
              <w:spacing w:after="0"/>
              <w:rPr>
                <w:sz w:val="19"/>
                <w:szCs w:val="19"/>
                <w:color w:val="auto"/>
              </w:rPr>
            </w:pPr>
          </w:p>
        </w:tc>
        <w:tc>
          <w:tcPr>
            <w:tcW w:w="100" w:type="dxa"/>
            <w:vAlign w:val="bottom"/>
          </w:tcPr>
          <w:p>
            <w:pPr>
              <w:spacing w:after="0"/>
              <w:rPr>
                <w:sz w:val="19"/>
                <w:szCs w:val="19"/>
                <w:color w:val="auto"/>
              </w:rPr>
            </w:pPr>
          </w:p>
        </w:tc>
        <w:tc>
          <w:tcPr>
            <w:tcW w:w="3700" w:type="dxa"/>
            <w:vAlign w:val="bottom"/>
            <w:tcBorders>
              <w:right w:val="single" w:sz="8" w:color="EF3E2A"/>
            </w:tcBorders>
            <w:gridSpan w:val="3"/>
            <w:shd w:val="clear" w:color="auto" w:fill="EF3E2A"/>
          </w:tcPr>
          <w:p>
            <w:pPr>
              <w:ind w:left="1000"/>
              <w:spacing w:after="0"/>
              <w:rPr>
                <w:sz w:val="20"/>
                <w:szCs w:val="20"/>
                <w:color w:val="auto"/>
              </w:rPr>
            </w:pPr>
            <w:r>
              <w:rPr>
                <w:rFonts w:ascii="Arial" w:cs="Arial" w:eastAsia="Arial" w:hAnsi="Arial"/>
                <w:sz w:val="18"/>
                <w:szCs w:val="18"/>
                <w:b w:val="1"/>
                <w:bCs w:val="1"/>
                <w:color w:val="FFFFFF"/>
              </w:rPr>
              <w:t>Performance Levels</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Borders>
              <w:right w:val="single" w:sz="8" w:color="EF3E2A"/>
            </w:tcBorders>
            <w:shd w:val="clear" w:color="auto" w:fill="EF3E2A"/>
          </w:tcPr>
          <w:p>
            <w:pPr>
              <w:spacing w:after="0"/>
              <w:rPr>
                <w:sz w:val="19"/>
                <w:szCs w:val="19"/>
                <w:color w:val="auto"/>
              </w:rPr>
            </w:pPr>
          </w:p>
        </w:tc>
      </w:tr>
      <w:tr>
        <w:trPr>
          <w:trHeight w:val="257"/>
        </w:trPr>
        <w:tc>
          <w:tcPr>
            <w:tcW w:w="3980" w:type="dxa"/>
            <w:vAlign w:val="bottom"/>
            <w:tcBorders>
              <w:bottom w:val="single" w:sz="8" w:color="EF3E2A"/>
            </w:tcBorders>
            <w:shd w:val="clear" w:color="auto" w:fill="EF3E2A"/>
          </w:tcPr>
          <w:p>
            <w:pPr>
              <w:ind w:left="60"/>
              <w:spacing w:after="0"/>
              <w:rPr>
                <w:sz w:val="20"/>
                <w:szCs w:val="20"/>
                <w:color w:val="auto"/>
              </w:rPr>
            </w:pPr>
            <w:r>
              <w:rPr>
                <w:rFonts w:ascii="Arial" w:cs="Arial" w:eastAsia="Arial" w:hAnsi="Arial"/>
                <w:sz w:val="18"/>
                <w:szCs w:val="18"/>
                <w:b w:val="1"/>
                <w:bCs w:val="1"/>
                <w:color w:val="FFFFFF"/>
              </w:rPr>
              <w:t>Performance Goal</w:t>
            </w:r>
          </w:p>
        </w:tc>
        <w:tc>
          <w:tcPr>
            <w:tcW w:w="100" w:type="dxa"/>
            <w:vAlign w:val="bottom"/>
          </w:tcPr>
          <w:p>
            <w:pPr>
              <w:spacing w:after="0"/>
              <w:rPr>
                <w:sz w:val="22"/>
                <w:szCs w:val="22"/>
                <w:color w:val="auto"/>
              </w:rPr>
            </w:pPr>
          </w:p>
        </w:tc>
        <w:tc>
          <w:tcPr>
            <w:tcW w:w="1280" w:type="dxa"/>
            <w:vAlign w:val="bottom"/>
            <w:tcBorders>
              <w:bottom w:val="single" w:sz="8" w:color="EF3E2A"/>
            </w:tcBorders>
            <w:shd w:val="clear" w:color="auto" w:fill="EF3E2A"/>
          </w:tcPr>
          <w:p>
            <w:pPr>
              <w:ind w:left="200"/>
              <w:spacing w:after="0"/>
              <w:rPr>
                <w:sz w:val="20"/>
                <w:szCs w:val="20"/>
                <w:color w:val="auto"/>
              </w:rPr>
            </w:pPr>
            <w:r>
              <w:rPr>
                <w:rFonts w:ascii="Arial" w:cs="Arial" w:eastAsia="Arial" w:hAnsi="Arial"/>
                <w:sz w:val="18"/>
                <w:szCs w:val="18"/>
                <w:b w:val="1"/>
                <w:bCs w:val="1"/>
                <w:color w:val="FFFFFF"/>
              </w:rPr>
              <w:t>Threshold</w:t>
            </w:r>
          </w:p>
        </w:tc>
        <w:tc>
          <w:tcPr>
            <w:tcW w:w="960" w:type="dxa"/>
            <w:vAlign w:val="bottom"/>
            <w:tcBorders>
              <w:bottom w:val="single" w:sz="8" w:color="EF3E2A"/>
              <w:right w:val="single" w:sz="8" w:color="EF3E2A"/>
            </w:tcBorders>
            <w:shd w:val="clear" w:color="auto" w:fill="EF3E2A"/>
          </w:tcPr>
          <w:p>
            <w:pPr>
              <w:jc w:val="center"/>
              <w:spacing w:after="0"/>
              <w:rPr>
                <w:sz w:val="20"/>
                <w:szCs w:val="20"/>
                <w:color w:val="auto"/>
              </w:rPr>
            </w:pPr>
            <w:r>
              <w:rPr>
                <w:rFonts w:ascii="Arial" w:cs="Arial" w:eastAsia="Arial" w:hAnsi="Arial"/>
                <w:sz w:val="18"/>
                <w:szCs w:val="18"/>
                <w:b w:val="1"/>
                <w:bCs w:val="1"/>
                <w:color w:val="FFFFFF"/>
                <w:w w:val="98"/>
              </w:rPr>
              <w:t>Target</w:t>
            </w:r>
          </w:p>
        </w:tc>
        <w:tc>
          <w:tcPr>
            <w:tcW w:w="1460" w:type="dxa"/>
            <w:vAlign w:val="bottom"/>
            <w:tcBorders>
              <w:bottom w:val="single" w:sz="8" w:color="EF3E2A"/>
              <w:right w:val="single" w:sz="8" w:color="EF3E2A"/>
            </w:tcBorders>
            <w:shd w:val="clear" w:color="auto" w:fill="EF3E2A"/>
          </w:tcPr>
          <w:p>
            <w:pPr>
              <w:jc w:val="center"/>
              <w:spacing w:after="0"/>
              <w:rPr>
                <w:sz w:val="20"/>
                <w:szCs w:val="20"/>
                <w:color w:val="auto"/>
              </w:rPr>
            </w:pPr>
            <w:r>
              <w:rPr>
                <w:rFonts w:ascii="Arial" w:cs="Arial" w:eastAsia="Arial" w:hAnsi="Arial"/>
                <w:sz w:val="18"/>
                <w:szCs w:val="18"/>
                <w:b w:val="1"/>
                <w:bCs w:val="1"/>
                <w:color w:val="FFFFFF"/>
                <w:w w:val="99"/>
              </w:rPr>
              <w:t>Stretch</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20" w:type="dxa"/>
            <w:vAlign w:val="bottom"/>
            <w:tcBorders>
              <w:bottom w:val="single" w:sz="8" w:color="EF3E2A"/>
              <w:right w:val="single" w:sz="8" w:color="EF3E2A"/>
            </w:tcBorders>
            <w:shd w:val="clear" w:color="auto" w:fill="EF3E2A"/>
          </w:tcPr>
          <w:p>
            <w:pPr>
              <w:ind w:left="220"/>
              <w:spacing w:after="0"/>
              <w:rPr>
                <w:sz w:val="20"/>
                <w:szCs w:val="20"/>
                <w:color w:val="auto"/>
              </w:rPr>
            </w:pPr>
            <w:r>
              <w:rPr>
                <w:rFonts w:ascii="Arial" w:cs="Arial" w:eastAsia="Arial" w:hAnsi="Arial"/>
                <w:sz w:val="18"/>
                <w:szCs w:val="18"/>
                <w:b w:val="1"/>
                <w:bCs w:val="1"/>
                <w:color w:val="FFFFFF"/>
              </w:rPr>
              <w:t>Actual</w:t>
            </w:r>
          </w:p>
        </w:tc>
      </w:tr>
      <w:tr>
        <w:trPr>
          <w:trHeight w:val="249"/>
        </w:trPr>
        <w:tc>
          <w:tcPr>
            <w:tcW w:w="3980" w:type="dxa"/>
            <w:vAlign w:val="bottom"/>
            <w:tcBorders>
              <w:bottom w:val="single" w:sz="8" w:color="E6E7E8"/>
            </w:tcBorders>
            <w:shd w:val="clear" w:color="auto" w:fill="E6E7E8"/>
          </w:tcPr>
          <w:p>
            <w:pPr>
              <w:ind w:left="60"/>
              <w:spacing w:after="0"/>
              <w:rPr>
                <w:sz w:val="20"/>
                <w:szCs w:val="20"/>
                <w:color w:val="auto"/>
              </w:rPr>
            </w:pPr>
            <w:r>
              <w:rPr>
                <w:rFonts w:ascii="Arial" w:cs="Arial" w:eastAsia="Arial" w:hAnsi="Arial"/>
                <w:sz w:val="18"/>
                <w:szCs w:val="18"/>
                <w:i w:val="1"/>
                <w:iCs w:val="1"/>
                <w:color w:val="231F20"/>
              </w:rPr>
              <w:t>Payout as Percentage of Target</w:t>
            </w:r>
          </w:p>
        </w:tc>
        <w:tc>
          <w:tcPr>
            <w:tcW w:w="100" w:type="dxa"/>
            <w:vAlign w:val="bottom"/>
          </w:tcPr>
          <w:p>
            <w:pPr>
              <w:spacing w:after="0"/>
              <w:rPr>
                <w:sz w:val="21"/>
                <w:szCs w:val="21"/>
                <w:color w:val="auto"/>
              </w:rPr>
            </w:pPr>
          </w:p>
        </w:tc>
        <w:tc>
          <w:tcPr>
            <w:tcW w:w="1280" w:type="dxa"/>
            <w:vAlign w:val="bottom"/>
            <w:tcBorders>
              <w:bottom w:val="single" w:sz="8" w:color="E6E7E8"/>
            </w:tcBorders>
            <w:shd w:val="clear" w:color="auto" w:fill="E6E7E8"/>
          </w:tcPr>
          <w:p>
            <w:pPr>
              <w:jc w:val="right"/>
              <w:ind w:right="370"/>
              <w:spacing w:after="0"/>
              <w:rPr>
                <w:sz w:val="20"/>
                <w:szCs w:val="20"/>
                <w:color w:val="auto"/>
              </w:rPr>
            </w:pPr>
            <w:r>
              <w:rPr>
                <w:rFonts w:ascii="Arial" w:cs="Arial" w:eastAsia="Arial" w:hAnsi="Arial"/>
                <w:sz w:val="18"/>
                <w:szCs w:val="18"/>
                <w:i w:val="1"/>
                <w:iCs w:val="1"/>
                <w:color w:val="231F20"/>
              </w:rPr>
              <w:t>75%</w:t>
            </w:r>
          </w:p>
        </w:tc>
        <w:tc>
          <w:tcPr>
            <w:tcW w:w="960" w:type="dxa"/>
            <w:vAlign w:val="bottom"/>
            <w:tcBorders>
              <w:bottom w:val="single" w:sz="8" w:color="E6E7E8"/>
              <w:right w:val="single" w:sz="8" w:color="E6E7E8"/>
            </w:tcBorders>
            <w:shd w:val="clear" w:color="auto" w:fill="E6E7E8"/>
          </w:tcPr>
          <w:p>
            <w:pPr>
              <w:jc w:val="center"/>
              <w:spacing w:after="0"/>
              <w:rPr>
                <w:sz w:val="20"/>
                <w:szCs w:val="20"/>
                <w:color w:val="auto"/>
              </w:rPr>
            </w:pPr>
            <w:r>
              <w:rPr>
                <w:rFonts w:ascii="Arial" w:cs="Arial" w:eastAsia="Arial" w:hAnsi="Arial"/>
                <w:sz w:val="18"/>
                <w:szCs w:val="18"/>
                <w:i w:val="1"/>
                <w:iCs w:val="1"/>
                <w:color w:val="231F20"/>
                <w:w w:val="99"/>
              </w:rPr>
              <w:t>100%</w:t>
            </w:r>
          </w:p>
        </w:tc>
        <w:tc>
          <w:tcPr>
            <w:tcW w:w="1460" w:type="dxa"/>
            <w:vAlign w:val="bottom"/>
            <w:tcBorders>
              <w:bottom w:val="single" w:sz="8" w:color="E6E7E8"/>
              <w:right w:val="single" w:sz="8" w:color="E6E7E8"/>
            </w:tcBorders>
            <w:shd w:val="clear" w:color="auto" w:fill="E6E7E8"/>
          </w:tcPr>
          <w:p>
            <w:pPr>
              <w:jc w:val="center"/>
              <w:spacing w:after="0"/>
              <w:rPr>
                <w:sz w:val="20"/>
                <w:szCs w:val="20"/>
                <w:color w:val="auto"/>
              </w:rPr>
            </w:pPr>
            <w:r>
              <w:rPr>
                <w:rFonts w:ascii="Arial" w:cs="Arial" w:eastAsia="Arial" w:hAnsi="Arial"/>
                <w:sz w:val="18"/>
                <w:szCs w:val="18"/>
                <w:i w:val="1"/>
                <w:iCs w:val="1"/>
                <w:color w:val="231F20"/>
                <w:w w:val="99"/>
              </w:rPr>
              <w:t>125%</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0" w:type="dxa"/>
            <w:vAlign w:val="bottom"/>
            <w:tcBorders>
              <w:bottom w:val="single" w:sz="8" w:color="E6E7E8"/>
              <w:right w:val="single" w:sz="8" w:color="E6E7E8"/>
            </w:tcBorders>
            <w:shd w:val="clear" w:color="auto" w:fill="E6E7E8"/>
          </w:tcPr>
          <w:p>
            <w:pPr>
              <w:spacing w:after="0"/>
              <w:rPr>
                <w:sz w:val="21"/>
                <w:szCs w:val="21"/>
                <w:color w:val="auto"/>
              </w:rPr>
            </w:pPr>
          </w:p>
        </w:tc>
      </w:tr>
      <w:tr>
        <w:trPr>
          <w:trHeight w:val="254"/>
        </w:trPr>
        <w:tc>
          <w:tcPr>
            <w:tcW w:w="3980" w:type="dxa"/>
            <w:vAlign w:val="bottom"/>
          </w:tcPr>
          <w:p>
            <w:pPr>
              <w:ind w:left="60"/>
              <w:spacing w:after="0"/>
              <w:rPr>
                <w:sz w:val="20"/>
                <w:szCs w:val="20"/>
                <w:color w:val="auto"/>
              </w:rPr>
            </w:pPr>
            <w:r>
              <w:rPr>
                <w:rFonts w:ascii="Arial" w:cs="Arial" w:eastAsia="Arial" w:hAnsi="Arial"/>
                <w:sz w:val="18"/>
                <w:szCs w:val="18"/>
                <w:color w:val="231F20"/>
              </w:rPr>
              <w:t>NAREIT FFO per diluted Share</w:t>
            </w:r>
          </w:p>
        </w:tc>
        <w:tc>
          <w:tcPr>
            <w:tcW w:w="1380" w:type="dxa"/>
            <w:vAlign w:val="bottom"/>
            <w:gridSpan w:val="2"/>
          </w:tcPr>
          <w:p>
            <w:pPr>
              <w:jc w:val="right"/>
              <w:ind w:right="330"/>
              <w:spacing w:after="0"/>
              <w:rPr>
                <w:sz w:val="20"/>
                <w:szCs w:val="20"/>
                <w:color w:val="auto"/>
              </w:rPr>
            </w:pPr>
            <w:r>
              <w:rPr>
                <w:rFonts w:ascii="Arial" w:cs="Arial" w:eastAsia="Arial" w:hAnsi="Arial"/>
                <w:sz w:val="18"/>
                <w:szCs w:val="18"/>
                <w:color w:val="231F20"/>
              </w:rPr>
              <w:t>$7.04</w:t>
            </w:r>
          </w:p>
        </w:tc>
        <w:tc>
          <w:tcPr>
            <w:tcW w:w="960" w:type="dxa"/>
            <w:vAlign w:val="bottom"/>
          </w:tcPr>
          <w:p>
            <w:pPr>
              <w:jc w:val="center"/>
              <w:spacing w:after="0"/>
              <w:rPr>
                <w:sz w:val="20"/>
                <w:szCs w:val="20"/>
                <w:color w:val="auto"/>
              </w:rPr>
            </w:pPr>
            <w:r>
              <w:rPr>
                <w:rFonts w:ascii="Arial" w:cs="Arial" w:eastAsia="Arial" w:hAnsi="Arial"/>
                <w:sz w:val="18"/>
                <w:szCs w:val="18"/>
                <w:color w:val="231F20"/>
              </w:rPr>
              <w:t>$7.14</w:t>
            </w:r>
          </w:p>
        </w:tc>
        <w:tc>
          <w:tcPr>
            <w:tcW w:w="1460" w:type="dxa"/>
            <w:vAlign w:val="bottom"/>
            <w:tcBorders>
              <w:bottom w:val="single" w:sz="8" w:color="231F20"/>
            </w:tcBorders>
          </w:tcPr>
          <w:p>
            <w:pPr>
              <w:jc w:val="center"/>
              <w:spacing w:after="0"/>
              <w:rPr>
                <w:sz w:val="20"/>
                <w:szCs w:val="20"/>
                <w:color w:val="auto"/>
              </w:rPr>
            </w:pPr>
            <w:r>
              <w:rPr>
                <w:rFonts w:ascii="Arial" w:cs="Arial" w:eastAsia="Arial" w:hAnsi="Arial"/>
                <w:sz w:val="18"/>
                <w:szCs w:val="18"/>
                <w:color w:val="231F20"/>
                <w:w w:val="97"/>
              </w:rPr>
              <w:t>$7.24</w:t>
            </w:r>
          </w:p>
        </w:tc>
        <w:tc>
          <w:tcPr>
            <w:tcW w:w="80" w:type="dxa"/>
            <w:vAlign w:val="bottom"/>
            <w:tcBorders>
              <w:bottom w:val="single" w:sz="8" w:color="231F20"/>
            </w:tcBorders>
          </w:tcPr>
          <w:p>
            <w:pPr>
              <w:spacing w:after="0"/>
              <w:rPr>
                <w:sz w:val="22"/>
                <w:szCs w:val="22"/>
                <w:color w:val="auto"/>
              </w:rPr>
            </w:pPr>
          </w:p>
        </w:tc>
        <w:tc>
          <w:tcPr>
            <w:tcW w:w="20" w:type="dxa"/>
            <w:vAlign w:val="bottom"/>
          </w:tcPr>
          <w:p>
            <w:pPr>
              <w:spacing w:after="0"/>
              <w:rPr>
                <w:sz w:val="22"/>
                <w:szCs w:val="22"/>
                <w:color w:val="auto"/>
              </w:rPr>
            </w:pPr>
          </w:p>
        </w:tc>
        <w:tc>
          <w:tcPr>
            <w:tcW w:w="1020" w:type="dxa"/>
            <w:vAlign w:val="bottom"/>
            <w:tcBorders>
              <w:bottom w:val="single" w:sz="8" w:color="231F20"/>
            </w:tcBorders>
          </w:tcPr>
          <w:p>
            <w:pPr>
              <w:jc w:val="right"/>
              <w:ind w:right="210"/>
              <w:spacing w:after="0"/>
              <w:rPr>
                <w:sz w:val="20"/>
                <w:szCs w:val="20"/>
                <w:color w:val="auto"/>
              </w:rPr>
            </w:pPr>
            <w:r>
              <w:rPr>
                <w:rFonts w:ascii="Arial" w:cs="Arial" w:eastAsia="Arial" w:hAnsi="Arial"/>
                <w:sz w:val="18"/>
                <w:szCs w:val="18"/>
                <w:color w:val="231F20"/>
              </w:rPr>
              <w:t>$7.22</w:t>
            </w:r>
          </w:p>
        </w:tc>
      </w:tr>
      <w:tr>
        <w:trPr>
          <w:trHeight w:val="249"/>
        </w:trPr>
        <w:tc>
          <w:tcPr>
            <w:tcW w:w="3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960" w:type="dxa"/>
            <w:vAlign w:val="bottom"/>
            <w:tcBorders>
              <w:right w:val="single" w:sz="8" w:color="231F20"/>
            </w:tcBorders>
          </w:tcPr>
          <w:p>
            <w:pPr>
              <w:spacing w:after="0"/>
              <w:rPr>
                <w:sz w:val="21"/>
                <w:szCs w:val="21"/>
                <w:color w:val="auto"/>
              </w:rPr>
            </w:pPr>
          </w:p>
        </w:tc>
        <w:tc>
          <w:tcPr>
            <w:tcW w:w="1460" w:type="dxa"/>
            <w:vAlign w:val="bottom"/>
            <w:tcBorders>
              <w:bottom w:val="single" w:sz="8" w:color="231F20"/>
            </w:tcBorders>
          </w:tcPr>
          <w:p>
            <w:pPr>
              <w:jc w:val="center"/>
              <w:spacing w:after="0"/>
              <w:rPr>
                <w:sz w:val="20"/>
                <w:szCs w:val="20"/>
                <w:color w:val="auto"/>
              </w:rPr>
            </w:pPr>
            <w:r>
              <w:rPr>
                <w:rFonts w:ascii="Arial" w:cs="Arial" w:eastAsia="Arial" w:hAnsi="Arial"/>
                <w:sz w:val="18"/>
                <w:szCs w:val="18"/>
                <w:b w:val="1"/>
                <w:bCs w:val="1"/>
                <w:color w:val="231F20"/>
              </w:rPr>
              <w:t>Final Payout</w:t>
            </w:r>
          </w:p>
        </w:tc>
        <w:tc>
          <w:tcPr>
            <w:tcW w:w="80" w:type="dxa"/>
            <w:vAlign w:val="bottom"/>
            <w:tcBorders>
              <w:bottom w:val="single" w:sz="8" w:color="231F20"/>
            </w:tcBorders>
          </w:tcPr>
          <w:p>
            <w:pPr>
              <w:spacing w:after="0"/>
              <w:rPr>
                <w:sz w:val="21"/>
                <w:szCs w:val="21"/>
                <w:color w:val="auto"/>
              </w:rPr>
            </w:pPr>
          </w:p>
        </w:tc>
        <w:tc>
          <w:tcPr>
            <w:tcW w:w="20" w:type="dxa"/>
            <w:vAlign w:val="bottom"/>
          </w:tcPr>
          <w:p>
            <w:pPr>
              <w:spacing w:after="0"/>
              <w:rPr>
                <w:sz w:val="21"/>
                <w:szCs w:val="21"/>
                <w:color w:val="auto"/>
              </w:rPr>
            </w:pPr>
          </w:p>
        </w:tc>
        <w:tc>
          <w:tcPr>
            <w:tcW w:w="1020" w:type="dxa"/>
            <w:vAlign w:val="bottom"/>
            <w:tcBorders>
              <w:bottom w:val="single" w:sz="8" w:color="231F20"/>
              <w:right w:val="single" w:sz="8" w:color="231F20"/>
            </w:tcBorders>
          </w:tcPr>
          <w:p>
            <w:pPr>
              <w:jc w:val="right"/>
              <w:ind w:right="130"/>
              <w:spacing w:after="0"/>
              <w:rPr>
                <w:sz w:val="20"/>
                <w:szCs w:val="20"/>
                <w:color w:val="auto"/>
              </w:rPr>
            </w:pPr>
            <w:r>
              <w:rPr>
                <w:rFonts w:ascii="Arial" w:cs="Arial" w:eastAsia="Arial" w:hAnsi="Arial"/>
                <w:sz w:val="18"/>
                <w:szCs w:val="18"/>
                <w:b w:val="1"/>
                <w:bCs w:val="1"/>
                <w:color w:val="231F20"/>
              </w:rPr>
              <w:t>120.0%</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2597150</wp:posOffset>
                </wp:positionH>
                <wp:positionV relativeFrom="paragraph">
                  <wp:posOffset>-668020</wp:posOffset>
                </wp:positionV>
                <wp:extent cx="2330450" cy="0"/>
                <wp:wrapNone/>
                <wp:docPr id="373" name="Shape 3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330450" cy="4763"/>
                        </a:xfrm>
                        <a:prstGeom prst="line">
                          <a:avLst/>
                        </a:prstGeom>
                        <a:solidFill>
                          <a:srgbClr val="FFFFFF"/>
                        </a:solidFill>
                        <a:ln w="12700">
                          <a:solidFill>
                            <a:srgbClr val="FFFFFF"/>
                          </a:solidFill>
                          <a:miter lim="800000"/>
                          <a:headEnd/>
                          <a:tailEnd/>
                        </a:ln>
                      </wps:spPr>
                      <wps:bodyPr/>
                    </wps:wsp>
                  </a:graphicData>
                </a:graphic>
              </wp:anchor>
            </w:drawing>
          </mc:Choice>
          <mc:Fallback>
            <w:pict>
              <v:line id="Shape 373" o:spid="_x0000_s139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4.5pt,-52.5999pt" to="388pt,-52.5999pt" o:allowincell="f" strokecolor="#FFFFFF" strokeweight="1pt"/>
            </w:pict>
          </mc:Fallback>
        </mc:AlternateContent>
      </w:r>
    </w:p>
    <w:p>
      <w:pPr>
        <w:spacing w:after="0" w:line="285"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231F20"/>
        </w:rPr>
        <w:t>The required achievement levels of NAREIT FFO per share were consistent with the annual budget approved by the Board in February 2025.</w:t>
      </w:r>
    </w:p>
    <w:p>
      <w:pPr>
        <w:spacing w:after="0" w:line="267"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231F20"/>
        </w:rPr>
        <w:t>Each NEO had a maximum potential bonus opportunity established as a percentage of base pay combined with the performance level achieved by the Company. Our NEOs are entitled to receive 25% of the final bonus amount solely based on Company performance. The remaining 75% is earned based on the Compensation Committee’s assessment of each individual’s performance and whether that NEO achieved the objectives set out by the Company within that NEO’s area of responsibility. Based on a review of each individual’s performance and the considerations outlined in detail below, the Compensation Committee elected to award each of our NEOs the full amount of the individual performance portion of his/her bonus potential.</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124460</wp:posOffset>
                </wp:positionV>
                <wp:extent cx="6400800" cy="177800"/>
                <wp:wrapNone/>
                <wp:docPr id="374" name="Shape 3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177800"/>
                        </a:xfrm>
                        <a:prstGeom prst="rect">
                          <a:avLst/>
                        </a:prstGeom>
                        <a:solidFill>
                          <a:srgbClr val="E8E7E5"/>
                        </a:solidFill>
                      </wps:spPr>
                      <wps:bodyPr/>
                    </wps:wsp>
                  </a:graphicData>
                </a:graphic>
              </wp:anchor>
            </w:drawing>
          </mc:Choice>
          <mc:Fallback>
            <w:pict>
              <v:rect id="Shape 374" o:spid="_x0000_s1399" style="position:absolute;margin-left:0pt;margin-top:9.8pt;width:504pt;height:1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8E7E5" stroked="f"/>
            </w:pict>
          </mc:Fallback>
        </mc:AlternateContent>
        <mc:AlternateContent>
          <mc:Choice Requires="wps">
            <w:drawing>
              <wp:anchor simplePos="0" relativeHeight="251657728" behindDoc="1" locked="0" layoutInCell="0" allowOverlap="1">
                <wp:simplePos x="0" y="0"/>
                <wp:positionH relativeFrom="column">
                  <wp:posOffset>6350</wp:posOffset>
                </wp:positionH>
                <wp:positionV relativeFrom="paragraph">
                  <wp:posOffset>123825</wp:posOffset>
                </wp:positionV>
                <wp:extent cx="0" cy="177800"/>
                <wp:wrapNone/>
                <wp:docPr id="375" name="Shape 3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375" o:spid="_x0000_s140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pt,9.75pt" to="0.5pt,23.75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130175</wp:posOffset>
                </wp:positionV>
                <wp:extent cx="6400800" cy="0"/>
                <wp:wrapNone/>
                <wp:docPr id="376" name="Shape 3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376" o:spid="_x0000_s140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0.25pt" to="504pt,10.25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6394450</wp:posOffset>
                </wp:positionH>
                <wp:positionV relativeFrom="paragraph">
                  <wp:posOffset>123825</wp:posOffset>
                </wp:positionV>
                <wp:extent cx="0" cy="177800"/>
                <wp:wrapNone/>
                <wp:docPr id="377" name="Shape 3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377" o:spid="_x0000_s14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3.5pt,9.75pt" to="503.5pt,23.75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295275</wp:posOffset>
                </wp:positionV>
                <wp:extent cx="6400800" cy="0"/>
                <wp:wrapNone/>
                <wp:docPr id="378" name="Shape 3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378" o:spid="_x0000_s140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3.25pt" to="504pt,23.25pt" o:allowincell="f" strokecolor="#231F20" strokeweight="1pt"/>
            </w:pict>
          </mc:Fallback>
        </mc:AlternateContent>
      </w:r>
    </w:p>
    <w:p>
      <w:pPr>
        <w:sectPr>
          <w:pgSz w:w="11880" w:h="15480" w:orient="portrait"/>
          <w:cols w:equalWidth="0" w:num="1">
            <w:col w:w="10080"/>
          </w:cols>
          <w:pgMar w:left="900" w:top="1316" w:right="900" w:bottom="763" w:gutter="0" w:footer="0" w:header="0"/>
        </w:sectPr>
      </w:pPr>
    </w:p>
    <w:p>
      <w:pPr>
        <w:spacing w:after="0" w:line="244" w:lineRule="exact"/>
        <w:rPr>
          <w:sz w:val="20"/>
          <w:szCs w:val="20"/>
          <w:color w:val="auto"/>
        </w:rPr>
      </w:pPr>
    </w:p>
    <w:p>
      <w:pPr>
        <w:ind w:left="80"/>
        <w:spacing w:after="0"/>
        <w:tabs>
          <w:tab w:leader="none" w:pos="1420" w:val="left"/>
          <w:tab w:leader="none" w:pos="3160" w:val="left"/>
        </w:tabs>
        <w:rPr>
          <w:sz w:val="20"/>
          <w:szCs w:val="20"/>
          <w:color w:val="auto"/>
        </w:rPr>
      </w:pPr>
      <w:r>
        <w:rPr>
          <w:rFonts w:ascii="Arial" w:cs="Arial" w:eastAsia="Arial" w:hAnsi="Arial"/>
          <w:sz w:val="16"/>
          <w:szCs w:val="16"/>
          <w:color w:val="EF3E2A"/>
        </w:rPr>
        <w:t>Federal Realty</w:t>
      </w:r>
      <w:r>
        <w:rPr>
          <w:sz w:val="20"/>
          <w:szCs w:val="20"/>
          <w:color w:val="auto"/>
        </w:rPr>
        <w:tab/>
      </w:r>
      <w:r>
        <w:rPr>
          <w:rFonts w:ascii="Arial" w:cs="Arial" w:eastAsia="Arial" w:hAnsi="Arial"/>
          <w:sz w:val="16"/>
          <w:szCs w:val="16"/>
          <w:color w:val="231F20"/>
        </w:rPr>
        <w:t>2026 Proxy Statement</w:t>
        <w:tab/>
        <w:t>24</w:t>
      </w:r>
    </w:p>
    <w:p>
      <w:pPr>
        <w:sectPr>
          <w:pgSz w:w="11880" w:h="15480" w:orient="portrait"/>
          <w:cols w:equalWidth="0" w:num="1">
            <w:col w:w="10080"/>
          </w:cols>
          <w:pgMar w:left="900" w:top="1316" w:right="900" w:bottom="763" w:gutter="0" w:footer="0" w:header="0"/>
          <w:type w:val="continuous"/>
        </w:sectPr>
      </w:pPr>
    </w:p>
    <w:bookmarkStart w:id="144" w:name="page145"/>
    <w:bookmarkEnd w:id="144"/>
    <w:tbl>
      <w:tblPr>
        <w:tblLayout w:type="fixed"/>
        <w:tblInd w:w="0" w:type="dxa"/>
        <w:tblCellMar>
          <w:top w:w="0" w:type="dxa"/>
          <w:left w:w="0" w:type="dxa"/>
          <w:bottom w:w="0" w:type="dxa"/>
          <w:right w:w="0" w:type="dxa"/>
        </w:tblCellMar>
      </w:tblPr>
      <w:tr>
        <w:trPr>
          <w:trHeight w:val="223"/>
        </w:trPr>
        <w:tc>
          <w:tcPr>
            <w:tcW w:w="2120" w:type="dxa"/>
            <w:vAlign w:val="bottom"/>
            <w:shd w:val="clear" w:color="auto" w:fill="EF3E2A"/>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shd w:val="clear" w:color="auto" w:fill="EF3E2A"/>
          </w:tcPr>
          <w:p>
            <w:pPr>
              <w:spacing w:after="0"/>
              <w:rPr>
                <w:sz w:val="19"/>
                <w:szCs w:val="19"/>
                <w:color w:val="auto"/>
              </w:rPr>
            </w:pPr>
          </w:p>
        </w:tc>
        <w:tc>
          <w:tcPr>
            <w:tcW w:w="220" w:type="dxa"/>
            <w:vAlign w:val="bottom"/>
            <w:shd w:val="clear" w:color="auto" w:fill="EF3E2A"/>
          </w:tcPr>
          <w:p>
            <w:pPr>
              <w:spacing w:after="0"/>
              <w:rPr>
                <w:sz w:val="19"/>
                <w:szCs w:val="19"/>
                <w:color w:val="auto"/>
              </w:rPr>
            </w:pPr>
          </w:p>
        </w:tc>
        <w:tc>
          <w:tcPr>
            <w:tcW w:w="900" w:type="dxa"/>
            <w:vAlign w:val="bottom"/>
            <w:shd w:val="clear" w:color="auto" w:fill="EF3E2A"/>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shd w:val="clear" w:color="auto" w:fill="EF3E2A"/>
          </w:tcPr>
          <w:p>
            <w:pPr>
              <w:spacing w:after="0"/>
              <w:rPr>
                <w:sz w:val="19"/>
                <w:szCs w:val="19"/>
                <w:color w:val="auto"/>
              </w:rPr>
            </w:pPr>
          </w:p>
        </w:tc>
        <w:tc>
          <w:tcPr>
            <w:tcW w:w="960" w:type="dxa"/>
            <w:vAlign w:val="bottom"/>
            <w:vMerge w:val="restart"/>
            <w:shd w:val="clear" w:color="auto" w:fill="EF3E2A"/>
          </w:tcPr>
          <w:p>
            <w:pPr>
              <w:jc w:val="center"/>
              <w:ind w:right="30"/>
              <w:spacing w:after="0"/>
              <w:rPr>
                <w:sz w:val="20"/>
                <w:szCs w:val="20"/>
                <w:color w:val="auto"/>
              </w:rPr>
            </w:pPr>
            <w:r>
              <w:rPr>
                <w:rFonts w:ascii="Arial" w:cs="Arial" w:eastAsia="Arial" w:hAnsi="Arial"/>
                <w:sz w:val="18"/>
                <w:szCs w:val="18"/>
                <w:b w:val="1"/>
                <w:bCs w:val="1"/>
                <w:color w:val="FFFFFF"/>
                <w:w w:val="99"/>
              </w:rPr>
              <w:t>Potential</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shd w:val="clear" w:color="auto" w:fill="EF3E2A"/>
          </w:tcPr>
          <w:p>
            <w:pPr>
              <w:spacing w:after="0"/>
              <w:rPr>
                <w:sz w:val="19"/>
                <w:szCs w:val="19"/>
                <w:color w:val="auto"/>
              </w:rPr>
            </w:pPr>
          </w:p>
        </w:tc>
        <w:tc>
          <w:tcPr>
            <w:tcW w:w="880" w:type="dxa"/>
            <w:vAlign w:val="bottom"/>
            <w:shd w:val="clear" w:color="auto" w:fill="EF3E2A"/>
          </w:tcPr>
          <w:p>
            <w:pPr>
              <w:spacing w:after="0"/>
              <w:rPr>
                <w:sz w:val="19"/>
                <w:szCs w:val="19"/>
                <w:color w:val="auto"/>
              </w:rPr>
            </w:pPr>
          </w:p>
        </w:tc>
        <w:tc>
          <w:tcPr>
            <w:tcW w:w="1360" w:type="dxa"/>
            <w:vAlign w:val="bottom"/>
            <w:gridSpan w:val="2"/>
            <w:shd w:val="clear" w:color="auto" w:fill="EF3E2A"/>
          </w:tcPr>
          <w:p>
            <w:pPr>
              <w:ind w:left="80"/>
              <w:spacing w:after="0"/>
              <w:rPr>
                <w:sz w:val="20"/>
                <w:szCs w:val="20"/>
                <w:color w:val="auto"/>
              </w:rPr>
            </w:pPr>
            <w:r>
              <w:rPr>
                <w:rFonts w:ascii="Arial" w:cs="Arial" w:eastAsia="Arial" w:hAnsi="Arial"/>
                <w:sz w:val="18"/>
                <w:szCs w:val="18"/>
                <w:b w:val="1"/>
                <w:bCs w:val="1"/>
                <w:color w:val="FFFFFF"/>
              </w:rPr>
              <w:t>Actual Earned</w:t>
            </w:r>
          </w:p>
        </w:tc>
        <w:tc>
          <w:tcPr>
            <w:tcW w:w="280" w:type="dxa"/>
            <w:vAlign w:val="bottom"/>
            <w:shd w:val="clear" w:color="auto" w:fill="EF3E2A"/>
          </w:tcPr>
          <w:p>
            <w:pPr>
              <w:spacing w:after="0"/>
              <w:rPr>
                <w:sz w:val="19"/>
                <w:szCs w:val="19"/>
                <w:color w:val="auto"/>
              </w:rPr>
            </w:pPr>
          </w:p>
        </w:tc>
        <w:tc>
          <w:tcPr>
            <w:tcW w:w="880" w:type="dxa"/>
            <w:vAlign w:val="bottom"/>
            <w:shd w:val="clear" w:color="auto" w:fill="EF3E2A"/>
          </w:tcPr>
          <w:p>
            <w:pPr>
              <w:spacing w:after="0"/>
              <w:rPr>
                <w:sz w:val="19"/>
                <w:szCs w:val="19"/>
                <w:color w:val="auto"/>
              </w:rPr>
            </w:pPr>
          </w:p>
        </w:tc>
        <w:tc>
          <w:tcPr>
            <w:tcW w:w="0" w:type="dxa"/>
            <w:vAlign w:val="bottom"/>
          </w:tcPr>
          <w:p>
            <w:pPr>
              <w:spacing w:after="0"/>
              <w:rPr>
                <w:sz w:val="1"/>
                <w:szCs w:val="1"/>
                <w:color w:val="auto"/>
              </w:rPr>
            </w:pPr>
          </w:p>
        </w:tc>
      </w:tr>
      <w:tr>
        <w:trPr>
          <w:trHeight w:val="89"/>
        </w:trPr>
        <w:tc>
          <w:tcPr>
            <w:tcW w:w="2120" w:type="dxa"/>
            <w:vAlign w:val="bottom"/>
            <w:shd w:val="clear" w:color="auto" w:fill="EF3E2A"/>
          </w:tcPr>
          <w:p>
            <w:pPr>
              <w:spacing w:after="0"/>
              <w:rPr>
                <w:sz w:val="7"/>
                <w:szCs w:val="7"/>
                <w:color w:val="auto"/>
              </w:rPr>
            </w:pPr>
          </w:p>
        </w:tc>
        <w:tc>
          <w:tcPr>
            <w:tcW w:w="100" w:type="dxa"/>
            <w:vAlign w:val="bottom"/>
          </w:tcPr>
          <w:p>
            <w:pPr>
              <w:spacing w:after="0"/>
              <w:rPr>
                <w:sz w:val="7"/>
                <w:szCs w:val="7"/>
                <w:color w:val="auto"/>
              </w:rPr>
            </w:pPr>
          </w:p>
        </w:tc>
        <w:tc>
          <w:tcPr>
            <w:tcW w:w="1280" w:type="dxa"/>
            <w:vAlign w:val="bottom"/>
            <w:shd w:val="clear" w:color="auto" w:fill="EF3E2A"/>
          </w:tcPr>
          <w:p>
            <w:pPr>
              <w:spacing w:after="0"/>
              <w:rPr>
                <w:sz w:val="7"/>
                <w:szCs w:val="7"/>
                <w:color w:val="auto"/>
              </w:rPr>
            </w:pPr>
          </w:p>
        </w:tc>
        <w:tc>
          <w:tcPr>
            <w:tcW w:w="220" w:type="dxa"/>
            <w:vAlign w:val="bottom"/>
            <w:shd w:val="clear" w:color="auto" w:fill="EF3E2A"/>
          </w:tcPr>
          <w:p>
            <w:pPr>
              <w:spacing w:after="0"/>
              <w:rPr>
                <w:sz w:val="7"/>
                <w:szCs w:val="7"/>
                <w:color w:val="auto"/>
              </w:rPr>
            </w:pPr>
          </w:p>
        </w:tc>
        <w:tc>
          <w:tcPr>
            <w:tcW w:w="900" w:type="dxa"/>
            <w:vAlign w:val="bottom"/>
            <w:shd w:val="clear" w:color="auto" w:fill="EF3E2A"/>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shd w:val="clear" w:color="auto" w:fill="EF3E2A"/>
          </w:tcPr>
          <w:p>
            <w:pPr>
              <w:spacing w:after="0"/>
              <w:rPr>
                <w:sz w:val="7"/>
                <w:szCs w:val="7"/>
                <w:color w:val="auto"/>
              </w:rPr>
            </w:pPr>
          </w:p>
        </w:tc>
        <w:tc>
          <w:tcPr>
            <w:tcW w:w="960" w:type="dxa"/>
            <w:vAlign w:val="bottom"/>
            <w:vMerge w:val="continue"/>
            <w:shd w:val="clear" w:color="auto" w:fill="EF3E2A"/>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shd w:val="clear" w:color="auto" w:fill="EF3E2A"/>
          </w:tcPr>
          <w:p>
            <w:pPr>
              <w:spacing w:after="0"/>
              <w:rPr>
                <w:sz w:val="7"/>
                <w:szCs w:val="7"/>
                <w:color w:val="auto"/>
              </w:rPr>
            </w:pPr>
          </w:p>
        </w:tc>
        <w:tc>
          <w:tcPr>
            <w:tcW w:w="880" w:type="dxa"/>
            <w:vAlign w:val="bottom"/>
            <w:shd w:val="clear" w:color="auto" w:fill="EF3E2A"/>
          </w:tcPr>
          <w:p>
            <w:pPr>
              <w:spacing w:after="0"/>
              <w:rPr>
                <w:sz w:val="7"/>
                <w:szCs w:val="7"/>
                <w:color w:val="auto"/>
              </w:rPr>
            </w:pPr>
          </w:p>
        </w:tc>
        <w:tc>
          <w:tcPr>
            <w:tcW w:w="260" w:type="dxa"/>
            <w:vAlign w:val="bottom"/>
            <w:shd w:val="clear" w:color="auto" w:fill="EF3E2A"/>
          </w:tcPr>
          <w:p>
            <w:pPr>
              <w:spacing w:after="0"/>
              <w:rPr>
                <w:sz w:val="7"/>
                <w:szCs w:val="7"/>
                <w:color w:val="auto"/>
              </w:rPr>
            </w:pPr>
          </w:p>
        </w:tc>
        <w:tc>
          <w:tcPr>
            <w:tcW w:w="1100" w:type="dxa"/>
            <w:vAlign w:val="bottom"/>
            <w:shd w:val="clear" w:color="auto" w:fill="EF3E2A"/>
          </w:tcPr>
          <w:p>
            <w:pPr>
              <w:spacing w:after="0"/>
              <w:rPr>
                <w:sz w:val="7"/>
                <w:szCs w:val="7"/>
                <w:color w:val="auto"/>
              </w:rPr>
            </w:pPr>
          </w:p>
        </w:tc>
        <w:tc>
          <w:tcPr>
            <w:tcW w:w="280" w:type="dxa"/>
            <w:vAlign w:val="bottom"/>
            <w:shd w:val="clear" w:color="auto" w:fill="EF3E2A"/>
          </w:tcPr>
          <w:p>
            <w:pPr>
              <w:spacing w:after="0"/>
              <w:rPr>
                <w:sz w:val="7"/>
                <w:szCs w:val="7"/>
                <w:color w:val="auto"/>
              </w:rPr>
            </w:pPr>
          </w:p>
        </w:tc>
        <w:tc>
          <w:tcPr>
            <w:tcW w:w="880" w:type="dxa"/>
            <w:vAlign w:val="bottom"/>
            <w:shd w:val="clear" w:color="auto" w:fill="EF3E2A"/>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2120" w:type="dxa"/>
            <w:vAlign w:val="bottom"/>
            <w:shd w:val="clear" w:color="auto" w:fill="EF3E2A"/>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shd w:val="clear" w:color="auto" w:fill="EF3E2A"/>
          </w:tcPr>
          <w:p>
            <w:pPr>
              <w:jc w:val="right"/>
              <w:ind w:right="250"/>
              <w:spacing w:after="0" w:line="180" w:lineRule="exact"/>
              <w:rPr>
                <w:sz w:val="20"/>
                <w:szCs w:val="20"/>
                <w:color w:val="auto"/>
              </w:rPr>
            </w:pPr>
            <w:r>
              <w:rPr>
                <w:rFonts w:ascii="Arial" w:cs="Arial" w:eastAsia="Arial" w:hAnsi="Arial"/>
                <w:sz w:val="18"/>
                <w:szCs w:val="18"/>
                <w:b w:val="1"/>
                <w:bCs w:val="1"/>
                <w:color w:val="FFFFFF"/>
              </w:rPr>
              <w:t>Target</w:t>
            </w:r>
          </w:p>
        </w:tc>
        <w:tc>
          <w:tcPr>
            <w:tcW w:w="220" w:type="dxa"/>
            <w:vAlign w:val="bottom"/>
            <w:shd w:val="clear" w:color="auto" w:fill="EF3E2A"/>
          </w:tcPr>
          <w:p>
            <w:pPr>
              <w:spacing w:after="0"/>
              <w:rPr>
                <w:sz w:val="15"/>
                <w:szCs w:val="15"/>
                <w:color w:val="auto"/>
              </w:rPr>
            </w:pPr>
          </w:p>
        </w:tc>
        <w:tc>
          <w:tcPr>
            <w:tcW w:w="900" w:type="dxa"/>
            <w:vAlign w:val="bottom"/>
            <w:shd w:val="clear" w:color="auto" w:fill="EF3E2A"/>
          </w:tcPr>
          <w:p>
            <w:pPr>
              <w:jc w:val="center"/>
              <w:ind w:right="90"/>
              <w:spacing w:after="0" w:line="180" w:lineRule="exact"/>
              <w:rPr>
                <w:sz w:val="20"/>
                <w:szCs w:val="20"/>
                <w:color w:val="auto"/>
              </w:rPr>
            </w:pPr>
            <w:r>
              <w:rPr>
                <w:rFonts w:ascii="Arial" w:cs="Arial" w:eastAsia="Arial" w:hAnsi="Arial"/>
                <w:sz w:val="18"/>
                <w:szCs w:val="18"/>
                <w:b w:val="1"/>
                <w:bCs w:val="1"/>
                <w:color w:val="FFFFFF"/>
              </w:rPr>
              <w:t>Target</w:t>
            </w:r>
          </w:p>
        </w:tc>
        <w:tc>
          <w:tcPr>
            <w:tcW w:w="100" w:type="dxa"/>
            <w:vAlign w:val="bottom"/>
          </w:tcPr>
          <w:p>
            <w:pPr>
              <w:spacing w:after="0"/>
              <w:rPr>
                <w:sz w:val="15"/>
                <w:szCs w:val="15"/>
                <w:color w:val="auto"/>
              </w:rPr>
            </w:pPr>
          </w:p>
        </w:tc>
        <w:tc>
          <w:tcPr>
            <w:tcW w:w="220" w:type="dxa"/>
            <w:vAlign w:val="bottom"/>
            <w:shd w:val="clear" w:color="auto" w:fill="EF3E2A"/>
          </w:tcPr>
          <w:p>
            <w:pPr>
              <w:spacing w:after="0"/>
              <w:rPr>
                <w:sz w:val="15"/>
                <w:szCs w:val="15"/>
                <w:color w:val="auto"/>
              </w:rPr>
            </w:pPr>
          </w:p>
        </w:tc>
        <w:tc>
          <w:tcPr>
            <w:tcW w:w="960" w:type="dxa"/>
            <w:vAlign w:val="bottom"/>
            <w:shd w:val="clear" w:color="auto" w:fill="EF3E2A"/>
          </w:tcPr>
          <w:p>
            <w:pPr>
              <w:jc w:val="center"/>
              <w:ind w:right="30"/>
              <w:spacing w:after="0" w:line="180" w:lineRule="exact"/>
              <w:rPr>
                <w:sz w:val="20"/>
                <w:szCs w:val="20"/>
                <w:color w:val="auto"/>
              </w:rPr>
            </w:pPr>
            <w:r>
              <w:rPr>
                <w:rFonts w:ascii="Arial" w:cs="Arial" w:eastAsia="Arial" w:hAnsi="Arial"/>
                <w:sz w:val="18"/>
                <w:szCs w:val="18"/>
                <w:b w:val="1"/>
                <w:bCs w:val="1"/>
                <w:color w:val="FFFFFF"/>
              </w:rPr>
              <w:t>Maximum</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60" w:type="dxa"/>
            <w:vAlign w:val="bottom"/>
            <w:gridSpan w:val="2"/>
            <w:shd w:val="clear" w:color="auto" w:fill="EF3E2A"/>
          </w:tcPr>
          <w:p>
            <w:pPr>
              <w:jc w:val="right"/>
              <w:ind w:right="110"/>
              <w:spacing w:after="0" w:line="180" w:lineRule="exact"/>
              <w:rPr>
                <w:sz w:val="20"/>
                <w:szCs w:val="20"/>
                <w:color w:val="auto"/>
              </w:rPr>
            </w:pPr>
            <w:r>
              <w:rPr>
                <w:rFonts w:ascii="Arial" w:cs="Arial" w:eastAsia="Arial" w:hAnsi="Arial"/>
                <w:sz w:val="18"/>
                <w:szCs w:val="18"/>
                <w:b w:val="1"/>
                <w:bCs w:val="1"/>
                <w:color w:val="FFFFFF"/>
              </w:rPr>
              <w:t>Company</w:t>
            </w:r>
          </w:p>
        </w:tc>
        <w:tc>
          <w:tcPr>
            <w:tcW w:w="260" w:type="dxa"/>
            <w:vAlign w:val="bottom"/>
            <w:shd w:val="clear" w:color="auto" w:fill="EF3E2A"/>
          </w:tcPr>
          <w:p>
            <w:pPr>
              <w:spacing w:after="0"/>
              <w:rPr>
                <w:sz w:val="15"/>
                <w:szCs w:val="15"/>
                <w:color w:val="auto"/>
              </w:rPr>
            </w:pPr>
          </w:p>
        </w:tc>
        <w:tc>
          <w:tcPr>
            <w:tcW w:w="1100" w:type="dxa"/>
            <w:vAlign w:val="bottom"/>
            <w:shd w:val="clear" w:color="auto" w:fill="EF3E2A"/>
          </w:tcPr>
          <w:p>
            <w:pPr>
              <w:jc w:val="right"/>
              <w:ind w:right="150"/>
              <w:spacing w:after="0" w:line="180" w:lineRule="exact"/>
              <w:rPr>
                <w:sz w:val="20"/>
                <w:szCs w:val="20"/>
                <w:color w:val="auto"/>
              </w:rPr>
            </w:pPr>
            <w:r>
              <w:rPr>
                <w:rFonts w:ascii="Arial" w:cs="Arial" w:eastAsia="Arial" w:hAnsi="Arial"/>
                <w:sz w:val="18"/>
                <w:szCs w:val="18"/>
                <w:b w:val="1"/>
                <w:bCs w:val="1"/>
                <w:color w:val="FFFFFF"/>
                <w:w w:val="99"/>
              </w:rPr>
              <w:t>Individual</w:t>
            </w:r>
          </w:p>
        </w:tc>
        <w:tc>
          <w:tcPr>
            <w:tcW w:w="280" w:type="dxa"/>
            <w:vAlign w:val="bottom"/>
            <w:shd w:val="clear" w:color="auto" w:fill="EF3E2A"/>
          </w:tcPr>
          <w:p>
            <w:pPr>
              <w:spacing w:after="0"/>
              <w:rPr>
                <w:sz w:val="15"/>
                <w:szCs w:val="15"/>
                <w:color w:val="auto"/>
              </w:rPr>
            </w:pPr>
          </w:p>
        </w:tc>
        <w:tc>
          <w:tcPr>
            <w:tcW w:w="880" w:type="dxa"/>
            <w:vAlign w:val="bottom"/>
            <w:shd w:val="clear" w:color="auto" w:fill="EF3E2A"/>
          </w:tcPr>
          <w:p>
            <w:pPr>
              <w:jc w:val="right"/>
              <w:ind w:right="230"/>
              <w:spacing w:after="0" w:line="180" w:lineRule="exact"/>
              <w:rPr>
                <w:sz w:val="20"/>
                <w:szCs w:val="20"/>
                <w:color w:val="auto"/>
              </w:rPr>
            </w:pPr>
            <w:r>
              <w:rPr>
                <w:rFonts w:ascii="Arial" w:cs="Arial" w:eastAsia="Arial" w:hAnsi="Arial"/>
                <w:sz w:val="18"/>
                <w:szCs w:val="18"/>
                <w:b w:val="1"/>
                <w:bCs w:val="1"/>
                <w:color w:val="FFFFFF"/>
              </w:rPr>
              <w:t>Total</w:t>
            </w:r>
          </w:p>
        </w:tc>
        <w:tc>
          <w:tcPr>
            <w:tcW w:w="0" w:type="dxa"/>
            <w:vAlign w:val="bottom"/>
          </w:tcPr>
          <w:p>
            <w:pPr>
              <w:spacing w:after="0"/>
              <w:rPr>
                <w:sz w:val="1"/>
                <w:szCs w:val="1"/>
                <w:color w:val="auto"/>
              </w:rPr>
            </w:pPr>
          </w:p>
        </w:tc>
      </w:tr>
      <w:tr>
        <w:trPr>
          <w:trHeight w:val="227"/>
        </w:trPr>
        <w:tc>
          <w:tcPr>
            <w:tcW w:w="2120" w:type="dxa"/>
            <w:vAlign w:val="bottom"/>
            <w:tcBorders>
              <w:bottom w:val="single" w:sz="8" w:color="EF3E2A"/>
            </w:tcBorders>
            <w:shd w:val="clear" w:color="auto" w:fill="EF3E2A"/>
          </w:tcPr>
          <w:p>
            <w:pPr>
              <w:ind w:left="100"/>
              <w:spacing w:after="0" w:line="203" w:lineRule="exact"/>
              <w:rPr>
                <w:sz w:val="20"/>
                <w:szCs w:val="20"/>
                <w:color w:val="auto"/>
              </w:rPr>
            </w:pPr>
            <w:r>
              <w:rPr>
                <w:rFonts w:ascii="Arial" w:cs="Arial" w:eastAsia="Arial" w:hAnsi="Arial"/>
                <w:sz w:val="18"/>
                <w:szCs w:val="18"/>
                <w:b w:val="1"/>
                <w:bCs w:val="1"/>
                <w:color w:val="FFFFFF"/>
              </w:rPr>
              <w:t>NEO</w:t>
            </w:r>
          </w:p>
        </w:tc>
        <w:tc>
          <w:tcPr>
            <w:tcW w:w="100" w:type="dxa"/>
            <w:vAlign w:val="bottom"/>
          </w:tcPr>
          <w:p>
            <w:pPr>
              <w:spacing w:after="0"/>
              <w:rPr>
                <w:sz w:val="19"/>
                <w:szCs w:val="19"/>
                <w:color w:val="auto"/>
              </w:rPr>
            </w:pPr>
          </w:p>
        </w:tc>
        <w:tc>
          <w:tcPr>
            <w:tcW w:w="1280" w:type="dxa"/>
            <w:vAlign w:val="bottom"/>
            <w:tcBorders>
              <w:bottom w:val="single" w:sz="8" w:color="EF3E2A"/>
            </w:tcBorders>
            <w:shd w:val="clear" w:color="auto" w:fill="EF3E2A"/>
          </w:tcPr>
          <w:p>
            <w:pPr>
              <w:jc w:val="right"/>
              <w:spacing w:after="0" w:line="203" w:lineRule="exact"/>
              <w:rPr>
                <w:sz w:val="20"/>
                <w:szCs w:val="20"/>
                <w:color w:val="auto"/>
              </w:rPr>
            </w:pPr>
            <w:r>
              <w:rPr>
                <w:rFonts w:ascii="Arial" w:cs="Arial" w:eastAsia="Arial" w:hAnsi="Arial"/>
                <w:sz w:val="18"/>
                <w:szCs w:val="18"/>
                <w:b w:val="1"/>
                <w:bCs w:val="1"/>
                <w:color w:val="FFFFFF"/>
              </w:rPr>
              <w:t>(% Base Pay)</w:t>
            </w:r>
          </w:p>
        </w:tc>
        <w:tc>
          <w:tcPr>
            <w:tcW w:w="220" w:type="dxa"/>
            <w:vAlign w:val="bottom"/>
            <w:tcBorders>
              <w:bottom w:val="single" w:sz="8" w:color="EF3E2A"/>
            </w:tcBorders>
            <w:shd w:val="clear" w:color="auto" w:fill="EF3E2A"/>
          </w:tcPr>
          <w:p>
            <w:pPr>
              <w:spacing w:after="0"/>
              <w:rPr>
                <w:sz w:val="19"/>
                <w:szCs w:val="19"/>
                <w:color w:val="auto"/>
              </w:rPr>
            </w:pPr>
          </w:p>
        </w:tc>
        <w:tc>
          <w:tcPr>
            <w:tcW w:w="900" w:type="dxa"/>
            <w:vAlign w:val="bottom"/>
            <w:tcBorders>
              <w:bottom w:val="single" w:sz="8" w:color="EF3E2A"/>
            </w:tcBorders>
            <w:shd w:val="clear" w:color="auto" w:fill="EF3E2A"/>
          </w:tcPr>
          <w:p>
            <w:pPr>
              <w:jc w:val="right"/>
              <w:ind w:right="330"/>
              <w:spacing w:after="0" w:line="203" w:lineRule="exact"/>
              <w:rPr>
                <w:sz w:val="20"/>
                <w:szCs w:val="20"/>
                <w:color w:val="auto"/>
              </w:rPr>
            </w:pPr>
            <w:r>
              <w:rPr>
                <w:rFonts w:ascii="Arial" w:cs="Arial" w:eastAsia="Arial" w:hAnsi="Arial"/>
                <w:sz w:val="18"/>
                <w:szCs w:val="18"/>
                <w:b w:val="1"/>
                <w:bCs w:val="1"/>
                <w:color w:val="FFFFFF"/>
              </w:rPr>
              <w:t>($)</w:t>
            </w:r>
          </w:p>
        </w:tc>
        <w:tc>
          <w:tcPr>
            <w:tcW w:w="100" w:type="dxa"/>
            <w:vAlign w:val="bottom"/>
          </w:tcPr>
          <w:p>
            <w:pPr>
              <w:spacing w:after="0"/>
              <w:rPr>
                <w:sz w:val="19"/>
                <w:szCs w:val="19"/>
                <w:color w:val="auto"/>
              </w:rPr>
            </w:pPr>
          </w:p>
        </w:tc>
        <w:tc>
          <w:tcPr>
            <w:tcW w:w="220" w:type="dxa"/>
            <w:vAlign w:val="bottom"/>
            <w:tcBorders>
              <w:bottom w:val="single" w:sz="8" w:color="EF3E2A"/>
            </w:tcBorders>
            <w:shd w:val="clear" w:color="auto" w:fill="EF3E2A"/>
          </w:tcPr>
          <w:p>
            <w:pPr>
              <w:spacing w:after="0"/>
              <w:rPr>
                <w:sz w:val="19"/>
                <w:szCs w:val="19"/>
                <w:color w:val="auto"/>
              </w:rPr>
            </w:pPr>
          </w:p>
        </w:tc>
        <w:tc>
          <w:tcPr>
            <w:tcW w:w="960" w:type="dxa"/>
            <w:vAlign w:val="bottom"/>
            <w:tcBorders>
              <w:bottom w:val="single" w:sz="8" w:color="EF3E2A"/>
            </w:tcBorders>
            <w:shd w:val="clear" w:color="auto" w:fill="EF3E2A"/>
          </w:tcPr>
          <w:p>
            <w:pPr>
              <w:jc w:val="center"/>
              <w:ind w:right="30"/>
              <w:spacing w:after="0" w:line="203" w:lineRule="exact"/>
              <w:rPr>
                <w:sz w:val="20"/>
                <w:szCs w:val="20"/>
                <w:color w:val="auto"/>
              </w:rPr>
            </w:pPr>
            <w:r>
              <w:rPr>
                <w:rFonts w:ascii="Arial" w:cs="Arial" w:eastAsia="Arial" w:hAnsi="Arial"/>
                <w:sz w:val="18"/>
                <w:szCs w:val="18"/>
                <w:b w:val="1"/>
                <w:bCs w:val="1"/>
                <w:color w:val="FFFFFF"/>
                <w:w w:val="99"/>
              </w:rPr>
              <w:t>Payout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60" w:type="dxa"/>
            <w:vAlign w:val="bottom"/>
            <w:tcBorders>
              <w:bottom w:val="single" w:sz="8" w:color="EF3E2A"/>
            </w:tcBorders>
            <w:gridSpan w:val="2"/>
            <w:shd w:val="clear" w:color="auto" w:fill="EF3E2A"/>
          </w:tcPr>
          <w:p>
            <w:pPr>
              <w:jc w:val="right"/>
              <w:spacing w:after="0" w:line="203" w:lineRule="exact"/>
              <w:rPr>
                <w:sz w:val="20"/>
                <w:szCs w:val="20"/>
                <w:color w:val="auto"/>
              </w:rPr>
            </w:pPr>
            <w:r>
              <w:rPr>
                <w:rFonts w:ascii="Arial" w:cs="Arial" w:eastAsia="Arial" w:hAnsi="Arial"/>
                <w:sz w:val="18"/>
                <w:szCs w:val="18"/>
                <w:b w:val="1"/>
                <w:bCs w:val="1"/>
                <w:color w:val="FFFFFF"/>
                <w:w w:val="98"/>
              </w:rPr>
              <w:t>Performance</w:t>
            </w:r>
          </w:p>
        </w:tc>
        <w:tc>
          <w:tcPr>
            <w:tcW w:w="1360" w:type="dxa"/>
            <w:vAlign w:val="bottom"/>
            <w:tcBorders>
              <w:bottom w:val="single" w:sz="8" w:color="EF3E2A"/>
            </w:tcBorders>
            <w:gridSpan w:val="2"/>
            <w:shd w:val="clear" w:color="auto" w:fill="EF3E2A"/>
          </w:tcPr>
          <w:p>
            <w:pPr>
              <w:ind w:left="140"/>
              <w:spacing w:after="0" w:line="203" w:lineRule="exact"/>
              <w:rPr>
                <w:sz w:val="20"/>
                <w:szCs w:val="20"/>
                <w:color w:val="auto"/>
              </w:rPr>
            </w:pPr>
            <w:r>
              <w:rPr>
                <w:rFonts w:ascii="Arial" w:cs="Arial" w:eastAsia="Arial" w:hAnsi="Arial"/>
                <w:sz w:val="18"/>
                <w:szCs w:val="18"/>
                <w:b w:val="1"/>
                <w:bCs w:val="1"/>
                <w:color w:val="FFFFFF"/>
              </w:rPr>
              <w:t>Performance</w:t>
            </w:r>
          </w:p>
        </w:tc>
        <w:tc>
          <w:tcPr>
            <w:tcW w:w="280" w:type="dxa"/>
            <w:vAlign w:val="bottom"/>
            <w:tcBorders>
              <w:bottom w:val="single" w:sz="8" w:color="EF3E2A"/>
            </w:tcBorders>
            <w:shd w:val="clear" w:color="auto" w:fill="EF3E2A"/>
          </w:tcPr>
          <w:p>
            <w:pPr>
              <w:spacing w:after="0"/>
              <w:rPr>
                <w:sz w:val="19"/>
                <w:szCs w:val="19"/>
                <w:color w:val="auto"/>
              </w:rPr>
            </w:pPr>
          </w:p>
        </w:tc>
        <w:tc>
          <w:tcPr>
            <w:tcW w:w="880" w:type="dxa"/>
            <w:vAlign w:val="bottom"/>
            <w:tcBorders>
              <w:bottom w:val="single" w:sz="8" w:color="EF3E2A"/>
            </w:tcBorders>
            <w:shd w:val="clear" w:color="auto" w:fill="EF3E2A"/>
          </w:tcPr>
          <w:p>
            <w:pPr>
              <w:jc w:val="right"/>
              <w:ind w:right="250"/>
              <w:spacing w:after="0" w:line="203" w:lineRule="exact"/>
              <w:rPr>
                <w:sz w:val="20"/>
                <w:szCs w:val="20"/>
                <w:color w:val="auto"/>
              </w:rPr>
            </w:pPr>
            <w:r>
              <w:rPr>
                <w:rFonts w:ascii="Arial" w:cs="Arial" w:eastAsia="Arial" w:hAnsi="Arial"/>
                <w:sz w:val="18"/>
                <w:szCs w:val="18"/>
                <w:b w:val="1"/>
                <w:bCs w:val="1"/>
                <w:color w:val="FFFFFF"/>
              </w:rPr>
              <w:t>Paid</w:t>
            </w:r>
          </w:p>
        </w:tc>
        <w:tc>
          <w:tcPr>
            <w:tcW w:w="0" w:type="dxa"/>
            <w:vAlign w:val="bottom"/>
          </w:tcPr>
          <w:p>
            <w:pPr>
              <w:spacing w:after="0"/>
              <w:rPr>
                <w:sz w:val="1"/>
                <w:szCs w:val="1"/>
                <w:color w:val="auto"/>
              </w:rPr>
            </w:pPr>
          </w:p>
        </w:tc>
      </w:tr>
      <w:tr>
        <w:trPr>
          <w:trHeight w:val="256"/>
        </w:trPr>
        <w:tc>
          <w:tcPr>
            <w:tcW w:w="2220" w:type="dxa"/>
            <w:vAlign w:val="bottom"/>
            <w:gridSpan w:val="2"/>
          </w:tcPr>
          <w:p>
            <w:pPr>
              <w:ind w:left="100"/>
              <w:spacing w:after="0"/>
              <w:rPr>
                <w:sz w:val="20"/>
                <w:szCs w:val="20"/>
                <w:color w:val="auto"/>
              </w:rPr>
            </w:pPr>
            <w:r>
              <w:rPr>
                <w:rFonts w:ascii="Arial" w:cs="Arial" w:eastAsia="Arial" w:hAnsi="Arial"/>
                <w:sz w:val="18"/>
                <w:szCs w:val="18"/>
                <w:color w:val="231F20"/>
              </w:rPr>
              <w:t>Mr. Wood</w:t>
            </w:r>
          </w:p>
        </w:tc>
        <w:tc>
          <w:tcPr>
            <w:tcW w:w="1280" w:type="dxa"/>
            <w:vAlign w:val="bottom"/>
          </w:tcPr>
          <w:p>
            <w:pPr>
              <w:jc w:val="right"/>
              <w:ind w:right="190"/>
              <w:spacing w:after="0"/>
              <w:rPr>
                <w:sz w:val="20"/>
                <w:szCs w:val="20"/>
                <w:color w:val="auto"/>
              </w:rPr>
            </w:pPr>
            <w:r>
              <w:rPr>
                <w:rFonts w:ascii="Arial" w:cs="Arial" w:eastAsia="Arial" w:hAnsi="Arial"/>
                <w:sz w:val="18"/>
                <w:szCs w:val="18"/>
                <w:color w:val="231F20"/>
              </w:rPr>
              <w:t>150%</w:t>
            </w:r>
          </w:p>
        </w:tc>
        <w:tc>
          <w:tcPr>
            <w:tcW w:w="220" w:type="dxa"/>
            <w:vAlign w:val="bottom"/>
          </w:tcPr>
          <w:p>
            <w:pPr>
              <w:jc w:val="right"/>
              <w:spacing w:after="0"/>
              <w:rPr>
                <w:sz w:val="20"/>
                <w:szCs w:val="20"/>
                <w:color w:val="auto"/>
              </w:rPr>
            </w:pPr>
            <w:r>
              <w:rPr>
                <w:rFonts w:ascii="Arial" w:cs="Arial" w:eastAsia="Arial" w:hAnsi="Arial"/>
                <w:sz w:val="18"/>
                <w:szCs w:val="18"/>
                <w:color w:val="231F20"/>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231F20"/>
              </w:rPr>
              <w:t>1,500,000</w:t>
            </w:r>
          </w:p>
        </w:tc>
        <w:tc>
          <w:tcPr>
            <w:tcW w:w="220" w:type="dxa"/>
            <w:vAlign w:val="bottom"/>
          </w:tcPr>
          <w:p>
            <w:pPr>
              <w:jc w:val="right"/>
              <w:spacing w:after="0"/>
              <w:rPr>
                <w:sz w:val="20"/>
                <w:szCs w:val="20"/>
                <w:color w:val="auto"/>
              </w:rPr>
            </w:pPr>
            <w:r>
              <w:rPr>
                <w:rFonts w:ascii="Arial" w:cs="Arial" w:eastAsia="Arial" w:hAnsi="Arial"/>
                <w:sz w:val="18"/>
                <w:szCs w:val="18"/>
                <w:color w:val="231F20"/>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231F20"/>
              </w:rPr>
              <w:t>1,800,000</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231F20"/>
              </w:rPr>
              <w:t>$</w:t>
            </w:r>
          </w:p>
        </w:tc>
        <w:tc>
          <w:tcPr>
            <w:tcW w:w="880" w:type="dxa"/>
            <w:vAlign w:val="bottom"/>
          </w:tcPr>
          <w:p>
            <w:pPr>
              <w:jc w:val="right"/>
              <w:ind w:right="50"/>
              <w:spacing w:after="0"/>
              <w:rPr>
                <w:sz w:val="20"/>
                <w:szCs w:val="20"/>
                <w:color w:val="auto"/>
              </w:rPr>
            </w:pPr>
            <w:r>
              <w:rPr>
                <w:rFonts w:ascii="Arial" w:cs="Arial" w:eastAsia="Arial" w:hAnsi="Arial"/>
                <w:sz w:val="18"/>
                <w:szCs w:val="18"/>
                <w:color w:val="231F20"/>
              </w:rPr>
              <w:t>450,000</w:t>
            </w:r>
          </w:p>
        </w:tc>
        <w:tc>
          <w:tcPr>
            <w:tcW w:w="260" w:type="dxa"/>
            <w:vAlign w:val="bottom"/>
          </w:tcPr>
          <w:p>
            <w:pPr>
              <w:ind w:left="160"/>
              <w:spacing w:after="0"/>
              <w:rPr>
                <w:sz w:val="20"/>
                <w:szCs w:val="20"/>
                <w:color w:val="auto"/>
              </w:rPr>
            </w:pPr>
            <w:r>
              <w:rPr>
                <w:rFonts w:ascii="Arial" w:cs="Arial" w:eastAsia="Arial" w:hAnsi="Arial"/>
                <w:sz w:val="18"/>
                <w:szCs w:val="18"/>
                <w:color w:val="231F20"/>
                <w:w w:val="7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231F20"/>
              </w:rPr>
              <w:t>1,350,000</w:t>
            </w:r>
          </w:p>
        </w:tc>
        <w:tc>
          <w:tcPr>
            <w:tcW w:w="280" w:type="dxa"/>
            <w:vAlign w:val="bottom"/>
          </w:tcPr>
          <w:p>
            <w:pPr>
              <w:jc w:val="right"/>
              <w:ind w:right="10"/>
              <w:spacing w:after="0"/>
              <w:rPr>
                <w:sz w:val="20"/>
                <w:szCs w:val="20"/>
                <w:color w:val="auto"/>
              </w:rPr>
            </w:pPr>
            <w:r>
              <w:rPr>
                <w:rFonts w:ascii="Arial" w:cs="Arial" w:eastAsia="Arial" w:hAnsi="Arial"/>
                <w:sz w:val="18"/>
                <w:szCs w:val="18"/>
                <w:color w:val="231F20"/>
              </w:rPr>
              <w:t>$</w:t>
            </w:r>
          </w:p>
        </w:tc>
        <w:tc>
          <w:tcPr>
            <w:tcW w:w="880" w:type="dxa"/>
            <w:vAlign w:val="bottom"/>
          </w:tcPr>
          <w:p>
            <w:pPr>
              <w:jc w:val="right"/>
              <w:spacing w:after="0"/>
              <w:rPr>
                <w:sz w:val="20"/>
                <w:szCs w:val="20"/>
                <w:color w:val="auto"/>
              </w:rPr>
            </w:pPr>
            <w:r>
              <w:rPr>
                <w:rFonts w:ascii="Arial" w:cs="Arial" w:eastAsia="Arial" w:hAnsi="Arial"/>
                <w:sz w:val="18"/>
                <w:szCs w:val="18"/>
                <w:color w:val="231F20"/>
              </w:rPr>
              <w:t>1,800,000</w:t>
            </w:r>
          </w:p>
        </w:tc>
        <w:tc>
          <w:tcPr>
            <w:tcW w:w="0" w:type="dxa"/>
            <w:vAlign w:val="bottom"/>
          </w:tcPr>
          <w:p>
            <w:pPr>
              <w:spacing w:after="0"/>
              <w:rPr>
                <w:sz w:val="1"/>
                <w:szCs w:val="1"/>
                <w:color w:val="auto"/>
              </w:rPr>
            </w:pPr>
          </w:p>
        </w:tc>
      </w:tr>
      <w:tr>
        <w:trPr>
          <w:trHeight w:val="220"/>
        </w:trPr>
        <w:tc>
          <w:tcPr>
            <w:tcW w:w="2220" w:type="dxa"/>
            <w:vAlign w:val="bottom"/>
            <w:gridSpan w:val="2"/>
          </w:tcPr>
          <w:p>
            <w:pPr>
              <w:ind w:left="100"/>
              <w:spacing w:after="0"/>
              <w:rPr>
                <w:sz w:val="20"/>
                <w:szCs w:val="20"/>
                <w:color w:val="auto"/>
              </w:rPr>
            </w:pPr>
            <w:r>
              <w:rPr>
                <w:rFonts w:ascii="Arial" w:cs="Arial" w:eastAsia="Arial" w:hAnsi="Arial"/>
                <w:sz w:val="18"/>
                <w:szCs w:val="18"/>
                <w:color w:val="231F20"/>
              </w:rPr>
              <w:t>Mr. Guglielmone</w:t>
            </w:r>
          </w:p>
        </w:tc>
        <w:tc>
          <w:tcPr>
            <w:tcW w:w="1280" w:type="dxa"/>
            <w:vAlign w:val="bottom"/>
          </w:tcPr>
          <w:p>
            <w:pPr>
              <w:jc w:val="right"/>
              <w:ind w:right="190"/>
              <w:spacing w:after="0"/>
              <w:rPr>
                <w:sz w:val="20"/>
                <w:szCs w:val="20"/>
                <w:color w:val="auto"/>
              </w:rPr>
            </w:pPr>
            <w:r>
              <w:rPr>
                <w:rFonts w:ascii="Arial" w:cs="Arial" w:eastAsia="Arial" w:hAnsi="Arial"/>
                <w:sz w:val="18"/>
                <w:szCs w:val="18"/>
                <w:color w:val="231F20"/>
              </w:rPr>
              <w:t>150%</w:t>
            </w:r>
          </w:p>
        </w:tc>
        <w:tc>
          <w:tcPr>
            <w:tcW w:w="220" w:type="dxa"/>
            <w:vAlign w:val="bottom"/>
          </w:tcPr>
          <w:p>
            <w:pPr>
              <w:jc w:val="right"/>
              <w:spacing w:after="0"/>
              <w:rPr>
                <w:sz w:val="20"/>
                <w:szCs w:val="20"/>
                <w:color w:val="auto"/>
              </w:rPr>
            </w:pPr>
            <w:r>
              <w:rPr>
                <w:rFonts w:ascii="Arial" w:cs="Arial" w:eastAsia="Arial" w:hAnsi="Arial"/>
                <w:sz w:val="18"/>
                <w:szCs w:val="18"/>
                <w:color w:val="231F20"/>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231F20"/>
              </w:rPr>
              <w:t>975,000</w:t>
            </w:r>
          </w:p>
        </w:tc>
        <w:tc>
          <w:tcPr>
            <w:tcW w:w="220" w:type="dxa"/>
            <w:vAlign w:val="bottom"/>
          </w:tcPr>
          <w:p>
            <w:pPr>
              <w:jc w:val="right"/>
              <w:spacing w:after="0"/>
              <w:rPr>
                <w:sz w:val="20"/>
                <w:szCs w:val="20"/>
                <w:color w:val="auto"/>
              </w:rPr>
            </w:pPr>
            <w:r>
              <w:rPr>
                <w:rFonts w:ascii="Arial" w:cs="Arial" w:eastAsia="Arial" w:hAnsi="Arial"/>
                <w:sz w:val="18"/>
                <w:szCs w:val="18"/>
                <w:color w:val="231F20"/>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231F20"/>
              </w:rPr>
              <w:t>1,170,000</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231F20"/>
              </w:rPr>
              <w:t>$</w:t>
            </w:r>
          </w:p>
        </w:tc>
        <w:tc>
          <w:tcPr>
            <w:tcW w:w="880" w:type="dxa"/>
            <w:vAlign w:val="bottom"/>
          </w:tcPr>
          <w:p>
            <w:pPr>
              <w:jc w:val="right"/>
              <w:ind w:right="50"/>
              <w:spacing w:after="0"/>
              <w:rPr>
                <w:sz w:val="20"/>
                <w:szCs w:val="20"/>
                <w:color w:val="auto"/>
              </w:rPr>
            </w:pPr>
            <w:r>
              <w:rPr>
                <w:rFonts w:ascii="Arial" w:cs="Arial" w:eastAsia="Arial" w:hAnsi="Arial"/>
                <w:sz w:val="18"/>
                <w:szCs w:val="18"/>
                <w:color w:val="231F20"/>
              </w:rPr>
              <w:t>292,500</w:t>
            </w:r>
          </w:p>
        </w:tc>
        <w:tc>
          <w:tcPr>
            <w:tcW w:w="260" w:type="dxa"/>
            <w:vAlign w:val="bottom"/>
          </w:tcPr>
          <w:p>
            <w:pPr>
              <w:ind w:left="160"/>
              <w:spacing w:after="0"/>
              <w:rPr>
                <w:sz w:val="20"/>
                <w:szCs w:val="20"/>
                <w:color w:val="auto"/>
              </w:rPr>
            </w:pPr>
            <w:r>
              <w:rPr>
                <w:rFonts w:ascii="Arial" w:cs="Arial" w:eastAsia="Arial" w:hAnsi="Arial"/>
                <w:sz w:val="18"/>
                <w:szCs w:val="18"/>
                <w:color w:val="231F20"/>
                <w:w w:val="7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231F20"/>
              </w:rPr>
              <w:t>877,500</w:t>
            </w:r>
          </w:p>
        </w:tc>
        <w:tc>
          <w:tcPr>
            <w:tcW w:w="280" w:type="dxa"/>
            <w:vAlign w:val="bottom"/>
          </w:tcPr>
          <w:p>
            <w:pPr>
              <w:jc w:val="right"/>
              <w:ind w:right="10"/>
              <w:spacing w:after="0"/>
              <w:rPr>
                <w:sz w:val="20"/>
                <w:szCs w:val="20"/>
                <w:color w:val="auto"/>
              </w:rPr>
            </w:pPr>
            <w:r>
              <w:rPr>
                <w:rFonts w:ascii="Arial" w:cs="Arial" w:eastAsia="Arial" w:hAnsi="Arial"/>
                <w:sz w:val="18"/>
                <w:szCs w:val="18"/>
                <w:color w:val="231F20"/>
              </w:rPr>
              <w:t>$</w:t>
            </w:r>
          </w:p>
        </w:tc>
        <w:tc>
          <w:tcPr>
            <w:tcW w:w="880" w:type="dxa"/>
            <w:vAlign w:val="bottom"/>
          </w:tcPr>
          <w:p>
            <w:pPr>
              <w:jc w:val="right"/>
              <w:spacing w:after="0"/>
              <w:rPr>
                <w:sz w:val="20"/>
                <w:szCs w:val="20"/>
                <w:color w:val="auto"/>
              </w:rPr>
            </w:pPr>
            <w:r>
              <w:rPr>
                <w:rFonts w:ascii="Arial" w:cs="Arial" w:eastAsia="Arial" w:hAnsi="Arial"/>
                <w:sz w:val="18"/>
                <w:szCs w:val="18"/>
                <w:color w:val="231F20"/>
              </w:rPr>
              <w:t>1,170,000</w:t>
            </w:r>
          </w:p>
        </w:tc>
        <w:tc>
          <w:tcPr>
            <w:tcW w:w="0" w:type="dxa"/>
            <w:vAlign w:val="bottom"/>
          </w:tcPr>
          <w:p>
            <w:pPr>
              <w:spacing w:after="0"/>
              <w:rPr>
                <w:sz w:val="1"/>
                <w:szCs w:val="1"/>
                <w:color w:val="auto"/>
              </w:rPr>
            </w:pPr>
          </w:p>
        </w:tc>
      </w:tr>
      <w:tr>
        <w:trPr>
          <w:trHeight w:val="220"/>
        </w:trPr>
        <w:tc>
          <w:tcPr>
            <w:tcW w:w="2220" w:type="dxa"/>
            <w:vAlign w:val="bottom"/>
            <w:gridSpan w:val="2"/>
          </w:tcPr>
          <w:p>
            <w:pPr>
              <w:ind w:left="100"/>
              <w:spacing w:after="0"/>
              <w:rPr>
                <w:sz w:val="20"/>
                <w:szCs w:val="20"/>
                <w:color w:val="auto"/>
              </w:rPr>
            </w:pPr>
            <w:r>
              <w:rPr>
                <w:rFonts w:ascii="Arial" w:cs="Arial" w:eastAsia="Arial" w:hAnsi="Arial"/>
                <w:sz w:val="18"/>
                <w:szCs w:val="18"/>
                <w:color w:val="231F20"/>
              </w:rPr>
              <w:t>Ms. Becker</w:t>
            </w:r>
          </w:p>
        </w:tc>
        <w:tc>
          <w:tcPr>
            <w:tcW w:w="1280" w:type="dxa"/>
            <w:vAlign w:val="bottom"/>
          </w:tcPr>
          <w:p>
            <w:pPr>
              <w:jc w:val="right"/>
              <w:ind w:right="190"/>
              <w:spacing w:after="0"/>
              <w:rPr>
                <w:sz w:val="20"/>
                <w:szCs w:val="20"/>
                <w:color w:val="auto"/>
              </w:rPr>
            </w:pPr>
            <w:r>
              <w:rPr>
                <w:rFonts w:ascii="Arial" w:cs="Arial" w:eastAsia="Arial" w:hAnsi="Arial"/>
                <w:sz w:val="18"/>
                <w:szCs w:val="18"/>
                <w:color w:val="231F20"/>
              </w:rPr>
              <w:t>100%</w:t>
            </w:r>
          </w:p>
        </w:tc>
        <w:tc>
          <w:tcPr>
            <w:tcW w:w="220" w:type="dxa"/>
            <w:vAlign w:val="bottom"/>
          </w:tcPr>
          <w:p>
            <w:pPr>
              <w:jc w:val="right"/>
              <w:spacing w:after="0"/>
              <w:rPr>
                <w:sz w:val="20"/>
                <w:szCs w:val="20"/>
                <w:color w:val="auto"/>
              </w:rPr>
            </w:pPr>
            <w:r>
              <w:rPr>
                <w:rFonts w:ascii="Arial" w:cs="Arial" w:eastAsia="Arial" w:hAnsi="Arial"/>
                <w:sz w:val="18"/>
                <w:szCs w:val="18"/>
                <w:color w:val="231F20"/>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231F20"/>
              </w:rPr>
              <w:t>575,000</w:t>
            </w:r>
          </w:p>
        </w:tc>
        <w:tc>
          <w:tcPr>
            <w:tcW w:w="220" w:type="dxa"/>
            <w:vAlign w:val="bottom"/>
          </w:tcPr>
          <w:p>
            <w:pPr>
              <w:jc w:val="right"/>
              <w:spacing w:after="0"/>
              <w:rPr>
                <w:sz w:val="20"/>
                <w:szCs w:val="20"/>
                <w:color w:val="auto"/>
              </w:rPr>
            </w:pPr>
            <w:r>
              <w:rPr>
                <w:rFonts w:ascii="Arial" w:cs="Arial" w:eastAsia="Arial" w:hAnsi="Arial"/>
                <w:sz w:val="18"/>
                <w:szCs w:val="18"/>
                <w:color w:val="231F20"/>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231F20"/>
              </w:rPr>
              <w:t>690,000</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231F20"/>
              </w:rPr>
              <w:t>$</w:t>
            </w:r>
          </w:p>
        </w:tc>
        <w:tc>
          <w:tcPr>
            <w:tcW w:w="880" w:type="dxa"/>
            <w:vAlign w:val="bottom"/>
          </w:tcPr>
          <w:p>
            <w:pPr>
              <w:jc w:val="right"/>
              <w:ind w:right="50"/>
              <w:spacing w:after="0"/>
              <w:rPr>
                <w:sz w:val="20"/>
                <w:szCs w:val="20"/>
                <w:color w:val="auto"/>
              </w:rPr>
            </w:pPr>
            <w:r>
              <w:rPr>
                <w:rFonts w:ascii="Arial" w:cs="Arial" w:eastAsia="Arial" w:hAnsi="Arial"/>
                <w:sz w:val="18"/>
                <w:szCs w:val="18"/>
                <w:color w:val="231F20"/>
              </w:rPr>
              <w:t>172,500</w:t>
            </w:r>
          </w:p>
        </w:tc>
        <w:tc>
          <w:tcPr>
            <w:tcW w:w="260" w:type="dxa"/>
            <w:vAlign w:val="bottom"/>
          </w:tcPr>
          <w:p>
            <w:pPr>
              <w:ind w:left="160"/>
              <w:spacing w:after="0"/>
              <w:rPr>
                <w:sz w:val="20"/>
                <w:szCs w:val="20"/>
                <w:color w:val="auto"/>
              </w:rPr>
            </w:pPr>
            <w:r>
              <w:rPr>
                <w:rFonts w:ascii="Arial" w:cs="Arial" w:eastAsia="Arial" w:hAnsi="Arial"/>
                <w:sz w:val="18"/>
                <w:szCs w:val="18"/>
                <w:color w:val="231F20"/>
                <w:w w:val="7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231F20"/>
              </w:rPr>
              <w:t>517,500</w:t>
            </w:r>
          </w:p>
        </w:tc>
        <w:tc>
          <w:tcPr>
            <w:tcW w:w="280" w:type="dxa"/>
            <w:vAlign w:val="bottom"/>
          </w:tcPr>
          <w:p>
            <w:pPr>
              <w:jc w:val="right"/>
              <w:ind w:right="10"/>
              <w:spacing w:after="0"/>
              <w:rPr>
                <w:sz w:val="20"/>
                <w:szCs w:val="20"/>
                <w:color w:val="auto"/>
              </w:rPr>
            </w:pPr>
            <w:r>
              <w:rPr>
                <w:rFonts w:ascii="Arial" w:cs="Arial" w:eastAsia="Arial" w:hAnsi="Arial"/>
                <w:sz w:val="18"/>
                <w:szCs w:val="18"/>
                <w:color w:val="231F20"/>
              </w:rPr>
              <w:t>$</w:t>
            </w:r>
          </w:p>
        </w:tc>
        <w:tc>
          <w:tcPr>
            <w:tcW w:w="880" w:type="dxa"/>
            <w:vAlign w:val="bottom"/>
          </w:tcPr>
          <w:p>
            <w:pPr>
              <w:jc w:val="right"/>
              <w:spacing w:after="0"/>
              <w:rPr>
                <w:sz w:val="20"/>
                <w:szCs w:val="20"/>
                <w:color w:val="auto"/>
              </w:rPr>
            </w:pPr>
            <w:r>
              <w:rPr>
                <w:rFonts w:ascii="Arial" w:cs="Arial" w:eastAsia="Arial" w:hAnsi="Arial"/>
                <w:sz w:val="18"/>
                <w:szCs w:val="18"/>
                <w:color w:val="231F20"/>
              </w:rPr>
              <w:t>690,000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3816350</wp:posOffset>
                </wp:positionH>
                <wp:positionV relativeFrom="paragraph">
                  <wp:posOffset>-771525</wp:posOffset>
                </wp:positionV>
                <wp:extent cx="2324100" cy="0"/>
                <wp:wrapNone/>
                <wp:docPr id="379" name="Shape 3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324100" cy="4763"/>
                        </a:xfrm>
                        <a:prstGeom prst="line">
                          <a:avLst/>
                        </a:prstGeom>
                        <a:solidFill>
                          <a:srgbClr val="FFFFFF"/>
                        </a:solidFill>
                        <a:ln w="12700">
                          <a:solidFill>
                            <a:srgbClr val="FFFFFF"/>
                          </a:solidFill>
                          <a:miter lim="800000"/>
                          <a:headEnd/>
                          <a:tailEnd/>
                        </a:ln>
                      </wps:spPr>
                      <wps:bodyPr/>
                    </wps:wsp>
                  </a:graphicData>
                </a:graphic>
              </wp:anchor>
            </w:drawing>
          </mc:Choice>
          <mc:Fallback>
            <w:pict>
              <v:line id="Shape 379" o:spid="_x0000_s140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0.5pt,-60.7499pt" to="483.5pt,-60.7499pt" o:allowincell="f" strokecolor="#FFFFFF" strokeweight="1pt"/>
            </w:pict>
          </mc:Fallback>
        </mc:AlternateContent>
      </w:r>
    </w:p>
    <w:p>
      <w:pPr>
        <w:spacing w:after="0" w:line="219"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231F20"/>
        </w:rPr>
        <w:t>Our NEOs have the option to receive up to 25% of the final bonus payout in the form of shares that vest equally over three years with accelerated vesting on death, disability, change in control and termination without cause. In consideration of the extended payment period for this portion of the bonus already earned, the employee receives shares valued at 120% of the portion of the annual bonus he/she elects to receive in shares. This option is made available to all participants in our annual bonus plan at the level of Director and above. The cash portion of the 2025 annual bonus is reflected in the “Non-Equity Incentive Plan Compensation” column in the Summary Compensation Table in this proxy statement. The portion of the annual bonus paid in shares will be included in the “Stock Awards” column in the Summary Compensation Table and the Grants of Plan-Based Awards Table in next year’s proxy statement.</w:t>
      </w: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i w:val="1"/>
          <w:iCs w:val="1"/>
          <w:color w:val="231F20"/>
        </w:rPr>
        <w:t>Long-Term Incentive Program</w:t>
      </w:r>
    </w:p>
    <w:p>
      <w:pPr>
        <w:spacing w:after="0" w:line="233"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231F20"/>
        </w:rPr>
        <w:t>The largest portion of compensation for each of our NEOs comes from our equity based long-term incentive program that aligns the interests of our NEOs with shareholders by incentivizing our NEOs to identify and accomplish medium and longer-term business objectives that generate value through share price appreciation, dividend growth and prudent capital allocation decisions. Performance for purposes of our long-term incentive program is measured against the following preset metrics.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106680</wp:posOffset>
                </wp:positionV>
                <wp:extent cx="2286000" cy="190500"/>
                <wp:wrapNone/>
                <wp:docPr id="380" name="Shape 3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86000" cy="190500"/>
                        </a:xfrm>
                        <a:prstGeom prst="rect">
                          <a:avLst/>
                        </a:prstGeom>
                        <a:solidFill>
                          <a:srgbClr val="EF3E2A"/>
                        </a:solidFill>
                      </wps:spPr>
                      <wps:bodyPr/>
                    </wps:wsp>
                  </a:graphicData>
                </a:graphic>
              </wp:anchor>
            </w:drawing>
          </mc:Choice>
          <mc:Fallback>
            <w:pict>
              <v:rect id="Shape 380" o:spid="_x0000_s1405" style="position:absolute;margin-left:0pt;margin-top:8.4pt;width:180pt;height: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F3E2A" stroked="f"/>
            </w:pict>
          </mc:Fallback>
        </mc:AlternateContent>
        <mc:AlternateContent>
          <mc:Choice Requires="wps">
            <w:drawing>
              <wp:anchor simplePos="0" relativeHeight="251657728" behindDoc="1" locked="0" layoutInCell="0" allowOverlap="1">
                <wp:simplePos x="0" y="0"/>
                <wp:positionH relativeFrom="column">
                  <wp:posOffset>2413000</wp:posOffset>
                </wp:positionH>
                <wp:positionV relativeFrom="paragraph">
                  <wp:posOffset>106680</wp:posOffset>
                </wp:positionV>
                <wp:extent cx="3987800" cy="190500"/>
                <wp:wrapNone/>
                <wp:docPr id="381" name="Shape 3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987800" cy="190500"/>
                        </a:xfrm>
                        <a:prstGeom prst="rect">
                          <a:avLst/>
                        </a:prstGeom>
                        <a:solidFill>
                          <a:srgbClr val="EF3E2A"/>
                        </a:solidFill>
                      </wps:spPr>
                      <wps:bodyPr/>
                    </wps:wsp>
                  </a:graphicData>
                </a:graphic>
              </wp:anchor>
            </w:drawing>
          </mc:Choice>
          <mc:Fallback>
            <w:pict>
              <v:rect id="Shape 381" o:spid="_x0000_s1406" style="position:absolute;margin-left:190pt;margin-top:8.4pt;width:314pt;height: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F3E2A" stroked="f"/>
            </w:pict>
          </mc:Fallback>
        </mc:AlternateConten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00" w:type="dxa"/>
            <w:vAlign w:val="bottom"/>
          </w:tcPr>
          <w:p>
            <w:pPr>
              <w:spacing w:after="0"/>
              <w:rPr>
                <w:sz w:val="20"/>
                <w:szCs w:val="20"/>
                <w:color w:val="auto"/>
              </w:rPr>
            </w:pPr>
            <w:r>
              <w:rPr>
                <w:rFonts w:ascii="Arial" w:cs="Arial" w:eastAsia="Arial" w:hAnsi="Arial"/>
                <w:sz w:val="20"/>
                <w:szCs w:val="20"/>
                <w:b w:val="1"/>
                <w:bCs w:val="1"/>
                <w:color w:val="FFFFFF"/>
              </w:rPr>
              <w:t>Plan Metric</w:t>
            </w:r>
          </w:p>
        </w:tc>
        <w:tc>
          <w:tcPr>
            <w:tcW w:w="6480" w:type="dxa"/>
            <w:vAlign w:val="bottom"/>
            <w:gridSpan w:val="2"/>
          </w:tcPr>
          <w:p>
            <w:pPr>
              <w:ind w:left="200"/>
              <w:spacing w:after="0"/>
              <w:rPr>
                <w:sz w:val="20"/>
                <w:szCs w:val="20"/>
                <w:color w:val="auto"/>
              </w:rPr>
            </w:pPr>
            <w:r>
              <w:rPr>
                <w:rFonts w:ascii="Arial" w:cs="Arial" w:eastAsia="Arial" w:hAnsi="Arial"/>
                <w:sz w:val="20"/>
                <w:szCs w:val="20"/>
                <w:b w:val="1"/>
                <w:bCs w:val="1"/>
                <w:color w:val="FFFFFF"/>
              </w:rPr>
              <w:t>Description</w:t>
            </w:r>
          </w:p>
        </w:tc>
      </w:tr>
      <w:tr>
        <w:trPr>
          <w:trHeight w:val="287"/>
        </w:trPr>
        <w:tc>
          <w:tcPr>
            <w:tcW w:w="3600" w:type="dxa"/>
            <w:vAlign w:val="bottom"/>
          </w:tcPr>
          <w:p>
            <w:pPr>
              <w:ind w:left="100"/>
              <w:spacing w:after="0"/>
              <w:rPr>
                <w:sz w:val="20"/>
                <w:szCs w:val="20"/>
                <w:color w:val="auto"/>
              </w:rPr>
            </w:pPr>
            <w:r>
              <w:rPr>
                <w:rFonts w:ascii="Arial" w:cs="Arial" w:eastAsia="Arial" w:hAnsi="Arial"/>
                <w:sz w:val="20"/>
                <w:szCs w:val="20"/>
                <w:color w:val="231F20"/>
              </w:rPr>
              <w:t>Relative Total Shareholder Return</w:t>
            </w:r>
          </w:p>
        </w:tc>
        <w:tc>
          <w:tcPr>
            <w:tcW w:w="6480" w:type="dxa"/>
            <w:vAlign w:val="bottom"/>
            <w:gridSpan w:val="2"/>
          </w:tcPr>
          <w:p>
            <w:pPr>
              <w:ind w:left="200"/>
              <w:spacing w:after="0"/>
              <w:rPr>
                <w:sz w:val="20"/>
                <w:szCs w:val="20"/>
                <w:color w:val="auto"/>
              </w:rPr>
            </w:pPr>
            <w:r>
              <w:rPr>
                <w:rFonts w:ascii="Arial" w:cs="Arial" w:eastAsia="Arial" w:hAnsi="Arial"/>
                <w:sz w:val="20"/>
                <w:szCs w:val="20"/>
                <w:color w:val="231F20"/>
              </w:rPr>
              <w:t>Compares our total shareholder return, taking into account share price</w:t>
            </w:r>
          </w:p>
        </w:tc>
      </w:tr>
      <w:tr>
        <w:trPr>
          <w:trHeight w:val="216"/>
        </w:trPr>
        <w:tc>
          <w:tcPr>
            <w:tcW w:w="3600" w:type="dxa"/>
            <w:vAlign w:val="bottom"/>
          </w:tcPr>
          <w:p>
            <w:pPr>
              <w:ind w:left="100"/>
              <w:spacing w:after="0" w:line="216" w:lineRule="exact"/>
              <w:rPr>
                <w:sz w:val="20"/>
                <w:szCs w:val="20"/>
                <w:color w:val="auto"/>
              </w:rPr>
            </w:pPr>
            <w:r>
              <w:rPr>
                <w:rFonts w:ascii="Arial" w:cs="Arial" w:eastAsia="Arial" w:hAnsi="Arial"/>
                <w:sz w:val="20"/>
                <w:szCs w:val="20"/>
                <w:color w:val="231F20"/>
              </w:rPr>
              <w:t>(34% weighting)</w:t>
            </w:r>
          </w:p>
        </w:tc>
        <w:tc>
          <w:tcPr>
            <w:tcW w:w="6480" w:type="dxa"/>
            <w:vAlign w:val="bottom"/>
            <w:gridSpan w:val="2"/>
          </w:tcPr>
          <w:p>
            <w:pPr>
              <w:ind w:left="200"/>
              <w:spacing w:after="0" w:line="216" w:lineRule="exact"/>
              <w:rPr>
                <w:sz w:val="20"/>
                <w:szCs w:val="20"/>
                <w:color w:val="auto"/>
              </w:rPr>
            </w:pPr>
            <w:r>
              <w:rPr>
                <w:rFonts w:ascii="Arial" w:cs="Arial" w:eastAsia="Arial" w:hAnsi="Arial"/>
                <w:sz w:val="20"/>
                <w:szCs w:val="20"/>
                <w:color w:val="231F20"/>
              </w:rPr>
              <w:t>appreciation and assuming reinvestment of dividends, against the total</w:t>
            </w:r>
          </w:p>
        </w:tc>
      </w:tr>
      <w:tr>
        <w:trPr>
          <w:trHeight w:val="216"/>
        </w:trPr>
        <w:tc>
          <w:tcPr>
            <w:tcW w:w="3600" w:type="dxa"/>
            <w:vAlign w:val="bottom"/>
          </w:tcPr>
          <w:p>
            <w:pPr>
              <w:spacing w:after="0"/>
              <w:rPr>
                <w:sz w:val="18"/>
                <w:szCs w:val="18"/>
                <w:color w:val="auto"/>
              </w:rPr>
            </w:pPr>
          </w:p>
        </w:tc>
        <w:tc>
          <w:tcPr>
            <w:tcW w:w="6480" w:type="dxa"/>
            <w:vAlign w:val="bottom"/>
            <w:gridSpan w:val="2"/>
          </w:tcPr>
          <w:p>
            <w:pPr>
              <w:ind w:left="200"/>
              <w:spacing w:after="0" w:line="216" w:lineRule="exact"/>
              <w:rPr>
                <w:sz w:val="20"/>
                <w:szCs w:val="20"/>
                <w:color w:val="auto"/>
              </w:rPr>
            </w:pPr>
            <w:r>
              <w:rPr>
                <w:rFonts w:ascii="Arial" w:cs="Arial" w:eastAsia="Arial" w:hAnsi="Arial"/>
                <w:sz w:val="20"/>
                <w:szCs w:val="20"/>
                <w:color w:val="231F20"/>
              </w:rPr>
              <w:t>return  achieved  by  the  Bloomberg  REIT  Shopping  Center  Index</w:t>
            </w:r>
          </w:p>
        </w:tc>
      </w:tr>
      <w:tr>
        <w:trPr>
          <w:trHeight w:val="216"/>
        </w:trPr>
        <w:tc>
          <w:tcPr>
            <w:tcW w:w="3600" w:type="dxa"/>
            <w:vAlign w:val="bottom"/>
          </w:tcPr>
          <w:p>
            <w:pPr>
              <w:spacing w:after="0"/>
              <w:rPr>
                <w:sz w:val="18"/>
                <w:szCs w:val="18"/>
                <w:color w:val="auto"/>
              </w:rPr>
            </w:pPr>
          </w:p>
        </w:tc>
        <w:tc>
          <w:tcPr>
            <w:tcW w:w="6480" w:type="dxa"/>
            <w:vAlign w:val="bottom"/>
            <w:gridSpan w:val="2"/>
          </w:tcPr>
          <w:p>
            <w:pPr>
              <w:ind w:left="200"/>
              <w:spacing w:after="0" w:line="216" w:lineRule="exact"/>
              <w:rPr>
                <w:sz w:val="20"/>
                <w:szCs w:val="20"/>
                <w:color w:val="auto"/>
              </w:rPr>
            </w:pPr>
            <w:r>
              <w:rPr>
                <w:rFonts w:ascii="Arial" w:cs="Arial" w:eastAsia="Arial" w:hAnsi="Arial"/>
                <w:sz w:val="20"/>
                <w:szCs w:val="20"/>
                <w:color w:val="231F20"/>
              </w:rPr>
              <w:t>(“BBRESHOP”) which is comprised of publicly traded companies that</w:t>
            </w:r>
          </w:p>
        </w:tc>
      </w:tr>
      <w:tr>
        <w:trPr>
          <w:trHeight w:val="216"/>
        </w:trPr>
        <w:tc>
          <w:tcPr>
            <w:tcW w:w="3600" w:type="dxa"/>
            <w:vAlign w:val="bottom"/>
          </w:tcPr>
          <w:p>
            <w:pPr>
              <w:spacing w:after="0"/>
              <w:rPr>
                <w:sz w:val="18"/>
                <w:szCs w:val="18"/>
                <w:color w:val="auto"/>
              </w:rPr>
            </w:pPr>
          </w:p>
        </w:tc>
        <w:tc>
          <w:tcPr>
            <w:tcW w:w="6480" w:type="dxa"/>
            <w:vAlign w:val="bottom"/>
            <w:gridSpan w:val="2"/>
          </w:tcPr>
          <w:p>
            <w:pPr>
              <w:ind w:left="200"/>
              <w:spacing w:after="0" w:line="216" w:lineRule="exact"/>
              <w:rPr>
                <w:sz w:val="20"/>
                <w:szCs w:val="20"/>
                <w:color w:val="auto"/>
              </w:rPr>
            </w:pPr>
            <w:r>
              <w:rPr>
                <w:rFonts w:ascii="Arial" w:cs="Arial" w:eastAsia="Arial" w:hAnsi="Arial"/>
                <w:sz w:val="20"/>
                <w:szCs w:val="20"/>
                <w:color w:val="231F20"/>
              </w:rPr>
              <w:t>own  and  operate  open  air  shopping  centers.  The  Compensation</w:t>
            </w:r>
          </w:p>
        </w:tc>
      </w:tr>
      <w:tr>
        <w:trPr>
          <w:trHeight w:val="216"/>
        </w:trPr>
        <w:tc>
          <w:tcPr>
            <w:tcW w:w="3600" w:type="dxa"/>
            <w:vAlign w:val="bottom"/>
          </w:tcPr>
          <w:p>
            <w:pPr>
              <w:spacing w:after="0"/>
              <w:rPr>
                <w:sz w:val="18"/>
                <w:szCs w:val="18"/>
                <w:color w:val="auto"/>
              </w:rPr>
            </w:pPr>
          </w:p>
        </w:tc>
        <w:tc>
          <w:tcPr>
            <w:tcW w:w="6480" w:type="dxa"/>
            <w:vAlign w:val="bottom"/>
            <w:gridSpan w:val="2"/>
          </w:tcPr>
          <w:p>
            <w:pPr>
              <w:ind w:left="200"/>
              <w:spacing w:after="0" w:line="216" w:lineRule="exact"/>
              <w:rPr>
                <w:sz w:val="20"/>
                <w:szCs w:val="20"/>
                <w:color w:val="auto"/>
              </w:rPr>
            </w:pPr>
            <w:r>
              <w:rPr>
                <w:rFonts w:ascii="Arial" w:cs="Arial" w:eastAsia="Arial" w:hAnsi="Arial"/>
                <w:sz w:val="20"/>
                <w:szCs w:val="20"/>
                <w:color w:val="231F20"/>
              </w:rPr>
              <w:t>Committee  believes  that  the  BBRESHOP  provides  an  appropriate</w:t>
            </w:r>
          </w:p>
        </w:tc>
      </w:tr>
      <w:tr>
        <w:trPr>
          <w:trHeight w:val="216"/>
        </w:trPr>
        <w:tc>
          <w:tcPr>
            <w:tcW w:w="3600" w:type="dxa"/>
            <w:vAlign w:val="bottom"/>
          </w:tcPr>
          <w:p>
            <w:pPr>
              <w:spacing w:after="0"/>
              <w:rPr>
                <w:sz w:val="18"/>
                <w:szCs w:val="18"/>
                <w:color w:val="auto"/>
              </w:rPr>
            </w:pPr>
          </w:p>
        </w:tc>
        <w:tc>
          <w:tcPr>
            <w:tcW w:w="6480" w:type="dxa"/>
            <w:vAlign w:val="bottom"/>
            <w:gridSpan w:val="2"/>
          </w:tcPr>
          <w:p>
            <w:pPr>
              <w:ind w:left="200"/>
              <w:spacing w:after="0" w:line="216" w:lineRule="exact"/>
              <w:rPr>
                <w:sz w:val="20"/>
                <w:szCs w:val="20"/>
                <w:color w:val="auto"/>
              </w:rPr>
            </w:pPr>
            <w:r>
              <w:rPr>
                <w:rFonts w:ascii="Arial" w:cs="Arial" w:eastAsia="Arial" w:hAnsi="Arial"/>
                <w:sz w:val="20"/>
                <w:szCs w:val="20"/>
                <w:color w:val="231F20"/>
              </w:rPr>
              <w:t>basis   to   compare   our   performance   against   similarly   situated</w:t>
            </w:r>
          </w:p>
        </w:tc>
      </w:tr>
      <w:tr>
        <w:trPr>
          <w:trHeight w:val="232"/>
        </w:trPr>
        <w:tc>
          <w:tcPr>
            <w:tcW w:w="3600" w:type="dxa"/>
            <w:vAlign w:val="bottom"/>
            <w:tcBorders>
              <w:bottom w:val="single" w:sz="8" w:color="231F20"/>
            </w:tcBorders>
          </w:tcPr>
          <w:p>
            <w:pPr>
              <w:spacing w:after="0"/>
              <w:rPr>
                <w:sz w:val="20"/>
                <w:szCs w:val="20"/>
                <w:color w:val="auto"/>
              </w:rPr>
            </w:pPr>
          </w:p>
        </w:tc>
        <w:tc>
          <w:tcPr>
            <w:tcW w:w="200" w:type="dxa"/>
            <w:vAlign w:val="bottom"/>
          </w:tcPr>
          <w:p>
            <w:pPr>
              <w:spacing w:after="0"/>
              <w:rPr>
                <w:sz w:val="20"/>
                <w:szCs w:val="20"/>
                <w:color w:val="auto"/>
              </w:rPr>
            </w:pPr>
          </w:p>
        </w:tc>
        <w:tc>
          <w:tcPr>
            <w:tcW w:w="6280" w:type="dxa"/>
            <w:vAlign w:val="bottom"/>
            <w:tcBorders>
              <w:bottom w:val="single" w:sz="8" w:color="231F20"/>
            </w:tcBorders>
          </w:tcPr>
          <w:p>
            <w:pPr>
              <w:spacing w:after="0" w:line="226" w:lineRule="exact"/>
              <w:rPr>
                <w:sz w:val="20"/>
                <w:szCs w:val="20"/>
                <w:color w:val="auto"/>
              </w:rPr>
            </w:pPr>
            <w:r>
              <w:rPr>
                <w:rFonts w:ascii="Arial" w:cs="Arial" w:eastAsia="Arial" w:hAnsi="Arial"/>
                <w:sz w:val="20"/>
                <w:szCs w:val="20"/>
                <w:color w:val="231F20"/>
              </w:rPr>
              <w:t>companies.*</w:t>
            </w:r>
          </w:p>
        </w:tc>
      </w:tr>
      <w:tr>
        <w:trPr>
          <w:trHeight w:val="240"/>
        </w:trPr>
        <w:tc>
          <w:tcPr>
            <w:tcW w:w="3600" w:type="dxa"/>
            <w:vAlign w:val="bottom"/>
          </w:tcPr>
          <w:p>
            <w:pPr>
              <w:ind w:left="100"/>
              <w:spacing w:after="0"/>
              <w:rPr>
                <w:sz w:val="20"/>
                <w:szCs w:val="20"/>
                <w:color w:val="auto"/>
              </w:rPr>
            </w:pPr>
            <w:r>
              <w:rPr>
                <w:rFonts w:ascii="Arial" w:cs="Arial" w:eastAsia="Arial" w:hAnsi="Arial"/>
                <w:sz w:val="20"/>
                <w:szCs w:val="20"/>
                <w:color w:val="231F20"/>
              </w:rPr>
              <w:t>NAREIT FFO Multiple Premium</w:t>
            </w:r>
          </w:p>
        </w:tc>
        <w:tc>
          <w:tcPr>
            <w:tcW w:w="6480" w:type="dxa"/>
            <w:vAlign w:val="bottom"/>
            <w:gridSpan w:val="2"/>
          </w:tcPr>
          <w:p>
            <w:pPr>
              <w:ind w:left="200"/>
              <w:spacing w:after="0"/>
              <w:rPr>
                <w:sz w:val="20"/>
                <w:szCs w:val="20"/>
                <w:color w:val="auto"/>
              </w:rPr>
            </w:pPr>
            <w:r>
              <w:rPr>
                <w:rFonts w:ascii="Arial" w:cs="Arial" w:eastAsia="Arial" w:hAnsi="Arial"/>
                <w:sz w:val="20"/>
                <w:szCs w:val="20"/>
                <w:color w:val="231F20"/>
              </w:rPr>
              <w:t>Compares the NAREIT FFO multiple at which the Company is trading</w:t>
            </w:r>
          </w:p>
        </w:tc>
      </w:tr>
      <w:tr>
        <w:trPr>
          <w:trHeight w:val="216"/>
        </w:trPr>
        <w:tc>
          <w:tcPr>
            <w:tcW w:w="3600" w:type="dxa"/>
            <w:vAlign w:val="bottom"/>
          </w:tcPr>
          <w:p>
            <w:pPr>
              <w:ind w:left="100"/>
              <w:spacing w:after="0" w:line="216" w:lineRule="exact"/>
              <w:rPr>
                <w:sz w:val="20"/>
                <w:szCs w:val="20"/>
                <w:color w:val="auto"/>
              </w:rPr>
            </w:pPr>
            <w:r>
              <w:rPr>
                <w:rFonts w:ascii="Arial" w:cs="Arial" w:eastAsia="Arial" w:hAnsi="Arial"/>
                <w:sz w:val="20"/>
                <w:szCs w:val="20"/>
                <w:color w:val="231F20"/>
              </w:rPr>
              <w:t>(33% weighting)</w:t>
            </w:r>
          </w:p>
        </w:tc>
        <w:tc>
          <w:tcPr>
            <w:tcW w:w="6480" w:type="dxa"/>
            <w:vAlign w:val="bottom"/>
            <w:gridSpan w:val="2"/>
          </w:tcPr>
          <w:p>
            <w:pPr>
              <w:ind w:left="200"/>
              <w:spacing w:after="0" w:line="216" w:lineRule="exact"/>
              <w:rPr>
                <w:sz w:val="20"/>
                <w:szCs w:val="20"/>
                <w:color w:val="auto"/>
              </w:rPr>
            </w:pPr>
            <w:r>
              <w:rPr>
                <w:rFonts w:ascii="Arial" w:cs="Arial" w:eastAsia="Arial" w:hAnsi="Arial"/>
                <w:sz w:val="20"/>
                <w:szCs w:val="20"/>
                <w:color w:val="231F20"/>
              </w:rPr>
              <w:t>at the end of the performance period against the average NAREIT</w:t>
            </w:r>
          </w:p>
        </w:tc>
      </w:tr>
      <w:tr>
        <w:trPr>
          <w:trHeight w:val="216"/>
        </w:trPr>
        <w:tc>
          <w:tcPr>
            <w:tcW w:w="3600" w:type="dxa"/>
            <w:vAlign w:val="bottom"/>
          </w:tcPr>
          <w:p>
            <w:pPr>
              <w:spacing w:after="0"/>
              <w:rPr>
                <w:sz w:val="18"/>
                <w:szCs w:val="18"/>
                <w:color w:val="auto"/>
              </w:rPr>
            </w:pPr>
          </w:p>
        </w:tc>
        <w:tc>
          <w:tcPr>
            <w:tcW w:w="6480" w:type="dxa"/>
            <w:vAlign w:val="bottom"/>
            <w:gridSpan w:val="2"/>
          </w:tcPr>
          <w:p>
            <w:pPr>
              <w:ind w:left="200"/>
              <w:spacing w:after="0" w:line="216" w:lineRule="exact"/>
              <w:rPr>
                <w:sz w:val="20"/>
                <w:szCs w:val="20"/>
                <w:color w:val="auto"/>
              </w:rPr>
            </w:pPr>
            <w:r>
              <w:rPr>
                <w:rFonts w:ascii="Arial" w:cs="Arial" w:eastAsia="Arial" w:hAnsi="Arial"/>
                <w:sz w:val="20"/>
                <w:szCs w:val="20"/>
                <w:color w:val="231F20"/>
                <w:w w:val="99"/>
              </w:rPr>
              <w:t>FFO  multiple  at  which  all  other  public  shopping  center  companies</w:t>
            </w:r>
          </w:p>
        </w:tc>
      </w:tr>
      <w:tr>
        <w:trPr>
          <w:trHeight w:val="216"/>
        </w:trPr>
        <w:tc>
          <w:tcPr>
            <w:tcW w:w="3600" w:type="dxa"/>
            <w:vAlign w:val="bottom"/>
          </w:tcPr>
          <w:p>
            <w:pPr>
              <w:spacing w:after="0"/>
              <w:rPr>
                <w:sz w:val="18"/>
                <w:szCs w:val="18"/>
                <w:color w:val="auto"/>
              </w:rPr>
            </w:pPr>
          </w:p>
        </w:tc>
        <w:tc>
          <w:tcPr>
            <w:tcW w:w="6480" w:type="dxa"/>
            <w:vAlign w:val="bottom"/>
            <w:gridSpan w:val="2"/>
          </w:tcPr>
          <w:p>
            <w:pPr>
              <w:ind w:left="200"/>
              <w:spacing w:after="0" w:line="216" w:lineRule="exact"/>
              <w:rPr>
                <w:sz w:val="20"/>
                <w:szCs w:val="20"/>
                <w:color w:val="auto"/>
              </w:rPr>
            </w:pPr>
            <w:r>
              <w:rPr>
                <w:rFonts w:ascii="Arial" w:cs="Arial" w:eastAsia="Arial" w:hAnsi="Arial"/>
                <w:sz w:val="20"/>
                <w:szCs w:val="20"/>
                <w:color w:val="231F20"/>
              </w:rPr>
              <w:t>(other than the Company) are trading at that time. The NAREIT FFO</w:t>
            </w:r>
          </w:p>
        </w:tc>
      </w:tr>
      <w:tr>
        <w:trPr>
          <w:trHeight w:val="216"/>
        </w:trPr>
        <w:tc>
          <w:tcPr>
            <w:tcW w:w="3600" w:type="dxa"/>
            <w:vAlign w:val="bottom"/>
          </w:tcPr>
          <w:p>
            <w:pPr>
              <w:spacing w:after="0"/>
              <w:rPr>
                <w:sz w:val="18"/>
                <w:szCs w:val="18"/>
                <w:color w:val="auto"/>
              </w:rPr>
            </w:pPr>
          </w:p>
        </w:tc>
        <w:tc>
          <w:tcPr>
            <w:tcW w:w="6480" w:type="dxa"/>
            <w:vAlign w:val="bottom"/>
            <w:gridSpan w:val="2"/>
          </w:tcPr>
          <w:p>
            <w:pPr>
              <w:ind w:left="200"/>
              <w:spacing w:after="0" w:line="216" w:lineRule="exact"/>
              <w:rPr>
                <w:sz w:val="20"/>
                <w:szCs w:val="20"/>
                <w:color w:val="auto"/>
              </w:rPr>
            </w:pPr>
            <w:r>
              <w:rPr>
                <w:rFonts w:ascii="Arial" w:cs="Arial" w:eastAsia="Arial" w:hAnsi="Arial"/>
                <w:sz w:val="20"/>
                <w:szCs w:val="20"/>
                <w:color w:val="231F20"/>
              </w:rPr>
              <w:t>multiples are provided by a third party investment bank and serve as</w:t>
            </w:r>
          </w:p>
        </w:tc>
      </w:tr>
      <w:tr>
        <w:trPr>
          <w:trHeight w:val="216"/>
        </w:trPr>
        <w:tc>
          <w:tcPr>
            <w:tcW w:w="3600" w:type="dxa"/>
            <w:vAlign w:val="bottom"/>
          </w:tcPr>
          <w:p>
            <w:pPr>
              <w:spacing w:after="0"/>
              <w:rPr>
                <w:sz w:val="18"/>
                <w:szCs w:val="18"/>
                <w:color w:val="auto"/>
              </w:rPr>
            </w:pPr>
          </w:p>
        </w:tc>
        <w:tc>
          <w:tcPr>
            <w:tcW w:w="6480" w:type="dxa"/>
            <w:vAlign w:val="bottom"/>
            <w:gridSpan w:val="2"/>
          </w:tcPr>
          <w:p>
            <w:pPr>
              <w:ind w:left="200"/>
              <w:spacing w:after="0" w:line="216" w:lineRule="exact"/>
              <w:rPr>
                <w:sz w:val="20"/>
                <w:szCs w:val="20"/>
                <w:color w:val="auto"/>
              </w:rPr>
            </w:pPr>
            <w:r>
              <w:rPr>
                <w:rFonts w:ascii="Arial" w:cs="Arial" w:eastAsia="Arial" w:hAnsi="Arial"/>
                <w:sz w:val="20"/>
                <w:szCs w:val="20"/>
                <w:color w:val="231F20"/>
              </w:rPr>
              <w:t>measures of investor expectations of our long-term growth potential</w:t>
            </w:r>
          </w:p>
        </w:tc>
      </w:tr>
      <w:tr>
        <w:trPr>
          <w:trHeight w:val="216"/>
        </w:trPr>
        <w:tc>
          <w:tcPr>
            <w:tcW w:w="3600" w:type="dxa"/>
            <w:vAlign w:val="bottom"/>
          </w:tcPr>
          <w:p>
            <w:pPr>
              <w:spacing w:after="0"/>
              <w:rPr>
                <w:sz w:val="18"/>
                <w:szCs w:val="18"/>
                <w:color w:val="auto"/>
              </w:rPr>
            </w:pPr>
          </w:p>
        </w:tc>
        <w:tc>
          <w:tcPr>
            <w:tcW w:w="6480" w:type="dxa"/>
            <w:vAlign w:val="bottom"/>
            <w:gridSpan w:val="2"/>
          </w:tcPr>
          <w:p>
            <w:pPr>
              <w:ind w:left="200"/>
              <w:spacing w:after="0" w:line="216" w:lineRule="exact"/>
              <w:rPr>
                <w:sz w:val="20"/>
                <w:szCs w:val="20"/>
                <w:color w:val="auto"/>
              </w:rPr>
            </w:pPr>
            <w:r>
              <w:rPr>
                <w:rFonts w:ascii="Arial" w:cs="Arial" w:eastAsia="Arial" w:hAnsi="Arial"/>
                <w:sz w:val="20"/>
                <w:szCs w:val="20"/>
                <w:color w:val="231F20"/>
              </w:rPr>
              <w:t>and confidence in our management team versus other publicly traded</w:t>
            </w:r>
          </w:p>
        </w:tc>
      </w:tr>
      <w:tr>
        <w:trPr>
          <w:trHeight w:val="232"/>
        </w:trPr>
        <w:tc>
          <w:tcPr>
            <w:tcW w:w="3600" w:type="dxa"/>
            <w:vAlign w:val="bottom"/>
            <w:tcBorders>
              <w:bottom w:val="single" w:sz="8" w:color="231F20"/>
            </w:tcBorders>
          </w:tcPr>
          <w:p>
            <w:pPr>
              <w:spacing w:after="0"/>
              <w:rPr>
                <w:sz w:val="20"/>
                <w:szCs w:val="20"/>
                <w:color w:val="auto"/>
              </w:rPr>
            </w:pPr>
          </w:p>
        </w:tc>
        <w:tc>
          <w:tcPr>
            <w:tcW w:w="200" w:type="dxa"/>
            <w:vAlign w:val="bottom"/>
          </w:tcPr>
          <w:p>
            <w:pPr>
              <w:spacing w:after="0"/>
              <w:rPr>
                <w:sz w:val="20"/>
                <w:szCs w:val="20"/>
                <w:color w:val="auto"/>
              </w:rPr>
            </w:pPr>
          </w:p>
        </w:tc>
        <w:tc>
          <w:tcPr>
            <w:tcW w:w="6280" w:type="dxa"/>
            <w:vAlign w:val="bottom"/>
            <w:tcBorders>
              <w:bottom w:val="single" w:sz="8" w:color="231F20"/>
            </w:tcBorders>
          </w:tcPr>
          <w:p>
            <w:pPr>
              <w:spacing w:after="0" w:line="226" w:lineRule="exact"/>
              <w:rPr>
                <w:sz w:val="20"/>
                <w:szCs w:val="20"/>
                <w:color w:val="auto"/>
              </w:rPr>
            </w:pPr>
            <w:r>
              <w:rPr>
                <w:rFonts w:ascii="Arial" w:cs="Arial" w:eastAsia="Arial" w:hAnsi="Arial"/>
                <w:sz w:val="20"/>
                <w:szCs w:val="20"/>
                <w:color w:val="231F20"/>
              </w:rPr>
              <w:t>open air shopping center companies.</w:t>
            </w:r>
          </w:p>
        </w:tc>
      </w:tr>
      <w:tr>
        <w:trPr>
          <w:trHeight w:val="240"/>
        </w:trPr>
        <w:tc>
          <w:tcPr>
            <w:tcW w:w="3600" w:type="dxa"/>
            <w:vAlign w:val="bottom"/>
          </w:tcPr>
          <w:p>
            <w:pPr>
              <w:ind w:left="100"/>
              <w:spacing w:after="0"/>
              <w:rPr>
                <w:sz w:val="20"/>
                <w:szCs w:val="20"/>
                <w:color w:val="auto"/>
              </w:rPr>
            </w:pPr>
            <w:r>
              <w:rPr>
                <w:rFonts w:ascii="Arial" w:cs="Arial" w:eastAsia="Arial" w:hAnsi="Arial"/>
                <w:sz w:val="20"/>
                <w:szCs w:val="20"/>
                <w:color w:val="231F20"/>
              </w:rPr>
              <w:t>Return on Invested Capital</w:t>
            </w:r>
          </w:p>
        </w:tc>
        <w:tc>
          <w:tcPr>
            <w:tcW w:w="6480" w:type="dxa"/>
            <w:vAlign w:val="bottom"/>
            <w:gridSpan w:val="2"/>
          </w:tcPr>
          <w:p>
            <w:pPr>
              <w:ind w:left="200"/>
              <w:spacing w:after="0"/>
              <w:rPr>
                <w:sz w:val="20"/>
                <w:szCs w:val="20"/>
                <w:color w:val="auto"/>
              </w:rPr>
            </w:pPr>
            <w:r>
              <w:rPr>
                <w:rFonts w:ascii="Arial" w:cs="Arial" w:eastAsia="Arial" w:hAnsi="Arial"/>
                <w:sz w:val="20"/>
                <w:szCs w:val="20"/>
                <w:color w:val="231F20"/>
              </w:rPr>
              <w:t>Reflects how effectively we have allocated our shareholders’ capital</w:t>
            </w:r>
          </w:p>
        </w:tc>
      </w:tr>
      <w:tr>
        <w:trPr>
          <w:trHeight w:val="216"/>
        </w:trPr>
        <w:tc>
          <w:tcPr>
            <w:tcW w:w="3600" w:type="dxa"/>
            <w:vAlign w:val="bottom"/>
          </w:tcPr>
          <w:p>
            <w:pPr>
              <w:ind w:left="100"/>
              <w:spacing w:after="0" w:line="216" w:lineRule="exact"/>
              <w:rPr>
                <w:sz w:val="20"/>
                <w:szCs w:val="20"/>
                <w:color w:val="auto"/>
              </w:rPr>
            </w:pPr>
            <w:r>
              <w:rPr>
                <w:rFonts w:ascii="Arial" w:cs="Arial" w:eastAsia="Arial" w:hAnsi="Arial"/>
                <w:sz w:val="20"/>
                <w:szCs w:val="20"/>
                <w:color w:val="231F20"/>
              </w:rPr>
              <w:t>(33% weighting)</w:t>
            </w:r>
          </w:p>
        </w:tc>
        <w:tc>
          <w:tcPr>
            <w:tcW w:w="6480" w:type="dxa"/>
            <w:vAlign w:val="bottom"/>
            <w:gridSpan w:val="2"/>
          </w:tcPr>
          <w:p>
            <w:pPr>
              <w:ind w:left="200"/>
              <w:spacing w:after="0" w:line="216" w:lineRule="exact"/>
              <w:rPr>
                <w:sz w:val="20"/>
                <w:szCs w:val="20"/>
                <w:color w:val="auto"/>
              </w:rPr>
            </w:pPr>
            <w:r>
              <w:rPr>
                <w:rFonts w:ascii="Arial" w:cs="Arial" w:eastAsia="Arial" w:hAnsi="Arial"/>
                <w:sz w:val="20"/>
                <w:szCs w:val="20"/>
                <w:color w:val="231F20"/>
              </w:rPr>
              <w:t>during the 3-year performance period and incentivizes sound, long-</w:t>
            </w:r>
          </w:p>
        </w:tc>
      </w:tr>
      <w:tr>
        <w:trPr>
          <w:trHeight w:val="216"/>
        </w:trPr>
        <w:tc>
          <w:tcPr>
            <w:tcW w:w="3600" w:type="dxa"/>
            <w:vAlign w:val="bottom"/>
          </w:tcPr>
          <w:p>
            <w:pPr>
              <w:spacing w:after="0"/>
              <w:rPr>
                <w:sz w:val="18"/>
                <w:szCs w:val="18"/>
                <w:color w:val="auto"/>
              </w:rPr>
            </w:pPr>
          </w:p>
        </w:tc>
        <w:tc>
          <w:tcPr>
            <w:tcW w:w="6480" w:type="dxa"/>
            <w:vAlign w:val="bottom"/>
            <w:gridSpan w:val="2"/>
          </w:tcPr>
          <w:p>
            <w:pPr>
              <w:ind w:left="200"/>
              <w:spacing w:after="0" w:line="216" w:lineRule="exact"/>
              <w:rPr>
                <w:sz w:val="20"/>
                <w:szCs w:val="20"/>
                <w:color w:val="auto"/>
              </w:rPr>
            </w:pPr>
            <w:r>
              <w:rPr>
                <w:rFonts w:ascii="Arial" w:cs="Arial" w:eastAsia="Arial" w:hAnsi="Arial"/>
                <w:sz w:val="20"/>
                <w:szCs w:val="20"/>
                <w:color w:val="231F20"/>
              </w:rPr>
              <w:t>term  investment  decisions  focused  on  generating  strong  future</w:t>
            </w:r>
          </w:p>
        </w:tc>
      </w:tr>
      <w:tr>
        <w:trPr>
          <w:trHeight w:val="216"/>
        </w:trPr>
        <w:tc>
          <w:tcPr>
            <w:tcW w:w="3600" w:type="dxa"/>
            <w:vAlign w:val="bottom"/>
          </w:tcPr>
          <w:p>
            <w:pPr>
              <w:spacing w:after="0"/>
              <w:rPr>
                <w:sz w:val="18"/>
                <w:szCs w:val="18"/>
                <w:color w:val="auto"/>
              </w:rPr>
            </w:pPr>
          </w:p>
        </w:tc>
        <w:tc>
          <w:tcPr>
            <w:tcW w:w="6480" w:type="dxa"/>
            <w:vAlign w:val="bottom"/>
            <w:gridSpan w:val="2"/>
          </w:tcPr>
          <w:p>
            <w:pPr>
              <w:ind w:left="200"/>
              <w:spacing w:after="0" w:line="216" w:lineRule="exact"/>
              <w:rPr>
                <w:sz w:val="20"/>
                <w:szCs w:val="20"/>
                <w:color w:val="auto"/>
              </w:rPr>
            </w:pPr>
            <w:r>
              <w:rPr>
                <w:rFonts w:ascii="Arial" w:cs="Arial" w:eastAsia="Arial" w:hAnsi="Arial"/>
                <w:sz w:val="20"/>
                <w:szCs w:val="20"/>
                <w:color w:val="231F20"/>
              </w:rPr>
              <w:t>shareholder returns. The metric encompasses all aspects of capital</w:t>
            </w:r>
          </w:p>
        </w:tc>
      </w:tr>
      <w:tr>
        <w:trPr>
          <w:trHeight w:val="216"/>
        </w:trPr>
        <w:tc>
          <w:tcPr>
            <w:tcW w:w="3600" w:type="dxa"/>
            <w:vAlign w:val="bottom"/>
          </w:tcPr>
          <w:p>
            <w:pPr>
              <w:spacing w:after="0"/>
              <w:rPr>
                <w:sz w:val="18"/>
                <w:szCs w:val="18"/>
                <w:color w:val="auto"/>
              </w:rPr>
            </w:pPr>
          </w:p>
        </w:tc>
        <w:tc>
          <w:tcPr>
            <w:tcW w:w="6480" w:type="dxa"/>
            <w:vAlign w:val="bottom"/>
            <w:gridSpan w:val="2"/>
          </w:tcPr>
          <w:p>
            <w:pPr>
              <w:ind w:left="200"/>
              <w:spacing w:after="0" w:line="216" w:lineRule="exact"/>
              <w:rPr>
                <w:sz w:val="20"/>
                <w:szCs w:val="20"/>
                <w:color w:val="auto"/>
              </w:rPr>
            </w:pPr>
            <w:r>
              <w:rPr>
                <w:rFonts w:ascii="Arial" w:cs="Arial" w:eastAsia="Arial" w:hAnsi="Arial"/>
                <w:sz w:val="20"/>
                <w:szCs w:val="20"/>
                <w:color w:val="231F20"/>
              </w:rPr>
              <w:t>allocation decisions. Required performance levels are established to</w:t>
            </w:r>
          </w:p>
        </w:tc>
      </w:tr>
      <w:tr>
        <w:trPr>
          <w:trHeight w:val="216"/>
        </w:trPr>
        <w:tc>
          <w:tcPr>
            <w:tcW w:w="3600" w:type="dxa"/>
            <w:vAlign w:val="bottom"/>
          </w:tcPr>
          <w:p>
            <w:pPr>
              <w:spacing w:after="0"/>
              <w:rPr>
                <w:sz w:val="18"/>
                <w:szCs w:val="18"/>
                <w:color w:val="auto"/>
              </w:rPr>
            </w:pPr>
          </w:p>
        </w:tc>
        <w:tc>
          <w:tcPr>
            <w:tcW w:w="6480" w:type="dxa"/>
            <w:vAlign w:val="bottom"/>
            <w:gridSpan w:val="2"/>
          </w:tcPr>
          <w:p>
            <w:pPr>
              <w:ind w:left="200"/>
              <w:spacing w:after="0" w:line="216" w:lineRule="exact"/>
              <w:rPr>
                <w:sz w:val="20"/>
                <w:szCs w:val="20"/>
                <w:color w:val="auto"/>
              </w:rPr>
            </w:pPr>
            <w:r>
              <w:rPr>
                <w:rFonts w:ascii="Arial" w:cs="Arial" w:eastAsia="Arial" w:hAnsi="Arial"/>
                <w:sz w:val="20"/>
                <w:szCs w:val="20"/>
                <w:color w:val="231F20"/>
              </w:rPr>
              <w:t>reflect changing market expectations as we acquire, sell and develop</w:t>
            </w:r>
          </w:p>
        </w:tc>
      </w:tr>
      <w:tr>
        <w:trPr>
          <w:trHeight w:val="223"/>
        </w:trPr>
        <w:tc>
          <w:tcPr>
            <w:tcW w:w="3600" w:type="dxa"/>
            <w:vAlign w:val="bottom"/>
          </w:tcPr>
          <w:p>
            <w:pPr>
              <w:spacing w:after="0"/>
              <w:rPr>
                <w:sz w:val="19"/>
                <w:szCs w:val="19"/>
                <w:color w:val="auto"/>
              </w:rPr>
            </w:pPr>
          </w:p>
        </w:tc>
        <w:tc>
          <w:tcPr>
            <w:tcW w:w="6480" w:type="dxa"/>
            <w:vAlign w:val="bottom"/>
            <w:gridSpan w:val="2"/>
          </w:tcPr>
          <w:p>
            <w:pPr>
              <w:ind w:left="200"/>
              <w:spacing w:after="0" w:line="223" w:lineRule="exact"/>
              <w:rPr>
                <w:sz w:val="20"/>
                <w:szCs w:val="20"/>
                <w:color w:val="auto"/>
              </w:rPr>
            </w:pPr>
            <w:r>
              <w:rPr>
                <w:rFonts w:ascii="Arial" w:cs="Arial" w:eastAsia="Arial" w:hAnsi="Arial"/>
                <w:sz w:val="20"/>
                <w:szCs w:val="20"/>
                <w:color w:val="231F20"/>
              </w:rPr>
              <w:t>assets.</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-3255645</wp:posOffset>
                </wp:positionV>
                <wp:extent cx="2286000" cy="3268345"/>
                <wp:wrapNone/>
                <wp:docPr id="382" name="Shape 3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86000" cy="3268345"/>
                        </a:xfrm>
                        <a:prstGeom prst="rect">
                          <a:avLst/>
                        </a:prstGeom>
                        <a:solidFill>
                          <a:srgbClr val="E6E7E8"/>
                        </a:solidFill>
                      </wps:spPr>
                      <wps:bodyPr/>
                    </wps:wsp>
                  </a:graphicData>
                </a:graphic>
              </wp:anchor>
            </w:drawing>
          </mc:Choice>
          <mc:Fallback>
            <w:pict>
              <v:rect id="Shape 382" o:spid="_x0000_s1407" style="position:absolute;margin-left:0pt;margin-top:-256.3499pt;width:180pt;height:257.3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7E8" stroked="f"/>
            </w:pict>
          </mc:Fallback>
        </mc:AlternateContent>
      </w:r>
    </w:p>
    <w:p>
      <w:pPr>
        <w:spacing w:after="0" w:line="255" w:lineRule="exact"/>
        <w:rPr>
          <w:sz w:val="20"/>
          <w:szCs w:val="20"/>
          <w:color w:val="auto"/>
        </w:rPr>
      </w:pPr>
    </w:p>
    <w:p>
      <w:pPr>
        <w:jc w:val="both"/>
        <w:ind w:left="360" w:hanging="360"/>
        <w:spacing w:after="0" w:line="230" w:lineRule="auto"/>
        <w:tabs>
          <w:tab w:leader="none" w:pos="360" w:val="left"/>
        </w:tabs>
        <w:numPr>
          <w:ilvl w:val="0"/>
          <w:numId w:val="124"/>
        </w:numPr>
        <w:rPr>
          <w:rFonts w:ascii="Arial" w:cs="Arial" w:eastAsia="Arial" w:hAnsi="Arial"/>
          <w:sz w:val="20"/>
          <w:szCs w:val="20"/>
          <w:color w:val="231F20"/>
        </w:rPr>
      </w:pPr>
      <w:r>
        <w:rPr>
          <w:rFonts w:ascii="Arial" w:cs="Arial" w:eastAsia="Arial" w:hAnsi="Arial"/>
          <w:sz w:val="20"/>
          <w:szCs w:val="20"/>
          <w:color w:val="231F20"/>
        </w:rPr>
        <w:t>The BBRESHOP was discontinued on July 18, 2025. On the recommendation of SBCG, we retained an independent third party consultant to complete the calculation of the index performance for the last 5.5 months of the 3-year performance period ending December 31, 2025. The Compensation Committee is considering alternatives for the BBRESHOP going forward.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129540</wp:posOffset>
                </wp:positionV>
                <wp:extent cx="6400800" cy="177800"/>
                <wp:wrapNone/>
                <wp:docPr id="383" name="Shape 3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177800"/>
                        </a:xfrm>
                        <a:prstGeom prst="rect">
                          <a:avLst/>
                        </a:prstGeom>
                        <a:solidFill>
                          <a:srgbClr val="E8E7E5"/>
                        </a:solidFill>
                      </wps:spPr>
                      <wps:bodyPr/>
                    </wps:wsp>
                  </a:graphicData>
                </a:graphic>
              </wp:anchor>
            </w:drawing>
          </mc:Choice>
          <mc:Fallback>
            <w:pict>
              <v:rect id="Shape 383" o:spid="_x0000_s1408" style="position:absolute;margin-left:0pt;margin-top:10.2pt;width:504pt;height:1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8E7E5" stroked="f"/>
            </w:pict>
          </mc:Fallback>
        </mc:AlternateContent>
        <mc:AlternateContent>
          <mc:Choice Requires="wps">
            <w:drawing>
              <wp:anchor simplePos="0" relativeHeight="251657728" behindDoc="1" locked="0" layoutInCell="0" allowOverlap="1">
                <wp:simplePos x="0" y="0"/>
                <wp:positionH relativeFrom="column">
                  <wp:posOffset>6350</wp:posOffset>
                </wp:positionH>
                <wp:positionV relativeFrom="paragraph">
                  <wp:posOffset>128905</wp:posOffset>
                </wp:positionV>
                <wp:extent cx="0" cy="177800"/>
                <wp:wrapNone/>
                <wp:docPr id="384" name="Shape 3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384" o:spid="_x0000_s140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pt,10.15pt" to="0.5pt,24.15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135255</wp:posOffset>
                </wp:positionV>
                <wp:extent cx="6400800" cy="0"/>
                <wp:wrapNone/>
                <wp:docPr id="385" name="Shape 3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385" o:spid="_x0000_s141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0.65pt" to="504pt,10.65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6394450</wp:posOffset>
                </wp:positionH>
                <wp:positionV relativeFrom="paragraph">
                  <wp:posOffset>128905</wp:posOffset>
                </wp:positionV>
                <wp:extent cx="0" cy="177800"/>
                <wp:wrapNone/>
                <wp:docPr id="386" name="Shape 3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386" o:spid="_x0000_s141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3.5pt,10.15pt" to="503.5pt,24.15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300355</wp:posOffset>
                </wp:positionV>
                <wp:extent cx="6400800" cy="0"/>
                <wp:wrapNone/>
                <wp:docPr id="387" name="Shape 3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387" o:spid="_x0000_s141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3.65pt" to="504pt,23.65pt" o:allowincell="f" strokecolor="#231F20" strokeweight="1pt"/>
            </w:pict>
          </mc:Fallback>
        </mc:AlternateContent>
      </w:r>
    </w:p>
    <w:p>
      <w:pPr>
        <w:sectPr>
          <w:pgSz w:w="11880" w:h="15480" w:orient="portrait"/>
          <w:cols w:equalWidth="0" w:num="1">
            <w:col w:w="10080"/>
          </w:cols>
          <w:pgMar w:left="900" w:top="1260" w:right="900" w:bottom="763" w:gutter="0" w:footer="0" w:header="0"/>
        </w:sectPr>
      </w:pPr>
    </w:p>
    <w:p>
      <w:pPr>
        <w:spacing w:after="0" w:line="252" w:lineRule="exact"/>
        <w:rPr>
          <w:sz w:val="20"/>
          <w:szCs w:val="20"/>
          <w:color w:val="auto"/>
        </w:rPr>
      </w:pPr>
    </w:p>
    <w:p>
      <w:pPr>
        <w:ind w:left="6720"/>
        <w:spacing w:after="0"/>
        <w:tabs>
          <w:tab w:leader="none" w:pos="8060" w:val="left"/>
          <w:tab w:leader="none" w:pos="9800" w:val="left"/>
        </w:tabs>
        <w:rPr>
          <w:sz w:val="20"/>
          <w:szCs w:val="20"/>
          <w:color w:val="auto"/>
        </w:rPr>
      </w:pPr>
      <w:r>
        <w:rPr>
          <w:rFonts w:ascii="Arial" w:cs="Arial" w:eastAsia="Arial" w:hAnsi="Arial"/>
          <w:sz w:val="16"/>
          <w:szCs w:val="16"/>
          <w:color w:val="EF3E2A"/>
        </w:rPr>
        <w:t>Federal Realty</w:t>
      </w:r>
      <w:r>
        <w:rPr>
          <w:sz w:val="20"/>
          <w:szCs w:val="20"/>
          <w:color w:val="auto"/>
        </w:rPr>
        <w:tab/>
      </w:r>
      <w:r>
        <w:rPr>
          <w:rFonts w:ascii="Arial" w:cs="Arial" w:eastAsia="Arial" w:hAnsi="Arial"/>
          <w:sz w:val="16"/>
          <w:szCs w:val="16"/>
          <w:color w:val="231F20"/>
        </w:rPr>
        <w:t>2026 Proxy Statement</w:t>
        <w:tab/>
        <w:t>25</w:t>
      </w:r>
    </w:p>
    <w:p>
      <w:pPr>
        <w:sectPr>
          <w:pgSz w:w="11880" w:h="15480" w:orient="portrait"/>
          <w:cols w:equalWidth="0" w:num="1">
            <w:col w:w="10080"/>
          </w:cols>
          <w:pgMar w:left="900" w:top="1260" w:right="900" w:bottom="763" w:gutter="0" w:footer="0" w:header="0"/>
          <w:type w:val="continuous"/>
        </w:sectPr>
      </w:pPr>
    </w:p>
    <w:bookmarkStart w:id="145" w:name="page146"/>
    <w:bookmarkEnd w:id="145"/>
    <w:p>
      <w:pPr>
        <w:jc w:val="both"/>
        <w:spacing w:after="0" w:line="243" w:lineRule="auto"/>
        <w:rPr>
          <w:sz w:val="20"/>
          <w:szCs w:val="20"/>
          <w:color w:val="auto"/>
        </w:rPr>
      </w:pPr>
      <w:r>
        <w:rPr>
          <w:rFonts w:ascii="Arial" w:cs="Arial" w:eastAsia="Arial" w:hAnsi="Arial"/>
          <w:sz w:val="20"/>
          <w:szCs w:val="20"/>
          <w:color w:val="231F20"/>
        </w:rPr>
        <w:t>The required performance levels for each of these metrics and the actual performance achieved for the 3-year performance period from 2023 through 2025 is set forth below.</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880" w:type="dxa"/>
            <w:vAlign w:val="bottom"/>
            <w:shd w:val="clear" w:color="auto" w:fill="EF3E2A"/>
          </w:tcPr>
          <w:p>
            <w:pPr>
              <w:spacing w:after="0"/>
              <w:rPr>
                <w:sz w:val="20"/>
                <w:szCs w:val="20"/>
                <w:color w:val="auto"/>
              </w:rPr>
            </w:pPr>
          </w:p>
        </w:tc>
        <w:tc>
          <w:tcPr>
            <w:tcW w:w="1300" w:type="dxa"/>
            <w:vAlign w:val="bottom"/>
            <w:shd w:val="clear" w:color="auto" w:fill="EF3E2A"/>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gridSpan w:val="3"/>
            <w:shd w:val="clear" w:color="auto" w:fill="EF3E2A"/>
          </w:tcPr>
          <w:p>
            <w:pPr>
              <w:ind w:left="900"/>
              <w:spacing w:after="0"/>
              <w:rPr>
                <w:sz w:val="20"/>
                <w:szCs w:val="20"/>
                <w:color w:val="auto"/>
              </w:rPr>
            </w:pPr>
            <w:r>
              <w:rPr>
                <w:rFonts w:ascii="Arial" w:cs="Arial" w:eastAsia="Arial" w:hAnsi="Arial"/>
                <w:sz w:val="18"/>
                <w:szCs w:val="18"/>
                <w:b w:val="1"/>
                <w:bCs w:val="1"/>
                <w:color w:val="FFFFFF"/>
              </w:rPr>
              <w:t>Performance Targets</w:t>
            </w:r>
          </w:p>
        </w:tc>
        <w:tc>
          <w:tcPr>
            <w:tcW w:w="100" w:type="dxa"/>
            <w:vAlign w:val="bottom"/>
            <w:tcBorders>
              <w:right w:val="single" w:sz="8" w:color="EF3E2A"/>
            </w:tcBorders>
          </w:tcPr>
          <w:p>
            <w:pPr>
              <w:spacing w:after="0"/>
              <w:rPr>
                <w:sz w:val="20"/>
                <w:szCs w:val="20"/>
                <w:color w:val="auto"/>
              </w:rPr>
            </w:pPr>
          </w:p>
        </w:tc>
        <w:tc>
          <w:tcPr>
            <w:tcW w:w="2120" w:type="dxa"/>
            <w:vAlign w:val="bottom"/>
            <w:tcBorders>
              <w:right w:val="single" w:sz="8" w:color="EF3E2A"/>
            </w:tcBorders>
            <w:gridSpan w:val="2"/>
            <w:shd w:val="clear" w:color="auto" w:fill="EF3E2A"/>
          </w:tcPr>
          <w:p>
            <w:pPr>
              <w:ind w:left="460"/>
              <w:spacing w:after="0"/>
              <w:rPr>
                <w:sz w:val="20"/>
                <w:szCs w:val="20"/>
                <w:color w:val="auto"/>
              </w:rPr>
            </w:pPr>
            <w:r>
              <w:rPr>
                <w:rFonts w:ascii="Arial" w:cs="Arial" w:eastAsia="Arial" w:hAnsi="Arial"/>
                <w:sz w:val="18"/>
                <w:szCs w:val="18"/>
                <w:b w:val="1"/>
                <w:bCs w:val="1"/>
                <w:color w:val="FFFFFF"/>
              </w:rPr>
              <w:t>Payout Factor</w:t>
            </w:r>
          </w:p>
        </w:tc>
      </w:tr>
      <w:tr>
        <w:trPr>
          <w:trHeight w:val="264"/>
        </w:trPr>
        <w:tc>
          <w:tcPr>
            <w:tcW w:w="2880" w:type="dxa"/>
            <w:vAlign w:val="bottom"/>
            <w:tcBorders>
              <w:bottom w:val="single" w:sz="8" w:color="EF3E2A"/>
            </w:tcBorders>
            <w:shd w:val="clear" w:color="auto" w:fill="EF3E2A"/>
          </w:tcPr>
          <w:p>
            <w:pPr>
              <w:spacing w:after="0"/>
              <w:rPr>
                <w:sz w:val="20"/>
                <w:szCs w:val="20"/>
                <w:color w:val="auto"/>
              </w:rPr>
            </w:pPr>
            <w:r>
              <w:rPr>
                <w:rFonts w:ascii="Arial" w:cs="Arial" w:eastAsia="Arial" w:hAnsi="Arial"/>
                <w:sz w:val="18"/>
                <w:szCs w:val="18"/>
                <w:b w:val="1"/>
                <w:bCs w:val="1"/>
                <w:color w:val="FFFFFF"/>
              </w:rPr>
              <w:t>Performance Goal</w:t>
            </w:r>
          </w:p>
        </w:tc>
        <w:tc>
          <w:tcPr>
            <w:tcW w:w="1300" w:type="dxa"/>
            <w:vAlign w:val="bottom"/>
            <w:tcBorders>
              <w:bottom w:val="single" w:sz="8" w:color="EF3E2A"/>
            </w:tcBorders>
            <w:shd w:val="clear" w:color="auto" w:fill="EF3E2A"/>
          </w:tcPr>
          <w:p>
            <w:pPr>
              <w:jc w:val="right"/>
              <w:spacing w:after="0"/>
              <w:rPr>
                <w:sz w:val="20"/>
                <w:szCs w:val="20"/>
                <w:color w:val="auto"/>
              </w:rPr>
            </w:pPr>
            <w:r>
              <w:rPr>
                <w:rFonts w:ascii="Arial" w:cs="Arial" w:eastAsia="Arial" w:hAnsi="Arial"/>
                <w:sz w:val="18"/>
                <w:szCs w:val="18"/>
                <w:b w:val="1"/>
                <w:bCs w:val="1"/>
                <w:color w:val="FFFFFF"/>
              </w:rPr>
              <w:t>Weighting</w:t>
            </w:r>
          </w:p>
        </w:tc>
        <w:tc>
          <w:tcPr>
            <w:tcW w:w="100" w:type="dxa"/>
            <w:vAlign w:val="bottom"/>
          </w:tcPr>
          <w:p>
            <w:pPr>
              <w:spacing w:after="0"/>
              <w:rPr>
                <w:sz w:val="22"/>
                <w:szCs w:val="22"/>
                <w:color w:val="auto"/>
              </w:rPr>
            </w:pPr>
          </w:p>
        </w:tc>
        <w:tc>
          <w:tcPr>
            <w:tcW w:w="1200" w:type="dxa"/>
            <w:vAlign w:val="bottom"/>
            <w:tcBorders>
              <w:bottom w:val="single" w:sz="8" w:color="EF3E2A"/>
            </w:tcBorders>
            <w:shd w:val="clear" w:color="auto" w:fill="EF3E2A"/>
          </w:tcPr>
          <w:p>
            <w:pPr>
              <w:ind w:left="80"/>
              <w:spacing w:after="0"/>
              <w:rPr>
                <w:sz w:val="20"/>
                <w:szCs w:val="20"/>
                <w:color w:val="auto"/>
              </w:rPr>
            </w:pPr>
            <w:r>
              <w:rPr>
                <w:rFonts w:ascii="Arial" w:cs="Arial" w:eastAsia="Arial" w:hAnsi="Arial"/>
                <w:sz w:val="18"/>
                <w:szCs w:val="18"/>
                <w:b w:val="1"/>
                <w:bCs w:val="1"/>
                <w:color w:val="FFFFFF"/>
              </w:rPr>
              <w:t>Threshold</w:t>
            </w:r>
          </w:p>
        </w:tc>
        <w:tc>
          <w:tcPr>
            <w:tcW w:w="1160" w:type="dxa"/>
            <w:vAlign w:val="bottom"/>
            <w:tcBorders>
              <w:bottom w:val="single" w:sz="8" w:color="EF3E2A"/>
            </w:tcBorders>
            <w:shd w:val="clear" w:color="auto" w:fill="EF3E2A"/>
          </w:tcPr>
          <w:p>
            <w:pPr>
              <w:jc w:val="center"/>
              <w:ind w:right="70"/>
              <w:spacing w:after="0"/>
              <w:rPr>
                <w:sz w:val="20"/>
                <w:szCs w:val="20"/>
                <w:color w:val="auto"/>
              </w:rPr>
            </w:pPr>
            <w:r>
              <w:rPr>
                <w:rFonts w:ascii="Arial" w:cs="Arial" w:eastAsia="Arial" w:hAnsi="Arial"/>
                <w:sz w:val="18"/>
                <w:szCs w:val="18"/>
                <w:b w:val="1"/>
                <w:bCs w:val="1"/>
                <w:color w:val="FFFFFF"/>
              </w:rPr>
              <w:t>Target</w:t>
            </w:r>
          </w:p>
        </w:tc>
        <w:tc>
          <w:tcPr>
            <w:tcW w:w="1240" w:type="dxa"/>
            <w:vAlign w:val="bottom"/>
            <w:tcBorders>
              <w:bottom w:val="single" w:sz="8" w:color="EF3E2A"/>
            </w:tcBorders>
            <w:shd w:val="clear" w:color="auto" w:fill="EF3E2A"/>
          </w:tcPr>
          <w:p>
            <w:pPr>
              <w:jc w:val="center"/>
              <w:ind w:left="10"/>
              <w:spacing w:after="0"/>
              <w:rPr>
                <w:sz w:val="20"/>
                <w:szCs w:val="20"/>
                <w:color w:val="auto"/>
              </w:rPr>
            </w:pPr>
            <w:r>
              <w:rPr>
                <w:rFonts w:ascii="Arial" w:cs="Arial" w:eastAsia="Arial" w:hAnsi="Arial"/>
                <w:sz w:val="18"/>
                <w:szCs w:val="18"/>
                <w:b w:val="1"/>
                <w:bCs w:val="1"/>
                <w:color w:val="FFFFFF"/>
                <w:w w:val="99"/>
              </w:rPr>
              <w:t>Stretch</w:t>
            </w:r>
          </w:p>
        </w:tc>
        <w:tc>
          <w:tcPr>
            <w:tcW w:w="100" w:type="dxa"/>
            <w:vAlign w:val="bottom"/>
            <w:tcBorders>
              <w:right w:val="single" w:sz="8" w:color="EF3E2A"/>
            </w:tcBorders>
          </w:tcPr>
          <w:p>
            <w:pPr>
              <w:spacing w:after="0"/>
              <w:rPr>
                <w:sz w:val="22"/>
                <w:szCs w:val="22"/>
                <w:color w:val="auto"/>
              </w:rPr>
            </w:pPr>
          </w:p>
        </w:tc>
        <w:tc>
          <w:tcPr>
            <w:tcW w:w="1100" w:type="dxa"/>
            <w:vAlign w:val="bottom"/>
            <w:tcBorders>
              <w:bottom w:val="single" w:sz="8" w:color="EF3E2A"/>
            </w:tcBorders>
            <w:shd w:val="clear" w:color="auto" w:fill="EF3E2A"/>
          </w:tcPr>
          <w:p>
            <w:pPr>
              <w:ind w:left="60"/>
              <w:spacing w:after="0"/>
              <w:rPr>
                <w:sz w:val="20"/>
                <w:szCs w:val="20"/>
                <w:color w:val="auto"/>
              </w:rPr>
            </w:pPr>
            <w:r>
              <w:rPr>
                <w:rFonts w:ascii="Arial" w:cs="Arial" w:eastAsia="Arial" w:hAnsi="Arial"/>
                <w:sz w:val="18"/>
                <w:szCs w:val="18"/>
                <w:b w:val="1"/>
                <w:bCs w:val="1"/>
                <w:color w:val="FFFFFF"/>
                <w:w w:val="99"/>
              </w:rPr>
              <w:t>Unweighted</w:t>
            </w:r>
          </w:p>
        </w:tc>
        <w:tc>
          <w:tcPr>
            <w:tcW w:w="1020" w:type="dxa"/>
            <w:vAlign w:val="bottom"/>
            <w:tcBorders>
              <w:bottom w:val="single" w:sz="8" w:color="EF3E2A"/>
              <w:right w:val="single" w:sz="8" w:color="EF3E2A"/>
            </w:tcBorders>
            <w:shd w:val="clear" w:color="auto" w:fill="EF3E2A"/>
          </w:tcPr>
          <w:p>
            <w:pPr>
              <w:ind w:left="100"/>
              <w:spacing w:after="0"/>
              <w:rPr>
                <w:sz w:val="20"/>
                <w:szCs w:val="20"/>
                <w:color w:val="auto"/>
              </w:rPr>
            </w:pPr>
            <w:r>
              <w:rPr>
                <w:rFonts w:ascii="Arial" w:cs="Arial" w:eastAsia="Arial" w:hAnsi="Arial"/>
                <w:sz w:val="18"/>
                <w:szCs w:val="18"/>
                <w:b w:val="1"/>
                <w:bCs w:val="1"/>
                <w:color w:val="FFFFFF"/>
              </w:rPr>
              <w:t>Weighted</w:t>
            </w:r>
          </w:p>
        </w:tc>
      </w:tr>
      <w:tr>
        <w:trPr>
          <w:trHeight w:val="280"/>
        </w:trPr>
        <w:tc>
          <w:tcPr>
            <w:tcW w:w="2880" w:type="dxa"/>
            <w:vAlign w:val="bottom"/>
            <w:tcBorders>
              <w:bottom w:val="single" w:sz="8" w:color="E6E7E8"/>
            </w:tcBorders>
            <w:shd w:val="clear" w:color="auto" w:fill="E6E7E8"/>
          </w:tcPr>
          <w:p>
            <w:pPr>
              <w:spacing w:after="0"/>
              <w:rPr>
                <w:sz w:val="20"/>
                <w:szCs w:val="20"/>
                <w:color w:val="auto"/>
              </w:rPr>
            </w:pPr>
            <w:r>
              <w:rPr>
                <w:rFonts w:ascii="Arial" w:cs="Arial" w:eastAsia="Arial" w:hAnsi="Arial"/>
                <w:sz w:val="18"/>
                <w:szCs w:val="18"/>
                <w:i w:val="1"/>
                <w:iCs w:val="1"/>
                <w:color w:val="231F20"/>
              </w:rPr>
              <w:t>Payout as Percentage of Target</w:t>
            </w:r>
          </w:p>
        </w:tc>
        <w:tc>
          <w:tcPr>
            <w:tcW w:w="1300" w:type="dxa"/>
            <w:vAlign w:val="bottom"/>
            <w:tcBorders>
              <w:bottom w:val="single" w:sz="8" w:color="E6E7E8"/>
            </w:tcBorders>
            <w:shd w:val="clear" w:color="auto" w:fill="E6E7E8"/>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Borders>
              <w:bottom w:val="single" w:sz="8" w:color="E6E7E8"/>
            </w:tcBorders>
            <w:shd w:val="clear" w:color="auto" w:fill="E6E7E8"/>
          </w:tcPr>
          <w:p>
            <w:pPr>
              <w:jc w:val="right"/>
              <w:ind w:right="410"/>
              <w:spacing w:after="0"/>
              <w:rPr>
                <w:sz w:val="20"/>
                <w:szCs w:val="20"/>
                <w:color w:val="auto"/>
              </w:rPr>
            </w:pPr>
            <w:r>
              <w:rPr>
                <w:rFonts w:ascii="Arial" w:cs="Arial" w:eastAsia="Arial" w:hAnsi="Arial"/>
                <w:sz w:val="18"/>
                <w:szCs w:val="18"/>
                <w:i w:val="1"/>
                <w:iCs w:val="1"/>
                <w:color w:val="231F20"/>
              </w:rPr>
              <w:t>50%</w:t>
            </w:r>
          </w:p>
        </w:tc>
        <w:tc>
          <w:tcPr>
            <w:tcW w:w="1160" w:type="dxa"/>
            <w:vAlign w:val="bottom"/>
            <w:tcBorders>
              <w:bottom w:val="single" w:sz="8" w:color="E6E7E8"/>
            </w:tcBorders>
            <w:shd w:val="clear" w:color="auto" w:fill="E6E7E8"/>
          </w:tcPr>
          <w:p>
            <w:pPr>
              <w:jc w:val="right"/>
              <w:ind w:right="350"/>
              <w:spacing w:after="0"/>
              <w:rPr>
                <w:sz w:val="20"/>
                <w:szCs w:val="20"/>
                <w:color w:val="auto"/>
              </w:rPr>
            </w:pPr>
            <w:r>
              <w:rPr>
                <w:rFonts w:ascii="Arial" w:cs="Arial" w:eastAsia="Arial" w:hAnsi="Arial"/>
                <w:sz w:val="18"/>
                <w:szCs w:val="18"/>
                <w:i w:val="1"/>
                <w:iCs w:val="1"/>
                <w:color w:val="231F20"/>
              </w:rPr>
              <w:t>100%</w:t>
            </w:r>
          </w:p>
        </w:tc>
        <w:tc>
          <w:tcPr>
            <w:tcW w:w="1240" w:type="dxa"/>
            <w:vAlign w:val="bottom"/>
            <w:tcBorders>
              <w:bottom w:val="single" w:sz="8" w:color="E6E7E8"/>
            </w:tcBorders>
            <w:shd w:val="clear" w:color="auto" w:fill="E6E7E8"/>
          </w:tcPr>
          <w:p>
            <w:pPr>
              <w:jc w:val="right"/>
              <w:ind w:right="250"/>
              <w:spacing w:after="0"/>
              <w:rPr>
                <w:sz w:val="20"/>
                <w:szCs w:val="20"/>
                <w:color w:val="auto"/>
              </w:rPr>
            </w:pPr>
            <w:r>
              <w:rPr>
                <w:rFonts w:ascii="Arial" w:cs="Arial" w:eastAsia="Arial" w:hAnsi="Arial"/>
                <w:sz w:val="18"/>
                <w:szCs w:val="18"/>
                <w:i w:val="1"/>
                <w:iCs w:val="1"/>
                <w:color w:val="231F20"/>
              </w:rPr>
              <w:t>150%</w:t>
            </w:r>
          </w:p>
        </w:tc>
        <w:tc>
          <w:tcPr>
            <w:tcW w:w="100" w:type="dxa"/>
            <w:vAlign w:val="bottom"/>
            <w:tcBorders>
              <w:right w:val="single" w:sz="8" w:color="E6E7E8"/>
            </w:tcBorders>
          </w:tcPr>
          <w:p>
            <w:pPr>
              <w:spacing w:after="0"/>
              <w:rPr>
                <w:sz w:val="24"/>
                <w:szCs w:val="24"/>
                <w:color w:val="auto"/>
              </w:rPr>
            </w:pPr>
          </w:p>
        </w:tc>
        <w:tc>
          <w:tcPr>
            <w:tcW w:w="1100" w:type="dxa"/>
            <w:vAlign w:val="bottom"/>
            <w:tcBorders>
              <w:bottom w:val="single" w:sz="8" w:color="E6E7E8"/>
            </w:tcBorders>
            <w:shd w:val="clear" w:color="auto" w:fill="E6E7E8"/>
          </w:tcPr>
          <w:p>
            <w:pPr>
              <w:spacing w:after="0"/>
              <w:rPr>
                <w:sz w:val="24"/>
                <w:szCs w:val="24"/>
                <w:color w:val="auto"/>
              </w:rPr>
            </w:pPr>
          </w:p>
        </w:tc>
        <w:tc>
          <w:tcPr>
            <w:tcW w:w="1020" w:type="dxa"/>
            <w:vAlign w:val="bottom"/>
            <w:tcBorders>
              <w:bottom w:val="single" w:sz="8" w:color="E6E7E8"/>
              <w:right w:val="single" w:sz="8" w:color="E6E7E8"/>
            </w:tcBorders>
            <w:shd w:val="clear" w:color="auto" w:fill="E6E7E8"/>
          </w:tcPr>
          <w:p>
            <w:pPr>
              <w:spacing w:after="0"/>
              <w:rPr>
                <w:sz w:val="24"/>
                <w:szCs w:val="24"/>
                <w:color w:val="auto"/>
              </w:rPr>
            </w:pPr>
          </w:p>
        </w:tc>
      </w:tr>
      <w:tr>
        <w:trPr>
          <w:trHeight w:val="256"/>
        </w:trPr>
        <w:tc>
          <w:tcPr>
            <w:tcW w:w="2880" w:type="dxa"/>
            <w:vAlign w:val="bottom"/>
          </w:tcPr>
          <w:p>
            <w:pPr>
              <w:spacing w:after="0"/>
              <w:rPr>
                <w:sz w:val="20"/>
                <w:szCs w:val="20"/>
                <w:color w:val="auto"/>
              </w:rPr>
            </w:pPr>
            <w:r>
              <w:rPr>
                <w:rFonts w:ascii="Arial" w:cs="Arial" w:eastAsia="Arial" w:hAnsi="Arial"/>
                <w:sz w:val="18"/>
                <w:szCs w:val="18"/>
                <w:color w:val="231F20"/>
              </w:rPr>
              <w:t>Relative Total TSR</w:t>
            </w:r>
          </w:p>
        </w:tc>
        <w:tc>
          <w:tcPr>
            <w:tcW w:w="1300" w:type="dxa"/>
            <w:vAlign w:val="bottom"/>
          </w:tcPr>
          <w:p>
            <w:pPr>
              <w:jc w:val="right"/>
              <w:ind w:right="210"/>
              <w:spacing w:after="0"/>
              <w:rPr>
                <w:sz w:val="20"/>
                <w:szCs w:val="20"/>
                <w:color w:val="auto"/>
              </w:rPr>
            </w:pPr>
            <w:r>
              <w:rPr>
                <w:rFonts w:ascii="Arial" w:cs="Arial" w:eastAsia="Arial" w:hAnsi="Arial"/>
                <w:sz w:val="18"/>
                <w:szCs w:val="18"/>
                <w:color w:val="231F20"/>
              </w:rPr>
              <w:t>34%</w:t>
            </w:r>
          </w:p>
        </w:tc>
        <w:tc>
          <w:tcPr>
            <w:tcW w:w="100" w:type="dxa"/>
            <w:vAlign w:val="bottom"/>
          </w:tcPr>
          <w:p>
            <w:pPr>
              <w:spacing w:after="0"/>
              <w:rPr>
                <w:sz w:val="22"/>
                <w:szCs w:val="22"/>
                <w:color w:val="auto"/>
              </w:rPr>
            </w:pPr>
          </w:p>
        </w:tc>
        <w:tc>
          <w:tcPr>
            <w:tcW w:w="1200" w:type="dxa"/>
            <w:vAlign w:val="bottom"/>
          </w:tcPr>
          <w:p>
            <w:pPr>
              <w:ind w:left="60"/>
              <w:spacing w:after="0"/>
              <w:rPr>
                <w:sz w:val="20"/>
                <w:szCs w:val="20"/>
                <w:color w:val="auto"/>
              </w:rPr>
            </w:pPr>
            <w:r>
              <w:rPr>
                <w:rFonts w:ascii="Arial" w:cs="Arial" w:eastAsia="Arial" w:hAnsi="Arial"/>
                <w:sz w:val="18"/>
                <w:szCs w:val="18"/>
                <w:color w:val="231F20"/>
              </w:rPr>
              <w:t>5% &lt; Index</w:t>
            </w:r>
          </w:p>
        </w:tc>
        <w:tc>
          <w:tcPr>
            <w:tcW w:w="1160" w:type="dxa"/>
            <w:vAlign w:val="bottom"/>
          </w:tcPr>
          <w:p>
            <w:pPr>
              <w:jc w:val="center"/>
              <w:ind w:right="70"/>
              <w:spacing w:after="0"/>
              <w:rPr>
                <w:sz w:val="20"/>
                <w:szCs w:val="20"/>
                <w:color w:val="auto"/>
              </w:rPr>
            </w:pPr>
            <w:r>
              <w:rPr>
                <w:rFonts w:ascii="Arial" w:cs="Arial" w:eastAsia="Arial" w:hAnsi="Arial"/>
                <w:sz w:val="18"/>
                <w:szCs w:val="18"/>
                <w:color w:val="231F20"/>
                <w:w w:val="99"/>
              </w:rPr>
              <w:t>Index</w:t>
            </w:r>
          </w:p>
        </w:tc>
        <w:tc>
          <w:tcPr>
            <w:tcW w:w="1240" w:type="dxa"/>
            <w:vAlign w:val="bottom"/>
          </w:tcPr>
          <w:p>
            <w:pPr>
              <w:jc w:val="center"/>
              <w:ind w:left="10"/>
              <w:spacing w:after="0"/>
              <w:rPr>
                <w:sz w:val="20"/>
                <w:szCs w:val="20"/>
                <w:color w:val="auto"/>
              </w:rPr>
            </w:pPr>
            <w:r>
              <w:rPr>
                <w:rFonts w:ascii="Arial" w:cs="Arial" w:eastAsia="Arial" w:hAnsi="Arial"/>
                <w:sz w:val="18"/>
                <w:szCs w:val="18"/>
                <w:color w:val="231F20"/>
                <w:w w:val="99"/>
              </w:rPr>
              <w:t>5% &gt; Index</w:t>
            </w:r>
          </w:p>
        </w:tc>
        <w:tc>
          <w:tcPr>
            <w:tcW w:w="1200" w:type="dxa"/>
            <w:vAlign w:val="bottom"/>
            <w:gridSpan w:val="2"/>
          </w:tcPr>
          <w:p>
            <w:pPr>
              <w:jc w:val="center"/>
              <w:ind w:left="50"/>
              <w:spacing w:after="0"/>
              <w:rPr>
                <w:sz w:val="20"/>
                <w:szCs w:val="20"/>
                <w:color w:val="auto"/>
              </w:rPr>
            </w:pPr>
            <w:r>
              <w:rPr>
                <w:rFonts w:ascii="Arial" w:cs="Arial" w:eastAsia="Arial" w:hAnsi="Arial"/>
                <w:sz w:val="18"/>
                <w:szCs w:val="18"/>
                <w:color w:val="231F20"/>
              </w:rPr>
              <w:t>103.7%</w:t>
            </w:r>
          </w:p>
        </w:tc>
        <w:tc>
          <w:tcPr>
            <w:tcW w:w="1020" w:type="dxa"/>
            <w:vAlign w:val="bottom"/>
          </w:tcPr>
          <w:p>
            <w:pPr>
              <w:jc w:val="center"/>
              <w:spacing w:after="0"/>
              <w:rPr>
                <w:sz w:val="20"/>
                <w:szCs w:val="20"/>
                <w:color w:val="auto"/>
              </w:rPr>
            </w:pPr>
            <w:r>
              <w:rPr>
                <w:rFonts w:ascii="Arial" w:cs="Arial" w:eastAsia="Arial" w:hAnsi="Arial"/>
                <w:sz w:val="18"/>
                <w:szCs w:val="18"/>
                <w:color w:val="231F20"/>
                <w:w w:val="97"/>
              </w:rPr>
              <w:t>35.3%</w:t>
            </w:r>
          </w:p>
        </w:tc>
      </w:tr>
      <w:tr>
        <w:trPr>
          <w:trHeight w:val="300"/>
        </w:trPr>
        <w:tc>
          <w:tcPr>
            <w:tcW w:w="2880" w:type="dxa"/>
            <w:vAlign w:val="bottom"/>
          </w:tcPr>
          <w:p>
            <w:pPr>
              <w:spacing w:after="0"/>
              <w:rPr>
                <w:sz w:val="20"/>
                <w:szCs w:val="20"/>
                <w:color w:val="auto"/>
              </w:rPr>
            </w:pPr>
            <w:r>
              <w:rPr>
                <w:rFonts w:ascii="Arial" w:cs="Arial" w:eastAsia="Arial" w:hAnsi="Arial"/>
                <w:sz w:val="18"/>
                <w:szCs w:val="18"/>
                <w:color w:val="231F20"/>
              </w:rPr>
              <w:t>NAREIT FFO Multiple Premium</w:t>
            </w:r>
          </w:p>
        </w:tc>
        <w:tc>
          <w:tcPr>
            <w:tcW w:w="1300" w:type="dxa"/>
            <w:vAlign w:val="bottom"/>
          </w:tcPr>
          <w:p>
            <w:pPr>
              <w:jc w:val="right"/>
              <w:ind w:right="210"/>
              <w:spacing w:after="0"/>
              <w:rPr>
                <w:sz w:val="20"/>
                <w:szCs w:val="20"/>
                <w:color w:val="auto"/>
              </w:rPr>
            </w:pPr>
            <w:r>
              <w:rPr>
                <w:rFonts w:ascii="Arial" w:cs="Arial" w:eastAsia="Arial" w:hAnsi="Arial"/>
                <w:sz w:val="18"/>
                <w:szCs w:val="18"/>
                <w:color w:val="231F20"/>
              </w:rPr>
              <w:t>33%</w:t>
            </w:r>
          </w:p>
        </w:tc>
        <w:tc>
          <w:tcPr>
            <w:tcW w:w="100" w:type="dxa"/>
            <w:vAlign w:val="bottom"/>
          </w:tcPr>
          <w:p>
            <w:pPr>
              <w:spacing w:after="0"/>
              <w:rPr>
                <w:sz w:val="24"/>
                <w:szCs w:val="24"/>
                <w:color w:val="auto"/>
              </w:rPr>
            </w:pPr>
          </w:p>
        </w:tc>
        <w:tc>
          <w:tcPr>
            <w:tcW w:w="2360" w:type="dxa"/>
            <w:vAlign w:val="bottom"/>
            <w:gridSpan w:val="2"/>
          </w:tcPr>
          <w:p>
            <w:pPr>
              <w:spacing w:after="0"/>
              <w:rPr>
                <w:sz w:val="20"/>
                <w:szCs w:val="20"/>
                <w:color w:val="auto"/>
              </w:rPr>
            </w:pPr>
            <w:r>
              <w:rPr>
                <w:rFonts w:ascii="Arial" w:cs="Arial" w:eastAsia="Arial" w:hAnsi="Arial"/>
                <w:sz w:val="18"/>
                <w:szCs w:val="18"/>
                <w:color w:val="231F20"/>
              </w:rPr>
              <w:t>5% Premium  15% Premium</w:t>
            </w:r>
          </w:p>
        </w:tc>
        <w:tc>
          <w:tcPr>
            <w:tcW w:w="1240" w:type="dxa"/>
            <w:vAlign w:val="bottom"/>
          </w:tcPr>
          <w:p>
            <w:pPr>
              <w:jc w:val="center"/>
              <w:ind w:left="10"/>
              <w:spacing w:after="0"/>
              <w:rPr>
                <w:sz w:val="20"/>
                <w:szCs w:val="20"/>
                <w:color w:val="auto"/>
              </w:rPr>
            </w:pPr>
            <w:r>
              <w:rPr>
                <w:rFonts w:ascii="Arial" w:cs="Arial" w:eastAsia="Arial" w:hAnsi="Arial"/>
                <w:sz w:val="18"/>
                <w:szCs w:val="18"/>
                <w:color w:val="231F20"/>
              </w:rPr>
              <w:t>20% Premium</w:t>
            </w:r>
          </w:p>
        </w:tc>
        <w:tc>
          <w:tcPr>
            <w:tcW w:w="1200" w:type="dxa"/>
            <w:vAlign w:val="bottom"/>
            <w:gridSpan w:val="2"/>
          </w:tcPr>
          <w:p>
            <w:pPr>
              <w:jc w:val="center"/>
              <w:ind w:left="50"/>
              <w:spacing w:after="0"/>
              <w:rPr>
                <w:sz w:val="20"/>
                <w:szCs w:val="20"/>
                <w:color w:val="auto"/>
              </w:rPr>
            </w:pPr>
            <w:r>
              <w:rPr>
                <w:rFonts w:ascii="Arial" w:cs="Arial" w:eastAsia="Arial" w:hAnsi="Arial"/>
                <w:sz w:val="18"/>
                <w:szCs w:val="18"/>
                <w:color w:val="231F20"/>
                <w:w w:val="97"/>
              </w:rPr>
              <w:t>60.0%</w:t>
            </w:r>
          </w:p>
        </w:tc>
        <w:tc>
          <w:tcPr>
            <w:tcW w:w="1020" w:type="dxa"/>
            <w:vAlign w:val="bottom"/>
          </w:tcPr>
          <w:p>
            <w:pPr>
              <w:jc w:val="center"/>
              <w:spacing w:after="0"/>
              <w:rPr>
                <w:sz w:val="20"/>
                <w:szCs w:val="20"/>
                <w:color w:val="auto"/>
              </w:rPr>
            </w:pPr>
            <w:r>
              <w:rPr>
                <w:rFonts w:ascii="Arial" w:cs="Arial" w:eastAsia="Arial" w:hAnsi="Arial"/>
                <w:sz w:val="18"/>
                <w:szCs w:val="18"/>
                <w:color w:val="231F20"/>
                <w:w w:val="97"/>
              </w:rPr>
              <w:t>19.8%</w:t>
            </w:r>
          </w:p>
        </w:tc>
      </w:tr>
      <w:tr>
        <w:trPr>
          <w:trHeight w:val="300"/>
        </w:trPr>
        <w:tc>
          <w:tcPr>
            <w:tcW w:w="2880" w:type="dxa"/>
            <w:vAlign w:val="bottom"/>
          </w:tcPr>
          <w:p>
            <w:pPr>
              <w:spacing w:after="0"/>
              <w:rPr>
                <w:sz w:val="20"/>
                <w:szCs w:val="20"/>
                <w:color w:val="auto"/>
              </w:rPr>
            </w:pPr>
            <w:r>
              <w:rPr>
                <w:rFonts w:ascii="Arial" w:cs="Arial" w:eastAsia="Arial" w:hAnsi="Arial"/>
                <w:sz w:val="18"/>
                <w:szCs w:val="18"/>
                <w:color w:val="231F20"/>
              </w:rPr>
              <w:t>Return on Invested Capital</w:t>
            </w:r>
          </w:p>
        </w:tc>
        <w:tc>
          <w:tcPr>
            <w:tcW w:w="1300" w:type="dxa"/>
            <w:vAlign w:val="bottom"/>
          </w:tcPr>
          <w:p>
            <w:pPr>
              <w:jc w:val="right"/>
              <w:ind w:right="210"/>
              <w:spacing w:after="0"/>
              <w:rPr>
                <w:sz w:val="20"/>
                <w:szCs w:val="20"/>
                <w:color w:val="auto"/>
              </w:rPr>
            </w:pPr>
            <w:r>
              <w:rPr>
                <w:rFonts w:ascii="Arial" w:cs="Arial" w:eastAsia="Arial" w:hAnsi="Arial"/>
                <w:sz w:val="18"/>
                <w:szCs w:val="18"/>
                <w:color w:val="231F20"/>
              </w:rPr>
              <w:t>33%</w:t>
            </w:r>
          </w:p>
        </w:tc>
        <w:tc>
          <w:tcPr>
            <w:tcW w:w="1300" w:type="dxa"/>
            <w:vAlign w:val="bottom"/>
            <w:gridSpan w:val="2"/>
          </w:tcPr>
          <w:p>
            <w:pPr>
              <w:jc w:val="right"/>
              <w:ind w:right="330"/>
              <w:spacing w:after="0"/>
              <w:rPr>
                <w:sz w:val="20"/>
                <w:szCs w:val="20"/>
                <w:color w:val="auto"/>
              </w:rPr>
            </w:pPr>
            <w:r>
              <w:rPr>
                <w:rFonts w:ascii="Arial" w:cs="Arial" w:eastAsia="Arial" w:hAnsi="Arial"/>
                <w:sz w:val="18"/>
                <w:szCs w:val="18"/>
                <w:color w:val="231F20"/>
              </w:rPr>
              <w:t>6.75%</w:t>
            </w:r>
          </w:p>
        </w:tc>
        <w:tc>
          <w:tcPr>
            <w:tcW w:w="1160" w:type="dxa"/>
            <w:vAlign w:val="bottom"/>
          </w:tcPr>
          <w:p>
            <w:pPr>
              <w:jc w:val="right"/>
              <w:ind w:right="310"/>
              <w:spacing w:after="0"/>
              <w:rPr>
                <w:sz w:val="20"/>
                <w:szCs w:val="20"/>
                <w:color w:val="auto"/>
              </w:rPr>
            </w:pPr>
            <w:r>
              <w:rPr>
                <w:rFonts w:ascii="Arial" w:cs="Arial" w:eastAsia="Arial" w:hAnsi="Arial"/>
                <w:sz w:val="18"/>
                <w:szCs w:val="18"/>
                <w:color w:val="231F20"/>
              </w:rPr>
              <w:t>7.00%</w:t>
            </w:r>
          </w:p>
        </w:tc>
        <w:tc>
          <w:tcPr>
            <w:tcW w:w="1240" w:type="dxa"/>
            <w:vAlign w:val="bottom"/>
          </w:tcPr>
          <w:p>
            <w:pPr>
              <w:jc w:val="right"/>
              <w:ind w:right="230"/>
              <w:spacing w:after="0"/>
              <w:rPr>
                <w:sz w:val="20"/>
                <w:szCs w:val="20"/>
                <w:color w:val="auto"/>
              </w:rPr>
            </w:pPr>
            <w:r>
              <w:rPr>
                <w:rFonts w:ascii="Arial" w:cs="Arial" w:eastAsia="Arial" w:hAnsi="Arial"/>
                <w:sz w:val="18"/>
                <w:szCs w:val="18"/>
                <w:color w:val="231F20"/>
              </w:rPr>
              <w:t>7.25%</w:t>
            </w:r>
          </w:p>
        </w:tc>
        <w:tc>
          <w:tcPr>
            <w:tcW w:w="1200" w:type="dxa"/>
            <w:vAlign w:val="bottom"/>
            <w:gridSpan w:val="2"/>
          </w:tcPr>
          <w:p>
            <w:pPr>
              <w:jc w:val="center"/>
              <w:ind w:left="50"/>
              <w:spacing w:after="0"/>
              <w:rPr>
                <w:sz w:val="20"/>
                <w:szCs w:val="20"/>
                <w:color w:val="auto"/>
              </w:rPr>
            </w:pPr>
            <w:r>
              <w:rPr>
                <w:rFonts w:ascii="Arial" w:cs="Arial" w:eastAsia="Arial" w:hAnsi="Arial"/>
                <w:sz w:val="18"/>
                <w:szCs w:val="18"/>
                <w:color w:val="231F20"/>
              </w:rPr>
              <w:t>150.0%</w:t>
            </w:r>
          </w:p>
        </w:tc>
        <w:tc>
          <w:tcPr>
            <w:tcW w:w="1020" w:type="dxa"/>
            <w:vAlign w:val="bottom"/>
          </w:tcPr>
          <w:p>
            <w:pPr>
              <w:jc w:val="center"/>
              <w:spacing w:after="0"/>
              <w:rPr>
                <w:sz w:val="20"/>
                <w:szCs w:val="20"/>
                <w:color w:val="auto"/>
              </w:rPr>
            </w:pPr>
            <w:r>
              <w:rPr>
                <w:rFonts w:ascii="Arial" w:cs="Arial" w:eastAsia="Arial" w:hAnsi="Arial"/>
                <w:sz w:val="18"/>
                <w:szCs w:val="18"/>
                <w:color w:val="231F20"/>
                <w:w w:val="97"/>
              </w:rPr>
              <w:t>49.5%</w:t>
            </w:r>
          </w:p>
        </w:tc>
      </w:tr>
      <w:tr>
        <w:trPr>
          <w:trHeight w:val="39"/>
        </w:trPr>
        <w:tc>
          <w:tcPr>
            <w:tcW w:w="28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Borders>
              <w:bottom w:val="single" w:sz="8" w:color="231F20"/>
            </w:tcBorders>
          </w:tcPr>
          <w:p>
            <w:pPr>
              <w:spacing w:after="0"/>
              <w:rPr>
                <w:sz w:val="3"/>
                <w:szCs w:val="3"/>
                <w:color w:val="auto"/>
              </w:rPr>
            </w:pPr>
          </w:p>
        </w:tc>
        <w:tc>
          <w:tcPr>
            <w:tcW w:w="1020" w:type="dxa"/>
            <w:vAlign w:val="bottom"/>
            <w:tcBorders>
              <w:bottom w:val="single" w:sz="8" w:color="231F20"/>
            </w:tcBorders>
          </w:tcPr>
          <w:p>
            <w:pPr>
              <w:spacing w:after="0"/>
              <w:rPr>
                <w:sz w:val="3"/>
                <w:szCs w:val="3"/>
                <w:color w:val="auto"/>
              </w:rPr>
            </w:pPr>
          </w:p>
        </w:tc>
      </w:tr>
      <w:tr>
        <w:trPr>
          <w:trHeight w:val="241"/>
        </w:trPr>
        <w:tc>
          <w:tcPr>
            <w:tcW w:w="28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Borders>
              <w:right w:val="single" w:sz="8" w:color="231F20"/>
            </w:tcBorders>
          </w:tcPr>
          <w:p>
            <w:pPr>
              <w:spacing w:after="0"/>
              <w:rPr>
                <w:sz w:val="20"/>
                <w:szCs w:val="20"/>
                <w:color w:val="auto"/>
              </w:rPr>
            </w:pPr>
          </w:p>
        </w:tc>
        <w:tc>
          <w:tcPr>
            <w:tcW w:w="1100" w:type="dxa"/>
            <w:vAlign w:val="bottom"/>
          </w:tcPr>
          <w:p>
            <w:pPr>
              <w:ind w:left="40"/>
              <w:spacing w:after="0"/>
              <w:rPr>
                <w:sz w:val="20"/>
                <w:szCs w:val="20"/>
                <w:color w:val="auto"/>
              </w:rPr>
            </w:pPr>
            <w:r>
              <w:rPr>
                <w:rFonts w:ascii="Arial" w:cs="Arial" w:eastAsia="Arial" w:hAnsi="Arial"/>
                <w:sz w:val="18"/>
                <w:szCs w:val="18"/>
                <w:b w:val="1"/>
                <w:bCs w:val="1"/>
                <w:color w:val="231F20"/>
                <w:w w:val="97"/>
              </w:rPr>
              <w:t>Final Payout</w:t>
            </w:r>
          </w:p>
        </w:tc>
        <w:tc>
          <w:tcPr>
            <w:tcW w:w="1020" w:type="dxa"/>
            <w:vAlign w:val="bottom"/>
            <w:tcBorders>
              <w:right w:val="single" w:sz="8" w:color="231F20"/>
            </w:tcBorders>
          </w:tcPr>
          <w:p>
            <w:pPr>
              <w:jc w:val="center"/>
              <w:spacing w:after="0"/>
              <w:rPr>
                <w:sz w:val="20"/>
                <w:szCs w:val="20"/>
                <w:color w:val="auto"/>
              </w:rPr>
            </w:pPr>
            <w:r>
              <w:rPr>
                <w:rFonts w:ascii="Arial" w:cs="Arial" w:eastAsia="Arial" w:hAnsi="Arial"/>
                <w:sz w:val="18"/>
                <w:szCs w:val="18"/>
                <w:b w:val="1"/>
                <w:bCs w:val="1"/>
                <w:color w:val="231F20"/>
              </w:rPr>
              <w:t>104.6%</w:t>
            </w:r>
          </w:p>
        </w:tc>
      </w:tr>
      <w:tr>
        <w:trPr>
          <w:trHeight w:val="39"/>
        </w:trPr>
        <w:tc>
          <w:tcPr>
            <w:tcW w:w="28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Borders>
              <w:right w:val="single" w:sz="8" w:color="231F20"/>
            </w:tcBorders>
          </w:tcPr>
          <w:p>
            <w:pPr>
              <w:spacing w:after="0"/>
              <w:rPr>
                <w:sz w:val="3"/>
                <w:szCs w:val="3"/>
                <w:color w:val="auto"/>
              </w:rPr>
            </w:pPr>
          </w:p>
        </w:tc>
        <w:tc>
          <w:tcPr>
            <w:tcW w:w="1100" w:type="dxa"/>
            <w:vAlign w:val="bottom"/>
            <w:tcBorders>
              <w:bottom w:val="single" w:sz="8" w:color="231F20"/>
            </w:tcBorders>
          </w:tcPr>
          <w:p>
            <w:pPr>
              <w:spacing w:after="0"/>
              <w:rPr>
                <w:sz w:val="3"/>
                <w:szCs w:val="3"/>
                <w:color w:val="auto"/>
              </w:rPr>
            </w:pPr>
          </w:p>
        </w:tc>
        <w:tc>
          <w:tcPr>
            <w:tcW w:w="1020" w:type="dxa"/>
            <w:vAlign w:val="bottom"/>
            <w:tcBorders>
              <w:bottom w:val="single" w:sz="8" w:color="231F20"/>
              <w:right w:val="single" w:sz="8" w:color="231F20"/>
            </w:tcBorders>
          </w:tcPr>
          <w:p>
            <w:pPr>
              <w:spacing w:after="0"/>
              <w:rPr>
                <w:sz w:val="3"/>
                <w:szCs w:val="3"/>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2724150</wp:posOffset>
                </wp:positionH>
                <wp:positionV relativeFrom="paragraph">
                  <wp:posOffset>-1120775</wp:posOffset>
                </wp:positionV>
                <wp:extent cx="2266950" cy="0"/>
                <wp:wrapNone/>
                <wp:docPr id="388" name="Shape 3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66950" cy="4763"/>
                        </a:xfrm>
                        <a:prstGeom prst="line">
                          <a:avLst/>
                        </a:prstGeom>
                        <a:solidFill>
                          <a:srgbClr val="FFFFFF"/>
                        </a:solidFill>
                        <a:ln w="12700">
                          <a:solidFill>
                            <a:srgbClr val="FFFFFF"/>
                          </a:solidFill>
                          <a:miter lim="800000"/>
                          <a:headEnd/>
                          <a:tailEnd/>
                        </a:ln>
                      </wps:spPr>
                      <wps:bodyPr/>
                    </wps:wsp>
                  </a:graphicData>
                </a:graphic>
              </wp:anchor>
            </w:drawing>
          </mc:Choice>
          <mc:Fallback>
            <w:pict>
              <v:line id="Shape 388" o:spid="_x0000_s141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4.5pt,-88.2499pt" to="393pt,-88.2499pt" o:allowincell="f" strokecolor="#FFFFFF" strokeweight="1pt"/>
            </w:pict>
          </mc:Fallback>
        </mc:AlternateContent>
        <mc:AlternateContent>
          <mc:Choice Requires="wps">
            <w:drawing>
              <wp:anchor simplePos="0" relativeHeight="251657728" behindDoc="1" locked="0" layoutInCell="0" allowOverlap="1">
                <wp:simplePos x="0" y="0"/>
                <wp:positionH relativeFrom="column">
                  <wp:posOffset>5067300</wp:posOffset>
                </wp:positionH>
                <wp:positionV relativeFrom="paragraph">
                  <wp:posOffset>-1120775</wp:posOffset>
                </wp:positionV>
                <wp:extent cx="1327150" cy="0"/>
                <wp:wrapNone/>
                <wp:docPr id="389" name="Shape 3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27150" cy="4763"/>
                        </a:xfrm>
                        <a:prstGeom prst="line">
                          <a:avLst/>
                        </a:prstGeom>
                        <a:solidFill>
                          <a:srgbClr val="FFFFFF"/>
                        </a:solidFill>
                        <a:ln w="12700">
                          <a:solidFill>
                            <a:srgbClr val="FFFFFF"/>
                          </a:solidFill>
                          <a:miter lim="800000"/>
                          <a:headEnd/>
                          <a:tailEnd/>
                        </a:ln>
                      </wps:spPr>
                      <wps:bodyPr/>
                    </wps:wsp>
                  </a:graphicData>
                </a:graphic>
              </wp:anchor>
            </w:drawing>
          </mc:Choice>
          <mc:Fallback>
            <w:pict>
              <v:line id="Shape 389" o:spid="_x0000_s141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9pt,-88.2499pt" to="503.5pt,-88.2499pt" o:allowincell="f" strokecolor="#FFFFFF" strokeweight="1pt"/>
            </w:pict>
          </mc:Fallback>
        </mc:AlternateContent>
      </w:r>
    </w:p>
    <w:p>
      <w:pPr>
        <w:spacing w:after="0" w:line="272"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231F20"/>
        </w:rPr>
        <w:t>The Compensation Committee has the right to increase or decrease each NEO’s award under our long-term incentive program by up to 20% to reflect individual performance and chose not to exercise that discretion for any of our NEOs. See the discussions below for the factors considered by the Compensation Committee in determining the final long-term incentive awards payable to our NEOs for the 2023 through 2025 performance period.</w:t>
      </w:r>
    </w:p>
    <w:p>
      <w:pPr>
        <w:spacing w:after="0" w:line="247"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231F20"/>
        </w:rPr>
        <w:t>The equity awards under our long-term incentive program are paid in the form of restricted shares that are issued after completion of the 3-year performance period and then vest equally over an additional period of 3 years from the date they are earned and issued. As a result, each NEO is required to hold all of their earned shares for 1 year after they have been earned, two-thirds of their earned shares for 2 years after they are earned and one-third of their earned shares for 3 years after they are earned.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300"/>
        </w:trPr>
        <w:tc>
          <w:tcPr>
            <w:tcW w:w="1180" w:type="dxa"/>
            <w:vAlign w:val="bottom"/>
            <w:tcBorders>
              <w:bottom w:val="single" w:sz="8" w:color="EF3E2A"/>
            </w:tcBorders>
            <w:shd w:val="clear" w:color="auto" w:fill="EF3E2A"/>
          </w:tcPr>
          <w:p>
            <w:pPr>
              <w:spacing w:after="0"/>
              <w:rPr>
                <w:sz w:val="24"/>
                <w:szCs w:val="24"/>
                <w:color w:val="auto"/>
              </w:rPr>
            </w:pPr>
          </w:p>
        </w:tc>
        <w:tc>
          <w:tcPr>
            <w:tcW w:w="2820" w:type="dxa"/>
            <w:vAlign w:val="bottom"/>
            <w:tcBorders>
              <w:bottom w:val="single" w:sz="8" w:color="EF3E2A"/>
            </w:tcBorders>
            <w:gridSpan w:val="2"/>
            <w:shd w:val="clear" w:color="auto" w:fill="EF3E2A"/>
          </w:tcPr>
          <w:p>
            <w:pPr>
              <w:ind w:left="220"/>
              <w:spacing w:after="0"/>
              <w:rPr>
                <w:sz w:val="20"/>
                <w:szCs w:val="20"/>
                <w:color w:val="auto"/>
              </w:rPr>
            </w:pPr>
            <w:r>
              <w:rPr>
                <w:rFonts w:ascii="Arial" w:cs="Arial" w:eastAsia="Arial" w:hAnsi="Arial"/>
                <w:sz w:val="20"/>
                <w:szCs w:val="20"/>
                <w:b w:val="1"/>
                <w:bCs w:val="1"/>
                <w:color w:val="FFFFFF"/>
              </w:rPr>
              <w:t>Performance Period</w:t>
            </w:r>
          </w:p>
        </w:tc>
        <w:tc>
          <w:tcPr>
            <w:tcW w:w="2860" w:type="dxa"/>
            <w:vAlign w:val="bottom"/>
            <w:tcBorders>
              <w:bottom w:val="single" w:sz="8" w:color="EF3E2A"/>
            </w:tcBorders>
            <w:shd w:val="clear" w:color="auto" w:fill="EF3E2A"/>
          </w:tcPr>
          <w:p>
            <w:pPr>
              <w:ind w:left="400"/>
              <w:spacing w:after="0"/>
              <w:rPr>
                <w:sz w:val="20"/>
                <w:szCs w:val="20"/>
                <w:color w:val="auto"/>
              </w:rPr>
            </w:pPr>
            <w:r>
              <w:rPr>
                <w:rFonts w:ascii="Arial" w:cs="Arial" w:eastAsia="Arial" w:hAnsi="Arial"/>
                <w:sz w:val="20"/>
                <w:szCs w:val="20"/>
                <w:b w:val="1"/>
                <w:bCs w:val="1"/>
                <w:color w:val="FFFFFF"/>
              </w:rPr>
              <w:t>Award Earned</w:t>
            </w:r>
          </w:p>
        </w:tc>
        <w:tc>
          <w:tcPr>
            <w:tcW w:w="1620" w:type="dxa"/>
            <w:vAlign w:val="bottom"/>
            <w:tcBorders>
              <w:bottom w:val="single" w:sz="8" w:color="EF3E2A"/>
            </w:tcBorders>
            <w:shd w:val="clear" w:color="auto" w:fill="EF3E2A"/>
          </w:tcPr>
          <w:p>
            <w:pPr>
              <w:jc w:val="center"/>
              <w:spacing w:after="0"/>
              <w:rPr>
                <w:sz w:val="20"/>
                <w:szCs w:val="20"/>
                <w:color w:val="auto"/>
              </w:rPr>
            </w:pPr>
            <w:r>
              <w:rPr>
                <w:rFonts w:ascii="Arial" w:cs="Arial" w:eastAsia="Arial" w:hAnsi="Arial"/>
                <w:sz w:val="20"/>
                <w:szCs w:val="20"/>
                <w:b w:val="1"/>
                <w:bCs w:val="1"/>
                <w:color w:val="FFFFFF"/>
                <w:w w:val="99"/>
              </w:rPr>
              <w:t>Shares Vest</w:t>
            </w:r>
          </w:p>
        </w:tc>
        <w:tc>
          <w:tcPr>
            <w:tcW w:w="1600" w:type="dxa"/>
            <w:vAlign w:val="bottom"/>
            <w:tcBorders>
              <w:bottom w:val="single" w:sz="8" w:color="EF3E2A"/>
            </w:tcBorders>
            <w:shd w:val="clear" w:color="auto" w:fill="EF3E2A"/>
          </w:tcPr>
          <w:p>
            <w:pPr>
              <w:spacing w:after="0"/>
              <w:rPr>
                <w:sz w:val="24"/>
                <w:szCs w:val="24"/>
                <w:color w:val="auto"/>
              </w:rPr>
            </w:pPr>
          </w:p>
        </w:tc>
      </w:tr>
      <w:tr>
        <w:trPr>
          <w:trHeight w:val="459"/>
        </w:trPr>
        <w:tc>
          <w:tcPr>
            <w:tcW w:w="1180" w:type="dxa"/>
            <w:vAlign w:val="bottom"/>
          </w:tcPr>
          <w:p>
            <w:pPr>
              <w:ind w:left="400"/>
              <w:spacing w:after="0"/>
              <w:rPr>
                <w:sz w:val="20"/>
                <w:szCs w:val="20"/>
                <w:color w:val="auto"/>
              </w:rPr>
            </w:pPr>
            <w:r>
              <w:rPr>
                <w:rFonts w:ascii="Arial" w:cs="Arial" w:eastAsia="Arial" w:hAnsi="Arial"/>
                <w:sz w:val="19"/>
                <w:szCs w:val="19"/>
                <w:color w:val="231F20"/>
              </w:rPr>
              <w:t>Year 1</w:t>
            </w:r>
          </w:p>
        </w:tc>
        <w:tc>
          <w:tcPr>
            <w:tcW w:w="1500" w:type="dxa"/>
            <w:vAlign w:val="bottom"/>
          </w:tcPr>
          <w:p>
            <w:pPr>
              <w:ind w:left="560"/>
              <w:spacing w:after="0"/>
              <w:rPr>
                <w:sz w:val="20"/>
                <w:szCs w:val="20"/>
                <w:color w:val="auto"/>
              </w:rPr>
            </w:pPr>
            <w:r>
              <w:rPr>
                <w:rFonts w:ascii="Arial" w:cs="Arial" w:eastAsia="Arial" w:hAnsi="Arial"/>
                <w:sz w:val="19"/>
                <w:szCs w:val="19"/>
                <w:color w:val="231F20"/>
              </w:rPr>
              <w:t>Year 2</w:t>
            </w:r>
          </w:p>
        </w:tc>
        <w:tc>
          <w:tcPr>
            <w:tcW w:w="1320" w:type="dxa"/>
            <w:vAlign w:val="bottom"/>
          </w:tcPr>
          <w:p>
            <w:pPr>
              <w:ind w:left="400"/>
              <w:spacing w:after="0"/>
              <w:rPr>
                <w:sz w:val="20"/>
                <w:szCs w:val="20"/>
                <w:color w:val="auto"/>
              </w:rPr>
            </w:pPr>
            <w:r>
              <w:rPr>
                <w:rFonts w:ascii="Arial" w:cs="Arial" w:eastAsia="Arial" w:hAnsi="Arial"/>
                <w:sz w:val="19"/>
                <w:szCs w:val="19"/>
                <w:color w:val="231F20"/>
              </w:rPr>
              <w:t>Year 3</w:t>
            </w:r>
          </w:p>
        </w:tc>
        <w:tc>
          <w:tcPr>
            <w:tcW w:w="2860" w:type="dxa"/>
            <w:vAlign w:val="bottom"/>
          </w:tcPr>
          <w:p>
            <w:pPr>
              <w:ind w:left="2100"/>
              <w:spacing w:after="0"/>
              <w:rPr>
                <w:sz w:val="20"/>
                <w:szCs w:val="20"/>
                <w:color w:val="auto"/>
              </w:rPr>
            </w:pPr>
            <w:r>
              <w:rPr>
                <w:rFonts w:ascii="Arial" w:cs="Arial" w:eastAsia="Arial" w:hAnsi="Arial"/>
                <w:sz w:val="19"/>
                <w:szCs w:val="19"/>
                <w:color w:val="231F20"/>
              </w:rPr>
              <w:t>Year 4</w:t>
            </w:r>
          </w:p>
        </w:tc>
        <w:tc>
          <w:tcPr>
            <w:tcW w:w="1620" w:type="dxa"/>
            <w:vAlign w:val="bottom"/>
          </w:tcPr>
          <w:p>
            <w:pPr>
              <w:jc w:val="center"/>
              <w:spacing w:after="0"/>
              <w:rPr>
                <w:sz w:val="20"/>
                <w:szCs w:val="20"/>
                <w:color w:val="auto"/>
              </w:rPr>
            </w:pPr>
            <w:r>
              <w:rPr>
                <w:rFonts w:ascii="Arial" w:cs="Arial" w:eastAsia="Arial" w:hAnsi="Arial"/>
                <w:sz w:val="19"/>
                <w:szCs w:val="19"/>
                <w:color w:val="231F20"/>
                <w:w w:val="99"/>
              </w:rPr>
              <w:t>Year 5</w:t>
            </w:r>
          </w:p>
        </w:tc>
        <w:tc>
          <w:tcPr>
            <w:tcW w:w="1600" w:type="dxa"/>
            <w:vAlign w:val="bottom"/>
          </w:tcPr>
          <w:p>
            <w:pPr>
              <w:ind w:left="260"/>
              <w:spacing w:after="0"/>
              <w:rPr>
                <w:sz w:val="20"/>
                <w:szCs w:val="20"/>
                <w:color w:val="auto"/>
              </w:rPr>
            </w:pPr>
            <w:r>
              <w:rPr>
                <w:rFonts w:ascii="Arial" w:cs="Arial" w:eastAsia="Arial" w:hAnsi="Arial"/>
                <w:sz w:val="19"/>
                <w:szCs w:val="19"/>
                <w:color w:val="231F20"/>
              </w:rPr>
              <w:t>Year 6</w:t>
            </w:r>
          </w:p>
        </w:tc>
      </w:tr>
      <w:tr>
        <w:trPr>
          <w:trHeight w:val="321"/>
        </w:trPr>
        <w:tc>
          <w:tcPr>
            <w:tcW w:w="1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60" w:type="dxa"/>
            <w:vAlign w:val="bottom"/>
          </w:tcPr>
          <w:p>
            <w:pPr>
              <w:ind w:left="360"/>
              <w:spacing w:after="0"/>
              <w:rPr>
                <w:sz w:val="20"/>
                <w:szCs w:val="20"/>
                <w:color w:val="auto"/>
              </w:rPr>
            </w:pPr>
            <w:r>
              <w:rPr>
                <w:rFonts w:ascii="Arial" w:cs="Arial" w:eastAsia="Arial" w:hAnsi="Arial"/>
                <w:sz w:val="19"/>
                <w:szCs w:val="19"/>
                <w:color w:val="231F20"/>
              </w:rPr>
              <w:t>Shares issued</w:t>
            </w:r>
          </w:p>
        </w:tc>
        <w:tc>
          <w:tcPr>
            <w:tcW w:w="1620" w:type="dxa"/>
            <w:vAlign w:val="bottom"/>
          </w:tcPr>
          <w:p>
            <w:pPr>
              <w:spacing w:after="0"/>
              <w:rPr>
                <w:sz w:val="24"/>
                <w:szCs w:val="24"/>
                <w:color w:val="auto"/>
              </w:rPr>
            </w:pPr>
          </w:p>
        </w:tc>
        <w:tc>
          <w:tcPr>
            <w:tcW w:w="16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276225</wp:posOffset>
            </wp:positionH>
            <wp:positionV relativeFrom="paragraph">
              <wp:posOffset>-205740</wp:posOffset>
            </wp:positionV>
            <wp:extent cx="5756275" cy="24447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102">
                      <a:extLst>
                        <a:ext uri="{28A0092B-C50C-407E-A947-70E740481C1C}"/>
                      </a:extLst>
                    </a:blip>
                    <a:srcRect/>
                    <a:stretch>
                      <a:fillRect/>
                    </a:stretch>
                  </pic:blipFill>
                  <pic:spPr bwMode="auto">
                    <a:xfrm>
                      <a:off x="0" y="0"/>
                      <a:ext cx="5756275" cy="244475"/>
                    </a:xfrm>
                    <a:prstGeom prst="rect">
                      <a:avLst/>
                    </a:prstGeom>
                    <a:noFill/>
                  </pic:spPr>
                </pic:pic>
              </a:graphicData>
            </a:graphic>
          </wp:anchor>
        </w:drawing>
      </w:r>
    </w:p>
    <w:p>
      <w:pPr>
        <w:spacing w:after="0" w:line="316"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231F20"/>
        </w:rPr>
        <w:t>The actual number of shares awarded to each of our NEOs is determined by dividing the amount of the award by the closing price of our shares on the NYSE on the date the awards are made.</w:t>
      </w:r>
    </w:p>
    <w:p>
      <w:pPr>
        <w:spacing w:after="0" w:line="250"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231F20"/>
        </w:rPr>
        <w:t>There is no amount included in the Summary Compensation Table or Grants of Plan-Based Awards Table in this proxy statement for long-term incentive awards earned for the 2023-2025 performance period. Those amounts will be included in next year’s proxy statement. The long-term incentive awards included in the Summary Compensation Table and the Grants of Plan-Based Awards Table for our NEOs in this proxy statement relate to awards made in February 2025 for the 3-year performance period ending December 31, 2024.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2190750</wp:posOffset>
                </wp:positionV>
                <wp:extent cx="6400800" cy="177800"/>
                <wp:wrapNone/>
                <wp:docPr id="391" name="Shape 3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177800"/>
                        </a:xfrm>
                        <a:prstGeom prst="rect">
                          <a:avLst/>
                        </a:prstGeom>
                        <a:solidFill>
                          <a:srgbClr val="E8E7E5"/>
                        </a:solidFill>
                      </wps:spPr>
                      <wps:bodyPr/>
                    </wps:wsp>
                  </a:graphicData>
                </a:graphic>
              </wp:anchor>
            </w:drawing>
          </mc:Choice>
          <mc:Fallback>
            <w:pict>
              <v:rect id="Shape 391" o:spid="_x0000_s1416" style="position:absolute;margin-left:0pt;margin-top:172.5pt;width:504pt;height:1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8E7E5" stroked="f"/>
            </w:pict>
          </mc:Fallback>
        </mc:AlternateContent>
        <mc:AlternateContent>
          <mc:Choice Requires="wps">
            <w:drawing>
              <wp:anchor simplePos="0" relativeHeight="251657728" behindDoc="1" locked="0" layoutInCell="0" allowOverlap="1">
                <wp:simplePos x="0" y="0"/>
                <wp:positionH relativeFrom="column">
                  <wp:posOffset>6350</wp:posOffset>
                </wp:positionH>
                <wp:positionV relativeFrom="paragraph">
                  <wp:posOffset>2190750</wp:posOffset>
                </wp:positionV>
                <wp:extent cx="0" cy="177800"/>
                <wp:wrapNone/>
                <wp:docPr id="392" name="Shape 3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392" o:spid="_x0000_s141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pt,172.5pt" to="0.5pt,186.5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2197100</wp:posOffset>
                </wp:positionV>
                <wp:extent cx="6400800" cy="0"/>
                <wp:wrapNone/>
                <wp:docPr id="393" name="Shape 3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393" o:spid="_x0000_s141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73pt" to="504pt,173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6394450</wp:posOffset>
                </wp:positionH>
                <wp:positionV relativeFrom="paragraph">
                  <wp:posOffset>2190750</wp:posOffset>
                </wp:positionV>
                <wp:extent cx="0" cy="177800"/>
                <wp:wrapNone/>
                <wp:docPr id="394" name="Shape 3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394" o:spid="_x0000_s141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3.5pt,172.5pt" to="503.5pt,186.5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2362200</wp:posOffset>
                </wp:positionV>
                <wp:extent cx="6400800" cy="0"/>
                <wp:wrapNone/>
                <wp:docPr id="395" name="Shape 3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395" o:spid="_x0000_s142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86pt" to="504pt,186pt" o:allowincell="f" strokecolor="#231F20" strokeweight="1pt"/>
            </w:pict>
          </mc:Fallback>
        </mc:AlternateContent>
      </w:r>
    </w:p>
    <w:p>
      <w:pPr>
        <w:sectPr>
          <w:pgSz w:w="11880" w:h="15480" w:orient="portrait"/>
          <w:cols w:equalWidth="0" w:num="1">
            <w:col w:w="10080"/>
          </w:cols>
          <w:pgMar w:left="900" w:top="1316" w:right="900" w:bottom="76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80"/>
        <w:spacing w:after="0"/>
        <w:tabs>
          <w:tab w:leader="none" w:pos="1420" w:val="left"/>
          <w:tab w:leader="none" w:pos="3160" w:val="left"/>
        </w:tabs>
        <w:rPr>
          <w:sz w:val="20"/>
          <w:szCs w:val="20"/>
          <w:color w:val="auto"/>
        </w:rPr>
      </w:pPr>
      <w:r>
        <w:rPr>
          <w:rFonts w:ascii="Arial" w:cs="Arial" w:eastAsia="Arial" w:hAnsi="Arial"/>
          <w:sz w:val="16"/>
          <w:szCs w:val="16"/>
          <w:color w:val="EF3E2A"/>
        </w:rPr>
        <w:t>Federal Realty</w:t>
      </w:r>
      <w:r>
        <w:rPr>
          <w:sz w:val="20"/>
          <w:szCs w:val="20"/>
          <w:color w:val="auto"/>
        </w:rPr>
        <w:tab/>
      </w:r>
      <w:r>
        <w:rPr>
          <w:rFonts w:ascii="Arial" w:cs="Arial" w:eastAsia="Arial" w:hAnsi="Arial"/>
          <w:sz w:val="16"/>
          <w:szCs w:val="16"/>
          <w:color w:val="231F20"/>
        </w:rPr>
        <w:t>2026 Proxy Statement</w:t>
        <w:tab/>
        <w:t>26</w:t>
      </w:r>
    </w:p>
    <w:p>
      <w:pPr>
        <w:sectPr>
          <w:pgSz w:w="11880" w:h="15480" w:orient="portrait"/>
          <w:cols w:equalWidth="0" w:num="1">
            <w:col w:w="10080"/>
          </w:cols>
          <w:pgMar w:left="900" w:top="1316" w:right="900" w:bottom="763" w:gutter="0" w:footer="0" w:header="0"/>
          <w:type w:val="continuous"/>
        </w:sectPr>
      </w:pPr>
    </w:p>
    <w:bookmarkStart w:id="146" w:name="page147"/>
    <w:bookmarkEnd w:id="146"/>
    <w:p>
      <w:pPr>
        <w:ind w:left="140"/>
        <w:spacing w:after="0"/>
        <w:rPr>
          <w:sz w:val="20"/>
          <w:szCs w:val="20"/>
          <w:color w:val="auto"/>
        </w:rPr>
      </w:pPr>
      <w:r>
        <w:rPr>
          <w:rFonts w:ascii="Arial" w:cs="Arial" w:eastAsia="Arial" w:hAnsi="Arial"/>
          <w:sz w:val="28"/>
          <w:szCs w:val="28"/>
          <w:b w:val="1"/>
          <w:bCs w:val="1"/>
          <w:color w:val="EF3E2A"/>
        </w:rPr>
        <mc:AlternateContent>
          <mc:Choice Requires="wps">
            <w:drawing>
              <wp:anchor simplePos="0" relativeHeight="251657728" behindDoc="1" locked="0" layoutInCell="0" allowOverlap="1">
                <wp:simplePos x="0" y="0"/>
                <wp:positionH relativeFrom="page">
                  <wp:posOffset>571500</wp:posOffset>
                </wp:positionH>
                <wp:positionV relativeFrom="page">
                  <wp:posOffset>828675</wp:posOffset>
                </wp:positionV>
                <wp:extent cx="6400800" cy="0"/>
                <wp:wrapNone/>
                <wp:docPr id="396" name="Shape 3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396" o:spid="_x0000_s142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5pt,65.25pt" to="549pt,65.25pt" o:allowincell="f" strokecolor="#231F20" strokeweight="0.5pt">
                <w10:wrap anchorx="page" anchory="page"/>
              </v:line>
            </w:pict>
          </mc:Fallback>
        </mc:AlternateContent>
        <w:t>2025 N</w:t>
      </w:r>
      <w:r>
        <w:rPr>
          <w:rFonts w:ascii="Arial" w:cs="Arial" w:eastAsia="Arial" w:hAnsi="Arial"/>
          <w:sz w:val="21"/>
          <w:szCs w:val="21"/>
          <w:b w:val="1"/>
          <w:bCs w:val="1"/>
          <w:color w:val="EF3E2A"/>
        </w:rPr>
        <w:t>EO</w:t>
      </w:r>
      <w:r>
        <w:rPr>
          <w:rFonts w:ascii="Arial" w:cs="Arial" w:eastAsia="Arial" w:hAnsi="Arial"/>
          <w:sz w:val="28"/>
          <w:szCs w:val="28"/>
          <w:b w:val="1"/>
          <w:bCs w:val="1"/>
          <w:color w:val="EF3E2A"/>
        </w:rPr>
        <w:t xml:space="preserve"> P</w:t>
      </w:r>
      <w:r>
        <w:rPr>
          <w:rFonts w:ascii="Arial" w:cs="Arial" w:eastAsia="Arial" w:hAnsi="Arial"/>
          <w:sz w:val="21"/>
          <w:szCs w:val="21"/>
          <w:b w:val="1"/>
          <w:bCs w:val="1"/>
          <w:color w:val="EF3E2A"/>
        </w:rPr>
        <w:t>ERFORMANCE</w:t>
      </w:r>
      <w:r>
        <w:rPr>
          <w:rFonts w:ascii="Arial" w:cs="Arial" w:eastAsia="Arial" w:hAnsi="Arial"/>
          <w:sz w:val="28"/>
          <w:szCs w:val="28"/>
          <w:b w:val="1"/>
          <w:bCs w:val="1"/>
          <w:color w:val="EF3E2A"/>
        </w:rPr>
        <w:t xml:space="preserve"> S</w:t>
      </w:r>
      <w:r>
        <w:rPr>
          <w:rFonts w:ascii="Arial" w:cs="Arial" w:eastAsia="Arial" w:hAnsi="Arial"/>
          <w:sz w:val="21"/>
          <w:szCs w:val="21"/>
          <w:b w:val="1"/>
          <w:bCs w:val="1"/>
          <w:color w:val="EF3E2A"/>
        </w:rPr>
        <w:t>UMMARY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-1905</wp:posOffset>
                </wp:positionV>
                <wp:extent cx="6400800" cy="0"/>
                <wp:wrapNone/>
                <wp:docPr id="397" name="Shape 3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397" o:spid="_x0000_s142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0.1499pt" to="504pt,-0.1499pt" o:allowincell="f" strokecolor="#231F20" strokeweight="0.5pt"/>
            </w:pict>
          </mc:Fallback>
        </mc:AlternateContent>
      </w:r>
    </w:p>
    <w:p>
      <w:pPr>
        <w:spacing w:after="0" w:line="249"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231F20"/>
        </w:rPr>
        <w:t>Listed below are the individual performance achievements for each of our NEOs that the Compensation Committee considered to be instrumental in its determination to award each of our NEO’s the full amount of compensation he or she was eligible to receive for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103505</wp:posOffset>
            </wp:positionV>
            <wp:extent cx="6400800" cy="223774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103">
                      <a:extLst>
                        <a:ext uri="{28A0092B-C50C-407E-A947-70E740481C1C}"/>
                      </a:extLst>
                    </a:blip>
                    <a:srcRect/>
                    <a:stretch>
                      <a:fillRect/>
                    </a:stretch>
                  </pic:blipFill>
                  <pic:spPr bwMode="auto">
                    <a:xfrm>
                      <a:off x="0" y="0"/>
                      <a:ext cx="6400800" cy="2237740"/>
                    </a:xfrm>
                    <a:prstGeom prst="rect">
                      <a:avLst/>
                    </a:prstGeom>
                    <a:noFill/>
                  </pic:spPr>
                </pic:pic>
              </a:graphicData>
            </a:graphic>
          </wp:anchor>
        </w:drawing>
      </w:r>
    </w:p>
    <w:p>
      <w:pPr>
        <w:sectPr>
          <w:pgSz w:w="11880" w:h="15480" w:orient="portrait"/>
          <w:cols w:equalWidth="0" w:num="1">
            <w:col w:w="10080"/>
          </w:cols>
          <w:pgMar w:left="900" w:top="1326" w:right="900" w:bottom="76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200"/>
        <w:spacing w:after="0"/>
        <w:rPr>
          <w:sz w:val="20"/>
          <w:szCs w:val="20"/>
          <w:color w:val="auto"/>
        </w:rPr>
      </w:pPr>
      <w:r>
        <w:rPr>
          <w:rFonts w:ascii="Arial" w:cs="Arial" w:eastAsia="Arial" w:hAnsi="Arial"/>
          <w:sz w:val="20"/>
          <w:szCs w:val="20"/>
          <w:color w:val="EF3E2A"/>
        </w:rPr>
        <w:t>Donald C. Wood</w:t>
      </w:r>
    </w:p>
    <w:p>
      <w:pPr>
        <w:spacing w:after="0" w:line="10" w:lineRule="exact"/>
        <w:rPr>
          <w:sz w:val="20"/>
          <w:szCs w:val="20"/>
          <w:color w:val="auto"/>
        </w:rPr>
      </w:pPr>
    </w:p>
    <w:p>
      <w:pPr>
        <w:ind w:left="500"/>
        <w:spacing w:after="0"/>
        <w:rPr>
          <w:sz w:val="20"/>
          <w:szCs w:val="20"/>
          <w:color w:val="auto"/>
        </w:rPr>
      </w:pPr>
      <w:r>
        <w:rPr>
          <w:rFonts w:ascii="Arial" w:cs="Arial" w:eastAsia="Arial" w:hAnsi="Arial"/>
          <w:sz w:val="20"/>
          <w:szCs w:val="20"/>
          <w:color w:val="231F20"/>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200"/>
        <w:spacing w:after="0"/>
        <w:rPr>
          <w:sz w:val="20"/>
          <w:szCs w:val="20"/>
          <w:color w:val="auto"/>
        </w:rPr>
      </w:pPr>
      <w:r>
        <w:rPr>
          <w:rFonts w:ascii="Arial" w:cs="Arial" w:eastAsia="Arial" w:hAnsi="Arial"/>
          <w:sz w:val="18"/>
          <w:szCs w:val="18"/>
          <w:color w:val="EF3E2A"/>
        </w:rPr>
        <w:t>2025 Compensation (in 000s)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40" w:type="dxa"/>
            <w:vAlign w:val="bottom"/>
            <w:shd w:val="clear" w:color="auto" w:fill="E6E7E8"/>
          </w:tcPr>
          <w:p>
            <w:pPr>
              <w:ind w:left="360"/>
              <w:spacing w:after="0"/>
              <w:rPr>
                <w:sz w:val="20"/>
                <w:szCs w:val="20"/>
                <w:color w:val="auto"/>
              </w:rPr>
            </w:pPr>
            <w:r>
              <w:rPr>
                <w:rFonts w:ascii="Arial" w:cs="Arial" w:eastAsia="Arial" w:hAnsi="Arial"/>
                <w:sz w:val="16"/>
                <w:szCs w:val="16"/>
                <w:color w:val="231F20"/>
              </w:rPr>
              <w:t>Base Pay</w:t>
            </w:r>
          </w:p>
        </w:tc>
        <w:tc>
          <w:tcPr>
            <w:tcW w:w="480" w:type="dxa"/>
            <w:vAlign w:val="bottom"/>
            <w:shd w:val="clear" w:color="auto" w:fill="E6E7E8"/>
          </w:tcPr>
          <w:p>
            <w:pPr>
              <w:spacing w:after="0"/>
              <w:rPr>
                <w:sz w:val="20"/>
                <w:szCs w:val="20"/>
                <w:color w:val="auto"/>
              </w:rPr>
            </w:pPr>
            <w:r>
              <w:rPr>
                <w:rFonts w:ascii="Arial" w:cs="Arial" w:eastAsia="Arial" w:hAnsi="Arial"/>
                <w:sz w:val="16"/>
                <w:szCs w:val="16"/>
                <w:color w:val="231F20"/>
                <w:w w:val="93"/>
                <w:shd w:val="clear" w:color="auto" w:fill="E6E7E8"/>
              </w:rPr>
              <w:t>$1,000</w:t>
            </w:r>
          </w:p>
        </w:tc>
        <w:tc>
          <w:tcPr>
            <w:tcW w:w="200" w:type="dxa"/>
            <w:vAlign w:val="bottom"/>
            <w:shd w:val="clear" w:color="auto" w:fill="E6E7E8"/>
          </w:tcPr>
          <w:p>
            <w:pPr>
              <w:spacing w:after="0"/>
              <w:rPr>
                <w:sz w:val="18"/>
                <w:szCs w:val="18"/>
                <w:color w:val="auto"/>
              </w:rPr>
            </w:pPr>
          </w:p>
        </w:tc>
      </w:tr>
      <w:tr>
        <w:trPr>
          <w:trHeight w:val="240"/>
        </w:trPr>
        <w:tc>
          <w:tcPr>
            <w:tcW w:w="2340" w:type="dxa"/>
            <w:vAlign w:val="bottom"/>
            <w:shd w:val="clear" w:color="auto" w:fill="E6E7E8"/>
          </w:tcPr>
          <w:p>
            <w:pPr>
              <w:ind w:left="360"/>
              <w:spacing w:after="0"/>
              <w:rPr>
                <w:sz w:val="20"/>
                <w:szCs w:val="20"/>
                <w:color w:val="auto"/>
              </w:rPr>
            </w:pPr>
            <w:r>
              <w:rPr>
                <w:rFonts w:ascii="Arial" w:cs="Arial" w:eastAsia="Arial" w:hAnsi="Arial"/>
                <w:sz w:val="16"/>
                <w:szCs w:val="16"/>
                <w:color w:val="231F20"/>
              </w:rPr>
              <w:t>Annual Bonus</w:t>
            </w:r>
          </w:p>
        </w:tc>
        <w:tc>
          <w:tcPr>
            <w:tcW w:w="680" w:type="dxa"/>
            <w:vAlign w:val="bottom"/>
            <w:gridSpan w:val="2"/>
            <w:shd w:val="clear" w:color="auto" w:fill="E6E7E8"/>
          </w:tcPr>
          <w:p>
            <w:pPr>
              <w:spacing w:after="0"/>
              <w:rPr>
                <w:sz w:val="20"/>
                <w:szCs w:val="20"/>
                <w:color w:val="auto"/>
              </w:rPr>
            </w:pPr>
            <w:r>
              <w:rPr>
                <w:rFonts w:ascii="Arial" w:cs="Arial" w:eastAsia="Arial" w:hAnsi="Arial"/>
                <w:sz w:val="16"/>
                <w:szCs w:val="16"/>
                <w:color w:val="231F20"/>
              </w:rPr>
              <w:t>$1,800</w:t>
            </w:r>
          </w:p>
        </w:tc>
      </w:tr>
      <w:tr>
        <w:trPr>
          <w:trHeight w:val="283"/>
        </w:trPr>
        <w:tc>
          <w:tcPr>
            <w:tcW w:w="2340" w:type="dxa"/>
            <w:vAlign w:val="bottom"/>
            <w:tcBorders>
              <w:bottom w:val="single" w:sz="8" w:color="E6E7E8"/>
            </w:tcBorders>
            <w:shd w:val="clear" w:color="auto" w:fill="E6E7E8"/>
          </w:tcPr>
          <w:p>
            <w:pPr>
              <w:ind w:left="360"/>
              <w:spacing w:after="0"/>
              <w:rPr>
                <w:sz w:val="20"/>
                <w:szCs w:val="20"/>
                <w:color w:val="auto"/>
              </w:rPr>
            </w:pPr>
            <w:r>
              <w:rPr>
                <w:rFonts w:ascii="Arial" w:cs="Arial" w:eastAsia="Arial" w:hAnsi="Arial"/>
                <w:sz w:val="16"/>
                <w:szCs w:val="16"/>
                <w:color w:val="231F20"/>
              </w:rPr>
              <w:t>Long-Term Equity</w:t>
            </w:r>
          </w:p>
        </w:tc>
        <w:tc>
          <w:tcPr>
            <w:tcW w:w="680" w:type="dxa"/>
            <w:vAlign w:val="bottom"/>
            <w:tcBorders>
              <w:bottom w:val="single" w:sz="8" w:color="E6E7E8"/>
            </w:tcBorders>
            <w:gridSpan w:val="2"/>
            <w:shd w:val="clear" w:color="auto" w:fill="E6E7E8"/>
          </w:tcPr>
          <w:p>
            <w:pPr>
              <w:spacing w:after="0"/>
              <w:rPr>
                <w:sz w:val="20"/>
                <w:szCs w:val="20"/>
                <w:color w:val="auto"/>
              </w:rPr>
            </w:pPr>
            <w:r>
              <w:rPr>
                <w:rFonts w:ascii="Arial" w:cs="Arial" w:eastAsia="Arial" w:hAnsi="Arial"/>
                <w:sz w:val="16"/>
                <w:szCs w:val="16"/>
                <w:color w:val="231F20"/>
              </w:rPr>
              <w:t>$6,274</w:t>
            </w:r>
          </w:p>
        </w:tc>
      </w:tr>
      <w:tr>
        <w:trPr>
          <w:trHeight w:val="222"/>
        </w:trPr>
        <w:tc>
          <w:tcPr>
            <w:tcW w:w="2340" w:type="dxa"/>
            <w:vAlign w:val="bottom"/>
            <w:tcBorders>
              <w:top w:val="single" w:sz="8" w:color="E6E7E8"/>
            </w:tcBorders>
            <w:shd w:val="clear" w:color="auto" w:fill="E6E7E8"/>
          </w:tcPr>
          <w:p>
            <w:pPr>
              <w:ind w:left="360"/>
              <w:spacing w:after="0"/>
              <w:rPr>
                <w:sz w:val="20"/>
                <w:szCs w:val="20"/>
                <w:color w:val="auto"/>
              </w:rPr>
            </w:pPr>
            <w:r>
              <w:rPr>
                <w:rFonts w:ascii="Arial" w:cs="Arial" w:eastAsia="Arial" w:hAnsi="Arial"/>
                <w:sz w:val="16"/>
                <w:szCs w:val="16"/>
                <w:color w:val="231F20"/>
              </w:rPr>
              <w:t>Total</w:t>
            </w:r>
          </w:p>
        </w:tc>
        <w:tc>
          <w:tcPr>
            <w:tcW w:w="480" w:type="dxa"/>
            <w:vAlign w:val="bottom"/>
            <w:tcBorders>
              <w:top w:val="single" w:sz="8" w:color="231F20"/>
            </w:tcBorders>
            <w:shd w:val="clear" w:color="auto" w:fill="E6E7E8"/>
          </w:tcPr>
          <w:p>
            <w:pPr>
              <w:spacing w:after="0"/>
              <w:rPr>
                <w:sz w:val="20"/>
                <w:szCs w:val="20"/>
                <w:color w:val="auto"/>
              </w:rPr>
            </w:pPr>
            <w:r>
              <w:rPr>
                <w:rFonts w:ascii="Arial" w:cs="Arial" w:eastAsia="Arial" w:hAnsi="Arial"/>
                <w:sz w:val="16"/>
                <w:szCs w:val="16"/>
                <w:color w:val="231F20"/>
                <w:w w:val="93"/>
              </w:rPr>
              <w:t>$9,074</w:t>
            </w:r>
          </w:p>
        </w:tc>
        <w:tc>
          <w:tcPr>
            <w:tcW w:w="200" w:type="dxa"/>
            <w:vAlign w:val="bottom"/>
            <w:tcBorders>
              <w:top w:val="single" w:sz="8" w:color="E6E7E8"/>
            </w:tcBorders>
            <w:shd w:val="clear" w:color="auto" w:fill="E6E7E8"/>
          </w:tcPr>
          <w:p>
            <w:pPr>
              <w:spacing w:after="0"/>
              <w:rPr>
                <w:sz w:val="19"/>
                <w:szCs w:val="19"/>
                <w:color w:val="auto"/>
              </w:rPr>
            </w:pPr>
          </w:p>
        </w:tc>
      </w:tr>
      <w:tr>
        <w:trPr>
          <w:trHeight w:val="240"/>
        </w:trPr>
        <w:tc>
          <w:tcPr>
            <w:tcW w:w="2340" w:type="dxa"/>
            <w:vAlign w:val="bottom"/>
            <w:shd w:val="clear" w:color="auto" w:fill="E6E7E8"/>
          </w:tcPr>
          <w:p>
            <w:pPr>
              <w:ind w:left="360"/>
              <w:spacing w:after="0"/>
              <w:rPr>
                <w:sz w:val="20"/>
                <w:szCs w:val="20"/>
                <w:color w:val="auto"/>
              </w:rPr>
            </w:pPr>
            <w:r>
              <w:rPr>
                <w:rFonts w:ascii="Arial" w:cs="Arial" w:eastAsia="Arial" w:hAnsi="Arial"/>
                <w:sz w:val="16"/>
                <w:szCs w:val="16"/>
                <w:color w:val="231F20"/>
              </w:rPr>
              <w:t>Total as % of Target</w:t>
            </w:r>
          </w:p>
        </w:tc>
        <w:tc>
          <w:tcPr>
            <w:tcW w:w="480" w:type="dxa"/>
            <w:vAlign w:val="bottom"/>
            <w:shd w:val="clear" w:color="auto" w:fill="E6E7E8"/>
          </w:tcPr>
          <w:p>
            <w:pPr>
              <w:ind w:left="80"/>
              <w:spacing w:after="0"/>
              <w:rPr>
                <w:sz w:val="20"/>
                <w:szCs w:val="20"/>
                <w:color w:val="auto"/>
              </w:rPr>
            </w:pPr>
            <w:r>
              <w:rPr>
                <w:rFonts w:ascii="Arial" w:cs="Arial" w:eastAsia="Arial" w:hAnsi="Arial"/>
                <w:sz w:val="16"/>
                <w:szCs w:val="16"/>
                <w:color w:val="231F20"/>
                <w:w w:val="92"/>
              </w:rPr>
              <w:t>107%</w:t>
            </w:r>
          </w:p>
        </w:tc>
        <w:tc>
          <w:tcPr>
            <w:tcW w:w="200" w:type="dxa"/>
            <w:vAlign w:val="bottom"/>
            <w:shd w:val="clear" w:color="auto" w:fill="E6E7E8"/>
          </w:tcPr>
          <w:p>
            <w:pPr>
              <w:spacing w:after="0"/>
              <w:rPr>
                <w:sz w:val="20"/>
                <w:szCs w:val="20"/>
                <w:color w:val="auto"/>
              </w:rPr>
            </w:pPr>
          </w:p>
        </w:tc>
      </w:tr>
      <w:tr>
        <w:trPr>
          <w:trHeight w:val="968"/>
        </w:trPr>
        <w:tc>
          <w:tcPr>
            <w:tcW w:w="2340" w:type="dxa"/>
            <w:vAlign w:val="bottom"/>
            <w:shd w:val="clear" w:color="auto" w:fill="E6E7E8"/>
          </w:tcPr>
          <w:p>
            <w:pPr>
              <w:spacing w:after="0"/>
              <w:rPr>
                <w:sz w:val="24"/>
                <w:szCs w:val="24"/>
                <w:color w:val="auto"/>
              </w:rPr>
            </w:pPr>
          </w:p>
        </w:tc>
        <w:tc>
          <w:tcPr>
            <w:tcW w:w="480" w:type="dxa"/>
            <w:vAlign w:val="bottom"/>
            <w:shd w:val="clear" w:color="auto" w:fill="E6E7E8"/>
          </w:tcPr>
          <w:p>
            <w:pPr>
              <w:spacing w:after="0"/>
              <w:rPr>
                <w:sz w:val="24"/>
                <w:szCs w:val="24"/>
                <w:color w:val="auto"/>
              </w:rPr>
            </w:pPr>
          </w:p>
        </w:tc>
        <w:tc>
          <w:tcPr>
            <w:tcW w:w="200" w:type="dxa"/>
            <w:vAlign w:val="bottom"/>
            <w:shd w:val="clear" w:color="auto" w:fill="E6E7E8"/>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1923415" cy="205994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104">
                      <a:extLst>
                        <a:ext uri="{28A0092B-C50C-407E-A947-70E740481C1C}"/>
                      </a:extLst>
                    </a:blip>
                    <a:srcRect/>
                    <a:stretch>
                      <a:fillRect/>
                    </a:stretch>
                  </pic:blipFill>
                  <pic:spPr bwMode="auto">
                    <a:xfrm>
                      <a:off x="0" y="0"/>
                      <a:ext cx="1923415" cy="20599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Key Responsibilities</w:t>
      </w:r>
    </w:p>
    <w:p>
      <w:pPr>
        <w:spacing w:after="0" w:line="77" w:lineRule="exact"/>
        <w:rPr>
          <w:sz w:val="20"/>
          <w:szCs w:val="20"/>
          <w:color w:val="auto"/>
        </w:rPr>
      </w:pPr>
    </w:p>
    <w:p>
      <w:pPr>
        <w:ind w:right="40"/>
        <w:spacing w:after="0" w:line="248" w:lineRule="auto"/>
        <w:rPr>
          <w:sz w:val="20"/>
          <w:szCs w:val="20"/>
          <w:color w:val="auto"/>
        </w:rPr>
      </w:pPr>
      <w:r>
        <w:rPr>
          <w:rFonts w:ascii="Arial" w:cs="Arial" w:eastAsia="Arial" w:hAnsi="Arial"/>
          <w:sz w:val="20"/>
          <w:szCs w:val="20"/>
          <w:color w:val="231F20"/>
        </w:rPr>
        <w:t>Mr. Wood is responsible for setting and overseeing the Company’s strategic direction and priorities, delivering both short- and long-term financial results, setting the culture for the Company and setting direction for all aspects of corporate responsibility.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-57150</wp:posOffset>
                </wp:positionH>
                <wp:positionV relativeFrom="paragraph">
                  <wp:posOffset>122555</wp:posOffset>
                </wp:positionV>
                <wp:extent cx="4349750" cy="190500"/>
                <wp:wrapNone/>
                <wp:docPr id="400" name="Shape 4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349750" cy="190500"/>
                        </a:xfrm>
                        <a:prstGeom prst="rect">
                          <a:avLst/>
                        </a:prstGeom>
                        <a:solidFill>
                          <a:srgbClr val="E6E7E8"/>
                        </a:solidFill>
                      </wps:spPr>
                      <wps:bodyPr/>
                    </wps:wsp>
                  </a:graphicData>
                </a:graphic>
              </wp:anchor>
            </w:drawing>
          </mc:Choice>
          <mc:Fallback>
            <w:pict>
              <v:rect id="Shape 400" o:spid="_x0000_s1425" style="position:absolute;margin-left:-4.4999pt;margin-top:9.65pt;width:342.5pt;height: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7E8" stroked="f"/>
            </w:pict>
          </mc:Fallback>
        </mc:AlternateConten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2025 Achievements</w:t>
      </w:r>
    </w:p>
    <w:p>
      <w:pPr>
        <w:spacing w:after="0" w:line="77" w:lineRule="exact"/>
        <w:rPr>
          <w:sz w:val="20"/>
          <w:szCs w:val="20"/>
          <w:color w:val="auto"/>
        </w:rPr>
      </w:pPr>
    </w:p>
    <w:p>
      <w:pPr>
        <w:ind w:left="400" w:right="100" w:hanging="400"/>
        <w:spacing w:after="0" w:line="235" w:lineRule="exact"/>
        <w:rPr>
          <w:sz w:val="20"/>
          <w:szCs w:val="20"/>
          <w:color w:val="auto"/>
        </w:rPr>
      </w:pPr>
      <w:r>
        <w:rPr>
          <w:rFonts w:ascii="Arial Unicode MS" w:cs="Arial Unicode MS" w:eastAsia="Arial Unicode MS" w:hAnsi="Arial Unicode MS"/>
          <w:sz w:val="20"/>
          <w:szCs w:val="20"/>
          <w:color w:val="231F20"/>
        </w:rPr>
        <w:t>✓</w:t>
      </w:r>
      <w:r>
        <w:rPr>
          <w:rFonts w:ascii="Arial" w:cs="Arial" w:eastAsia="Arial" w:hAnsi="Arial"/>
          <w:sz w:val="20"/>
          <w:szCs w:val="20"/>
          <w:color w:val="231F20"/>
        </w:rPr>
        <w:t xml:space="preserve"> Led the Company’s efforts that delivered record levels of NAREIT FFO per share, record top line revenue and near record levels of comparable space leasing</w:t>
      </w:r>
    </w:p>
    <w:p>
      <w:pPr>
        <w:spacing w:after="0" w:line="16" w:lineRule="exact"/>
        <w:rPr>
          <w:sz w:val="20"/>
          <w:szCs w:val="20"/>
          <w:color w:val="auto"/>
        </w:rPr>
      </w:pPr>
    </w:p>
    <w:p>
      <w:pPr>
        <w:ind w:left="400" w:right="580" w:hanging="400"/>
        <w:spacing w:after="0" w:line="235" w:lineRule="exact"/>
        <w:rPr>
          <w:sz w:val="20"/>
          <w:szCs w:val="20"/>
          <w:color w:val="auto"/>
        </w:rPr>
      </w:pPr>
      <w:r>
        <w:rPr>
          <w:rFonts w:ascii="Arial Unicode MS" w:cs="Arial Unicode MS" w:eastAsia="Arial Unicode MS" w:hAnsi="Arial Unicode MS"/>
          <w:sz w:val="20"/>
          <w:szCs w:val="20"/>
          <w:color w:val="231F20"/>
        </w:rPr>
        <w:t>✓</w:t>
      </w:r>
      <w:r>
        <w:rPr>
          <w:rFonts w:ascii="Arial" w:cs="Arial" w:eastAsia="Arial" w:hAnsi="Arial"/>
          <w:sz w:val="20"/>
          <w:szCs w:val="20"/>
          <w:color w:val="231F20"/>
        </w:rPr>
        <w:t xml:space="preserve"> Led increased focus on acquisitions that resulted in more than $750 million invested in newly acquired assets with strong growth potential, a company record</w:t>
      </w:r>
    </w:p>
    <w:p>
      <w:pPr>
        <w:spacing w:after="0" w:line="16" w:lineRule="exact"/>
        <w:rPr>
          <w:sz w:val="20"/>
          <w:szCs w:val="20"/>
          <w:color w:val="auto"/>
        </w:rPr>
      </w:pPr>
    </w:p>
    <w:p>
      <w:pPr>
        <w:ind w:left="400" w:right="1280" w:hanging="400"/>
        <w:spacing w:after="0" w:line="233" w:lineRule="exact"/>
        <w:rPr>
          <w:sz w:val="20"/>
          <w:szCs w:val="20"/>
          <w:color w:val="auto"/>
        </w:rPr>
      </w:pPr>
      <w:r>
        <w:rPr>
          <w:rFonts w:ascii="Arial Unicode MS" w:cs="Arial Unicode MS" w:eastAsia="Arial Unicode MS" w:hAnsi="Arial Unicode MS"/>
          <w:sz w:val="20"/>
          <w:szCs w:val="20"/>
          <w:color w:val="231F20"/>
        </w:rPr>
        <w:t>✓</w:t>
      </w:r>
      <w:r>
        <w:rPr>
          <w:rFonts w:ascii="Arial" w:cs="Arial" w:eastAsia="Arial" w:hAnsi="Arial"/>
          <w:sz w:val="20"/>
          <w:szCs w:val="20"/>
          <w:color w:val="231F20"/>
        </w:rPr>
        <w:t xml:space="preserve"> Led continued focus on sustainability initiatives relating to decarbonization and resilience</w:t>
      </w:r>
    </w:p>
    <w:p>
      <w:pPr>
        <w:spacing w:after="0" w:line="15" w:lineRule="exact"/>
        <w:rPr>
          <w:sz w:val="20"/>
          <w:szCs w:val="20"/>
          <w:color w:val="auto"/>
        </w:rPr>
      </w:pPr>
    </w:p>
    <w:p>
      <w:pPr>
        <w:ind w:left="400" w:right="700" w:hanging="400"/>
        <w:spacing w:after="0" w:line="233" w:lineRule="exact"/>
        <w:rPr>
          <w:sz w:val="20"/>
          <w:szCs w:val="20"/>
          <w:color w:val="auto"/>
        </w:rPr>
      </w:pPr>
      <w:r>
        <w:rPr>
          <w:rFonts w:ascii="Arial Unicode MS" w:cs="Arial Unicode MS" w:eastAsia="Arial Unicode MS" w:hAnsi="Arial Unicode MS"/>
          <w:sz w:val="20"/>
          <w:szCs w:val="20"/>
          <w:color w:val="231F20"/>
        </w:rPr>
        <w:t>✓</w:t>
      </w:r>
      <w:r>
        <w:rPr>
          <w:rFonts w:ascii="Arial" w:cs="Arial" w:eastAsia="Arial" w:hAnsi="Arial"/>
          <w:sz w:val="20"/>
          <w:szCs w:val="20"/>
          <w:color w:val="231F20"/>
        </w:rPr>
        <w:t xml:space="preserve"> Led decisions on reinvestment in our assets to position them for continued growth</w:t>
      </w:r>
    </w:p>
    <w:p>
      <w:pPr>
        <w:spacing w:after="0" w:line="15" w:lineRule="exact"/>
        <w:rPr>
          <w:sz w:val="20"/>
          <w:szCs w:val="20"/>
          <w:color w:val="auto"/>
        </w:rPr>
      </w:pPr>
    </w:p>
    <w:p>
      <w:pPr>
        <w:ind w:left="400" w:right="60" w:hanging="400"/>
        <w:spacing w:after="0" w:line="233" w:lineRule="exact"/>
        <w:rPr>
          <w:sz w:val="20"/>
          <w:szCs w:val="20"/>
          <w:color w:val="auto"/>
        </w:rPr>
      </w:pPr>
      <w:r>
        <w:rPr>
          <w:rFonts w:ascii="Arial Unicode MS" w:cs="Arial Unicode MS" w:eastAsia="Arial Unicode MS" w:hAnsi="Arial Unicode MS"/>
          <w:sz w:val="20"/>
          <w:szCs w:val="20"/>
          <w:color w:val="231F20"/>
        </w:rPr>
        <w:t>✓</w:t>
      </w:r>
      <w:r>
        <w:rPr>
          <w:rFonts w:ascii="Arial" w:cs="Arial" w:eastAsia="Arial" w:hAnsi="Arial"/>
          <w:sz w:val="20"/>
          <w:szCs w:val="20"/>
          <w:color w:val="231F20"/>
        </w:rPr>
        <w:t xml:space="preserve"> Led efforts that resulted in a near fully-leased mixed-use office portfolio as of year-end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-57150</wp:posOffset>
                </wp:positionH>
                <wp:positionV relativeFrom="paragraph">
                  <wp:posOffset>563880</wp:posOffset>
                </wp:positionV>
                <wp:extent cx="4349750" cy="190500"/>
                <wp:wrapNone/>
                <wp:docPr id="401" name="Shape 4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349750" cy="190500"/>
                        </a:xfrm>
                        <a:prstGeom prst="rect">
                          <a:avLst/>
                        </a:prstGeom>
                        <a:solidFill>
                          <a:srgbClr val="E6E7E8"/>
                        </a:solidFill>
                      </wps:spPr>
                      <wps:bodyPr/>
                    </wps:wsp>
                  </a:graphicData>
                </a:graphic>
              </wp:anchor>
            </w:drawing>
          </mc:Choice>
          <mc:Fallback>
            <w:pict>
              <v:rect id="Shape 401" o:spid="_x0000_s1426" style="position:absolute;margin-left:-4.4999pt;margin-top:44.4pt;width:342.5pt;height: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7E8" stroked="f"/>
            </w:pict>
          </mc:Fallback>
        </mc:AlternateContent>
      </w:r>
    </w:p>
    <w:p>
      <w:pPr>
        <w:spacing w:after="0" w:line="638" w:lineRule="exact"/>
        <w:rPr>
          <w:sz w:val="20"/>
          <w:szCs w:val="20"/>
          <w:color w:val="auto"/>
        </w:rPr>
      </w:pPr>
    </w:p>
    <w:p>
      <w:pPr>
        <w:sectPr>
          <w:pgSz w:w="11880" w:h="15480" w:orient="portrait"/>
          <w:cols w:equalWidth="0" w:num="2">
            <w:col w:w="3020" w:space="300"/>
            <w:col w:w="6760"/>
          </w:cols>
          <w:pgMar w:left="900" w:top="1326" w:right="900" w:bottom="763"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200"/>
        <w:spacing w:after="0"/>
        <w:rPr>
          <w:sz w:val="20"/>
          <w:szCs w:val="20"/>
          <w:color w:val="auto"/>
        </w:rPr>
      </w:pPr>
      <w:r>
        <w:rPr>
          <w:rFonts w:ascii="Arial" w:cs="Arial" w:eastAsia="Arial" w:hAnsi="Arial"/>
          <w:sz w:val="20"/>
          <w:szCs w:val="20"/>
          <w:color w:val="EF3E2A"/>
        </w:rPr>
        <w:t>Daniel Guglielmone</w:t>
      </w:r>
    </w:p>
    <w:p>
      <w:pPr>
        <w:spacing w:after="0" w:line="10" w:lineRule="exact"/>
        <w:rPr>
          <w:sz w:val="20"/>
          <w:szCs w:val="20"/>
          <w:color w:val="auto"/>
        </w:rPr>
      </w:pPr>
    </w:p>
    <w:p>
      <w:pPr>
        <w:jc w:val="center"/>
        <w:ind w:right="200"/>
        <w:spacing w:after="0"/>
        <w:rPr>
          <w:sz w:val="20"/>
          <w:szCs w:val="20"/>
          <w:color w:val="auto"/>
        </w:rPr>
      </w:pPr>
      <w:r>
        <w:rPr>
          <w:rFonts w:ascii="Arial" w:cs="Arial" w:eastAsia="Arial" w:hAnsi="Arial"/>
          <w:sz w:val="20"/>
          <w:szCs w:val="20"/>
          <w:color w:val="231F20"/>
        </w:rPr>
        <w:t>Executive Vice President</w:t>
      </w:r>
    </w:p>
    <w:p>
      <w:pPr>
        <w:spacing w:after="0" w:line="10" w:lineRule="exact"/>
        <w:rPr>
          <w:sz w:val="20"/>
          <w:szCs w:val="20"/>
          <w:color w:val="auto"/>
        </w:rPr>
      </w:pPr>
    </w:p>
    <w:p>
      <w:pPr>
        <w:jc w:val="center"/>
        <w:ind w:right="200"/>
        <w:spacing w:after="0"/>
        <w:rPr>
          <w:sz w:val="20"/>
          <w:szCs w:val="20"/>
          <w:color w:val="auto"/>
        </w:rPr>
      </w:pPr>
      <w:r>
        <w:rPr>
          <w:rFonts w:ascii="Arial" w:cs="Arial" w:eastAsia="Arial" w:hAnsi="Arial"/>
          <w:sz w:val="20"/>
          <w:szCs w:val="20"/>
          <w:color w:val="231F20"/>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200"/>
        <w:spacing w:after="0"/>
        <w:rPr>
          <w:sz w:val="20"/>
          <w:szCs w:val="20"/>
          <w:color w:val="auto"/>
        </w:rPr>
      </w:pPr>
      <w:r>
        <w:rPr>
          <w:rFonts w:ascii="Arial" w:cs="Arial" w:eastAsia="Arial" w:hAnsi="Arial"/>
          <w:sz w:val="18"/>
          <w:szCs w:val="18"/>
          <w:color w:val="EF3E2A"/>
        </w:rPr>
        <w:t>2025 Compensation (in 000s)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40" w:type="dxa"/>
            <w:vAlign w:val="bottom"/>
            <w:shd w:val="clear" w:color="auto" w:fill="E6E7E8"/>
          </w:tcPr>
          <w:p>
            <w:pPr>
              <w:ind w:left="360"/>
              <w:spacing w:after="0"/>
              <w:rPr>
                <w:sz w:val="20"/>
                <w:szCs w:val="20"/>
                <w:color w:val="auto"/>
              </w:rPr>
            </w:pPr>
            <w:r>
              <w:rPr>
                <w:rFonts w:ascii="Arial" w:cs="Arial" w:eastAsia="Arial" w:hAnsi="Arial"/>
                <w:sz w:val="16"/>
                <w:szCs w:val="16"/>
                <w:color w:val="231F20"/>
              </w:rPr>
              <w:t>Base Pay</w:t>
            </w:r>
          </w:p>
        </w:tc>
        <w:tc>
          <w:tcPr>
            <w:tcW w:w="80" w:type="dxa"/>
            <w:vAlign w:val="bottom"/>
            <w:shd w:val="clear" w:color="auto" w:fill="E6E7E8"/>
          </w:tcPr>
          <w:p>
            <w:pPr>
              <w:jc w:val="right"/>
              <w:spacing w:after="0"/>
              <w:rPr>
                <w:sz w:val="20"/>
                <w:szCs w:val="20"/>
                <w:color w:val="auto"/>
              </w:rPr>
            </w:pPr>
            <w:r>
              <w:rPr>
                <w:rFonts w:ascii="Arial" w:cs="Arial" w:eastAsia="Arial" w:hAnsi="Arial"/>
                <w:sz w:val="15"/>
                <w:szCs w:val="15"/>
                <w:color w:val="231F20"/>
                <w:w w:val="71"/>
                <w:shd w:val="clear" w:color="auto" w:fill="E6E7E8"/>
              </w:rPr>
              <w:t>$</w:t>
            </w:r>
          </w:p>
        </w:tc>
        <w:tc>
          <w:tcPr>
            <w:tcW w:w="400" w:type="dxa"/>
            <w:vAlign w:val="bottom"/>
            <w:shd w:val="clear" w:color="auto" w:fill="E6E7E8"/>
          </w:tcPr>
          <w:p>
            <w:pPr>
              <w:jc w:val="right"/>
              <w:spacing w:after="0"/>
              <w:rPr>
                <w:sz w:val="20"/>
                <w:szCs w:val="20"/>
                <w:color w:val="auto"/>
              </w:rPr>
            </w:pPr>
            <w:r>
              <w:rPr>
                <w:rFonts w:ascii="Arial" w:cs="Arial" w:eastAsia="Arial" w:hAnsi="Arial"/>
                <w:sz w:val="16"/>
                <w:szCs w:val="16"/>
                <w:color w:val="231F20"/>
                <w:shd w:val="clear" w:color="auto" w:fill="E6E7E8"/>
              </w:rPr>
              <w:t>650</w:t>
            </w:r>
          </w:p>
        </w:tc>
        <w:tc>
          <w:tcPr>
            <w:tcW w:w="200" w:type="dxa"/>
            <w:vAlign w:val="bottom"/>
            <w:shd w:val="clear" w:color="auto" w:fill="E6E7E8"/>
          </w:tcPr>
          <w:p>
            <w:pPr>
              <w:spacing w:after="0"/>
              <w:rPr>
                <w:sz w:val="18"/>
                <w:szCs w:val="18"/>
                <w:color w:val="auto"/>
              </w:rPr>
            </w:pPr>
          </w:p>
        </w:tc>
      </w:tr>
      <w:tr>
        <w:trPr>
          <w:trHeight w:val="240"/>
        </w:trPr>
        <w:tc>
          <w:tcPr>
            <w:tcW w:w="2340" w:type="dxa"/>
            <w:vAlign w:val="bottom"/>
            <w:shd w:val="clear" w:color="auto" w:fill="E6E7E8"/>
          </w:tcPr>
          <w:p>
            <w:pPr>
              <w:ind w:left="360"/>
              <w:spacing w:after="0"/>
              <w:rPr>
                <w:sz w:val="20"/>
                <w:szCs w:val="20"/>
                <w:color w:val="auto"/>
              </w:rPr>
            </w:pPr>
            <w:r>
              <w:rPr>
                <w:rFonts w:ascii="Arial" w:cs="Arial" w:eastAsia="Arial" w:hAnsi="Arial"/>
                <w:sz w:val="16"/>
                <w:szCs w:val="16"/>
                <w:color w:val="231F20"/>
              </w:rPr>
              <w:t>Annual Bonus</w:t>
            </w:r>
          </w:p>
        </w:tc>
        <w:tc>
          <w:tcPr>
            <w:tcW w:w="80" w:type="dxa"/>
            <w:vAlign w:val="bottom"/>
            <w:shd w:val="clear" w:color="auto" w:fill="E6E7E8"/>
          </w:tcPr>
          <w:p>
            <w:pPr>
              <w:jc w:val="right"/>
              <w:spacing w:after="0"/>
              <w:rPr>
                <w:sz w:val="20"/>
                <w:szCs w:val="20"/>
                <w:color w:val="auto"/>
              </w:rPr>
            </w:pPr>
            <w:r>
              <w:rPr>
                <w:rFonts w:ascii="Arial" w:cs="Arial" w:eastAsia="Arial" w:hAnsi="Arial"/>
                <w:sz w:val="15"/>
                <w:szCs w:val="15"/>
                <w:color w:val="231F20"/>
                <w:w w:val="71"/>
              </w:rPr>
              <w:t>$</w:t>
            </w:r>
          </w:p>
        </w:tc>
        <w:tc>
          <w:tcPr>
            <w:tcW w:w="600" w:type="dxa"/>
            <w:vAlign w:val="bottom"/>
            <w:gridSpan w:val="2"/>
            <w:shd w:val="clear" w:color="auto" w:fill="E6E7E8"/>
          </w:tcPr>
          <w:p>
            <w:pPr>
              <w:jc w:val="right"/>
              <w:ind w:right="200"/>
              <w:spacing w:after="0"/>
              <w:rPr>
                <w:sz w:val="20"/>
                <w:szCs w:val="20"/>
                <w:color w:val="auto"/>
              </w:rPr>
            </w:pPr>
            <w:r>
              <w:rPr>
                <w:rFonts w:ascii="Arial" w:cs="Arial" w:eastAsia="Arial" w:hAnsi="Arial"/>
                <w:sz w:val="16"/>
                <w:szCs w:val="16"/>
                <w:color w:val="231F20"/>
                <w:w w:val="94"/>
              </w:rPr>
              <w:t>1,170</w:t>
            </w:r>
          </w:p>
        </w:tc>
      </w:tr>
      <w:tr>
        <w:trPr>
          <w:trHeight w:val="283"/>
        </w:trPr>
        <w:tc>
          <w:tcPr>
            <w:tcW w:w="2340" w:type="dxa"/>
            <w:vAlign w:val="bottom"/>
            <w:tcBorders>
              <w:bottom w:val="single" w:sz="8" w:color="E6E7E8"/>
            </w:tcBorders>
            <w:shd w:val="clear" w:color="auto" w:fill="E6E7E8"/>
          </w:tcPr>
          <w:p>
            <w:pPr>
              <w:ind w:left="360"/>
              <w:spacing w:after="0"/>
              <w:rPr>
                <w:sz w:val="20"/>
                <w:szCs w:val="20"/>
                <w:color w:val="auto"/>
              </w:rPr>
            </w:pPr>
            <w:r>
              <w:rPr>
                <w:rFonts w:ascii="Arial" w:cs="Arial" w:eastAsia="Arial" w:hAnsi="Arial"/>
                <w:sz w:val="16"/>
                <w:szCs w:val="16"/>
                <w:color w:val="231F20"/>
              </w:rPr>
              <w:t>Long-Term Equity</w:t>
            </w:r>
          </w:p>
        </w:tc>
        <w:tc>
          <w:tcPr>
            <w:tcW w:w="80" w:type="dxa"/>
            <w:vAlign w:val="bottom"/>
            <w:tcBorders>
              <w:bottom w:val="single" w:sz="8" w:color="E6E7E8"/>
            </w:tcBorders>
            <w:shd w:val="clear" w:color="auto" w:fill="E6E7E8"/>
          </w:tcPr>
          <w:p>
            <w:pPr>
              <w:jc w:val="right"/>
              <w:spacing w:after="0"/>
              <w:rPr>
                <w:sz w:val="20"/>
                <w:szCs w:val="20"/>
                <w:color w:val="auto"/>
              </w:rPr>
            </w:pPr>
            <w:r>
              <w:rPr>
                <w:rFonts w:ascii="Arial" w:cs="Arial" w:eastAsia="Arial" w:hAnsi="Arial"/>
                <w:sz w:val="15"/>
                <w:szCs w:val="15"/>
                <w:color w:val="231F20"/>
                <w:w w:val="71"/>
              </w:rPr>
              <w:t>$</w:t>
            </w:r>
          </w:p>
        </w:tc>
        <w:tc>
          <w:tcPr>
            <w:tcW w:w="600" w:type="dxa"/>
            <w:vAlign w:val="bottom"/>
            <w:tcBorders>
              <w:bottom w:val="single" w:sz="8" w:color="E6E7E8"/>
            </w:tcBorders>
            <w:gridSpan w:val="2"/>
            <w:shd w:val="clear" w:color="auto" w:fill="E6E7E8"/>
          </w:tcPr>
          <w:p>
            <w:pPr>
              <w:jc w:val="right"/>
              <w:ind w:right="200"/>
              <w:spacing w:after="0"/>
              <w:rPr>
                <w:sz w:val="20"/>
                <w:szCs w:val="20"/>
                <w:color w:val="auto"/>
              </w:rPr>
            </w:pPr>
            <w:r>
              <w:rPr>
                <w:rFonts w:ascii="Arial" w:cs="Arial" w:eastAsia="Arial" w:hAnsi="Arial"/>
                <w:sz w:val="16"/>
                <w:szCs w:val="16"/>
                <w:color w:val="231F20"/>
                <w:w w:val="94"/>
              </w:rPr>
              <w:t>1,568</w:t>
            </w:r>
          </w:p>
        </w:tc>
      </w:tr>
      <w:tr>
        <w:trPr>
          <w:trHeight w:val="222"/>
        </w:trPr>
        <w:tc>
          <w:tcPr>
            <w:tcW w:w="2340" w:type="dxa"/>
            <w:vAlign w:val="bottom"/>
            <w:tcBorders>
              <w:top w:val="single" w:sz="8" w:color="E6E7E8"/>
            </w:tcBorders>
            <w:shd w:val="clear" w:color="auto" w:fill="E6E7E8"/>
          </w:tcPr>
          <w:p>
            <w:pPr>
              <w:ind w:left="360"/>
              <w:spacing w:after="0"/>
              <w:rPr>
                <w:sz w:val="20"/>
                <w:szCs w:val="20"/>
                <w:color w:val="auto"/>
              </w:rPr>
            </w:pPr>
            <w:r>
              <w:rPr>
                <w:rFonts w:ascii="Arial" w:cs="Arial" w:eastAsia="Arial" w:hAnsi="Arial"/>
                <w:sz w:val="16"/>
                <w:szCs w:val="16"/>
                <w:color w:val="231F20"/>
              </w:rPr>
              <w:t>Total</w:t>
            </w:r>
          </w:p>
        </w:tc>
        <w:tc>
          <w:tcPr>
            <w:tcW w:w="80" w:type="dxa"/>
            <w:vAlign w:val="bottom"/>
            <w:tcBorders>
              <w:top w:val="single" w:sz="8" w:color="231F20"/>
            </w:tcBorders>
            <w:shd w:val="clear" w:color="auto" w:fill="E6E7E8"/>
          </w:tcPr>
          <w:p>
            <w:pPr>
              <w:jc w:val="right"/>
              <w:spacing w:after="0"/>
              <w:rPr>
                <w:sz w:val="20"/>
                <w:szCs w:val="20"/>
                <w:color w:val="auto"/>
              </w:rPr>
            </w:pPr>
            <w:r>
              <w:rPr>
                <w:rFonts w:ascii="Arial" w:cs="Arial" w:eastAsia="Arial" w:hAnsi="Arial"/>
                <w:sz w:val="15"/>
                <w:szCs w:val="15"/>
                <w:color w:val="231F20"/>
                <w:w w:val="71"/>
              </w:rPr>
              <w:t>$</w:t>
            </w:r>
          </w:p>
        </w:tc>
        <w:tc>
          <w:tcPr>
            <w:tcW w:w="400" w:type="dxa"/>
            <w:vAlign w:val="bottom"/>
            <w:tcBorders>
              <w:top w:val="single" w:sz="8" w:color="231F20"/>
            </w:tcBorders>
            <w:shd w:val="clear" w:color="auto" w:fill="E6E7E8"/>
          </w:tcPr>
          <w:p>
            <w:pPr>
              <w:jc w:val="right"/>
              <w:spacing w:after="0"/>
              <w:rPr>
                <w:sz w:val="20"/>
                <w:szCs w:val="20"/>
                <w:color w:val="auto"/>
              </w:rPr>
            </w:pPr>
            <w:r>
              <w:rPr>
                <w:rFonts w:ascii="Arial" w:cs="Arial" w:eastAsia="Arial" w:hAnsi="Arial"/>
                <w:sz w:val="16"/>
                <w:szCs w:val="16"/>
                <w:color w:val="231F20"/>
                <w:w w:val="94"/>
              </w:rPr>
              <w:t>3,388</w:t>
            </w:r>
          </w:p>
        </w:tc>
        <w:tc>
          <w:tcPr>
            <w:tcW w:w="200" w:type="dxa"/>
            <w:vAlign w:val="bottom"/>
            <w:tcBorders>
              <w:top w:val="single" w:sz="8" w:color="E6E7E8"/>
            </w:tcBorders>
            <w:shd w:val="clear" w:color="auto" w:fill="E6E7E8"/>
          </w:tcPr>
          <w:p>
            <w:pPr>
              <w:spacing w:after="0"/>
              <w:rPr>
                <w:sz w:val="19"/>
                <w:szCs w:val="19"/>
                <w:color w:val="auto"/>
              </w:rPr>
            </w:pPr>
          </w:p>
        </w:tc>
      </w:tr>
      <w:tr>
        <w:trPr>
          <w:trHeight w:val="240"/>
        </w:trPr>
        <w:tc>
          <w:tcPr>
            <w:tcW w:w="2340" w:type="dxa"/>
            <w:vAlign w:val="bottom"/>
            <w:shd w:val="clear" w:color="auto" w:fill="E6E7E8"/>
          </w:tcPr>
          <w:p>
            <w:pPr>
              <w:ind w:left="360"/>
              <w:spacing w:after="0"/>
              <w:rPr>
                <w:sz w:val="20"/>
                <w:szCs w:val="20"/>
                <w:color w:val="auto"/>
              </w:rPr>
            </w:pPr>
            <w:r>
              <w:rPr>
                <w:rFonts w:ascii="Arial" w:cs="Arial" w:eastAsia="Arial" w:hAnsi="Arial"/>
                <w:sz w:val="16"/>
                <w:szCs w:val="16"/>
                <w:color w:val="231F20"/>
              </w:rPr>
              <w:t>Total as % of Target</w:t>
            </w:r>
          </w:p>
        </w:tc>
        <w:tc>
          <w:tcPr>
            <w:tcW w:w="480" w:type="dxa"/>
            <w:vAlign w:val="bottom"/>
            <w:gridSpan w:val="2"/>
            <w:shd w:val="clear" w:color="auto" w:fill="E6E7E8"/>
          </w:tcPr>
          <w:p>
            <w:pPr>
              <w:jc w:val="right"/>
              <w:spacing w:after="0"/>
              <w:rPr>
                <w:sz w:val="20"/>
                <w:szCs w:val="20"/>
                <w:color w:val="auto"/>
              </w:rPr>
            </w:pPr>
            <w:r>
              <w:rPr>
                <w:rFonts w:ascii="Arial" w:cs="Arial" w:eastAsia="Arial" w:hAnsi="Arial"/>
                <w:sz w:val="16"/>
                <w:szCs w:val="16"/>
                <w:color w:val="231F20"/>
              </w:rPr>
              <w:t>108%</w:t>
            </w:r>
          </w:p>
        </w:tc>
        <w:tc>
          <w:tcPr>
            <w:tcW w:w="200" w:type="dxa"/>
            <w:vAlign w:val="bottom"/>
            <w:shd w:val="clear" w:color="auto" w:fill="E6E7E8"/>
          </w:tcPr>
          <w:p>
            <w:pPr>
              <w:spacing w:after="0"/>
              <w:rPr>
                <w:sz w:val="20"/>
                <w:szCs w:val="20"/>
                <w:color w:val="auto"/>
              </w:rPr>
            </w:pPr>
          </w:p>
        </w:tc>
      </w:tr>
      <w:tr>
        <w:trPr>
          <w:trHeight w:val="488"/>
        </w:trPr>
        <w:tc>
          <w:tcPr>
            <w:tcW w:w="2340" w:type="dxa"/>
            <w:vAlign w:val="bottom"/>
            <w:shd w:val="clear" w:color="auto" w:fill="E6E7E8"/>
          </w:tcPr>
          <w:p>
            <w:pPr>
              <w:spacing w:after="0"/>
              <w:rPr>
                <w:sz w:val="24"/>
                <w:szCs w:val="24"/>
                <w:color w:val="auto"/>
              </w:rPr>
            </w:pPr>
          </w:p>
        </w:tc>
        <w:tc>
          <w:tcPr>
            <w:tcW w:w="80" w:type="dxa"/>
            <w:vAlign w:val="bottom"/>
            <w:shd w:val="clear" w:color="auto" w:fill="E6E7E8"/>
          </w:tcPr>
          <w:p>
            <w:pPr>
              <w:spacing w:after="0"/>
              <w:rPr>
                <w:sz w:val="24"/>
                <w:szCs w:val="24"/>
                <w:color w:val="auto"/>
              </w:rPr>
            </w:pPr>
          </w:p>
        </w:tc>
        <w:tc>
          <w:tcPr>
            <w:tcW w:w="400" w:type="dxa"/>
            <w:vAlign w:val="bottom"/>
            <w:shd w:val="clear" w:color="auto" w:fill="E6E7E8"/>
          </w:tcPr>
          <w:p>
            <w:pPr>
              <w:spacing w:after="0"/>
              <w:rPr>
                <w:sz w:val="24"/>
                <w:szCs w:val="24"/>
                <w:color w:val="auto"/>
              </w:rPr>
            </w:pPr>
          </w:p>
        </w:tc>
        <w:tc>
          <w:tcPr>
            <w:tcW w:w="200" w:type="dxa"/>
            <w:vAlign w:val="bottom"/>
            <w:shd w:val="clear" w:color="auto" w:fill="E6E7E8"/>
          </w:tcPr>
          <w:p>
            <w:pPr>
              <w:spacing w:after="0"/>
              <w:rPr>
                <w:sz w:val="24"/>
                <w:szCs w:val="24"/>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152400</wp:posOffset>
                </wp:positionV>
                <wp:extent cx="6400800" cy="177800"/>
                <wp:wrapNone/>
                <wp:docPr id="402" name="Shape 4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177800"/>
                        </a:xfrm>
                        <a:prstGeom prst="rect">
                          <a:avLst/>
                        </a:prstGeom>
                        <a:solidFill>
                          <a:srgbClr val="E8E7E5"/>
                        </a:solidFill>
                      </wps:spPr>
                      <wps:bodyPr/>
                    </wps:wsp>
                  </a:graphicData>
                </a:graphic>
              </wp:anchor>
            </w:drawing>
          </mc:Choice>
          <mc:Fallback>
            <w:pict>
              <v:rect id="Shape 402" o:spid="_x0000_s1427" style="position:absolute;margin-left:0pt;margin-top:12pt;width:504pt;height:1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8E7E5" stroked="f"/>
            </w:pict>
          </mc:Fallback>
        </mc:AlternateContent>
        <mc:AlternateContent>
          <mc:Choice Requires="wps">
            <w:drawing>
              <wp:anchor simplePos="0" relativeHeight="251657728" behindDoc="1" locked="0" layoutInCell="0" allowOverlap="1">
                <wp:simplePos x="0" y="0"/>
                <wp:positionH relativeFrom="column">
                  <wp:posOffset>6350</wp:posOffset>
                </wp:positionH>
                <wp:positionV relativeFrom="paragraph">
                  <wp:posOffset>152400</wp:posOffset>
                </wp:positionV>
                <wp:extent cx="0" cy="177800"/>
                <wp:wrapNone/>
                <wp:docPr id="403" name="Shape 4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403" o:spid="_x0000_s14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pt,12pt" to="0.5pt,26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323850</wp:posOffset>
                </wp:positionV>
                <wp:extent cx="6400800" cy="0"/>
                <wp:wrapNone/>
                <wp:docPr id="404" name="Shape 4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404" o:spid="_x0000_s14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5.5pt" to="504pt,25.5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158750</wp:posOffset>
                </wp:positionV>
                <wp:extent cx="6400800" cy="0"/>
                <wp:wrapNone/>
                <wp:docPr id="405" name="Shape 4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405" o:spid="_x0000_s14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5pt" to="504pt,12.5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6394450</wp:posOffset>
                </wp:positionH>
                <wp:positionV relativeFrom="paragraph">
                  <wp:posOffset>152400</wp:posOffset>
                </wp:positionV>
                <wp:extent cx="0" cy="177800"/>
                <wp:wrapNone/>
                <wp:docPr id="406" name="Shape 4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406" o:spid="_x0000_s14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3.5pt,12pt" to="503.5pt,26pt" o:allowincell="f" strokecolor="#231F20" strokeweight="1pt"/>
            </w:pict>
          </mc:Fallback>
        </mc:AlternateContent>
      </w:r>
    </w:p>
    <w:p>
      <w:pPr>
        <w:spacing w:after="0" w:line="20" w:lineRule="exact"/>
        <w:rPr>
          <w:sz w:val="20"/>
          <w:szCs w:val="20"/>
          <w:color w:val="auto"/>
        </w:rPr>
      </w:pPr>
      <w:r>
        <w:rPr>
          <w:sz w:val="20"/>
          <w:szCs w:val="20"/>
          <w:color w:val="auto"/>
        </w:rPr>
        <w:br w:type="column"/>
      </w:r>
    </w:p>
    <w:p>
      <w:pPr>
        <w:spacing w:after="0" w:line="282"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Key Responsibilities</w:t>
      </w:r>
    </w:p>
    <w:p>
      <w:pPr>
        <w:spacing w:after="0" w:line="75" w:lineRule="exact"/>
        <w:rPr>
          <w:sz w:val="20"/>
          <w:szCs w:val="20"/>
          <w:color w:val="auto"/>
        </w:rPr>
      </w:pPr>
    </w:p>
    <w:p>
      <w:pPr>
        <w:ind w:right="140"/>
        <w:spacing w:after="0" w:line="248" w:lineRule="auto"/>
        <w:rPr>
          <w:sz w:val="20"/>
          <w:szCs w:val="20"/>
          <w:color w:val="auto"/>
        </w:rPr>
      </w:pPr>
      <w:r>
        <w:rPr>
          <w:rFonts w:ascii="Arial" w:cs="Arial" w:eastAsia="Arial" w:hAnsi="Arial"/>
          <w:sz w:val="20"/>
          <w:szCs w:val="20"/>
          <w:color w:val="231F20"/>
        </w:rPr>
        <w:t>Mr. Guglielmone has overall responsibility for all Company related financial activity including forecasting, reporting and capital allocation, in addition to management of investor relations activities and East Coast property transactions.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-57150</wp:posOffset>
                </wp:positionH>
                <wp:positionV relativeFrom="paragraph">
                  <wp:posOffset>122555</wp:posOffset>
                </wp:positionV>
                <wp:extent cx="4349750" cy="190500"/>
                <wp:wrapNone/>
                <wp:docPr id="407" name="Shape 4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349750" cy="190500"/>
                        </a:xfrm>
                        <a:prstGeom prst="rect">
                          <a:avLst/>
                        </a:prstGeom>
                        <a:solidFill>
                          <a:srgbClr val="E6E7E8"/>
                        </a:solidFill>
                      </wps:spPr>
                      <wps:bodyPr/>
                    </wps:wsp>
                  </a:graphicData>
                </a:graphic>
              </wp:anchor>
            </w:drawing>
          </mc:Choice>
          <mc:Fallback>
            <w:pict>
              <v:rect id="Shape 407" o:spid="_x0000_s1432" style="position:absolute;margin-left:-4.4999pt;margin-top:9.65pt;width:342.5pt;height: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7E8" stroked="f"/>
            </w:pict>
          </mc:Fallback>
        </mc:AlternateContent>
      </w: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2025 Achievements</w:t>
      </w:r>
    </w:p>
    <w:p>
      <w:pPr>
        <w:spacing w:after="0" w:line="75" w:lineRule="exact"/>
        <w:rPr>
          <w:sz w:val="20"/>
          <w:szCs w:val="20"/>
          <w:color w:val="auto"/>
        </w:rPr>
      </w:pPr>
    </w:p>
    <w:p>
      <w:pPr>
        <w:ind w:left="400" w:right="120" w:hanging="400"/>
        <w:spacing w:after="0" w:line="237" w:lineRule="exact"/>
        <w:rPr>
          <w:sz w:val="20"/>
          <w:szCs w:val="20"/>
          <w:color w:val="auto"/>
        </w:rPr>
      </w:pPr>
      <w:r>
        <w:rPr>
          <w:rFonts w:ascii="Arial Unicode MS" w:cs="Arial Unicode MS" w:eastAsia="Arial Unicode MS" w:hAnsi="Arial Unicode MS"/>
          <w:sz w:val="20"/>
          <w:szCs w:val="20"/>
          <w:color w:val="231F20"/>
        </w:rPr>
        <w:t>✓</w:t>
      </w:r>
      <w:r>
        <w:rPr>
          <w:rFonts w:ascii="Arial" w:cs="Arial" w:eastAsia="Arial" w:hAnsi="Arial"/>
          <w:sz w:val="20"/>
          <w:szCs w:val="20"/>
          <w:color w:val="231F20"/>
        </w:rPr>
        <w:t xml:space="preserve"> Co-led the Company’s capital recycling efforts that resulted in the acquisition of five assets for more than $750 million totaling more than 2.1 million square feet and the disposition of two non-core retail assets and two peripheral residential buildings generating proceeds of nearly $315 million, positioning the Company for better long-term growth</w:t>
      </w:r>
    </w:p>
    <w:p>
      <w:pPr>
        <w:spacing w:after="0" w:line="17" w:lineRule="exact"/>
        <w:rPr>
          <w:sz w:val="20"/>
          <w:szCs w:val="20"/>
          <w:color w:val="auto"/>
        </w:rPr>
      </w:pPr>
    </w:p>
    <w:p>
      <w:pPr>
        <w:ind w:left="400" w:right="680" w:hanging="400"/>
        <w:spacing w:after="0" w:line="233" w:lineRule="exact"/>
        <w:rPr>
          <w:sz w:val="20"/>
          <w:szCs w:val="20"/>
          <w:color w:val="auto"/>
        </w:rPr>
      </w:pPr>
      <w:r>
        <w:rPr>
          <w:rFonts w:ascii="Arial Unicode MS" w:cs="Arial Unicode MS" w:eastAsia="Arial Unicode MS" w:hAnsi="Arial Unicode MS"/>
          <w:sz w:val="20"/>
          <w:szCs w:val="20"/>
          <w:color w:val="231F20"/>
        </w:rPr>
        <w:t>✓</w:t>
      </w:r>
      <w:r>
        <w:rPr>
          <w:rFonts w:ascii="Arial" w:cs="Arial" w:eastAsia="Arial" w:hAnsi="Arial"/>
          <w:sz w:val="20"/>
          <w:szCs w:val="20"/>
          <w:color w:val="231F20"/>
        </w:rPr>
        <w:t xml:space="preserve"> Improved the Company’s borrowing flexibility with an increase in capacity of one term loan and a new term loan facility</w:t>
      </w:r>
    </w:p>
    <w:p>
      <w:pPr>
        <w:spacing w:after="0" w:line="15" w:lineRule="exact"/>
        <w:rPr>
          <w:sz w:val="20"/>
          <w:szCs w:val="20"/>
          <w:color w:val="auto"/>
        </w:rPr>
      </w:pPr>
    </w:p>
    <w:p>
      <w:pPr>
        <w:ind w:left="400" w:right="380" w:hanging="400"/>
        <w:spacing w:after="0" w:line="269" w:lineRule="exact"/>
        <w:rPr>
          <w:sz w:val="20"/>
          <w:szCs w:val="20"/>
          <w:color w:val="auto"/>
        </w:rPr>
      </w:pPr>
      <w:r>
        <w:rPr>
          <w:rFonts w:ascii="Arial Unicode MS" w:cs="Arial Unicode MS" w:eastAsia="Arial Unicode MS" w:hAnsi="Arial Unicode MS"/>
          <w:sz w:val="19"/>
          <w:szCs w:val="19"/>
          <w:color w:val="231F20"/>
        </w:rPr>
        <w:t>✓</w:t>
      </w:r>
      <w:r>
        <w:rPr>
          <w:rFonts w:ascii="Arial" w:cs="Arial" w:eastAsia="Arial" w:hAnsi="Arial"/>
          <w:sz w:val="19"/>
          <w:szCs w:val="19"/>
          <w:color w:val="231F20"/>
        </w:rPr>
        <w:t xml:space="preserve"> Led financial efforts enabling the Company to increase our annual dividend rate to common shareholders for the 58</w:t>
      </w:r>
      <w:r>
        <w:rPr>
          <w:rFonts w:ascii="Arial" w:cs="Arial" w:eastAsia="Arial" w:hAnsi="Arial"/>
          <w:sz w:val="25"/>
          <w:szCs w:val="25"/>
          <w:color w:val="231F20"/>
          <w:vertAlign w:val="superscript"/>
        </w:rPr>
        <w:t>th</w:t>
      </w:r>
      <w:r>
        <w:rPr>
          <w:rFonts w:ascii="Arial" w:cs="Arial" w:eastAsia="Arial" w:hAnsi="Arial"/>
          <w:sz w:val="19"/>
          <w:szCs w:val="19"/>
          <w:color w:val="231F20"/>
        </w:rPr>
        <w:t xml:space="preserve"> consecutive year</w:t>
      </w:r>
    </w:p>
    <w:p>
      <w:pPr>
        <w:spacing w:after="0" w:line="845" w:lineRule="exact"/>
        <w:rPr>
          <w:sz w:val="20"/>
          <w:szCs w:val="20"/>
          <w:color w:val="auto"/>
        </w:rPr>
      </w:pPr>
    </w:p>
    <w:p>
      <w:pPr>
        <w:sectPr>
          <w:pgSz w:w="11880" w:h="15480" w:orient="portrait"/>
          <w:cols w:equalWidth="0" w:num="2">
            <w:col w:w="3020" w:space="300"/>
            <w:col w:w="6760"/>
          </w:cols>
          <w:pgMar w:left="900" w:top="1326" w:right="900" w:bottom="763" w:gutter="0" w:footer="0" w:header="0"/>
          <w:type w:val="continuous"/>
        </w:sectPr>
      </w:pPr>
    </w:p>
    <w:p>
      <w:pPr>
        <w:spacing w:after="0" w:line="88" w:lineRule="exact"/>
        <w:rPr>
          <w:sz w:val="20"/>
          <w:szCs w:val="20"/>
          <w:color w:val="auto"/>
        </w:rPr>
      </w:pPr>
    </w:p>
    <w:p>
      <w:pPr>
        <w:ind w:left="6720"/>
        <w:spacing w:after="0"/>
        <w:tabs>
          <w:tab w:leader="none" w:pos="8060" w:val="left"/>
          <w:tab w:leader="none" w:pos="9800" w:val="left"/>
        </w:tabs>
        <w:rPr>
          <w:sz w:val="20"/>
          <w:szCs w:val="20"/>
          <w:color w:val="auto"/>
        </w:rPr>
      </w:pPr>
      <w:r>
        <w:rPr>
          <w:rFonts w:ascii="Arial" w:cs="Arial" w:eastAsia="Arial" w:hAnsi="Arial"/>
          <w:sz w:val="16"/>
          <w:szCs w:val="16"/>
          <w:color w:val="EF3E2A"/>
        </w:rPr>
        <w:t>Federal Realty</w:t>
      </w:r>
      <w:r>
        <w:rPr>
          <w:sz w:val="20"/>
          <w:szCs w:val="20"/>
          <w:color w:val="auto"/>
        </w:rPr>
        <w:tab/>
      </w:r>
      <w:r>
        <w:rPr>
          <w:rFonts w:ascii="Arial" w:cs="Arial" w:eastAsia="Arial" w:hAnsi="Arial"/>
          <w:sz w:val="16"/>
          <w:szCs w:val="16"/>
          <w:color w:val="231F20"/>
        </w:rPr>
        <w:t>2026 Proxy Statement</w:t>
        <w:tab/>
        <w:t>27</w:t>
      </w:r>
    </w:p>
    <w:p>
      <w:pPr>
        <w:sectPr>
          <w:pgSz w:w="11880" w:h="15480" w:orient="portrait"/>
          <w:cols w:equalWidth="0" w:num="1">
            <w:col w:w="10080"/>
          </w:cols>
          <w:pgMar w:left="900" w:top="1326" w:right="900" w:bottom="763" w:gutter="0" w:footer="0" w:header="0"/>
          <w:type w:val="continuous"/>
        </w:sectPr>
      </w:pPr>
    </w:p>
    <w:bookmarkStart w:id="147" w:name="page148"/>
    <w:bookmarkEnd w:id="14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571500</wp:posOffset>
            </wp:positionH>
            <wp:positionV relativeFrom="page">
              <wp:posOffset>800100</wp:posOffset>
            </wp:positionV>
            <wp:extent cx="1923415" cy="208534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105">
                      <a:extLst>
                        <a:ext uri="{28A0092B-C50C-407E-A947-70E740481C1C}"/>
                      </a:extLst>
                    </a:blip>
                    <a:srcRect/>
                    <a:stretch>
                      <a:fillRect/>
                    </a:stretch>
                  </pic:blipFill>
                  <pic:spPr bwMode="auto">
                    <a:xfrm>
                      <a:off x="0" y="0"/>
                      <a:ext cx="1923415" cy="2085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20"/>
          <w:szCs w:val="20"/>
          <w:color w:val="EF3E2A"/>
        </w:rPr>
        <w:t>Dawn M. Becker</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0"/>
          <w:szCs w:val="20"/>
          <w:color w:val="231F20"/>
        </w:rPr>
        <w:t>Executive Vice President</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0"/>
          <w:szCs w:val="20"/>
          <w:color w:val="231F20"/>
        </w:rPr>
        <w:t>Chief Legal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00"/>
        <w:spacing w:after="0"/>
        <w:rPr>
          <w:sz w:val="20"/>
          <w:szCs w:val="20"/>
          <w:color w:val="auto"/>
        </w:rPr>
      </w:pPr>
      <w:r>
        <w:rPr>
          <w:rFonts w:ascii="Arial" w:cs="Arial" w:eastAsia="Arial" w:hAnsi="Arial"/>
          <w:sz w:val="18"/>
          <w:szCs w:val="18"/>
          <w:color w:val="EF3E2A"/>
        </w:rPr>
        <w:t>2025 Compensation (in 000s)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40" w:type="dxa"/>
            <w:vAlign w:val="bottom"/>
            <w:shd w:val="clear" w:color="auto" w:fill="E6E7E8"/>
          </w:tcPr>
          <w:p>
            <w:pPr>
              <w:ind w:left="360"/>
              <w:spacing w:after="0"/>
              <w:rPr>
                <w:sz w:val="20"/>
                <w:szCs w:val="20"/>
                <w:color w:val="auto"/>
              </w:rPr>
            </w:pPr>
            <w:r>
              <w:rPr>
                <w:rFonts w:ascii="Arial" w:cs="Arial" w:eastAsia="Arial" w:hAnsi="Arial"/>
                <w:sz w:val="16"/>
                <w:szCs w:val="16"/>
                <w:color w:val="231F20"/>
              </w:rPr>
              <w:t>Base Pay</w:t>
            </w:r>
          </w:p>
        </w:tc>
        <w:tc>
          <w:tcPr>
            <w:tcW w:w="80" w:type="dxa"/>
            <w:vAlign w:val="bottom"/>
            <w:shd w:val="clear" w:color="auto" w:fill="E6E7E8"/>
          </w:tcPr>
          <w:p>
            <w:pPr>
              <w:jc w:val="right"/>
              <w:spacing w:after="0"/>
              <w:rPr>
                <w:sz w:val="20"/>
                <w:szCs w:val="20"/>
                <w:color w:val="auto"/>
              </w:rPr>
            </w:pPr>
            <w:r>
              <w:rPr>
                <w:rFonts w:ascii="Arial" w:cs="Arial" w:eastAsia="Arial" w:hAnsi="Arial"/>
                <w:sz w:val="15"/>
                <w:szCs w:val="15"/>
                <w:color w:val="231F20"/>
                <w:w w:val="71"/>
                <w:shd w:val="clear" w:color="auto" w:fill="E6E7E8"/>
              </w:rPr>
              <w:t>$</w:t>
            </w:r>
          </w:p>
        </w:tc>
        <w:tc>
          <w:tcPr>
            <w:tcW w:w="400" w:type="dxa"/>
            <w:vAlign w:val="bottom"/>
            <w:shd w:val="clear" w:color="auto" w:fill="E6E7E8"/>
          </w:tcPr>
          <w:p>
            <w:pPr>
              <w:jc w:val="right"/>
              <w:spacing w:after="0"/>
              <w:rPr>
                <w:sz w:val="20"/>
                <w:szCs w:val="20"/>
                <w:color w:val="auto"/>
              </w:rPr>
            </w:pPr>
            <w:r>
              <w:rPr>
                <w:rFonts w:ascii="Arial" w:cs="Arial" w:eastAsia="Arial" w:hAnsi="Arial"/>
                <w:sz w:val="16"/>
                <w:szCs w:val="16"/>
                <w:color w:val="231F20"/>
                <w:shd w:val="clear" w:color="auto" w:fill="E6E7E8"/>
              </w:rPr>
              <w:t>575</w:t>
            </w:r>
          </w:p>
        </w:tc>
        <w:tc>
          <w:tcPr>
            <w:tcW w:w="200" w:type="dxa"/>
            <w:vAlign w:val="bottom"/>
            <w:shd w:val="clear" w:color="auto" w:fill="E6E7E8"/>
          </w:tcPr>
          <w:p>
            <w:pPr>
              <w:spacing w:after="0"/>
              <w:rPr>
                <w:sz w:val="18"/>
                <w:szCs w:val="18"/>
                <w:color w:val="auto"/>
              </w:rPr>
            </w:pPr>
          </w:p>
        </w:tc>
      </w:tr>
      <w:tr>
        <w:trPr>
          <w:trHeight w:val="240"/>
        </w:trPr>
        <w:tc>
          <w:tcPr>
            <w:tcW w:w="2340" w:type="dxa"/>
            <w:vAlign w:val="bottom"/>
            <w:shd w:val="clear" w:color="auto" w:fill="E6E7E8"/>
          </w:tcPr>
          <w:p>
            <w:pPr>
              <w:ind w:left="360"/>
              <w:spacing w:after="0"/>
              <w:rPr>
                <w:sz w:val="20"/>
                <w:szCs w:val="20"/>
                <w:color w:val="auto"/>
              </w:rPr>
            </w:pPr>
            <w:r>
              <w:rPr>
                <w:rFonts w:ascii="Arial" w:cs="Arial" w:eastAsia="Arial" w:hAnsi="Arial"/>
                <w:sz w:val="16"/>
                <w:szCs w:val="16"/>
                <w:color w:val="231F20"/>
              </w:rPr>
              <w:t>Annual Bonus</w:t>
            </w:r>
          </w:p>
        </w:tc>
        <w:tc>
          <w:tcPr>
            <w:tcW w:w="80" w:type="dxa"/>
            <w:vAlign w:val="bottom"/>
            <w:shd w:val="clear" w:color="auto" w:fill="E6E7E8"/>
          </w:tcPr>
          <w:p>
            <w:pPr>
              <w:jc w:val="right"/>
              <w:spacing w:after="0"/>
              <w:rPr>
                <w:sz w:val="20"/>
                <w:szCs w:val="20"/>
                <w:color w:val="auto"/>
              </w:rPr>
            </w:pPr>
            <w:r>
              <w:rPr>
                <w:rFonts w:ascii="Arial" w:cs="Arial" w:eastAsia="Arial" w:hAnsi="Arial"/>
                <w:sz w:val="15"/>
                <w:szCs w:val="15"/>
                <w:color w:val="231F20"/>
                <w:w w:val="71"/>
              </w:rPr>
              <w:t>$</w:t>
            </w:r>
          </w:p>
        </w:tc>
        <w:tc>
          <w:tcPr>
            <w:tcW w:w="400" w:type="dxa"/>
            <w:vAlign w:val="bottom"/>
            <w:shd w:val="clear" w:color="auto" w:fill="E6E7E8"/>
          </w:tcPr>
          <w:p>
            <w:pPr>
              <w:jc w:val="right"/>
              <w:spacing w:after="0"/>
              <w:rPr>
                <w:sz w:val="20"/>
                <w:szCs w:val="20"/>
                <w:color w:val="auto"/>
              </w:rPr>
            </w:pPr>
            <w:r>
              <w:rPr>
                <w:rFonts w:ascii="Arial" w:cs="Arial" w:eastAsia="Arial" w:hAnsi="Arial"/>
                <w:sz w:val="16"/>
                <w:szCs w:val="16"/>
                <w:color w:val="231F20"/>
              </w:rPr>
              <w:t>690</w:t>
            </w:r>
          </w:p>
        </w:tc>
        <w:tc>
          <w:tcPr>
            <w:tcW w:w="200" w:type="dxa"/>
            <w:vAlign w:val="bottom"/>
            <w:shd w:val="clear" w:color="auto" w:fill="E6E7E8"/>
          </w:tcPr>
          <w:p>
            <w:pPr>
              <w:spacing w:after="0"/>
              <w:rPr>
                <w:sz w:val="20"/>
                <w:szCs w:val="20"/>
                <w:color w:val="auto"/>
              </w:rPr>
            </w:pPr>
          </w:p>
        </w:tc>
      </w:tr>
      <w:tr>
        <w:trPr>
          <w:trHeight w:val="283"/>
        </w:trPr>
        <w:tc>
          <w:tcPr>
            <w:tcW w:w="2340" w:type="dxa"/>
            <w:vAlign w:val="bottom"/>
            <w:tcBorders>
              <w:bottom w:val="single" w:sz="8" w:color="E6E7E8"/>
            </w:tcBorders>
            <w:shd w:val="clear" w:color="auto" w:fill="E6E7E8"/>
          </w:tcPr>
          <w:p>
            <w:pPr>
              <w:ind w:left="360"/>
              <w:spacing w:after="0"/>
              <w:rPr>
                <w:sz w:val="20"/>
                <w:szCs w:val="20"/>
                <w:color w:val="auto"/>
              </w:rPr>
            </w:pPr>
            <w:r>
              <w:rPr>
                <w:rFonts w:ascii="Arial" w:cs="Arial" w:eastAsia="Arial" w:hAnsi="Arial"/>
                <w:sz w:val="16"/>
                <w:szCs w:val="16"/>
                <w:color w:val="231F20"/>
              </w:rPr>
              <w:t>Long-Term Equity</w:t>
            </w:r>
          </w:p>
        </w:tc>
        <w:tc>
          <w:tcPr>
            <w:tcW w:w="80" w:type="dxa"/>
            <w:vAlign w:val="bottom"/>
            <w:tcBorders>
              <w:bottom w:val="single" w:sz="8" w:color="E6E7E8"/>
            </w:tcBorders>
            <w:shd w:val="clear" w:color="auto" w:fill="E6E7E8"/>
          </w:tcPr>
          <w:p>
            <w:pPr>
              <w:jc w:val="right"/>
              <w:spacing w:after="0"/>
              <w:rPr>
                <w:sz w:val="20"/>
                <w:szCs w:val="20"/>
                <w:color w:val="auto"/>
              </w:rPr>
            </w:pPr>
            <w:r>
              <w:rPr>
                <w:rFonts w:ascii="Arial" w:cs="Arial" w:eastAsia="Arial" w:hAnsi="Arial"/>
                <w:sz w:val="15"/>
                <w:szCs w:val="15"/>
                <w:color w:val="231F20"/>
                <w:w w:val="71"/>
              </w:rPr>
              <w:t>$</w:t>
            </w:r>
          </w:p>
        </w:tc>
        <w:tc>
          <w:tcPr>
            <w:tcW w:w="600" w:type="dxa"/>
            <w:vAlign w:val="bottom"/>
            <w:tcBorders>
              <w:bottom w:val="single" w:sz="8" w:color="E6E7E8"/>
            </w:tcBorders>
            <w:gridSpan w:val="2"/>
            <w:shd w:val="clear" w:color="auto" w:fill="E6E7E8"/>
          </w:tcPr>
          <w:p>
            <w:pPr>
              <w:jc w:val="right"/>
              <w:ind w:right="200"/>
              <w:spacing w:after="0"/>
              <w:rPr>
                <w:sz w:val="20"/>
                <w:szCs w:val="20"/>
                <w:color w:val="auto"/>
              </w:rPr>
            </w:pPr>
            <w:r>
              <w:rPr>
                <w:rFonts w:ascii="Arial" w:cs="Arial" w:eastAsia="Arial" w:hAnsi="Arial"/>
                <w:sz w:val="16"/>
                <w:szCs w:val="16"/>
                <w:color w:val="231F20"/>
                <w:w w:val="94"/>
              </w:rPr>
              <w:t>1,046</w:t>
            </w:r>
          </w:p>
        </w:tc>
      </w:tr>
      <w:tr>
        <w:trPr>
          <w:trHeight w:val="222"/>
        </w:trPr>
        <w:tc>
          <w:tcPr>
            <w:tcW w:w="2340" w:type="dxa"/>
            <w:vAlign w:val="bottom"/>
            <w:tcBorders>
              <w:top w:val="single" w:sz="8" w:color="E6E7E8"/>
            </w:tcBorders>
            <w:shd w:val="clear" w:color="auto" w:fill="E6E7E8"/>
          </w:tcPr>
          <w:p>
            <w:pPr>
              <w:ind w:left="360"/>
              <w:spacing w:after="0"/>
              <w:rPr>
                <w:sz w:val="20"/>
                <w:szCs w:val="20"/>
                <w:color w:val="auto"/>
              </w:rPr>
            </w:pPr>
            <w:r>
              <w:rPr>
                <w:rFonts w:ascii="Arial" w:cs="Arial" w:eastAsia="Arial" w:hAnsi="Arial"/>
                <w:sz w:val="16"/>
                <w:szCs w:val="16"/>
                <w:color w:val="231F20"/>
              </w:rPr>
              <w:t>Total</w:t>
            </w:r>
          </w:p>
        </w:tc>
        <w:tc>
          <w:tcPr>
            <w:tcW w:w="80" w:type="dxa"/>
            <w:vAlign w:val="bottom"/>
            <w:tcBorders>
              <w:top w:val="single" w:sz="8" w:color="231F20"/>
            </w:tcBorders>
            <w:shd w:val="clear" w:color="auto" w:fill="E6E7E8"/>
          </w:tcPr>
          <w:p>
            <w:pPr>
              <w:jc w:val="right"/>
              <w:spacing w:after="0"/>
              <w:rPr>
                <w:sz w:val="20"/>
                <w:szCs w:val="20"/>
                <w:color w:val="auto"/>
              </w:rPr>
            </w:pPr>
            <w:r>
              <w:rPr>
                <w:rFonts w:ascii="Arial" w:cs="Arial" w:eastAsia="Arial" w:hAnsi="Arial"/>
                <w:sz w:val="15"/>
                <w:szCs w:val="15"/>
                <w:color w:val="231F20"/>
                <w:w w:val="71"/>
              </w:rPr>
              <w:t>$</w:t>
            </w:r>
          </w:p>
        </w:tc>
        <w:tc>
          <w:tcPr>
            <w:tcW w:w="400" w:type="dxa"/>
            <w:vAlign w:val="bottom"/>
            <w:tcBorders>
              <w:top w:val="single" w:sz="8" w:color="231F20"/>
            </w:tcBorders>
            <w:shd w:val="clear" w:color="auto" w:fill="E6E7E8"/>
          </w:tcPr>
          <w:p>
            <w:pPr>
              <w:jc w:val="right"/>
              <w:spacing w:after="0"/>
              <w:rPr>
                <w:sz w:val="20"/>
                <w:szCs w:val="20"/>
                <w:color w:val="auto"/>
              </w:rPr>
            </w:pPr>
            <w:r>
              <w:rPr>
                <w:rFonts w:ascii="Arial" w:cs="Arial" w:eastAsia="Arial" w:hAnsi="Arial"/>
                <w:sz w:val="16"/>
                <w:szCs w:val="16"/>
                <w:color w:val="231F20"/>
                <w:w w:val="94"/>
              </w:rPr>
              <w:t>2,311</w:t>
            </w:r>
          </w:p>
        </w:tc>
        <w:tc>
          <w:tcPr>
            <w:tcW w:w="200" w:type="dxa"/>
            <w:vAlign w:val="bottom"/>
            <w:tcBorders>
              <w:top w:val="single" w:sz="8" w:color="E6E7E8"/>
            </w:tcBorders>
            <w:shd w:val="clear" w:color="auto" w:fill="E6E7E8"/>
          </w:tcPr>
          <w:p>
            <w:pPr>
              <w:spacing w:after="0"/>
              <w:rPr>
                <w:sz w:val="19"/>
                <w:szCs w:val="19"/>
                <w:color w:val="auto"/>
              </w:rPr>
            </w:pPr>
          </w:p>
        </w:tc>
      </w:tr>
      <w:tr>
        <w:trPr>
          <w:trHeight w:val="240"/>
        </w:trPr>
        <w:tc>
          <w:tcPr>
            <w:tcW w:w="2340" w:type="dxa"/>
            <w:vAlign w:val="bottom"/>
            <w:shd w:val="clear" w:color="auto" w:fill="E6E7E8"/>
          </w:tcPr>
          <w:p>
            <w:pPr>
              <w:ind w:left="360"/>
              <w:spacing w:after="0"/>
              <w:rPr>
                <w:sz w:val="20"/>
                <w:szCs w:val="20"/>
                <w:color w:val="auto"/>
              </w:rPr>
            </w:pPr>
            <w:r>
              <w:rPr>
                <w:rFonts w:ascii="Arial" w:cs="Arial" w:eastAsia="Arial" w:hAnsi="Arial"/>
                <w:sz w:val="16"/>
                <w:szCs w:val="16"/>
                <w:color w:val="231F20"/>
              </w:rPr>
              <w:t>Total as % of Target</w:t>
            </w:r>
          </w:p>
        </w:tc>
        <w:tc>
          <w:tcPr>
            <w:tcW w:w="480" w:type="dxa"/>
            <w:vAlign w:val="bottom"/>
            <w:gridSpan w:val="2"/>
            <w:shd w:val="clear" w:color="auto" w:fill="E6E7E8"/>
          </w:tcPr>
          <w:p>
            <w:pPr>
              <w:jc w:val="right"/>
              <w:spacing w:after="0"/>
              <w:rPr>
                <w:sz w:val="20"/>
                <w:szCs w:val="20"/>
                <w:color w:val="auto"/>
              </w:rPr>
            </w:pPr>
            <w:r>
              <w:rPr>
                <w:rFonts w:ascii="Arial" w:cs="Arial" w:eastAsia="Arial" w:hAnsi="Arial"/>
                <w:sz w:val="16"/>
                <w:szCs w:val="16"/>
                <w:color w:val="231F20"/>
              </w:rPr>
              <w:t>107%</w:t>
            </w:r>
          </w:p>
        </w:tc>
        <w:tc>
          <w:tcPr>
            <w:tcW w:w="200" w:type="dxa"/>
            <w:vAlign w:val="bottom"/>
            <w:shd w:val="clear" w:color="auto" w:fill="E6E7E8"/>
          </w:tcPr>
          <w:p>
            <w:pPr>
              <w:spacing w:after="0"/>
              <w:rPr>
                <w:sz w:val="20"/>
                <w:szCs w:val="20"/>
                <w:color w:val="auto"/>
              </w:rPr>
            </w:pPr>
          </w:p>
        </w:tc>
      </w:tr>
      <w:tr>
        <w:trPr>
          <w:trHeight w:val="1448"/>
        </w:trPr>
        <w:tc>
          <w:tcPr>
            <w:tcW w:w="2340" w:type="dxa"/>
            <w:vAlign w:val="bottom"/>
            <w:shd w:val="clear" w:color="auto" w:fill="E6E7E8"/>
          </w:tcPr>
          <w:p>
            <w:pPr>
              <w:spacing w:after="0"/>
              <w:rPr>
                <w:sz w:val="24"/>
                <w:szCs w:val="24"/>
                <w:color w:val="auto"/>
              </w:rPr>
            </w:pPr>
          </w:p>
        </w:tc>
        <w:tc>
          <w:tcPr>
            <w:tcW w:w="80" w:type="dxa"/>
            <w:vAlign w:val="bottom"/>
            <w:shd w:val="clear" w:color="auto" w:fill="E6E7E8"/>
          </w:tcPr>
          <w:p>
            <w:pPr>
              <w:spacing w:after="0"/>
              <w:rPr>
                <w:sz w:val="24"/>
                <w:szCs w:val="24"/>
                <w:color w:val="auto"/>
              </w:rPr>
            </w:pPr>
          </w:p>
        </w:tc>
        <w:tc>
          <w:tcPr>
            <w:tcW w:w="400" w:type="dxa"/>
            <w:vAlign w:val="bottom"/>
            <w:shd w:val="clear" w:color="auto" w:fill="E6E7E8"/>
          </w:tcPr>
          <w:p>
            <w:pPr>
              <w:spacing w:after="0"/>
              <w:rPr>
                <w:sz w:val="24"/>
                <w:szCs w:val="24"/>
                <w:color w:val="auto"/>
              </w:rPr>
            </w:pPr>
          </w:p>
        </w:tc>
        <w:tc>
          <w:tcPr>
            <w:tcW w:w="200" w:type="dxa"/>
            <w:vAlign w:val="bottom"/>
            <w:shd w:val="clear" w:color="auto" w:fill="E6E7E8"/>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Key Responsibilities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-57150</wp:posOffset>
                </wp:positionH>
                <wp:positionV relativeFrom="paragraph">
                  <wp:posOffset>-165735</wp:posOffset>
                </wp:positionV>
                <wp:extent cx="4349750" cy="177165"/>
                <wp:wrapNone/>
                <wp:docPr id="409" name="Shape 4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349750" cy="177165"/>
                        </a:xfrm>
                        <a:prstGeom prst="rect">
                          <a:avLst/>
                        </a:prstGeom>
                        <a:solidFill>
                          <a:srgbClr val="E6E7E8"/>
                        </a:solidFill>
                      </wps:spPr>
                      <wps:bodyPr/>
                    </wps:wsp>
                  </a:graphicData>
                </a:graphic>
              </wp:anchor>
            </w:drawing>
          </mc:Choice>
          <mc:Fallback>
            <w:pict>
              <v:rect id="Shape 409" o:spid="_x0000_s1434" style="position:absolute;margin-left:-4.4999pt;margin-top:-13.0499pt;width:342.5pt;height:13.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7E8" stroked="f"/>
            </w:pict>
          </mc:Fallback>
        </mc:AlternateContent>
      </w:r>
    </w:p>
    <w:p>
      <w:pPr>
        <w:spacing w:after="0" w:line="55" w:lineRule="exact"/>
        <w:rPr>
          <w:sz w:val="20"/>
          <w:szCs w:val="20"/>
          <w:color w:val="auto"/>
        </w:rPr>
      </w:pPr>
    </w:p>
    <w:p>
      <w:pPr>
        <w:ind w:right="40"/>
        <w:spacing w:after="0" w:line="248" w:lineRule="auto"/>
        <w:rPr>
          <w:sz w:val="20"/>
          <w:szCs w:val="20"/>
          <w:color w:val="auto"/>
        </w:rPr>
      </w:pPr>
      <w:r>
        <w:rPr>
          <w:rFonts w:ascii="Arial" w:cs="Arial" w:eastAsia="Arial" w:hAnsi="Arial"/>
          <w:sz w:val="20"/>
          <w:szCs w:val="20"/>
          <w:color w:val="231F20"/>
        </w:rPr>
        <w:t>Ms. Becker has overall responsibility for all legal functions within the Company and heads all of our sustainability efforts in addition to overseeing our Human Resources, Information Technology and other administrative functions.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-57150</wp:posOffset>
                </wp:positionH>
                <wp:positionV relativeFrom="paragraph">
                  <wp:posOffset>160655</wp:posOffset>
                </wp:positionV>
                <wp:extent cx="4349750" cy="190500"/>
                <wp:wrapNone/>
                <wp:docPr id="410" name="Shape 4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349750" cy="190500"/>
                        </a:xfrm>
                        <a:prstGeom prst="rect">
                          <a:avLst/>
                        </a:prstGeom>
                        <a:solidFill>
                          <a:srgbClr val="E6E7E8"/>
                        </a:solidFill>
                      </wps:spPr>
                      <wps:bodyPr/>
                    </wps:wsp>
                  </a:graphicData>
                </a:graphic>
              </wp:anchor>
            </w:drawing>
          </mc:Choice>
          <mc:Fallback>
            <w:pict>
              <v:rect id="Shape 410" o:spid="_x0000_s1435" style="position:absolute;margin-left:-4.4999pt;margin-top:12.65pt;width:342.5pt;height: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7E8" stroked="f"/>
            </w:pict>
          </mc:Fallback>
        </mc:AlternateContent>
      </w:r>
    </w:p>
    <w:p>
      <w:pPr>
        <w:spacing w:after="0" w:line="285"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2025 Achievements</w:t>
      </w:r>
    </w:p>
    <w:p>
      <w:pPr>
        <w:spacing w:after="0" w:line="32" w:lineRule="exact"/>
        <w:rPr>
          <w:sz w:val="20"/>
          <w:szCs w:val="20"/>
          <w:color w:val="auto"/>
        </w:rPr>
      </w:pPr>
    </w:p>
    <w:p>
      <w:pPr>
        <w:spacing w:after="0" w:line="268" w:lineRule="exact"/>
        <w:rPr>
          <w:sz w:val="20"/>
          <w:szCs w:val="20"/>
          <w:color w:val="auto"/>
        </w:rPr>
      </w:pPr>
      <w:r>
        <w:rPr>
          <w:rFonts w:ascii="Arial Unicode MS" w:cs="Arial Unicode MS" w:eastAsia="Arial Unicode MS" w:hAnsi="Arial Unicode MS"/>
          <w:sz w:val="20"/>
          <w:szCs w:val="20"/>
          <w:color w:val="231F20"/>
        </w:rPr>
        <w:t>✓</w:t>
      </w:r>
      <w:r>
        <w:rPr>
          <w:rFonts w:ascii="Arial" w:cs="Arial" w:eastAsia="Arial" w:hAnsi="Arial"/>
          <w:sz w:val="20"/>
          <w:szCs w:val="20"/>
          <w:color w:val="231F20"/>
        </w:rPr>
        <w:t xml:space="preserve">  Led the Company’s sustainability efforts</w:t>
      </w:r>
    </w:p>
    <w:p>
      <w:pPr>
        <w:spacing w:after="0" w:line="14" w:lineRule="exact"/>
        <w:rPr>
          <w:sz w:val="20"/>
          <w:szCs w:val="20"/>
          <w:color w:val="auto"/>
        </w:rPr>
      </w:pPr>
    </w:p>
    <w:p>
      <w:pPr>
        <w:ind w:left="400" w:right="80" w:hanging="400"/>
        <w:spacing w:after="0" w:line="235" w:lineRule="exact"/>
        <w:rPr>
          <w:sz w:val="20"/>
          <w:szCs w:val="20"/>
          <w:color w:val="auto"/>
        </w:rPr>
      </w:pPr>
      <w:r>
        <w:rPr>
          <w:rFonts w:ascii="Arial Unicode MS" w:cs="Arial Unicode MS" w:eastAsia="Arial Unicode MS" w:hAnsi="Arial Unicode MS"/>
          <w:sz w:val="20"/>
          <w:szCs w:val="20"/>
          <w:color w:val="231F20"/>
        </w:rPr>
        <w:t>✓</w:t>
      </w:r>
      <w:r>
        <w:rPr>
          <w:rFonts w:ascii="Arial" w:cs="Arial" w:eastAsia="Arial" w:hAnsi="Arial"/>
          <w:sz w:val="20"/>
          <w:szCs w:val="20"/>
          <w:color w:val="231F20"/>
        </w:rPr>
        <w:t xml:space="preserve"> Led the Company’s progress to date on reducing Scope 1 and 2 GHG emissions, on pace to achieve our established science-based emission reduction target</w:t>
      </w:r>
    </w:p>
    <w:p>
      <w:pPr>
        <w:spacing w:after="0" w:line="16" w:lineRule="exact"/>
        <w:rPr>
          <w:sz w:val="20"/>
          <w:szCs w:val="20"/>
          <w:color w:val="auto"/>
        </w:rPr>
      </w:pPr>
    </w:p>
    <w:p>
      <w:pPr>
        <w:jc w:val="center"/>
        <w:ind w:left="400" w:right="260" w:hanging="400"/>
        <w:spacing w:after="0" w:line="233" w:lineRule="exact"/>
        <w:rPr>
          <w:sz w:val="20"/>
          <w:szCs w:val="20"/>
          <w:color w:val="auto"/>
        </w:rPr>
      </w:pPr>
      <w:r>
        <w:rPr>
          <w:rFonts w:ascii="Arial Unicode MS" w:cs="Arial Unicode MS" w:eastAsia="Arial Unicode MS" w:hAnsi="Arial Unicode MS"/>
          <w:sz w:val="20"/>
          <w:szCs w:val="20"/>
          <w:color w:val="231F20"/>
        </w:rPr>
        <w:t>✓</w:t>
      </w:r>
      <w:r>
        <w:rPr>
          <w:rFonts w:ascii="Arial" w:cs="Arial" w:eastAsia="Arial" w:hAnsi="Arial"/>
          <w:sz w:val="20"/>
          <w:szCs w:val="20"/>
          <w:color w:val="231F20"/>
        </w:rPr>
        <w:t xml:space="preserve">  Guided the Company’s legal efforts that contributed to strong leasing volumes and a record year of acquisition and disposition activity</w:t>
      </w:r>
    </w:p>
    <w:p>
      <w:pPr>
        <w:spacing w:after="0" w:line="15" w:lineRule="exact"/>
        <w:rPr>
          <w:sz w:val="20"/>
          <w:szCs w:val="20"/>
          <w:color w:val="auto"/>
        </w:rPr>
      </w:pPr>
    </w:p>
    <w:p>
      <w:pPr>
        <w:ind w:left="400" w:right="20" w:hanging="400"/>
        <w:spacing w:after="0" w:line="232" w:lineRule="exact"/>
        <w:rPr>
          <w:sz w:val="20"/>
          <w:szCs w:val="20"/>
          <w:color w:val="auto"/>
        </w:rPr>
      </w:pPr>
      <w:r>
        <w:rPr>
          <w:rFonts w:ascii="Arial Unicode MS" w:cs="Arial Unicode MS" w:eastAsia="Arial Unicode MS" w:hAnsi="Arial Unicode MS"/>
          <w:sz w:val="20"/>
          <w:szCs w:val="20"/>
          <w:color w:val="231F20"/>
        </w:rPr>
        <w:t>✓</w:t>
      </w:r>
      <w:r>
        <w:rPr>
          <w:rFonts w:ascii="Arial" w:cs="Arial" w:eastAsia="Arial" w:hAnsi="Arial"/>
          <w:sz w:val="20"/>
          <w:szCs w:val="20"/>
          <w:color w:val="231F20"/>
        </w:rPr>
        <w:t xml:space="preserve"> Oversaw efforts that resulted in continued strong employee engagement results and improved succession planning in the Company</w:t>
      </w:r>
    </w:p>
    <w:p>
      <w:pPr>
        <w:spacing w:after="0" w:line="17" w:lineRule="exact"/>
        <w:rPr>
          <w:sz w:val="20"/>
          <w:szCs w:val="20"/>
          <w:color w:val="auto"/>
        </w:rPr>
      </w:pPr>
    </w:p>
    <w:p>
      <w:pPr>
        <w:ind w:left="400" w:right="120" w:hanging="400"/>
        <w:spacing w:after="0" w:line="234" w:lineRule="exact"/>
        <w:rPr>
          <w:sz w:val="20"/>
          <w:szCs w:val="20"/>
          <w:color w:val="auto"/>
        </w:rPr>
      </w:pPr>
      <w:r>
        <w:rPr>
          <w:rFonts w:ascii="Arial Unicode MS" w:cs="Arial Unicode MS" w:eastAsia="Arial Unicode MS" w:hAnsi="Arial Unicode MS"/>
          <w:sz w:val="20"/>
          <w:szCs w:val="20"/>
          <w:color w:val="231F20"/>
        </w:rPr>
        <w:t>✓</w:t>
      </w:r>
      <w:r>
        <w:rPr>
          <w:rFonts w:ascii="Arial" w:cs="Arial" w:eastAsia="Arial" w:hAnsi="Arial"/>
          <w:sz w:val="20"/>
          <w:szCs w:val="20"/>
          <w:color w:val="231F20"/>
        </w:rPr>
        <w:t xml:space="preserve"> Led continued technology system improvements and reporting to drive Company-wide efficiency and data availability, advance efforts around use of artificial intelligence and improve cyber security readiness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-2108200</wp:posOffset>
                </wp:positionH>
                <wp:positionV relativeFrom="paragraph">
                  <wp:posOffset>925830</wp:posOffset>
                </wp:positionV>
                <wp:extent cx="6400800" cy="0"/>
                <wp:wrapNone/>
                <wp:docPr id="411" name="Shape 4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411" o:spid="_x0000_s14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66pt,72.9pt" to="338pt,72.9pt" o:allowincell="f" strokecolor="#231F20" strokeweight="0.5pt"/>
            </w:pict>
          </mc:Fallback>
        </mc:AlternateContent>
      </w:r>
    </w:p>
    <w:p>
      <w:pPr>
        <w:spacing w:after="0" w:line="1402" w:lineRule="exact"/>
        <w:rPr>
          <w:sz w:val="20"/>
          <w:szCs w:val="20"/>
          <w:color w:val="auto"/>
        </w:rPr>
      </w:pPr>
    </w:p>
    <w:p>
      <w:pPr>
        <w:sectPr>
          <w:pgSz w:w="11880" w:h="15480" w:orient="portrait"/>
          <w:cols w:equalWidth="0" w:num="2">
            <w:col w:w="3020" w:space="300"/>
            <w:col w:w="6760"/>
          </w:cols>
          <w:pgMar w:left="900" w:top="1440" w:right="900" w:bottom="763" w:gutter="0" w:footer="0" w:header="0"/>
        </w:sectPr>
      </w:pPr>
    </w:p>
    <w:p>
      <w:pPr>
        <w:spacing w:after="0" w:line="116" w:lineRule="exact"/>
        <w:rPr>
          <w:sz w:val="20"/>
          <w:szCs w:val="20"/>
          <w:color w:val="auto"/>
        </w:rPr>
      </w:pPr>
    </w:p>
    <w:p>
      <w:pPr>
        <w:ind w:left="120"/>
        <w:spacing w:after="0"/>
        <w:rPr>
          <w:sz w:val="20"/>
          <w:szCs w:val="20"/>
          <w:color w:val="auto"/>
        </w:rPr>
      </w:pPr>
      <w:r>
        <w:rPr>
          <w:rFonts w:ascii="Arial" w:cs="Arial" w:eastAsia="Arial" w:hAnsi="Arial"/>
          <w:sz w:val="24"/>
          <w:szCs w:val="24"/>
          <w:b w:val="1"/>
          <w:bCs w:val="1"/>
          <w:color w:val="EF3E2A"/>
        </w:rPr>
        <w:t>O</w:t>
      </w:r>
      <w:r>
        <w:rPr>
          <w:rFonts w:ascii="Arial" w:cs="Arial" w:eastAsia="Arial" w:hAnsi="Arial"/>
          <w:sz w:val="18"/>
          <w:szCs w:val="18"/>
          <w:b w:val="1"/>
          <w:bCs w:val="1"/>
          <w:color w:val="EF3E2A"/>
        </w:rPr>
        <w:t>THER</w:t>
      </w:r>
      <w:r>
        <w:rPr>
          <w:rFonts w:ascii="Arial" w:cs="Arial" w:eastAsia="Arial" w:hAnsi="Arial"/>
          <w:sz w:val="24"/>
          <w:szCs w:val="24"/>
          <w:b w:val="1"/>
          <w:bCs w:val="1"/>
          <w:color w:val="EF3E2A"/>
        </w:rPr>
        <w:t xml:space="preserve"> C</w:t>
      </w:r>
      <w:r>
        <w:rPr>
          <w:rFonts w:ascii="Arial" w:cs="Arial" w:eastAsia="Arial" w:hAnsi="Arial"/>
          <w:sz w:val="18"/>
          <w:szCs w:val="18"/>
          <w:b w:val="1"/>
          <w:bCs w:val="1"/>
          <w:color w:val="EF3E2A"/>
        </w:rPr>
        <w:t>OMPENSATION</w:t>
      </w:r>
      <w:r>
        <w:rPr>
          <w:rFonts w:ascii="Arial" w:cs="Arial" w:eastAsia="Arial" w:hAnsi="Arial"/>
          <w:sz w:val="24"/>
          <w:szCs w:val="24"/>
          <w:b w:val="1"/>
          <w:bCs w:val="1"/>
          <w:color w:val="EF3E2A"/>
        </w:rPr>
        <w:t xml:space="preserve"> P</w:t>
      </w:r>
      <w:r>
        <w:rPr>
          <w:rFonts w:ascii="Arial" w:cs="Arial" w:eastAsia="Arial" w:hAnsi="Arial"/>
          <w:sz w:val="18"/>
          <w:szCs w:val="18"/>
          <w:b w:val="1"/>
          <w:bCs w:val="1"/>
          <w:color w:val="EF3E2A"/>
        </w:rPr>
        <w:t>RACTICES AND</w:t>
      </w:r>
      <w:r>
        <w:rPr>
          <w:rFonts w:ascii="Arial" w:cs="Arial" w:eastAsia="Arial" w:hAnsi="Arial"/>
          <w:sz w:val="24"/>
          <w:szCs w:val="24"/>
          <w:b w:val="1"/>
          <w:bCs w:val="1"/>
          <w:color w:val="EF3E2A"/>
        </w:rPr>
        <w:t xml:space="preserve"> P</w:t>
      </w:r>
      <w:r>
        <w:rPr>
          <w:rFonts w:ascii="Arial" w:cs="Arial" w:eastAsia="Arial" w:hAnsi="Arial"/>
          <w:sz w:val="18"/>
          <w:szCs w:val="18"/>
          <w:b w:val="1"/>
          <w:bCs w:val="1"/>
          <w:color w:val="EF3E2A"/>
        </w:rPr>
        <w:t>OLICIES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22225</wp:posOffset>
                </wp:positionV>
                <wp:extent cx="6400800" cy="0"/>
                <wp:wrapNone/>
                <wp:docPr id="412" name="Shape 4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412" o:spid="_x0000_s14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75pt" to="504pt,1.75pt" o:allowincell="f" strokecolor="#231F20" strokeweight="0.5pt"/>
            </w:pict>
          </mc:Fallback>
        </mc:AlternateContent>
      </w:r>
    </w:p>
    <w:p>
      <w:pPr>
        <w:spacing w:after="0" w:line="285" w:lineRule="exact"/>
        <w:rPr>
          <w:sz w:val="20"/>
          <w:szCs w:val="20"/>
          <w:color w:val="auto"/>
        </w:rPr>
      </w:pPr>
    </w:p>
    <w:p>
      <w:pPr>
        <w:spacing w:after="0" w:line="268" w:lineRule="exact"/>
        <w:rPr>
          <w:sz w:val="20"/>
          <w:szCs w:val="20"/>
          <w:color w:val="auto"/>
        </w:rPr>
      </w:pPr>
      <w:r>
        <w:rPr>
          <w:rFonts w:ascii="Arial Unicode MS" w:cs="Arial Unicode MS" w:eastAsia="Arial Unicode MS" w:hAnsi="Arial Unicode MS"/>
          <w:sz w:val="20"/>
          <w:szCs w:val="20"/>
          <w:color w:val="EF3E2A"/>
        </w:rPr>
        <w:t>➣</w:t>
      </w:r>
      <w:r>
        <w:rPr>
          <w:rFonts w:ascii="Arial" w:cs="Arial" w:eastAsia="Arial" w:hAnsi="Arial"/>
          <w:sz w:val="20"/>
          <w:szCs w:val="20"/>
          <w:b w:val="1"/>
          <w:bCs w:val="1"/>
          <w:color w:val="231F20"/>
        </w:rPr>
        <w:t xml:space="preserve"> CONSIDERATION OF SAY ON PAY VOTE</w:t>
      </w:r>
    </w:p>
    <w:p>
      <w:pPr>
        <w:spacing w:after="0" w:line="266"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231F20"/>
        </w:rPr>
        <w:t>The Company conducts an annual “say on pay” vote to approve executive compensation. At the 2025 annual meeting of shareholders, more than 92% of the shares voted were in support of the compensation paid to our NEOs. Although the vote is advisory and non-binding on the Board, the Compensation Committee regularly considers the results of this vote in evaluating the Company’s compensation programs, including for 2025 compensation. In light of the feedback from our shareholders and the Compensation Committee’s evaluation, the Compensation Committee concluded that the Company provides executive competitive programs that effectively attract, motivate, reward and retain executives in a manner aligned with our shareholder interests and made no material changes to our executive compensation programs for 2026.</w:t>
      </w:r>
    </w:p>
    <w:p>
      <w:pPr>
        <w:spacing w:after="0" w:line="219" w:lineRule="exact"/>
        <w:rPr>
          <w:sz w:val="20"/>
          <w:szCs w:val="20"/>
          <w:color w:val="auto"/>
        </w:rPr>
      </w:pPr>
    </w:p>
    <w:p>
      <w:pPr>
        <w:spacing w:after="0" w:line="268" w:lineRule="exact"/>
        <w:rPr>
          <w:sz w:val="20"/>
          <w:szCs w:val="20"/>
          <w:color w:val="auto"/>
        </w:rPr>
      </w:pPr>
      <w:r>
        <w:rPr>
          <w:rFonts w:ascii="Arial Unicode MS" w:cs="Arial Unicode MS" w:eastAsia="Arial Unicode MS" w:hAnsi="Arial Unicode MS"/>
          <w:sz w:val="20"/>
          <w:szCs w:val="20"/>
          <w:color w:val="EF3E2A"/>
        </w:rPr>
        <w:t>➣</w:t>
      </w:r>
      <w:r>
        <w:rPr>
          <w:rFonts w:ascii="Arial" w:cs="Arial" w:eastAsia="Arial" w:hAnsi="Arial"/>
          <w:sz w:val="20"/>
          <w:szCs w:val="20"/>
          <w:b w:val="1"/>
          <w:bCs w:val="1"/>
          <w:color w:val="231F20"/>
        </w:rPr>
        <w:t xml:space="preserve"> NO HEDGING OR PLEDGING OF OUR SHARES</w:t>
      </w:r>
    </w:p>
    <w:p>
      <w:pPr>
        <w:spacing w:after="0" w:line="266"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231F20"/>
        </w:rPr>
        <w:t>The Company prohibits all officers and Trustees from engaging in short sales of our securities, establishing margin accounts, pledging our securities as collateral for a loan, buying or selling puts or calls on our securities or otherwise engaging in hedging transactions (such as zero-cost dollars, exchange funds, and forward sale contracts) involving our securities.</w:t>
      </w:r>
    </w:p>
    <w:p>
      <w:pPr>
        <w:spacing w:after="0" w:line="218" w:lineRule="exact"/>
        <w:rPr>
          <w:sz w:val="20"/>
          <w:szCs w:val="20"/>
          <w:color w:val="auto"/>
        </w:rPr>
      </w:pPr>
    </w:p>
    <w:p>
      <w:pPr>
        <w:spacing w:after="0" w:line="268" w:lineRule="exact"/>
        <w:rPr>
          <w:sz w:val="20"/>
          <w:szCs w:val="20"/>
          <w:color w:val="auto"/>
        </w:rPr>
      </w:pPr>
      <w:r>
        <w:rPr>
          <w:rFonts w:ascii="Arial Unicode MS" w:cs="Arial Unicode MS" w:eastAsia="Arial Unicode MS" w:hAnsi="Arial Unicode MS"/>
          <w:sz w:val="20"/>
          <w:szCs w:val="20"/>
          <w:color w:val="EF3E2A"/>
        </w:rPr>
        <w:t>➣</w:t>
      </w:r>
      <w:r>
        <w:rPr>
          <w:rFonts w:ascii="Arial" w:cs="Arial" w:eastAsia="Arial" w:hAnsi="Arial"/>
          <w:sz w:val="20"/>
          <w:szCs w:val="20"/>
          <w:b w:val="1"/>
          <w:bCs w:val="1"/>
          <w:color w:val="231F20"/>
        </w:rPr>
        <w:t xml:space="preserve"> SEVERANCE AND CHANGE-IN-CONTROL ARRANGEMENTS</w:t>
      </w:r>
    </w:p>
    <w:p>
      <w:pPr>
        <w:spacing w:after="0" w:line="26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231F20"/>
        </w:rPr>
        <w:t>We do not have employment agreements in place with any of our NEOs or any other employee which provides the Compensation Committee with maximum flexibility to modify compensation as warranted based on market conditions and Company considerations. We do, however, have in place with each of our NEOs a severance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125730</wp:posOffset>
                </wp:positionV>
                <wp:extent cx="6400800" cy="177800"/>
                <wp:wrapNone/>
                <wp:docPr id="413" name="Shape 4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177800"/>
                        </a:xfrm>
                        <a:prstGeom prst="rect">
                          <a:avLst/>
                        </a:prstGeom>
                        <a:solidFill>
                          <a:srgbClr val="E8E7E5"/>
                        </a:solidFill>
                      </wps:spPr>
                      <wps:bodyPr/>
                    </wps:wsp>
                  </a:graphicData>
                </a:graphic>
              </wp:anchor>
            </w:drawing>
          </mc:Choice>
          <mc:Fallback>
            <w:pict>
              <v:rect id="Shape 413" o:spid="_x0000_s1438" style="position:absolute;margin-left:0pt;margin-top:9.9pt;width:504pt;height:1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8E7E5" stroked="f"/>
            </w:pict>
          </mc:Fallback>
        </mc:AlternateContent>
        <mc:AlternateContent>
          <mc:Choice Requires="wps">
            <w:drawing>
              <wp:anchor simplePos="0" relativeHeight="251657728" behindDoc="1" locked="0" layoutInCell="0" allowOverlap="1">
                <wp:simplePos x="0" y="0"/>
                <wp:positionH relativeFrom="column">
                  <wp:posOffset>6350</wp:posOffset>
                </wp:positionH>
                <wp:positionV relativeFrom="paragraph">
                  <wp:posOffset>125730</wp:posOffset>
                </wp:positionV>
                <wp:extent cx="0" cy="177800"/>
                <wp:wrapNone/>
                <wp:docPr id="414" name="Shape 4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414" o:spid="_x0000_s14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pt,9.9pt" to="0.5pt,23.9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132080</wp:posOffset>
                </wp:positionV>
                <wp:extent cx="6400800" cy="0"/>
                <wp:wrapNone/>
                <wp:docPr id="415" name="Shape 4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415" o:spid="_x0000_s14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0.4pt" to="504pt,10.4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6394450</wp:posOffset>
                </wp:positionH>
                <wp:positionV relativeFrom="paragraph">
                  <wp:posOffset>125730</wp:posOffset>
                </wp:positionV>
                <wp:extent cx="0" cy="177800"/>
                <wp:wrapNone/>
                <wp:docPr id="416" name="Shape 4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416" o:spid="_x0000_s14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3.5pt,9.9pt" to="503.5pt,23.9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297180</wp:posOffset>
                </wp:positionV>
                <wp:extent cx="6400800" cy="0"/>
                <wp:wrapNone/>
                <wp:docPr id="417" name="Shape 4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417" o:spid="_x0000_s14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3.4pt" to="504pt,23.4pt" o:allowincell="f" strokecolor="#231F20" strokeweight="1pt"/>
            </w:pict>
          </mc:Fallback>
        </mc:AlternateContent>
      </w:r>
    </w:p>
    <w:p>
      <w:pPr>
        <w:sectPr>
          <w:pgSz w:w="11880" w:h="15480" w:orient="portrait"/>
          <w:cols w:equalWidth="0" w:num="1">
            <w:col w:w="10080"/>
          </w:cols>
          <w:pgMar w:left="900" w:top="1440" w:right="900" w:bottom="763" w:gutter="0" w:footer="0" w:header="0"/>
          <w:type w:val="continuous"/>
        </w:sectPr>
      </w:pPr>
    </w:p>
    <w:p>
      <w:pPr>
        <w:spacing w:after="0" w:line="246" w:lineRule="exact"/>
        <w:rPr>
          <w:sz w:val="20"/>
          <w:szCs w:val="20"/>
          <w:color w:val="auto"/>
        </w:rPr>
      </w:pPr>
    </w:p>
    <w:p>
      <w:pPr>
        <w:ind w:left="80"/>
        <w:spacing w:after="0"/>
        <w:tabs>
          <w:tab w:leader="none" w:pos="1420" w:val="left"/>
          <w:tab w:leader="none" w:pos="3160" w:val="left"/>
        </w:tabs>
        <w:rPr>
          <w:sz w:val="20"/>
          <w:szCs w:val="20"/>
          <w:color w:val="auto"/>
        </w:rPr>
      </w:pPr>
      <w:r>
        <w:rPr>
          <w:rFonts w:ascii="Arial" w:cs="Arial" w:eastAsia="Arial" w:hAnsi="Arial"/>
          <w:sz w:val="16"/>
          <w:szCs w:val="16"/>
          <w:color w:val="EF3E2A"/>
        </w:rPr>
        <w:t>Federal Realty</w:t>
      </w:r>
      <w:r>
        <w:rPr>
          <w:sz w:val="20"/>
          <w:szCs w:val="20"/>
          <w:color w:val="auto"/>
        </w:rPr>
        <w:tab/>
      </w:r>
      <w:r>
        <w:rPr>
          <w:rFonts w:ascii="Arial" w:cs="Arial" w:eastAsia="Arial" w:hAnsi="Arial"/>
          <w:sz w:val="16"/>
          <w:szCs w:val="16"/>
          <w:color w:val="231F20"/>
        </w:rPr>
        <w:t>2026 Proxy Statement</w:t>
        <w:tab/>
        <w:t>28</w:t>
      </w:r>
    </w:p>
    <w:p>
      <w:pPr>
        <w:sectPr>
          <w:pgSz w:w="11880" w:h="15480" w:orient="portrait"/>
          <w:cols w:equalWidth="0" w:num="1">
            <w:col w:w="10080"/>
          </w:cols>
          <w:pgMar w:left="900" w:top="1440" w:right="900" w:bottom="763" w:gutter="0" w:footer="0" w:header="0"/>
          <w:type w:val="continuous"/>
        </w:sectPr>
      </w:pPr>
    </w:p>
    <w:bookmarkStart w:id="148" w:name="page149"/>
    <w:bookmarkEnd w:id="148"/>
    <w:p>
      <w:pPr>
        <w:jc w:val="both"/>
        <w:spacing w:after="0" w:line="249" w:lineRule="auto"/>
        <w:rPr>
          <w:sz w:val="20"/>
          <w:szCs w:val="20"/>
          <w:color w:val="auto"/>
        </w:rPr>
      </w:pPr>
      <w:r>
        <w:rPr>
          <w:rFonts w:ascii="Arial" w:cs="Arial" w:eastAsia="Arial" w:hAnsi="Arial"/>
          <w:sz w:val="20"/>
          <w:szCs w:val="20"/>
          <w:color w:val="231F20"/>
        </w:rPr>
        <w:t>agreement that provides for certain payments and benefits to be provided to the NEO if he/she is terminated from employment under the conditions set forth in those agreements. The circumstances in which payments may be made and the potential amounts of those payments are described in more detail in the “Potential Payments on Termination of Employment and Change-in-Control” section below. We believe that the payments provided for in these agreements are consistent with market and important as part of the total compensation packages available for our NEOs.</w:t>
      </w:r>
    </w:p>
    <w:p>
      <w:pPr>
        <w:spacing w:after="0" w:line="204" w:lineRule="exact"/>
        <w:rPr>
          <w:sz w:val="20"/>
          <w:szCs w:val="20"/>
          <w:color w:val="auto"/>
        </w:rPr>
      </w:pPr>
    </w:p>
    <w:p>
      <w:pPr>
        <w:spacing w:after="0" w:line="268" w:lineRule="exact"/>
        <w:rPr>
          <w:sz w:val="20"/>
          <w:szCs w:val="20"/>
          <w:color w:val="auto"/>
        </w:rPr>
      </w:pPr>
      <w:r>
        <w:rPr>
          <w:rFonts w:ascii="Arial Unicode MS" w:cs="Arial Unicode MS" w:eastAsia="Arial Unicode MS" w:hAnsi="Arial Unicode MS"/>
          <w:sz w:val="20"/>
          <w:szCs w:val="20"/>
          <w:color w:val="EF3E2A"/>
        </w:rPr>
        <w:t>➣</w:t>
      </w:r>
      <w:r>
        <w:rPr>
          <w:rFonts w:ascii="Arial" w:cs="Arial" w:eastAsia="Arial" w:hAnsi="Arial"/>
          <w:sz w:val="20"/>
          <w:szCs w:val="20"/>
          <w:b w:val="1"/>
          <w:bCs w:val="1"/>
          <w:color w:val="231F20"/>
        </w:rPr>
        <w:t xml:space="preserve"> CLAWBACK POLICY</w:t>
      </w:r>
    </w:p>
    <w:p>
      <w:pPr>
        <w:spacing w:after="0" w:line="257"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231F20"/>
        </w:rPr>
        <w:t>We have a clawback policy that provides for the return from an NEO of performance based compensation if we issue a restatement of financial results to correct material non-compliance with reporting requirements and the performance compensation paid to that NEO is more than it would have been based on the restated financial results. This clawback policy complies with the most current NYSE requirements.</w:t>
      </w:r>
    </w:p>
    <w:p>
      <w:pPr>
        <w:spacing w:after="0" w:line="205" w:lineRule="exact"/>
        <w:rPr>
          <w:sz w:val="20"/>
          <w:szCs w:val="20"/>
          <w:color w:val="auto"/>
        </w:rPr>
      </w:pPr>
    </w:p>
    <w:p>
      <w:pPr>
        <w:spacing w:after="0" w:line="268" w:lineRule="exact"/>
        <w:rPr>
          <w:sz w:val="20"/>
          <w:szCs w:val="20"/>
          <w:color w:val="auto"/>
        </w:rPr>
      </w:pPr>
      <w:r>
        <w:rPr>
          <w:rFonts w:ascii="Arial Unicode MS" w:cs="Arial Unicode MS" w:eastAsia="Arial Unicode MS" w:hAnsi="Arial Unicode MS"/>
          <w:sz w:val="20"/>
          <w:szCs w:val="20"/>
          <w:color w:val="EF3E2A"/>
        </w:rPr>
        <w:t>➣</w:t>
      </w:r>
      <w:r>
        <w:rPr>
          <w:rFonts w:ascii="Arial" w:cs="Arial" w:eastAsia="Arial" w:hAnsi="Arial"/>
          <w:sz w:val="20"/>
          <w:szCs w:val="20"/>
          <w:b w:val="1"/>
          <w:bCs w:val="1"/>
          <w:color w:val="231F20"/>
        </w:rPr>
        <w:t xml:space="preserve"> SHARE OWNERSHIP GUIDELINES</w:t>
      </w:r>
    </w:p>
    <w:p>
      <w:pPr>
        <w:spacing w:after="0" w:line="257"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231F20"/>
        </w:rPr>
        <w:t>We maintain guidelines requiring each of our NEOs as well as other executive vice presidents to maintain a specific level of ownership of our shares as shown below. These guidelines are intended to link the interests of our NEOs and other executive vice presidents with the interests of our shareholders. Each individual subject to these guidelines has five years to achieve the required level of ownership after becoming subject to the guidelines.</w:t>
      </w:r>
    </w:p>
    <w:p>
      <w:pPr>
        <w:spacing w:after="0" w:line="247"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231F20"/>
        </w:rPr>
        <w:t>Compliance with our ownership guidelines gets measured and reviewed by the Board at the end of each fiscal year and the ownership level of each of our NEOs as of December 31, 2025 is shown below based on the closing price of our shares on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114300</wp:posOffset>
            </wp:positionV>
            <wp:extent cx="6400800" cy="41592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106">
                      <a:extLst>
                        <a:ext uri="{28A0092B-C50C-407E-A947-70E740481C1C}"/>
                      </a:extLst>
                    </a:blip>
                    <a:srcRect/>
                    <a:stretch>
                      <a:fillRect/>
                    </a:stretch>
                  </pic:blipFill>
                  <pic:spPr bwMode="auto">
                    <a:xfrm>
                      <a:off x="0" y="0"/>
                      <a:ext cx="6400800" cy="415925"/>
                    </a:xfrm>
                    <a:prstGeom prst="rect">
                      <a:avLst/>
                    </a:prstGeom>
                    <a:noFill/>
                  </pic:spPr>
                </pic:pic>
              </a:graphicData>
            </a:graphic>
          </wp:anchor>
        </w:drawing>
      </w:r>
    </w:p>
    <w:p>
      <w:pPr>
        <w:spacing w:after="0" w:line="266" w:lineRule="exact"/>
        <w:rPr>
          <w:sz w:val="20"/>
          <w:szCs w:val="20"/>
          <w:color w:val="auto"/>
        </w:rPr>
      </w:pPr>
    </w:p>
    <w:p>
      <w:pPr>
        <w:ind w:left="860" w:right="80"/>
        <w:spacing w:after="0" w:line="248" w:lineRule="auto"/>
        <w:rPr>
          <w:sz w:val="20"/>
          <w:szCs w:val="20"/>
          <w:color w:val="auto"/>
        </w:rPr>
      </w:pPr>
      <w:r>
        <w:rPr>
          <w:rFonts w:ascii="Arial" w:cs="Arial" w:eastAsia="Arial" w:hAnsi="Arial"/>
          <w:sz w:val="20"/>
          <w:szCs w:val="20"/>
          <w:b w:val="1"/>
          <w:bCs w:val="1"/>
          <w:color w:val="FFFFFF"/>
        </w:rPr>
        <w:t>Our current NEOs were in compliance with our equity ownership requirements as of December 31, 2025.</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shd w:val="clear" w:color="auto" w:fill="231F20"/>
          </w:tcPr>
          <w:p>
            <w:pPr>
              <w:spacing w:after="0"/>
              <w:rPr>
                <w:sz w:val="22"/>
                <w:szCs w:val="22"/>
                <w:color w:val="auto"/>
              </w:rPr>
            </w:pPr>
          </w:p>
        </w:tc>
        <w:tc>
          <w:tcPr>
            <w:tcW w:w="202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r>
              <w:rPr>
                <w:rFonts w:ascii="Arial" w:cs="Arial" w:eastAsia="Arial" w:hAnsi="Arial"/>
                <w:sz w:val="17"/>
                <w:szCs w:val="17"/>
                <w:b w:val="1"/>
                <w:bCs w:val="1"/>
                <w:color w:val="231F20"/>
              </w:rPr>
              <w:t>Wood</w:t>
            </w:r>
          </w:p>
        </w:tc>
        <w:tc>
          <w:tcPr>
            <w:tcW w:w="1100" w:type="dxa"/>
            <w:vAlign w:val="bottom"/>
            <w:tcBorders>
              <w:right w:val="single" w:sz="8" w:color="B2B4B6"/>
            </w:tcBorders>
            <w:shd w:val="clear" w:color="auto" w:fill="B2B4B6"/>
          </w:tcPr>
          <w:p>
            <w:pPr>
              <w:spacing w:after="0"/>
              <w:rPr>
                <w:sz w:val="20"/>
                <w:szCs w:val="20"/>
                <w:color w:val="auto"/>
              </w:rPr>
            </w:pPr>
          </w:p>
        </w:tc>
        <w:tc>
          <w:tcPr>
            <w:tcW w:w="1180" w:type="dxa"/>
            <w:vAlign w:val="bottom"/>
            <w:shd w:val="clear" w:color="auto" w:fill="B2B4B6"/>
          </w:tcPr>
          <w:p>
            <w:pPr>
              <w:spacing w:after="0"/>
              <w:rPr>
                <w:sz w:val="20"/>
                <w:szCs w:val="20"/>
                <w:color w:val="auto"/>
              </w:rPr>
            </w:pPr>
          </w:p>
        </w:tc>
        <w:tc>
          <w:tcPr>
            <w:tcW w:w="740" w:type="dxa"/>
            <w:vAlign w:val="bottom"/>
            <w:shd w:val="clear" w:color="auto" w:fill="B2B4B6"/>
          </w:tcPr>
          <w:p>
            <w:pPr>
              <w:spacing w:after="0"/>
              <w:rPr>
                <w:sz w:val="20"/>
                <w:szCs w:val="20"/>
                <w:color w:val="auto"/>
              </w:rPr>
            </w:pPr>
          </w:p>
        </w:tc>
        <w:tc>
          <w:tcPr>
            <w:tcW w:w="20" w:type="dxa"/>
            <w:vAlign w:val="bottom"/>
            <w:shd w:val="clear" w:color="auto" w:fill="231F20"/>
          </w:tcPr>
          <w:p>
            <w:pPr>
              <w:spacing w:after="0"/>
              <w:rPr>
                <w:sz w:val="20"/>
                <w:szCs w:val="20"/>
                <w:color w:val="auto"/>
              </w:rPr>
            </w:pPr>
          </w:p>
        </w:tc>
        <w:tc>
          <w:tcPr>
            <w:tcW w:w="2020" w:type="dxa"/>
            <w:vAlign w:val="bottom"/>
            <w:shd w:val="clear" w:color="auto" w:fill="EF3E29"/>
          </w:tcPr>
          <w:p>
            <w:pPr>
              <w:spacing w:after="0"/>
              <w:rPr>
                <w:sz w:val="20"/>
                <w:szCs w:val="20"/>
                <w:color w:val="auto"/>
              </w:rPr>
            </w:pPr>
          </w:p>
        </w:tc>
        <w:tc>
          <w:tcPr>
            <w:tcW w:w="2800" w:type="dxa"/>
            <w:vAlign w:val="bottom"/>
            <w:shd w:val="clear" w:color="auto" w:fill="EF3E29"/>
          </w:tcPr>
          <w:p>
            <w:pPr>
              <w:ind w:left="1580"/>
              <w:spacing w:after="0"/>
              <w:rPr>
                <w:sz w:val="20"/>
                <w:szCs w:val="20"/>
                <w:color w:val="auto"/>
              </w:rPr>
            </w:pPr>
            <w:r>
              <w:rPr>
                <w:rFonts w:ascii="Arial" w:cs="Arial" w:eastAsia="Arial" w:hAnsi="Arial"/>
                <w:sz w:val="17"/>
                <w:szCs w:val="17"/>
                <w:b w:val="1"/>
                <w:bCs w:val="1"/>
                <w:color w:val="FFFFFF"/>
              </w:rPr>
              <w:t>39.0x</w:t>
            </w: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920" w:type="dxa"/>
            <w:vAlign w:val="bottom"/>
            <w:gridSpan w:val="2"/>
          </w:tcPr>
          <w:p>
            <w:pPr>
              <w:jc w:val="right"/>
              <w:ind w:right="40"/>
              <w:spacing w:after="0"/>
              <w:rPr>
                <w:sz w:val="20"/>
                <w:szCs w:val="20"/>
                <w:color w:val="auto"/>
              </w:rPr>
            </w:pPr>
            <w:r>
              <w:rPr>
                <w:rFonts w:ascii="Arial" w:cs="Arial" w:eastAsia="Arial" w:hAnsi="Arial"/>
                <w:sz w:val="14"/>
                <w:szCs w:val="14"/>
                <w:color w:val="231F20"/>
              </w:rPr>
              <w:t>Ownership Target:</w:t>
            </w:r>
          </w:p>
        </w:tc>
        <w:tc>
          <w:tcPr>
            <w:tcW w:w="20" w:type="dxa"/>
            <w:vAlign w:val="bottom"/>
            <w:shd w:val="clear" w:color="auto" w:fill="231F20"/>
          </w:tcPr>
          <w:p>
            <w:pPr>
              <w:spacing w:after="0"/>
              <w:rPr>
                <w:sz w:val="17"/>
                <w:szCs w:val="17"/>
                <w:color w:val="auto"/>
              </w:rPr>
            </w:pPr>
          </w:p>
        </w:tc>
        <w:tc>
          <w:tcPr>
            <w:tcW w:w="48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920" w:type="dxa"/>
            <w:vAlign w:val="bottom"/>
            <w:gridSpan w:val="2"/>
          </w:tcPr>
          <w:p>
            <w:pPr>
              <w:jc w:val="right"/>
              <w:ind w:right="40"/>
              <w:spacing w:after="0"/>
              <w:rPr>
                <w:sz w:val="20"/>
                <w:szCs w:val="20"/>
                <w:color w:val="auto"/>
              </w:rPr>
            </w:pPr>
            <w:r>
              <w:rPr>
                <w:rFonts w:ascii="Arial" w:cs="Arial" w:eastAsia="Arial" w:hAnsi="Arial"/>
                <w:sz w:val="14"/>
                <w:szCs w:val="14"/>
                <w:color w:val="ED2024"/>
              </w:rPr>
              <w:t>7x Base Pay</w:t>
            </w:r>
          </w:p>
        </w:tc>
        <w:tc>
          <w:tcPr>
            <w:tcW w:w="20" w:type="dxa"/>
            <w:vAlign w:val="bottom"/>
            <w:shd w:val="clear" w:color="auto" w:fill="231F20"/>
          </w:tcPr>
          <w:p>
            <w:pPr>
              <w:spacing w:after="0"/>
              <w:rPr>
                <w:sz w:val="18"/>
                <w:szCs w:val="18"/>
                <w:color w:val="auto"/>
              </w:rPr>
            </w:pPr>
          </w:p>
        </w:tc>
        <w:tc>
          <w:tcPr>
            <w:tcW w:w="48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508"/>
        </w:trPr>
        <w:tc>
          <w:tcPr>
            <w:tcW w:w="1120" w:type="dxa"/>
            <w:vAlign w:val="bottom"/>
            <w:vMerge w:val="restart"/>
          </w:tcPr>
          <w:p>
            <w:pPr>
              <w:spacing w:after="0"/>
              <w:rPr>
                <w:sz w:val="20"/>
                <w:szCs w:val="20"/>
                <w:color w:val="auto"/>
              </w:rPr>
            </w:pPr>
            <w:r>
              <w:rPr>
                <w:rFonts w:ascii="Arial" w:cs="Arial" w:eastAsia="Arial" w:hAnsi="Arial"/>
                <w:sz w:val="17"/>
                <w:szCs w:val="17"/>
                <w:b w:val="1"/>
                <w:bCs w:val="1"/>
                <w:color w:val="231F20"/>
              </w:rPr>
              <w:t>Guglielmone</w:t>
            </w:r>
          </w:p>
        </w:tc>
        <w:tc>
          <w:tcPr>
            <w:tcW w:w="1100" w:type="dxa"/>
            <w:vAlign w:val="bottom"/>
            <w:tcBorders>
              <w:right w:val="single" w:sz="8" w:color="231F20"/>
            </w:tcBorders>
          </w:tcPr>
          <w:p>
            <w:pPr>
              <w:spacing w:after="0"/>
              <w:rPr>
                <w:sz w:val="24"/>
                <w:szCs w:val="24"/>
                <w:color w:val="auto"/>
              </w:rPr>
            </w:pPr>
          </w:p>
        </w:tc>
        <w:tc>
          <w:tcPr>
            <w:tcW w:w="1180" w:type="dxa"/>
            <w:vAlign w:val="bottom"/>
          </w:tcPr>
          <w:p>
            <w:pPr>
              <w:spacing w:after="0"/>
              <w:rPr>
                <w:sz w:val="24"/>
                <w:szCs w:val="24"/>
                <w:color w:val="auto"/>
              </w:rPr>
            </w:pPr>
          </w:p>
        </w:tc>
        <w:tc>
          <w:tcPr>
            <w:tcW w:w="5580" w:type="dxa"/>
            <w:vAlign w:val="bottom"/>
            <w:gridSpan w:val="4"/>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1120" w:type="dxa"/>
            <w:vAlign w:val="bottom"/>
            <w:vMerge w:val="continue"/>
          </w:tcPr>
          <w:p>
            <w:pPr>
              <w:spacing w:after="0"/>
              <w:rPr>
                <w:sz w:val="20"/>
                <w:szCs w:val="20"/>
                <w:color w:val="auto"/>
              </w:rPr>
            </w:pPr>
          </w:p>
        </w:tc>
        <w:tc>
          <w:tcPr>
            <w:tcW w:w="1100" w:type="dxa"/>
            <w:vAlign w:val="bottom"/>
            <w:tcBorders>
              <w:right w:val="single" w:sz="8" w:color="231F20"/>
            </w:tcBorders>
            <w:shd w:val="clear" w:color="auto" w:fill="B2B4B6"/>
          </w:tcPr>
          <w:p>
            <w:pPr>
              <w:spacing w:after="0"/>
              <w:rPr>
                <w:sz w:val="20"/>
                <w:szCs w:val="20"/>
                <w:color w:val="auto"/>
              </w:rPr>
            </w:pPr>
          </w:p>
        </w:tc>
        <w:tc>
          <w:tcPr>
            <w:tcW w:w="1180" w:type="dxa"/>
            <w:vAlign w:val="bottom"/>
            <w:shd w:val="clear" w:color="auto" w:fill="EF3E29"/>
          </w:tcPr>
          <w:p>
            <w:pPr>
              <w:ind w:left="780"/>
              <w:spacing w:after="0"/>
              <w:rPr>
                <w:sz w:val="20"/>
                <w:szCs w:val="20"/>
                <w:color w:val="auto"/>
              </w:rPr>
            </w:pPr>
            <w:r>
              <w:rPr>
                <w:rFonts w:ascii="Arial" w:cs="Arial" w:eastAsia="Arial" w:hAnsi="Arial"/>
                <w:sz w:val="17"/>
                <w:szCs w:val="17"/>
                <w:b w:val="1"/>
                <w:bCs w:val="1"/>
                <w:color w:val="FFFFFF"/>
              </w:rPr>
              <w:t>3.6x</w:t>
            </w:r>
          </w:p>
        </w:tc>
        <w:tc>
          <w:tcPr>
            <w:tcW w:w="5580" w:type="dxa"/>
            <w:vAlign w:val="bottom"/>
            <w:gridSpan w:val="4"/>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51"/>
        </w:trPr>
        <w:tc>
          <w:tcPr>
            <w:tcW w:w="1120" w:type="dxa"/>
            <w:vAlign w:val="bottom"/>
            <w:vMerge w:val="restart"/>
          </w:tcPr>
          <w:p>
            <w:pPr>
              <w:spacing w:after="0"/>
              <w:rPr>
                <w:sz w:val="20"/>
                <w:szCs w:val="20"/>
                <w:color w:val="auto"/>
              </w:rPr>
            </w:pPr>
            <w:r>
              <w:rPr>
                <w:rFonts w:ascii="Arial" w:cs="Arial" w:eastAsia="Arial" w:hAnsi="Arial"/>
                <w:sz w:val="17"/>
                <w:szCs w:val="17"/>
                <w:b w:val="1"/>
                <w:bCs w:val="1"/>
                <w:color w:val="231F20"/>
              </w:rPr>
              <w:t>Becker</w:t>
            </w:r>
          </w:p>
        </w:tc>
        <w:tc>
          <w:tcPr>
            <w:tcW w:w="1100" w:type="dxa"/>
            <w:vAlign w:val="bottom"/>
            <w:tcBorders>
              <w:right w:val="single" w:sz="8" w:color="231F20"/>
            </w:tcBorders>
          </w:tcPr>
          <w:p>
            <w:pPr>
              <w:spacing w:after="0"/>
              <w:rPr>
                <w:sz w:val="4"/>
                <w:szCs w:val="4"/>
                <w:color w:val="auto"/>
              </w:rPr>
            </w:pPr>
          </w:p>
        </w:tc>
        <w:tc>
          <w:tcPr>
            <w:tcW w:w="1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20" w:type="dxa"/>
            <w:vAlign w:val="bottom"/>
          </w:tcPr>
          <w:p>
            <w:pPr>
              <w:spacing w:after="0"/>
              <w:rPr>
                <w:sz w:val="4"/>
                <w:szCs w:val="4"/>
                <w:color w:val="auto"/>
              </w:rPr>
            </w:pPr>
          </w:p>
        </w:tc>
        <w:tc>
          <w:tcPr>
            <w:tcW w:w="280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1120" w:type="dxa"/>
            <w:vAlign w:val="bottom"/>
            <w:vMerge w:val="continue"/>
          </w:tcPr>
          <w:p>
            <w:pPr>
              <w:spacing w:after="0"/>
              <w:rPr>
                <w:sz w:val="20"/>
                <w:szCs w:val="20"/>
                <w:color w:val="auto"/>
              </w:rPr>
            </w:pPr>
          </w:p>
        </w:tc>
        <w:tc>
          <w:tcPr>
            <w:tcW w:w="1100" w:type="dxa"/>
            <w:vAlign w:val="bottom"/>
            <w:tcBorders>
              <w:right w:val="single" w:sz="8" w:color="231F20"/>
            </w:tcBorders>
            <w:shd w:val="clear" w:color="auto" w:fill="B2B4B6"/>
          </w:tcPr>
          <w:p>
            <w:pPr>
              <w:spacing w:after="0"/>
              <w:rPr>
                <w:sz w:val="20"/>
                <w:szCs w:val="20"/>
                <w:color w:val="auto"/>
              </w:rPr>
            </w:pPr>
          </w:p>
        </w:tc>
        <w:tc>
          <w:tcPr>
            <w:tcW w:w="1180" w:type="dxa"/>
            <w:vAlign w:val="bottom"/>
            <w:shd w:val="clear" w:color="auto" w:fill="EF3E29"/>
          </w:tcPr>
          <w:p>
            <w:pPr>
              <w:spacing w:after="0"/>
              <w:rPr>
                <w:sz w:val="20"/>
                <w:szCs w:val="20"/>
                <w:color w:val="auto"/>
              </w:rPr>
            </w:pPr>
          </w:p>
        </w:tc>
        <w:tc>
          <w:tcPr>
            <w:tcW w:w="740" w:type="dxa"/>
            <w:vAlign w:val="bottom"/>
            <w:shd w:val="clear" w:color="auto" w:fill="EF3E29"/>
          </w:tcPr>
          <w:p>
            <w:pPr>
              <w:spacing w:after="0"/>
              <w:rPr>
                <w:sz w:val="20"/>
                <w:szCs w:val="20"/>
                <w:color w:val="auto"/>
              </w:rPr>
            </w:pPr>
          </w:p>
        </w:tc>
        <w:tc>
          <w:tcPr>
            <w:tcW w:w="20" w:type="dxa"/>
            <w:vAlign w:val="bottom"/>
            <w:shd w:val="clear" w:color="auto" w:fill="EF3E29"/>
          </w:tcPr>
          <w:p>
            <w:pPr>
              <w:spacing w:after="0"/>
              <w:rPr>
                <w:sz w:val="20"/>
                <w:szCs w:val="20"/>
                <w:color w:val="auto"/>
              </w:rPr>
            </w:pPr>
          </w:p>
        </w:tc>
        <w:tc>
          <w:tcPr>
            <w:tcW w:w="2020" w:type="dxa"/>
            <w:vAlign w:val="bottom"/>
            <w:shd w:val="clear" w:color="auto" w:fill="EF3E29"/>
          </w:tcPr>
          <w:p>
            <w:pPr>
              <w:ind w:left="1540"/>
              <w:spacing w:after="0"/>
              <w:rPr>
                <w:sz w:val="20"/>
                <w:szCs w:val="20"/>
                <w:color w:val="auto"/>
              </w:rPr>
            </w:pPr>
            <w:r>
              <w:rPr>
                <w:rFonts w:ascii="Arial" w:cs="Arial" w:eastAsia="Arial" w:hAnsi="Arial"/>
                <w:sz w:val="17"/>
                <w:szCs w:val="17"/>
                <w:b w:val="1"/>
                <w:bCs w:val="1"/>
                <w:color w:val="FFFFFF"/>
              </w:rPr>
              <w:t>15.3x</w:t>
            </w:r>
          </w:p>
        </w:tc>
        <w:tc>
          <w:tcPr>
            <w:tcW w:w="28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220" w:type="dxa"/>
            <w:vAlign w:val="bottom"/>
            <w:tcBorders>
              <w:right w:val="single" w:sz="8" w:color="231F20"/>
            </w:tcBorders>
            <w:gridSpan w:val="2"/>
          </w:tcPr>
          <w:p>
            <w:pPr>
              <w:jc w:val="right"/>
              <w:ind w:right="40"/>
              <w:spacing w:after="0"/>
              <w:rPr>
                <w:sz w:val="20"/>
                <w:szCs w:val="20"/>
                <w:color w:val="auto"/>
              </w:rPr>
            </w:pPr>
            <w:r>
              <w:rPr>
                <w:rFonts w:ascii="Arial" w:cs="Arial" w:eastAsia="Arial" w:hAnsi="Arial"/>
                <w:sz w:val="14"/>
                <w:szCs w:val="14"/>
                <w:color w:val="231F20"/>
              </w:rPr>
              <w:t>Ownership Target:</w:t>
            </w:r>
          </w:p>
        </w:tc>
        <w:tc>
          <w:tcPr>
            <w:tcW w:w="1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220" w:type="dxa"/>
            <w:vAlign w:val="bottom"/>
            <w:tcBorders>
              <w:right w:val="single" w:sz="8" w:color="231F20"/>
            </w:tcBorders>
            <w:gridSpan w:val="2"/>
          </w:tcPr>
          <w:p>
            <w:pPr>
              <w:jc w:val="right"/>
              <w:ind w:right="40"/>
              <w:spacing w:after="0"/>
              <w:rPr>
                <w:sz w:val="20"/>
                <w:szCs w:val="20"/>
                <w:color w:val="auto"/>
              </w:rPr>
            </w:pPr>
            <w:r>
              <w:rPr>
                <w:rFonts w:ascii="Arial" w:cs="Arial" w:eastAsia="Arial" w:hAnsi="Arial"/>
                <w:sz w:val="14"/>
                <w:szCs w:val="14"/>
                <w:color w:val="ED2024"/>
              </w:rPr>
              <w:t>2½x Base Pay + Bonus</w:t>
            </w:r>
          </w:p>
        </w:tc>
        <w:tc>
          <w:tcPr>
            <w:tcW w:w="1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
        </w:trPr>
        <w:tc>
          <w:tcPr>
            <w:tcW w:w="1120" w:type="dxa"/>
            <w:vAlign w:val="bottom"/>
          </w:tcPr>
          <w:p>
            <w:pPr>
              <w:spacing w:after="0" w:line="20" w:lineRule="exact"/>
              <w:rPr>
                <w:sz w:val="1"/>
                <w:szCs w:val="1"/>
                <w:color w:val="auto"/>
              </w:rPr>
            </w:pPr>
          </w:p>
        </w:tc>
        <w:tc>
          <w:tcPr>
            <w:tcW w:w="1100" w:type="dxa"/>
            <w:vAlign w:val="bottom"/>
            <w:tcBorders>
              <w:right w:val="single" w:sz="8" w:color="231F20"/>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line="268" w:lineRule="exact"/>
        <w:rPr>
          <w:sz w:val="20"/>
          <w:szCs w:val="20"/>
          <w:color w:val="auto"/>
        </w:rPr>
      </w:pPr>
      <w:r>
        <w:rPr>
          <w:rFonts w:ascii="Arial Unicode MS" w:cs="Arial Unicode MS" w:eastAsia="Arial Unicode MS" w:hAnsi="Arial Unicode MS"/>
          <w:sz w:val="20"/>
          <w:szCs w:val="20"/>
          <w:color w:val="EF3E2A"/>
        </w:rPr>
        <w:t>➣</w:t>
      </w:r>
      <w:r>
        <w:rPr>
          <w:rFonts w:ascii="Arial" w:cs="Arial" w:eastAsia="Arial" w:hAnsi="Arial"/>
          <w:sz w:val="20"/>
          <w:szCs w:val="20"/>
          <w:b w:val="1"/>
          <w:bCs w:val="1"/>
          <w:color w:val="231F20"/>
        </w:rPr>
        <w:t xml:space="preserve"> RISK ASSESSMENT OF COMPENSATION PROGRAMS</w:t>
      </w:r>
    </w:p>
    <w:p>
      <w:pPr>
        <w:spacing w:after="0" w:line="257"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231F20"/>
        </w:rPr>
        <w:t>The Compensation Committee completed its last annual review of our compensation programs and policies from a risk perspective in February 2026. The Compensation Committee does not believe that our programs encourage unnecessary or excessive risk or are likely to have a material adverse effect on the Company. Our compensation programs use both short- and long-term incentives with different metrics driven by corporate performance, and have differing performance requirements. Further, we have in place policies to mitigate risk including robust share ownership requirements and vesting periods on equity awards made as part of our compensation programs.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464185</wp:posOffset>
                </wp:positionV>
                <wp:extent cx="6400800" cy="177800"/>
                <wp:wrapNone/>
                <wp:docPr id="419" name="Shape 4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177800"/>
                        </a:xfrm>
                        <a:prstGeom prst="rect">
                          <a:avLst/>
                        </a:prstGeom>
                        <a:solidFill>
                          <a:srgbClr val="E8E7E5"/>
                        </a:solidFill>
                      </wps:spPr>
                      <wps:bodyPr/>
                    </wps:wsp>
                  </a:graphicData>
                </a:graphic>
              </wp:anchor>
            </w:drawing>
          </mc:Choice>
          <mc:Fallback>
            <w:pict>
              <v:rect id="Shape 419" o:spid="_x0000_s1444" style="position:absolute;margin-left:0pt;margin-top:36.55pt;width:504pt;height:1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8E7E5" stroked="f"/>
            </w:pict>
          </mc:Fallback>
        </mc:AlternateContent>
        <mc:AlternateContent>
          <mc:Choice Requires="wps">
            <w:drawing>
              <wp:anchor simplePos="0" relativeHeight="251657728" behindDoc="1" locked="0" layoutInCell="0" allowOverlap="1">
                <wp:simplePos x="0" y="0"/>
                <wp:positionH relativeFrom="column">
                  <wp:posOffset>6350</wp:posOffset>
                </wp:positionH>
                <wp:positionV relativeFrom="paragraph">
                  <wp:posOffset>463550</wp:posOffset>
                </wp:positionV>
                <wp:extent cx="0" cy="177800"/>
                <wp:wrapNone/>
                <wp:docPr id="420" name="Shape 4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420" o:spid="_x0000_s14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pt,36.5pt" to="0.5pt,50.5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469900</wp:posOffset>
                </wp:positionV>
                <wp:extent cx="6400800" cy="0"/>
                <wp:wrapNone/>
                <wp:docPr id="421" name="Shape 4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421" o:spid="_x0000_s14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7pt" to="504pt,37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6394450</wp:posOffset>
                </wp:positionH>
                <wp:positionV relativeFrom="paragraph">
                  <wp:posOffset>463550</wp:posOffset>
                </wp:positionV>
                <wp:extent cx="0" cy="177800"/>
                <wp:wrapNone/>
                <wp:docPr id="422" name="Shape 4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422" o:spid="_x0000_s14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3.5pt,36.5pt" to="503.5pt,50.5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635000</wp:posOffset>
                </wp:positionV>
                <wp:extent cx="6400800" cy="0"/>
                <wp:wrapNone/>
                <wp:docPr id="423" name="Shape 4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423" o:spid="_x0000_s14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0pt" to="504pt,50pt" o:allowincell="f" strokecolor="#231F20" strokeweight="1pt"/>
            </w:pict>
          </mc:Fallback>
        </mc:AlternateContent>
      </w:r>
    </w:p>
    <w:p>
      <w:pPr>
        <w:sectPr>
          <w:pgSz w:w="11880" w:h="15480" w:orient="portrait"/>
          <w:cols w:equalWidth="0" w:num="1">
            <w:col w:w="10080"/>
          </w:cols>
          <w:pgMar w:left="900" w:top="1316" w:right="900" w:bottom="76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720"/>
        <w:spacing w:after="0"/>
        <w:tabs>
          <w:tab w:leader="none" w:pos="8060" w:val="left"/>
          <w:tab w:leader="none" w:pos="9800" w:val="left"/>
        </w:tabs>
        <w:rPr>
          <w:sz w:val="20"/>
          <w:szCs w:val="20"/>
          <w:color w:val="auto"/>
        </w:rPr>
      </w:pPr>
      <w:r>
        <w:rPr>
          <w:rFonts w:ascii="Arial" w:cs="Arial" w:eastAsia="Arial" w:hAnsi="Arial"/>
          <w:sz w:val="16"/>
          <w:szCs w:val="16"/>
          <w:color w:val="EF3E2A"/>
        </w:rPr>
        <w:t>Federal Realty</w:t>
      </w:r>
      <w:r>
        <w:rPr>
          <w:sz w:val="20"/>
          <w:szCs w:val="20"/>
          <w:color w:val="auto"/>
        </w:rPr>
        <w:tab/>
      </w:r>
      <w:r>
        <w:rPr>
          <w:rFonts w:ascii="Arial" w:cs="Arial" w:eastAsia="Arial" w:hAnsi="Arial"/>
          <w:sz w:val="16"/>
          <w:szCs w:val="16"/>
          <w:color w:val="231F20"/>
        </w:rPr>
        <w:t>2026 Proxy Statement</w:t>
        <w:tab/>
        <w:t>29</w:t>
      </w:r>
    </w:p>
    <w:p>
      <w:pPr>
        <w:sectPr>
          <w:pgSz w:w="11880" w:h="15480" w:orient="portrait"/>
          <w:cols w:equalWidth="0" w:num="1">
            <w:col w:w="10080"/>
          </w:cols>
          <w:pgMar w:left="900" w:top="1316" w:right="900" w:bottom="763" w:gutter="0" w:footer="0" w:header="0"/>
          <w:type w:val="continuous"/>
        </w:sectPr>
      </w:pPr>
    </w:p>
    <w:bookmarkStart w:id="149" w:name="page150"/>
    <w:bookmarkEnd w:id="149"/>
    <w:p>
      <w:pPr>
        <w:spacing w:after="0" w:line="268" w:lineRule="exact"/>
        <w:rPr>
          <w:sz w:val="20"/>
          <w:szCs w:val="20"/>
          <w:color w:val="auto"/>
        </w:rPr>
      </w:pPr>
      <w:r>
        <w:rPr>
          <w:rFonts w:ascii="Arial Unicode MS" w:cs="Arial Unicode MS" w:eastAsia="Arial Unicode MS" w:hAnsi="Arial Unicode MS"/>
          <w:sz w:val="20"/>
          <w:szCs w:val="20"/>
          <w:color w:val="EF3E2A"/>
        </w:rPr>
        <w:t>➣</w:t>
      </w:r>
      <w:r>
        <w:rPr>
          <w:rFonts w:ascii="Arial" w:cs="Arial" w:eastAsia="Arial" w:hAnsi="Arial"/>
          <w:sz w:val="20"/>
          <w:szCs w:val="20"/>
          <w:b w:val="1"/>
          <w:bCs w:val="1"/>
          <w:color w:val="231F20"/>
        </w:rPr>
        <w:t xml:space="preserve"> EQUITY GRANT PRACTICES</w:t>
      </w:r>
    </w:p>
    <w:p>
      <w:pPr>
        <w:spacing w:after="0" w:line="257"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231F20"/>
        </w:rPr>
        <w:t>We do not grant equity awards in anticipation of the release of material non-public information and we do not time the release of material non-public information based on equity award grant dates or for the purpose of affecting the value of executive compensation. In addition, we do not take material non-public information into account when determining the timing and terms of such awards. Although we do not have a formal policy with respect to the timing of our equity award grants, the Compensation Committee has historically granted such awards on a predetermined annual schedule. In 2025, we did not grant new awards of stock options, stock appreciation rights, or similar option-like instruments to our NEOs. All of our options have an exercise price equal to the closing price of our shares on the date of grant and our 2020 Performance Incentive Plan (“2020 Plan”) expressly prohibits any repricing of options. The Compensation Committee has delegated to our CEO, in his capacity as a Trustee, authority to make equity awards to non-executive officers, subject to various limitations set forth in the delegation.</w:t>
      </w:r>
    </w:p>
    <w:p>
      <w:pPr>
        <w:spacing w:after="0" w:line="209" w:lineRule="exact"/>
        <w:rPr>
          <w:sz w:val="20"/>
          <w:szCs w:val="20"/>
          <w:color w:val="auto"/>
        </w:rPr>
      </w:pPr>
    </w:p>
    <w:p>
      <w:pPr>
        <w:spacing w:after="0" w:line="268" w:lineRule="exact"/>
        <w:rPr>
          <w:sz w:val="20"/>
          <w:szCs w:val="20"/>
          <w:color w:val="auto"/>
        </w:rPr>
      </w:pPr>
      <w:r>
        <w:rPr>
          <w:rFonts w:ascii="Arial Unicode MS" w:cs="Arial Unicode MS" w:eastAsia="Arial Unicode MS" w:hAnsi="Arial Unicode MS"/>
          <w:sz w:val="20"/>
          <w:szCs w:val="20"/>
          <w:color w:val="EF3E2A"/>
        </w:rPr>
        <w:t>➣</w:t>
      </w:r>
      <w:r>
        <w:rPr>
          <w:rFonts w:ascii="Arial" w:cs="Arial" w:eastAsia="Arial" w:hAnsi="Arial"/>
          <w:sz w:val="20"/>
          <w:szCs w:val="20"/>
          <w:b w:val="1"/>
          <w:bCs w:val="1"/>
          <w:color w:val="231F20"/>
        </w:rPr>
        <w:t xml:space="preserve"> INSIDER TRADING POLICY</w:t>
      </w:r>
    </w:p>
    <w:p>
      <w:pPr>
        <w:spacing w:after="0" w:line="257"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231F20"/>
        </w:rPr>
        <w:t>We have adopted an insider trading policy the governs the purchase, sale and/or other dispositions of our securities by our trustees and all employees, including our NEOs and other corporate officers, that is reasonably designed to promote compliance with insider trading laws, rules and regulations as well as New York Stock Exchange listing standards.</w:t>
      </w:r>
    </w:p>
    <w:p>
      <w:pPr>
        <w:spacing w:after="0" w:line="207" w:lineRule="exact"/>
        <w:rPr>
          <w:sz w:val="20"/>
          <w:szCs w:val="20"/>
          <w:color w:val="auto"/>
        </w:rPr>
      </w:pPr>
    </w:p>
    <w:p>
      <w:pPr>
        <w:spacing w:after="0" w:line="268" w:lineRule="exact"/>
        <w:rPr>
          <w:sz w:val="20"/>
          <w:szCs w:val="20"/>
          <w:color w:val="auto"/>
        </w:rPr>
      </w:pPr>
      <w:r>
        <w:rPr>
          <w:rFonts w:ascii="Arial Unicode MS" w:cs="Arial Unicode MS" w:eastAsia="Arial Unicode MS" w:hAnsi="Arial Unicode MS"/>
          <w:sz w:val="20"/>
          <w:szCs w:val="20"/>
          <w:color w:val="EF3E2A"/>
        </w:rPr>
        <w:t>➣</w:t>
      </w:r>
      <w:r>
        <w:rPr>
          <w:rFonts w:ascii="Arial" w:cs="Arial" w:eastAsia="Arial" w:hAnsi="Arial"/>
          <w:sz w:val="20"/>
          <w:szCs w:val="20"/>
          <w:b w:val="1"/>
          <w:bCs w:val="1"/>
          <w:color w:val="231F20"/>
        </w:rPr>
        <w:t xml:space="preserve"> TAX DEDUCTIBILITY OF EXECUTIVE COMPENSATION</w:t>
      </w:r>
    </w:p>
    <w:p>
      <w:pPr>
        <w:spacing w:after="0" w:line="255"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231F20"/>
        </w:rPr>
        <w:t>Section 162(m) of the Internal Revenue Code generally limits deductibility of compensation paid to our NEOs to $1 million. Although the Compensation Committee considers the impact of Section 162(m) in structuring compensation programs, the primary focus is on creating programs and compensation packages that address the needs and objectives of the Company regardless of the impact of Section 162(m). As a result, the Compensation Committee has made and may continue to make awards and to structure programs that are non-deductible under Section 162(m).</w:t>
      </w:r>
    </w:p>
    <w:p>
      <w:pPr>
        <w:spacing w:after="0" w:line="206" w:lineRule="exact"/>
        <w:rPr>
          <w:sz w:val="20"/>
          <w:szCs w:val="20"/>
          <w:color w:val="auto"/>
        </w:rPr>
      </w:pPr>
    </w:p>
    <w:p>
      <w:pPr>
        <w:spacing w:after="0" w:line="268" w:lineRule="exact"/>
        <w:rPr>
          <w:sz w:val="20"/>
          <w:szCs w:val="20"/>
          <w:color w:val="auto"/>
        </w:rPr>
      </w:pPr>
      <w:r>
        <w:rPr>
          <w:rFonts w:ascii="Arial Unicode MS" w:cs="Arial Unicode MS" w:eastAsia="Arial Unicode MS" w:hAnsi="Arial Unicode MS"/>
          <w:sz w:val="20"/>
          <w:szCs w:val="20"/>
          <w:color w:val="EF3E2A"/>
        </w:rPr>
        <w:t>➣</w:t>
      </w:r>
      <w:r>
        <w:rPr>
          <w:rFonts w:ascii="Arial" w:cs="Arial" w:eastAsia="Arial" w:hAnsi="Arial"/>
          <w:sz w:val="20"/>
          <w:szCs w:val="20"/>
          <w:b w:val="1"/>
          <w:bCs w:val="1"/>
          <w:color w:val="231F20"/>
        </w:rPr>
        <w:t xml:space="preserve"> HEALTH AND WELFARE BENEFITS</w:t>
      </w:r>
    </w:p>
    <w:p>
      <w:pPr>
        <w:spacing w:after="0" w:line="255"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231F20"/>
        </w:rPr>
        <w:t>We provide health and welfare perquisites to our NEOs on the same basis as we provide those benefits to all employees. These benefits are competitive with those offered by companies with whom we compete for talent and provide another tool that allows us to attract and retain talented executives. Since 2005, we have agreed to provide to Mr. Wood, his spouse and one of his children continuation of health coverage after Mr. Wood’s termination upon death, disability, retirement, change in control or otherwise (other than a termination with cause or resignation). This coverage will continue as to Mr. Wood and his spouse until their death, or with respect to his spouse until divorce, if earlier, and coverage continues for one of Mr. Wood’s children until death. We are required to provide coverage of at least the same level as provided to Mr. Wood and his family at the time of his termination and such coverage will be secondary to certain other coverages that may be available to Mr. Wood and his family.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1763395</wp:posOffset>
                </wp:positionV>
                <wp:extent cx="6400800" cy="177800"/>
                <wp:wrapNone/>
                <wp:docPr id="424" name="Shape 4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177800"/>
                        </a:xfrm>
                        <a:prstGeom prst="rect">
                          <a:avLst/>
                        </a:prstGeom>
                        <a:solidFill>
                          <a:srgbClr val="E8E7E5"/>
                        </a:solidFill>
                      </wps:spPr>
                      <wps:bodyPr/>
                    </wps:wsp>
                  </a:graphicData>
                </a:graphic>
              </wp:anchor>
            </w:drawing>
          </mc:Choice>
          <mc:Fallback>
            <w:pict>
              <v:rect id="Shape 424" o:spid="_x0000_s1449" style="position:absolute;margin-left:0pt;margin-top:138.85pt;width:504pt;height:1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8E7E5" stroked="f"/>
            </w:pict>
          </mc:Fallback>
        </mc:AlternateContent>
        <mc:AlternateContent>
          <mc:Choice Requires="wps">
            <w:drawing>
              <wp:anchor simplePos="0" relativeHeight="251657728" behindDoc="1" locked="0" layoutInCell="0" allowOverlap="1">
                <wp:simplePos x="0" y="0"/>
                <wp:positionH relativeFrom="column">
                  <wp:posOffset>6350</wp:posOffset>
                </wp:positionH>
                <wp:positionV relativeFrom="paragraph">
                  <wp:posOffset>1763395</wp:posOffset>
                </wp:positionV>
                <wp:extent cx="0" cy="177800"/>
                <wp:wrapNone/>
                <wp:docPr id="425" name="Shape 4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425" o:spid="_x0000_s14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pt,138.85pt" to="0.5pt,152.85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1769745</wp:posOffset>
                </wp:positionV>
                <wp:extent cx="6400800" cy="0"/>
                <wp:wrapNone/>
                <wp:docPr id="426" name="Shape 4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426" o:spid="_x0000_s14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9.35pt" to="504pt,139.35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6394450</wp:posOffset>
                </wp:positionH>
                <wp:positionV relativeFrom="paragraph">
                  <wp:posOffset>1763395</wp:posOffset>
                </wp:positionV>
                <wp:extent cx="0" cy="177800"/>
                <wp:wrapNone/>
                <wp:docPr id="427" name="Shape 4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427" o:spid="_x0000_s14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3.5pt,138.85pt" to="503.5pt,152.85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1934845</wp:posOffset>
                </wp:positionV>
                <wp:extent cx="6400800" cy="0"/>
                <wp:wrapNone/>
                <wp:docPr id="428" name="Shape 4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428" o:spid="_x0000_s14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52.35pt" to="504pt,152.35pt" o:allowincell="f" strokecolor="#231F20" strokeweight="1pt"/>
            </w:pict>
          </mc:Fallback>
        </mc:AlternateContent>
      </w:r>
    </w:p>
    <w:p>
      <w:pPr>
        <w:sectPr>
          <w:pgSz w:w="11880" w:h="15480" w:orient="portrait"/>
          <w:cols w:equalWidth="0" w:num="1">
            <w:col w:w="10080"/>
          </w:cols>
          <w:pgMar w:left="900" w:top="1272" w:right="900" w:bottom="76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spacing w:after="0"/>
        <w:tabs>
          <w:tab w:leader="none" w:pos="1420" w:val="left"/>
          <w:tab w:leader="none" w:pos="3160" w:val="left"/>
        </w:tabs>
        <w:rPr>
          <w:sz w:val="20"/>
          <w:szCs w:val="20"/>
          <w:color w:val="auto"/>
        </w:rPr>
      </w:pPr>
      <w:r>
        <w:rPr>
          <w:rFonts w:ascii="Arial" w:cs="Arial" w:eastAsia="Arial" w:hAnsi="Arial"/>
          <w:sz w:val="16"/>
          <w:szCs w:val="16"/>
          <w:color w:val="EF3E2A"/>
        </w:rPr>
        <w:t>Federal Realty</w:t>
      </w:r>
      <w:r>
        <w:rPr>
          <w:sz w:val="20"/>
          <w:szCs w:val="20"/>
          <w:color w:val="auto"/>
        </w:rPr>
        <w:tab/>
      </w:r>
      <w:r>
        <w:rPr>
          <w:rFonts w:ascii="Arial" w:cs="Arial" w:eastAsia="Arial" w:hAnsi="Arial"/>
          <w:sz w:val="16"/>
          <w:szCs w:val="16"/>
          <w:color w:val="231F20"/>
        </w:rPr>
        <w:t>2026 Proxy Statement</w:t>
        <w:tab/>
        <w:t>30</w:t>
      </w:r>
    </w:p>
    <w:p>
      <w:pPr>
        <w:sectPr>
          <w:pgSz w:w="11880" w:h="15480" w:orient="portrait"/>
          <w:cols w:equalWidth="0" w:num="1">
            <w:col w:w="10080"/>
          </w:cols>
          <w:pgMar w:left="900" w:top="1272" w:right="900" w:bottom="763" w:gutter="0" w:footer="0" w:header="0"/>
          <w:type w:val="continuous"/>
        </w:sectPr>
      </w:pPr>
    </w:p>
    <w:bookmarkStart w:id="150" w:name="page151"/>
    <w:bookmarkEnd w:id="150"/>
    <w:p>
      <w:pPr>
        <w:ind w:left="120"/>
        <w:spacing w:after="0"/>
        <w:rPr>
          <w:sz w:val="20"/>
          <w:szCs w:val="20"/>
          <w:color w:val="auto"/>
        </w:rPr>
      </w:pPr>
      <w:r>
        <w:rPr>
          <w:rFonts w:ascii="Arial" w:cs="Arial" w:eastAsia="Arial" w:hAnsi="Arial"/>
          <w:sz w:val="24"/>
          <w:szCs w:val="24"/>
          <w:b w:val="1"/>
          <w:bCs w:val="1"/>
          <w:color w:val="EF3E2A"/>
        </w:rPr>
        <mc:AlternateContent>
          <mc:Choice Requires="wps">
            <w:drawing>
              <wp:anchor simplePos="0" relativeHeight="251657728" behindDoc="1" locked="0" layoutInCell="0" allowOverlap="1">
                <wp:simplePos x="0" y="0"/>
                <wp:positionH relativeFrom="page">
                  <wp:posOffset>571500</wp:posOffset>
                </wp:positionH>
                <wp:positionV relativeFrom="page">
                  <wp:posOffset>803275</wp:posOffset>
                </wp:positionV>
                <wp:extent cx="6400800" cy="0"/>
                <wp:wrapNone/>
                <wp:docPr id="429" name="Shape 4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429" o:spid="_x0000_s145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5pt,63.25pt" to="549pt,63.25pt" o:allowincell="f" strokecolor="#231F20" strokeweight="0.5pt">
                <w10:wrap anchorx="page" anchory="page"/>
              </v:line>
            </w:pict>
          </mc:Fallback>
        </mc:AlternateContent>
        <w:t>C</w:t>
      </w:r>
      <w:r>
        <w:rPr>
          <w:rFonts w:ascii="Arial" w:cs="Arial" w:eastAsia="Arial" w:hAnsi="Arial"/>
          <w:sz w:val="18"/>
          <w:szCs w:val="18"/>
          <w:b w:val="1"/>
          <w:bCs w:val="1"/>
          <w:color w:val="EF3E2A"/>
        </w:rPr>
        <w:t>OMPENSATION</w:t>
      </w:r>
      <w:r>
        <w:rPr>
          <w:rFonts w:ascii="Arial" w:cs="Arial" w:eastAsia="Arial" w:hAnsi="Arial"/>
          <w:sz w:val="24"/>
          <w:szCs w:val="24"/>
          <w:b w:val="1"/>
          <w:bCs w:val="1"/>
          <w:color w:val="EF3E2A"/>
        </w:rPr>
        <w:t xml:space="preserve"> C</w:t>
      </w:r>
      <w:r>
        <w:rPr>
          <w:rFonts w:ascii="Arial" w:cs="Arial" w:eastAsia="Arial" w:hAnsi="Arial"/>
          <w:sz w:val="18"/>
          <w:szCs w:val="18"/>
          <w:b w:val="1"/>
          <w:bCs w:val="1"/>
          <w:color w:val="EF3E2A"/>
        </w:rPr>
        <w:t>OMMITTEE</w:t>
      </w:r>
      <w:r>
        <w:rPr>
          <w:rFonts w:ascii="Arial" w:cs="Arial" w:eastAsia="Arial" w:hAnsi="Arial"/>
          <w:sz w:val="24"/>
          <w:szCs w:val="24"/>
          <w:b w:val="1"/>
          <w:bCs w:val="1"/>
          <w:color w:val="EF3E2A"/>
        </w:rPr>
        <w:t xml:space="preserve"> R</w:t>
      </w:r>
      <w:r>
        <w:rPr>
          <w:rFonts w:ascii="Arial" w:cs="Arial" w:eastAsia="Arial" w:hAnsi="Arial"/>
          <w:sz w:val="18"/>
          <w:szCs w:val="18"/>
          <w:b w:val="1"/>
          <w:bCs w:val="1"/>
          <w:color w:val="EF3E2A"/>
        </w:rPr>
        <w:t>EPORT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21590</wp:posOffset>
                </wp:positionV>
                <wp:extent cx="6400800" cy="0"/>
                <wp:wrapNone/>
                <wp:docPr id="430" name="Shape 4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430" o:spid="_x0000_s14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7pt" to="504pt,1.7pt" o:allowincell="f" strokecolor="#231F20" strokeweight="0.5pt"/>
            </w:pict>
          </mc:Fallback>
        </mc:AlternateContent>
      </w:r>
    </w:p>
    <w:p>
      <w:pPr>
        <w:spacing w:after="0" w:line="317"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231F20"/>
        </w:rPr>
        <w:t>The Compensation Committee of the Board has reviewed and discussed the CD&amp;A required by Item 402(b) of Regulation S-K with management and, based on such review and discussion, the Compensation Committee recommended to the Board that the CD&amp;A be included in this Proxy Statement. Mr. Fisher did not participate in such recommendation because he was not a member of the Board or the Compensation Committee in 2025.</w:t>
      </w: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color w:val="231F20"/>
        </w:rPr>
        <w:t>Submitted by:</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color w:val="231F20"/>
        </w:rPr>
        <w:t>Elizabeth I. Holland, Chairperson</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231F20"/>
        </w:rPr>
        <w:t>Joseph D. Fisher (joined the Compensation Committee on January 1, 2026)</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231F20"/>
        </w:rPr>
        <w:t>Nicole Y. Lamb-Hale</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231F20"/>
        </w:rPr>
        <w:t>Thomas A. McEachin</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231F20"/>
        </w:rPr>
        <w:t>Gail P. Steinel</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5789930</wp:posOffset>
                </wp:positionV>
                <wp:extent cx="6400800" cy="177800"/>
                <wp:wrapNone/>
                <wp:docPr id="431" name="Shape 4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177800"/>
                        </a:xfrm>
                        <a:prstGeom prst="rect">
                          <a:avLst/>
                        </a:prstGeom>
                        <a:solidFill>
                          <a:srgbClr val="E8E7E5"/>
                        </a:solidFill>
                      </wps:spPr>
                      <wps:bodyPr/>
                    </wps:wsp>
                  </a:graphicData>
                </a:graphic>
              </wp:anchor>
            </w:drawing>
          </mc:Choice>
          <mc:Fallback>
            <w:pict>
              <v:rect id="Shape 431" o:spid="_x0000_s1456" style="position:absolute;margin-left:0pt;margin-top:455.9pt;width:504pt;height:1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8E7E5" stroked="f"/>
            </w:pict>
          </mc:Fallback>
        </mc:AlternateContent>
        <mc:AlternateContent>
          <mc:Choice Requires="wps">
            <w:drawing>
              <wp:anchor simplePos="0" relativeHeight="251657728" behindDoc="1" locked="0" layoutInCell="0" allowOverlap="1">
                <wp:simplePos x="0" y="0"/>
                <wp:positionH relativeFrom="column">
                  <wp:posOffset>6350</wp:posOffset>
                </wp:positionH>
                <wp:positionV relativeFrom="paragraph">
                  <wp:posOffset>5789930</wp:posOffset>
                </wp:positionV>
                <wp:extent cx="0" cy="177800"/>
                <wp:wrapNone/>
                <wp:docPr id="432" name="Shape 4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432" o:spid="_x0000_s14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pt,455.9pt" to="0.5pt,469.9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5796280</wp:posOffset>
                </wp:positionV>
                <wp:extent cx="6400800" cy="0"/>
                <wp:wrapNone/>
                <wp:docPr id="433" name="Shape 4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433" o:spid="_x0000_s14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456.4pt" to="504pt,456.4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6394450</wp:posOffset>
                </wp:positionH>
                <wp:positionV relativeFrom="paragraph">
                  <wp:posOffset>5789930</wp:posOffset>
                </wp:positionV>
                <wp:extent cx="0" cy="177800"/>
                <wp:wrapNone/>
                <wp:docPr id="434" name="Shape 4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434" o:spid="_x0000_s14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3.5pt,455.9pt" to="503.5pt,469.9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5961380</wp:posOffset>
                </wp:positionV>
                <wp:extent cx="6400800" cy="0"/>
                <wp:wrapNone/>
                <wp:docPr id="435" name="Shape 4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435" o:spid="_x0000_s14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469.4pt" to="504pt,469.4pt" o:allowincell="f" strokecolor="#231F20" strokeweight="1pt"/>
            </w:pict>
          </mc:Fallback>
        </mc:AlternateContent>
      </w:r>
    </w:p>
    <w:p>
      <w:pPr>
        <w:sectPr>
          <w:pgSz w:w="11880" w:h="15480" w:orient="portrait"/>
          <w:cols w:equalWidth="0" w:num="1">
            <w:col w:w="10080"/>
          </w:cols>
          <w:pgMar w:left="900" w:top="1324" w:right="900" w:bottom="76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6720"/>
        <w:spacing w:after="0"/>
        <w:tabs>
          <w:tab w:leader="none" w:pos="8060" w:val="left"/>
          <w:tab w:leader="none" w:pos="9800" w:val="left"/>
        </w:tabs>
        <w:rPr>
          <w:sz w:val="20"/>
          <w:szCs w:val="20"/>
          <w:color w:val="auto"/>
        </w:rPr>
      </w:pPr>
      <w:r>
        <w:rPr>
          <w:rFonts w:ascii="Arial" w:cs="Arial" w:eastAsia="Arial" w:hAnsi="Arial"/>
          <w:sz w:val="16"/>
          <w:szCs w:val="16"/>
          <w:color w:val="EF3E2A"/>
        </w:rPr>
        <w:t>Federal Realty</w:t>
      </w:r>
      <w:r>
        <w:rPr>
          <w:sz w:val="20"/>
          <w:szCs w:val="20"/>
          <w:color w:val="auto"/>
        </w:rPr>
        <w:tab/>
      </w:r>
      <w:r>
        <w:rPr>
          <w:rFonts w:ascii="Arial" w:cs="Arial" w:eastAsia="Arial" w:hAnsi="Arial"/>
          <w:sz w:val="16"/>
          <w:szCs w:val="16"/>
          <w:color w:val="231F20"/>
        </w:rPr>
        <w:t>2026 Proxy Statement</w:t>
        <w:tab/>
        <w:t>31</w:t>
      </w:r>
    </w:p>
    <w:p>
      <w:pPr>
        <w:sectPr>
          <w:pgSz w:w="11880" w:h="15480" w:orient="portrait"/>
          <w:cols w:equalWidth="0" w:num="1">
            <w:col w:w="10080"/>
          </w:cols>
          <w:pgMar w:left="900" w:top="1324" w:right="900" w:bottom="763" w:gutter="0" w:footer="0" w:header="0"/>
          <w:type w:val="continuous"/>
        </w:sectPr>
      </w:pPr>
    </w:p>
    <w:bookmarkStart w:id="151" w:name="page152"/>
    <w:bookmarkEnd w:id="151"/>
    <w:p>
      <w:pPr>
        <w:spacing w:after="0" w:line="8"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page">
                  <wp:posOffset>571500</wp:posOffset>
                </wp:positionH>
                <wp:positionV relativeFrom="page">
                  <wp:posOffset>819150</wp:posOffset>
                </wp:positionV>
                <wp:extent cx="6400800" cy="0"/>
                <wp:wrapNone/>
                <wp:docPr id="436" name="Shape 4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38100">
                          <a:solidFill>
                            <a:srgbClr val="EF3E2A"/>
                          </a:solidFill>
                          <a:miter lim="800000"/>
                          <a:headEnd/>
                          <a:tailEnd/>
                        </a:ln>
                      </wps:spPr>
                      <wps:bodyPr/>
                    </wps:wsp>
                  </a:graphicData>
                </a:graphic>
              </wp:anchor>
            </w:drawing>
          </mc:Choice>
          <mc:Fallback>
            <w:pict>
              <v:line id="Shape 436" o:spid="_x0000_s146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5pt,64.5pt" to="549pt,64.5pt" o:allowincell="f" strokecolor="#EF3E2A" strokeweight="3pt">
                <w10:wrap anchorx="page" anchory="page"/>
              </v:line>
            </w:pict>
          </mc:Fallback>
        </mc:AlternateContent>
      </w:r>
    </w:p>
    <w:p>
      <w:pPr>
        <w:ind w:left="140"/>
        <w:spacing w:after="0"/>
        <w:rPr>
          <w:sz w:val="20"/>
          <w:szCs w:val="20"/>
          <w:color w:val="auto"/>
        </w:rPr>
      </w:pPr>
      <w:r>
        <w:rPr>
          <w:rFonts w:ascii="Arial" w:cs="Arial" w:eastAsia="Arial" w:hAnsi="Arial"/>
          <w:sz w:val="36"/>
          <w:szCs w:val="36"/>
          <w:b w:val="1"/>
          <w:bCs w:val="1"/>
          <w:color w:val="231F20"/>
        </w:rPr>
        <w:t>Compensation Tables and Narratives</w:t>
      </w:r>
    </w:p>
    <w:p>
      <w:pPr>
        <w:spacing w:after="0" w:line="154" w:lineRule="exact"/>
        <w:rPr>
          <w:sz w:val="20"/>
          <w:szCs w:val="20"/>
          <w:color w:val="auto"/>
        </w:rPr>
      </w:pPr>
    </w:p>
    <w:p>
      <w:pPr>
        <w:spacing w:after="0" w:line="268" w:lineRule="exact"/>
        <w:rPr>
          <w:sz w:val="20"/>
          <w:szCs w:val="20"/>
          <w:color w:val="auto"/>
        </w:rPr>
      </w:pPr>
      <w:r>
        <w:rPr>
          <w:rFonts w:ascii="Arial Unicode MS" w:cs="Arial Unicode MS" w:eastAsia="Arial Unicode MS" w:hAnsi="Arial Unicode MS"/>
          <w:sz w:val="20"/>
          <w:szCs w:val="20"/>
          <w:color w:val="EF3E2A"/>
        </w:rPr>
        <w:t>➣</w:t>
      </w:r>
      <w:r>
        <w:rPr>
          <w:rFonts w:ascii="Arial" w:cs="Arial" w:eastAsia="Arial" w:hAnsi="Arial"/>
          <w:sz w:val="20"/>
          <w:szCs w:val="20"/>
          <w:b w:val="1"/>
          <w:bCs w:val="1"/>
          <w:color w:val="231F20"/>
        </w:rPr>
        <w:t xml:space="preserve"> SUMMARY COMPENSATION TABLE</w:t>
      </w:r>
    </w:p>
    <w:p>
      <w:pPr>
        <w:spacing w:after="0" w:line="233"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231F20"/>
        </w:rPr>
        <w:t>The table below summarizes the total compensation earned by or paid to the individuals who were NEOs for the fiscal years ended December 31, 2025, 2024 and 2023. All amounts are calculated in accordance with current SEC rules.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960" w:type="dxa"/>
            <w:vAlign w:val="bottom"/>
            <w:shd w:val="clear" w:color="auto" w:fill="EF3E2A"/>
          </w:tcPr>
          <w:p>
            <w:pPr>
              <w:spacing w:after="0"/>
              <w:rPr>
                <w:sz w:val="23"/>
                <w:szCs w:val="23"/>
                <w:color w:val="auto"/>
              </w:rPr>
            </w:pPr>
          </w:p>
        </w:tc>
        <w:tc>
          <w:tcPr>
            <w:tcW w:w="1620" w:type="dxa"/>
            <w:vAlign w:val="bottom"/>
            <w:shd w:val="clear" w:color="auto" w:fill="EF3E2A"/>
          </w:tcPr>
          <w:p>
            <w:pPr>
              <w:spacing w:after="0"/>
              <w:rPr>
                <w:sz w:val="23"/>
                <w:szCs w:val="23"/>
                <w:color w:val="auto"/>
              </w:rPr>
            </w:pPr>
          </w:p>
        </w:tc>
        <w:tc>
          <w:tcPr>
            <w:tcW w:w="580" w:type="dxa"/>
            <w:vAlign w:val="bottom"/>
            <w:shd w:val="clear" w:color="auto" w:fill="EF3E2A"/>
          </w:tcPr>
          <w:p>
            <w:pPr>
              <w:spacing w:after="0"/>
              <w:rPr>
                <w:sz w:val="23"/>
                <w:szCs w:val="23"/>
                <w:color w:val="auto"/>
              </w:rPr>
            </w:pPr>
          </w:p>
        </w:tc>
        <w:tc>
          <w:tcPr>
            <w:tcW w:w="240" w:type="dxa"/>
            <w:vAlign w:val="bottom"/>
            <w:shd w:val="clear" w:color="auto" w:fill="EF3E2A"/>
          </w:tcPr>
          <w:p>
            <w:pPr>
              <w:spacing w:after="0"/>
              <w:rPr>
                <w:sz w:val="23"/>
                <w:szCs w:val="23"/>
                <w:color w:val="auto"/>
              </w:rPr>
            </w:pPr>
          </w:p>
        </w:tc>
        <w:tc>
          <w:tcPr>
            <w:tcW w:w="880" w:type="dxa"/>
            <w:vAlign w:val="bottom"/>
            <w:shd w:val="clear" w:color="auto" w:fill="EF3E2A"/>
          </w:tcPr>
          <w:p>
            <w:pPr>
              <w:spacing w:after="0"/>
              <w:rPr>
                <w:sz w:val="23"/>
                <w:szCs w:val="23"/>
                <w:color w:val="auto"/>
              </w:rPr>
            </w:pPr>
          </w:p>
        </w:tc>
        <w:tc>
          <w:tcPr>
            <w:tcW w:w="300" w:type="dxa"/>
            <w:vAlign w:val="bottom"/>
            <w:shd w:val="clear" w:color="auto" w:fill="EF3E2A"/>
          </w:tcPr>
          <w:p>
            <w:pPr>
              <w:spacing w:after="0"/>
              <w:rPr>
                <w:sz w:val="23"/>
                <w:szCs w:val="23"/>
                <w:color w:val="auto"/>
              </w:rPr>
            </w:pPr>
          </w:p>
        </w:tc>
        <w:tc>
          <w:tcPr>
            <w:tcW w:w="700" w:type="dxa"/>
            <w:vAlign w:val="bottom"/>
            <w:shd w:val="clear" w:color="auto" w:fill="EF3E2A"/>
          </w:tcPr>
          <w:p>
            <w:pPr>
              <w:spacing w:after="0"/>
              <w:rPr>
                <w:sz w:val="23"/>
                <w:szCs w:val="23"/>
                <w:color w:val="auto"/>
              </w:rPr>
            </w:pPr>
          </w:p>
        </w:tc>
        <w:tc>
          <w:tcPr>
            <w:tcW w:w="320" w:type="dxa"/>
            <w:vAlign w:val="bottom"/>
            <w:shd w:val="clear" w:color="auto" w:fill="EF3E2A"/>
          </w:tcPr>
          <w:p>
            <w:pPr>
              <w:spacing w:after="0"/>
              <w:rPr>
                <w:sz w:val="23"/>
                <w:szCs w:val="23"/>
                <w:color w:val="auto"/>
              </w:rPr>
            </w:pPr>
          </w:p>
        </w:tc>
        <w:tc>
          <w:tcPr>
            <w:tcW w:w="800" w:type="dxa"/>
            <w:vAlign w:val="bottom"/>
            <w:shd w:val="clear" w:color="auto" w:fill="EF3E2A"/>
          </w:tcPr>
          <w:p>
            <w:pPr>
              <w:spacing w:after="0"/>
              <w:rPr>
                <w:sz w:val="23"/>
                <w:szCs w:val="23"/>
                <w:color w:val="auto"/>
              </w:rPr>
            </w:pPr>
          </w:p>
        </w:tc>
        <w:tc>
          <w:tcPr>
            <w:tcW w:w="360" w:type="dxa"/>
            <w:vAlign w:val="bottom"/>
            <w:shd w:val="clear" w:color="auto" w:fill="EF3E2A"/>
          </w:tcPr>
          <w:p>
            <w:pPr>
              <w:spacing w:after="0"/>
              <w:rPr>
                <w:sz w:val="23"/>
                <w:szCs w:val="23"/>
                <w:color w:val="auto"/>
              </w:rPr>
            </w:pPr>
          </w:p>
        </w:tc>
        <w:tc>
          <w:tcPr>
            <w:tcW w:w="1080" w:type="dxa"/>
            <w:vAlign w:val="bottom"/>
            <w:shd w:val="clear" w:color="auto" w:fill="EF3E2A"/>
          </w:tcPr>
          <w:p>
            <w:pPr>
              <w:jc w:val="center"/>
              <w:ind w:right="290"/>
              <w:spacing w:after="0"/>
              <w:rPr>
                <w:sz w:val="20"/>
                <w:szCs w:val="20"/>
                <w:color w:val="auto"/>
              </w:rPr>
            </w:pPr>
            <w:r>
              <w:rPr>
                <w:rFonts w:ascii="Calibri" w:cs="Calibri" w:eastAsia="Calibri" w:hAnsi="Calibri"/>
                <w:sz w:val="14"/>
                <w:szCs w:val="14"/>
                <w:b w:val="1"/>
                <w:bCs w:val="1"/>
                <w:color w:val="E8E7E5"/>
                <w:w w:val="97"/>
              </w:rPr>
              <w:t>Non-Equity</w:t>
            </w:r>
          </w:p>
        </w:tc>
        <w:tc>
          <w:tcPr>
            <w:tcW w:w="380" w:type="dxa"/>
            <w:vAlign w:val="bottom"/>
            <w:shd w:val="clear" w:color="auto" w:fill="EF3E2A"/>
          </w:tcPr>
          <w:p>
            <w:pPr>
              <w:spacing w:after="0"/>
              <w:rPr>
                <w:sz w:val="23"/>
                <w:szCs w:val="23"/>
                <w:color w:val="auto"/>
              </w:rPr>
            </w:pPr>
          </w:p>
        </w:tc>
        <w:tc>
          <w:tcPr>
            <w:tcW w:w="720" w:type="dxa"/>
            <w:vAlign w:val="bottom"/>
            <w:shd w:val="clear" w:color="auto" w:fill="EF3E2A"/>
          </w:tcPr>
          <w:p>
            <w:pPr>
              <w:spacing w:after="0"/>
              <w:rPr>
                <w:sz w:val="23"/>
                <w:szCs w:val="23"/>
                <w:color w:val="auto"/>
              </w:rPr>
            </w:pPr>
          </w:p>
        </w:tc>
        <w:tc>
          <w:tcPr>
            <w:tcW w:w="280" w:type="dxa"/>
            <w:vAlign w:val="bottom"/>
            <w:shd w:val="clear" w:color="auto" w:fill="EF3E2A"/>
          </w:tcPr>
          <w:p>
            <w:pPr>
              <w:spacing w:after="0"/>
              <w:rPr>
                <w:sz w:val="23"/>
                <w:szCs w:val="23"/>
                <w:color w:val="auto"/>
              </w:rPr>
            </w:pPr>
          </w:p>
        </w:tc>
        <w:tc>
          <w:tcPr>
            <w:tcW w:w="860" w:type="dxa"/>
            <w:vAlign w:val="bottom"/>
            <w:shd w:val="clear" w:color="auto" w:fill="EF3E2A"/>
          </w:tcPr>
          <w:p>
            <w:pPr>
              <w:spacing w:after="0"/>
              <w:rPr>
                <w:sz w:val="23"/>
                <w:szCs w:val="23"/>
                <w:color w:val="auto"/>
              </w:rPr>
            </w:pPr>
          </w:p>
        </w:tc>
      </w:tr>
      <w:tr>
        <w:trPr>
          <w:trHeight w:val="180"/>
        </w:trPr>
        <w:tc>
          <w:tcPr>
            <w:tcW w:w="960" w:type="dxa"/>
            <w:vAlign w:val="bottom"/>
            <w:shd w:val="clear" w:color="auto" w:fill="EF3E2A"/>
          </w:tcPr>
          <w:p>
            <w:pPr>
              <w:spacing w:after="0"/>
              <w:rPr>
                <w:sz w:val="15"/>
                <w:szCs w:val="15"/>
                <w:color w:val="auto"/>
              </w:rPr>
            </w:pPr>
          </w:p>
        </w:tc>
        <w:tc>
          <w:tcPr>
            <w:tcW w:w="1620" w:type="dxa"/>
            <w:vAlign w:val="bottom"/>
            <w:shd w:val="clear" w:color="auto" w:fill="EF3E2A"/>
          </w:tcPr>
          <w:p>
            <w:pPr>
              <w:spacing w:after="0"/>
              <w:rPr>
                <w:sz w:val="15"/>
                <w:szCs w:val="15"/>
                <w:color w:val="auto"/>
              </w:rPr>
            </w:pPr>
          </w:p>
        </w:tc>
        <w:tc>
          <w:tcPr>
            <w:tcW w:w="580" w:type="dxa"/>
            <w:vAlign w:val="bottom"/>
            <w:shd w:val="clear" w:color="auto" w:fill="EF3E2A"/>
          </w:tcPr>
          <w:p>
            <w:pPr>
              <w:spacing w:after="0"/>
              <w:rPr>
                <w:sz w:val="15"/>
                <w:szCs w:val="15"/>
                <w:color w:val="auto"/>
              </w:rPr>
            </w:pPr>
          </w:p>
        </w:tc>
        <w:tc>
          <w:tcPr>
            <w:tcW w:w="240" w:type="dxa"/>
            <w:vAlign w:val="bottom"/>
            <w:shd w:val="clear" w:color="auto" w:fill="EF3E2A"/>
          </w:tcPr>
          <w:p>
            <w:pPr>
              <w:spacing w:after="0"/>
              <w:rPr>
                <w:sz w:val="15"/>
                <w:szCs w:val="15"/>
                <w:color w:val="auto"/>
              </w:rPr>
            </w:pPr>
          </w:p>
        </w:tc>
        <w:tc>
          <w:tcPr>
            <w:tcW w:w="880" w:type="dxa"/>
            <w:vAlign w:val="bottom"/>
            <w:shd w:val="clear" w:color="auto" w:fill="EF3E2A"/>
          </w:tcPr>
          <w:p>
            <w:pPr>
              <w:spacing w:after="0"/>
              <w:rPr>
                <w:sz w:val="15"/>
                <w:szCs w:val="15"/>
                <w:color w:val="auto"/>
              </w:rPr>
            </w:pPr>
          </w:p>
        </w:tc>
        <w:tc>
          <w:tcPr>
            <w:tcW w:w="300" w:type="dxa"/>
            <w:vAlign w:val="bottom"/>
            <w:shd w:val="clear" w:color="auto" w:fill="EF3E2A"/>
          </w:tcPr>
          <w:p>
            <w:pPr>
              <w:spacing w:after="0"/>
              <w:rPr>
                <w:sz w:val="15"/>
                <w:szCs w:val="15"/>
                <w:color w:val="auto"/>
              </w:rPr>
            </w:pPr>
          </w:p>
        </w:tc>
        <w:tc>
          <w:tcPr>
            <w:tcW w:w="700" w:type="dxa"/>
            <w:vAlign w:val="bottom"/>
            <w:shd w:val="clear" w:color="auto" w:fill="EF3E2A"/>
          </w:tcPr>
          <w:p>
            <w:pPr>
              <w:spacing w:after="0"/>
              <w:rPr>
                <w:sz w:val="15"/>
                <w:szCs w:val="15"/>
                <w:color w:val="auto"/>
              </w:rPr>
            </w:pPr>
          </w:p>
        </w:tc>
        <w:tc>
          <w:tcPr>
            <w:tcW w:w="320" w:type="dxa"/>
            <w:vAlign w:val="bottom"/>
            <w:shd w:val="clear" w:color="auto" w:fill="EF3E2A"/>
          </w:tcPr>
          <w:p>
            <w:pPr>
              <w:spacing w:after="0"/>
              <w:rPr>
                <w:sz w:val="15"/>
                <w:szCs w:val="15"/>
                <w:color w:val="auto"/>
              </w:rPr>
            </w:pPr>
          </w:p>
        </w:tc>
        <w:tc>
          <w:tcPr>
            <w:tcW w:w="800" w:type="dxa"/>
            <w:vAlign w:val="bottom"/>
            <w:shd w:val="clear" w:color="auto" w:fill="EF3E2A"/>
          </w:tcPr>
          <w:p>
            <w:pPr>
              <w:spacing w:after="0"/>
              <w:rPr>
                <w:sz w:val="15"/>
                <w:szCs w:val="15"/>
                <w:color w:val="auto"/>
              </w:rPr>
            </w:pPr>
          </w:p>
        </w:tc>
        <w:tc>
          <w:tcPr>
            <w:tcW w:w="360" w:type="dxa"/>
            <w:vAlign w:val="bottom"/>
            <w:shd w:val="clear" w:color="auto" w:fill="EF3E2A"/>
          </w:tcPr>
          <w:p>
            <w:pPr>
              <w:spacing w:after="0"/>
              <w:rPr>
                <w:sz w:val="15"/>
                <w:szCs w:val="15"/>
                <w:color w:val="auto"/>
              </w:rPr>
            </w:pPr>
          </w:p>
        </w:tc>
        <w:tc>
          <w:tcPr>
            <w:tcW w:w="1080" w:type="dxa"/>
            <w:vAlign w:val="bottom"/>
            <w:shd w:val="clear" w:color="auto" w:fill="EF3E2A"/>
          </w:tcPr>
          <w:p>
            <w:pPr>
              <w:jc w:val="center"/>
              <w:ind w:right="310"/>
              <w:spacing w:after="0"/>
              <w:rPr>
                <w:sz w:val="20"/>
                <w:szCs w:val="20"/>
                <w:color w:val="auto"/>
              </w:rPr>
            </w:pPr>
            <w:r>
              <w:rPr>
                <w:rFonts w:ascii="Calibri" w:cs="Calibri" w:eastAsia="Calibri" w:hAnsi="Calibri"/>
                <w:sz w:val="14"/>
                <w:szCs w:val="14"/>
                <w:b w:val="1"/>
                <w:bCs w:val="1"/>
                <w:color w:val="E8E7E5"/>
              </w:rPr>
              <w:t>Incentive</w:t>
            </w:r>
          </w:p>
        </w:tc>
        <w:tc>
          <w:tcPr>
            <w:tcW w:w="380" w:type="dxa"/>
            <w:vAlign w:val="bottom"/>
            <w:shd w:val="clear" w:color="auto" w:fill="EF3E2A"/>
          </w:tcPr>
          <w:p>
            <w:pPr>
              <w:spacing w:after="0"/>
              <w:rPr>
                <w:sz w:val="15"/>
                <w:szCs w:val="15"/>
                <w:color w:val="auto"/>
              </w:rPr>
            </w:pPr>
          </w:p>
        </w:tc>
        <w:tc>
          <w:tcPr>
            <w:tcW w:w="720" w:type="dxa"/>
            <w:vAlign w:val="bottom"/>
            <w:shd w:val="clear" w:color="auto" w:fill="EF3E2A"/>
          </w:tcPr>
          <w:p>
            <w:pPr>
              <w:jc w:val="right"/>
              <w:spacing w:after="0"/>
              <w:rPr>
                <w:sz w:val="20"/>
                <w:szCs w:val="20"/>
                <w:color w:val="auto"/>
              </w:rPr>
            </w:pPr>
            <w:r>
              <w:rPr>
                <w:rFonts w:ascii="Calibri" w:cs="Calibri" w:eastAsia="Calibri" w:hAnsi="Calibri"/>
                <w:sz w:val="14"/>
                <w:szCs w:val="14"/>
                <w:b w:val="1"/>
                <w:bCs w:val="1"/>
                <w:color w:val="E8E7E5"/>
              </w:rPr>
              <w:t>All Other</w:t>
            </w:r>
          </w:p>
        </w:tc>
        <w:tc>
          <w:tcPr>
            <w:tcW w:w="280" w:type="dxa"/>
            <w:vAlign w:val="bottom"/>
            <w:shd w:val="clear" w:color="auto" w:fill="EF3E2A"/>
          </w:tcPr>
          <w:p>
            <w:pPr>
              <w:spacing w:after="0"/>
              <w:rPr>
                <w:sz w:val="15"/>
                <w:szCs w:val="15"/>
                <w:color w:val="auto"/>
              </w:rPr>
            </w:pPr>
          </w:p>
        </w:tc>
        <w:tc>
          <w:tcPr>
            <w:tcW w:w="860" w:type="dxa"/>
            <w:vAlign w:val="bottom"/>
            <w:shd w:val="clear" w:color="auto" w:fill="EF3E2A"/>
          </w:tcPr>
          <w:p>
            <w:pPr>
              <w:spacing w:after="0"/>
              <w:rPr>
                <w:sz w:val="15"/>
                <w:szCs w:val="15"/>
                <w:color w:val="auto"/>
              </w:rPr>
            </w:pPr>
          </w:p>
        </w:tc>
      </w:tr>
      <w:tr>
        <w:trPr>
          <w:trHeight w:val="224"/>
        </w:trPr>
        <w:tc>
          <w:tcPr>
            <w:tcW w:w="2580" w:type="dxa"/>
            <w:vAlign w:val="bottom"/>
            <w:tcBorders>
              <w:bottom w:val="single" w:sz="8" w:color="231F20"/>
            </w:tcBorders>
            <w:gridSpan w:val="2"/>
            <w:shd w:val="clear" w:color="auto" w:fill="EF3E2A"/>
          </w:tcPr>
          <w:p>
            <w:pPr>
              <w:ind w:left="120"/>
              <w:spacing w:after="0"/>
              <w:rPr>
                <w:sz w:val="20"/>
                <w:szCs w:val="20"/>
                <w:color w:val="auto"/>
              </w:rPr>
            </w:pPr>
            <w:r>
              <w:rPr>
                <w:rFonts w:ascii="Calibri" w:cs="Calibri" w:eastAsia="Calibri" w:hAnsi="Calibri"/>
                <w:sz w:val="14"/>
                <w:szCs w:val="14"/>
                <w:b w:val="1"/>
                <w:bCs w:val="1"/>
                <w:color w:val="E8E7E5"/>
              </w:rPr>
              <w:t>Name and Principal Position</w:t>
            </w:r>
          </w:p>
        </w:tc>
        <w:tc>
          <w:tcPr>
            <w:tcW w:w="580" w:type="dxa"/>
            <w:vAlign w:val="bottom"/>
            <w:tcBorders>
              <w:bottom w:val="single" w:sz="8" w:color="231F20"/>
            </w:tcBorders>
            <w:shd w:val="clear" w:color="auto" w:fill="EF3E2A"/>
          </w:tcPr>
          <w:p>
            <w:pPr>
              <w:ind w:left="200"/>
              <w:spacing w:after="0"/>
              <w:rPr>
                <w:sz w:val="20"/>
                <w:szCs w:val="20"/>
                <w:color w:val="auto"/>
              </w:rPr>
            </w:pPr>
            <w:r>
              <w:rPr>
                <w:rFonts w:ascii="Calibri" w:cs="Calibri" w:eastAsia="Calibri" w:hAnsi="Calibri"/>
                <w:sz w:val="14"/>
                <w:szCs w:val="14"/>
                <w:b w:val="1"/>
                <w:bCs w:val="1"/>
                <w:color w:val="E8E7E5"/>
              </w:rPr>
              <w:t>Year</w:t>
            </w:r>
          </w:p>
        </w:tc>
        <w:tc>
          <w:tcPr>
            <w:tcW w:w="240" w:type="dxa"/>
            <w:vAlign w:val="bottom"/>
            <w:tcBorders>
              <w:bottom w:val="single" w:sz="8" w:color="231F20"/>
            </w:tcBorders>
            <w:shd w:val="clear" w:color="auto" w:fill="EF3E2A"/>
          </w:tcPr>
          <w:p>
            <w:pPr>
              <w:spacing w:after="0"/>
              <w:rPr>
                <w:sz w:val="19"/>
                <w:szCs w:val="19"/>
                <w:color w:val="auto"/>
              </w:rPr>
            </w:pPr>
          </w:p>
        </w:tc>
        <w:tc>
          <w:tcPr>
            <w:tcW w:w="880" w:type="dxa"/>
            <w:vAlign w:val="bottom"/>
            <w:tcBorders>
              <w:bottom w:val="single" w:sz="8" w:color="231F20"/>
            </w:tcBorders>
            <w:shd w:val="clear" w:color="auto" w:fill="EF3E2A"/>
          </w:tcPr>
          <w:p>
            <w:pPr>
              <w:jc w:val="right"/>
              <w:ind w:right="270"/>
              <w:spacing w:after="0"/>
              <w:rPr>
                <w:sz w:val="20"/>
                <w:szCs w:val="20"/>
                <w:color w:val="auto"/>
              </w:rPr>
            </w:pPr>
            <w:r>
              <w:rPr>
                <w:rFonts w:ascii="Calibri" w:cs="Calibri" w:eastAsia="Calibri" w:hAnsi="Calibri"/>
                <w:sz w:val="14"/>
                <w:szCs w:val="14"/>
                <w:b w:val="1"/>
                <w:bCs w:val="1"/>
                <w:color w:val="E8E7E5"/>
              </w:rPr>
              <w:t>Salary</w:t>
            </w:r>
            <w:r>
              <w:rPr>
                <w:rFonts w:ascii="Calibri" w:cs="Calibri" w:eastAsia="Calibri" w:hAnsi="Calibri"/>
                <w:sz w:val="18"/>
                <w:szCs w:val="18"/>
                <w:b w:val="1"/>
                <w:bCs w:val="1"/>
                <w:color w:val="E8E7E5"/>
                <w:vertAlign w:val="superscript"/>
              </w:rPr>
              <w:t>(1)</w:t>
            </w:r>
          </w:p>
        </w:tc>
        <w:tc>
          <w:tcPr>
            <w:tcW w:w="300" w:type="dxa"/>
            <w:vAlign w:val="bottom"/>
            <w:tcBorders>
              <w:bottom w:val="single" w:sz="8" w:color="231F20"/>
            </w:tcBorders>
            <w:shd w:val="clear" w:color="auto" w:fill="EF3E2A"/>
          </w:tcPr>
          <w:p>
            <w:pPr>
              <w:spacing w:after="0"/>
              <w:rPr>
                <w:sz w:val="19"/>
                <w:szCs w:val="19"/>
                <w:color w:val="auto"/>
              </w:rPr>
            </w:pPr>
          </w:p>
        </w:tc>
        <w:tc>
          <w:tcPr>
            <w:tcW w:w="700" w:type="dxa"/>
            <w:vAlign w:val="bottom"/>
            <w:tcBorders>
              <w:bottom w:val="single" w:sz="8" w:color="231F20"/>
            </w:tcBorders>
            <w:shd w:val="clear" w:color="auto" w:fill="EF3E2A"/>
          </w:tcPr>
          <w:p>
            <w:pPr>
              <w:jc w:val="right"/>
              <w:ind w:right="50"/>
              <w:spacing w:after="0"/>
              <w:rPr>
                <w:sz w:val="20"/>
                <w:szCs w:val="20"/>
                <w:color w:val="auto"/>
              </w:rPr>
            </w:pPr>
            <w:r>
              <w:rPr>
                <w:rFonts w:ascii="Calibri" w:cs="Calibri" w:eastAsia="Calibri" w:hAnsi="Calibri"/>
                <w:sz w:val="14"/>
                <w:szCs w:val="14"/>
                <w:b w:val="1"/>
                <w:bCs w:val="1"/>
                <w:color w:val="E8E7E5"/>
              </w:rPr>
              <w:t>Bonus</w:t>
            </w:r>
            <w:r>
              <w:rPr>
                <w:rFonts w:ascii="Calibri" w:cs="Calibri" w:eastAsia="Calibri" w:hAnsi="Calibri"/>
                <w:sz w:val="18"/>
                <w:szCs w:val="18"/>
                <w:b w:val="1"/>
                <w:bCs w:val="1"/>
                <w:color w:val="E8E7E5"/>
                <w:vertAlign w:val="superscript"/>
              </w:rPr>
              <w:t>(2)</w:t>
            </w:r>
          </w:p>
        </w:tc>
        <w:tc>
          <w:tcPr>
            <w:tcW w:w="1120" w:type="dxa"/>
            <w:vAlign w:val="bottom"/>
            <w:tcBorders>
              <w:bottom w:val="single" w:sz="8" w:color="231F20"/>
            </w:tcBorders>
            <w:gridSpan w:val="2"/>
            <w:shd w:val="clear" w:color="auto" w:fill="EF3E2A"/>
          </w:tcPr>
          <w:p>
            <w:pPr>
              <w:ind w:left="120"/>
              <w:spacing w:after="0"/>
              <w:rPr>
                <w:sz w:val="20"/>
                <w:szCs w:val="20"/>
                <w:color w:val="auto"/>
              </w:rPr>
            </w:pPr>
            <w:r>
              <w:rPr>
                <w:rFonts w:ascii="Calibri" w:cs="Calibri" w:eastAsia="Calibri" w:hAnsi="Calibri"/>
                <w:sz w:val="14"/>
                <w:szCs w:val="14"/>
                <w:b w:val="1"/>
                <w:bCs w:val="1"/>
                <w:color w:val="E8E7E5"/>
              </w:rPr>
              <w:t>Stock Awards</w:t>
            </w:r>
            <w:r>
              <w:rPr>
                <w:rFonts w:ascii="Calibri" w:cs="Calibri" w:eastAsia="Calibri" w:hAnsi="Calibri"/>
                <w:sz w:val="18"/>
                <w:szCs w:val="18"/>
                <w:b w:val="1"/>
                <w:bCs w:val="1"/>
                <w:color w:val="E8E7E5"/>
                <w:vertAlign w:val="superscript"/>
              </w:rPr>
              <w:t>(3)</w:t>
            </w:r>
          </w:p>
        </w:tc>
        <w:tc>
          <w:tcPr>
            <w:tcW w:w="1440" w:type="dxa"/>
            <w:vAlign w:val="bottom"/>
            <w:tcBorders>
              <w:bottom w:val="single" w:sz="8" w:color="231F20"/>
            </w:tcBorders>
            <w:gridSpan w:val="2"/>
            <w:shd w:val="clear" w:color="auto" w:fill="EF3E2A"/>
          </w:tcPr>
          <w:p>
            <w:pPr>
              <w:jc w:val="center"/>
              <w:spacing w:after="0"/>
              <w:rPr>
                <w:sz w:val="20"/>
                <w:szCs w:val="20"/>
                <w:color w:val="auto"/>
              </w:rPr>
            </w:pPr>
            <w:r>
              <w:rPr>
                <w:rFonts w:ascii="Calibri" w:cs="Calibri" w:eastAsia="Calibri" w:hAnsi="Calibri"/>
                <w:sz w:val="14"/>
                <w:szCs w:val="14"/>
                <w:b w:val="1"/>
                <w:bCs w:val="1"/>
                <w:color w:val="E8E7E5"/>
                <w:w w:val="98"/>
              </w:rPr>
              <w:t>Plan Compensation</w:t>
            </w:r>
            <w:r>
              <w:rPr>
                <w:rFonts w:ascii="Calibri" w:cs="Calibri" w:eastAsia="Calibri" w:hAnsi="Calibri"/>
                <w:sz w:val="18"/>
                <w:szCs w:val="18"/>
                <w:b w:val="1"/>
                <w:bCs w:val="1"/>
                <w:color w:val="E8E7E5"/>
                <w:w w:val="98"/>
                <w:vertAlign w:val="superscript"/>
              </w:rPr>
              <w:t>(4)</w:t>
            </w:r>
          </w:p>
        </w:tc>
        <w:tc>
          <w:tcPr>
            <w:tcW w:w="1100" w:type="dxa"/>
            <w:vAlign w:val="bottom"/>
            <w:tcBorders>
              <w:bottom w:val="single" w:sz="8" w:color="231F20"/>
            </w:tcBorders>
            <w:gridSpan w:val="2"/>
            <w:shd w:val="clear" w:color="auto" w:fill="EF3E2A"/>
          </w:tcPr>
          <w:p>
            <w:pPr>
              <w:jc w:val="right"/>
              <w:spacing w:after="0"/>
              <w:rPr>
                <w:sz w:val="20"/>
                <w:szCs w:val="20"/>
                <w:color w:val="auto"/>
              </w:rPr>
            </w:pPr>
            <w:r>
              <w:rPr>
                <w:rFonts w:ascii="Calibri" w:cs="Calibri" w:eastAsia="Calibri" w:hAnsi="Calibri"/>
                <w:sz w:val="14"/>
                <w:szCs w:val="14"/>
                <w:b w:val="1"/>
                <w:bCs w:val="1"/>
                <w:color w:val="E8E7E5"/>
              </w:rPr>
              <w:t>Compensation</w:t>
            </w:r>
            <w:r>
              <w:rPr>
                <w:rFonts w:ascii="Calibri" w:cs="Calibri" w:eastAsia="Calibri" w:hAnsi="Calibri"/>
                <w:sz w:val="18"/>
                <w:szCs w:val="18"/>
                <w:b w:val="1"/>
                <w:bCs w:val="1"/>
                <w:color w:val="E8E7E5"/>
                <w:vertAlign w:val="superscript"/>
              </w:rPr>
              <w:t>(5)</w:t>
            </w:r>
          </w:p>
        </w:tc>
        <w:tc>
          <w:tcPr>
            <w:tcW w:w="280" w:type="dxa"/>
            <w:vAlign w:val="bottom"/>
            <w:tcBorders>
              <w:bottom w:val="single" w:sz="8" w:color="231F20"/>
            </w:tcBorders>
            <w:shd w:val="clear" w:color="auto" w:fill="EF3E2A"/>
          </w:tcPr>
          <w:p>
            <w:pPr>
              <w:spacing w:after="0"/>
              <w:rPr>
                <w:sz w:val="19"/>
                <w:szCs w:val="19"/>
                <w:color w:val="auto"/>
              </w:rPr>
            </w:pPr>
          </w:p>
        </w:tc>
        <w:tc>
          <w:tcPr>
            <w:tcW w:w="860" w:type="dxa"/>
            <w:vAlign w:val="bottom"/>
            <w:tcBorders>
              <w:bottom w:val="single" w:sz="8" w:color="231F20"/>
            </w:tcBorders>
            <w:shd w:val="clear" w:color="auto" w:fill="EF3E2A"/>
          </w:tcPr>
          <w:p>
            <w:pPr>
              <w:jc w:val="right"/>
              <w:spacing w:after="0"/>
              <w:rPr>
                <w:sz w:val="20"/>
                <w:szCs w:val="20"/>
                <w:color w:val="auto"/>
              </w:rPr>
            </w:pPr>
            <w:r>
              <w:rPr>
                <w:rFonts w:ascii="Calibri" w:cs="Calibri" w:eastAsia="Calibri" w:hAnsi="Calibri"/>
                <w:sz w:val="14"/>
                <w:szCs w:val="14"/>
                <w:b w:val="1"/>
                <w:bCs w:val="1"/>
                <w:color w:val="E8E7E5"/>
              </w:rPr>
              <w:t>Total</w:t>
            </w:r>
          </w:p>
        </w:tc>
      </w:tr>
      <w:tr>
        <w:trPr>
          <w:trHeight w:val="236"/>
        </w:trPr>
        <w:tc>
          <w:tcPr>
            <w:tcW w:w="2580" w:type="dxa"/>
            <w:vAlign w:val="bottom"/>
            <w:gridSpan w:val="2"/>
            <w:shd w:val="clear" w:color="auto" w:fill="DCDDDE"/>
          </w:tcPr>
          <w:p>
            <w:pPr>
              <w:ind w:left="120"/>
              <w:spacing w:after="0"/>
              <w:rPr>
                <w:sz w:val="20"/>
                <w:szCs w:val="20"/>
                <w:color w:val="auto"/>
              </w:rPr>
            </w:pPr>
            <w:r>
              <w:rPr>
                <w:rFonts w:ascii="Calibri" w:cs="Calibri" w:eastAsia="Calibri" w:hAnsi="Calibri"/>
                <w:sz w:val="14"/>
                <w:szCs w:val="14"/>
                <w:b w:val="1"/>
                <w:bCs w:val="1"/>
                <w:color w:val="231F20"/>
              </w:rPr>
              <w:t>Donald C. Wood (PEO)</w:t>
            </w:r>
          </w:p>
        </w:tc>
        <w:tc>
          <w:tcPr>
            <w:tcW w:w="580" w:type="dxa"/>
            <w:vAlign w:val="bottom"/>
          </w:tcPr>
          <w:p>
            <w:pPr>
              <w:ind w:left="200"/>
              <w:spacing w:after="0"/>
              <w:rPr>
                <w:sz w:val="20"/>
                <w:szCs w:val="20"/>
                <w:color w:val="auto"/>
              </w:rPr>
            </w:pPr>
            <w:r>
              <w:rPr>
                <w:rFonts w:ascii="Calibri" w:cs="Calibri" w:eastAsia="Calibri" w:hAnsi="Calibri"/>
                <w:sz w:val="14"/>
                <w:szCs w:val="14"/>
                <w:color w:val="231F20"/>
              </w:rPr>
              <w:t>2025</w:t>
            </w:r>
          </w:p>
        </w:tc>
        <w:tc>
          <w:tcPr>
            <w:tcW w:w="240" w:type="dxa"/>
            <w:vAlign w:val="bottom"/>
          </w:tcPr>
          <w:p>
            <w:pPr>
              <w:jc w:val="right"/>
              <w:ind w:right="10"/>
              <w:spacing w:after="0"/>
              <w:rPr>
                <w:sz w:val="20"/>
                <w:szCs w:val="20"/>
                <w:color w:val="auto"/>
              </w:rPr>
            </w:pPr>
            <w:r>
              <w:rPr>
                <w:rFonts w:ascii="Calibri" w:cs="Calibri" w:eastAsia="Calibri" w:hAnsi="Calibri"/>
                <w:sz w:val="14"/>
                <w:szCs w:val="14"/>
                <w:color w:val="231F20"/>
              </w:rPr>
              <w:t>$</w:t>
            </w:r>
          </w:p>
        </w:tc>
        <w:tc>
          <w:tcPr>
            <w:tcW w:w="880" w:type="dxa"/>
            <w:vAlign w:val="bottom"/>
          </w:tcPr>
          <w:p>
            <w:pPr>
              <w:jc w:val="right"/>
              <w:ind w:right="30"/>
              <w:spacing w:after="0"/>
              <w:rPr>
                <w:sz w:val="20"/>
                <w:szCs w:val="20"/>
                <w:color w:val="auto"/>
              </w:rPr>
            </w:pPr>
            <w:r>
              <w:rPr>
                <w:rFonts w:ascii="Calibri" w:cs="Calibri" w:eastAsia="Calibri" w:hAnsi="Calibri"/>
                <w:sz w:val="14"/>
                <w:szCs w:val="14"/>
                <w:color w:val="231F20"/>
              </w:rPr>
              <w:t>1,000,000</w:t>
            </w:r>
          </w:p>
        </w:tc>
        <w:tc>
          <w:tcPr>
            <w:tcW w:w="300" w:type="dxa"/>
            <w:vAlign w:val="bottom"/>
          </w:tcPr>
          <w:p>
            <w:pPr>
              <w:jc w:val="right"/>
              <w:ind w:right="70"/>
              <w:spacing w:after="0"/>
              <w:rPr>
                <w:sz w:val="20"/>
                <w:szCs w:val="20"/>
                <w:color w:val="auto"/>
              </w:rPr>
            </w:pPr>
            <w:r>
              <w:rPr>
                <w:rFonts w:ascii="Calibri" w:cs="Calibri" w:eastAsia="Calibri" w:hAnsi="Calibri"/>
                <w:sz w:val="14"/>
                <w:szCs w:val="14"/>
                <w:color w:val="231F20"/>
              </w:rPr>
              <w:t>$</w:t>
            </w:r>
          </w:p>
        </w:tc>
        <w:tc>
          <w:tcPr>
            <w:tcW w:w="700" w:type="dxa"/>
            <w:vAlign w:val="bottom"/>
          </w:tcPr>
          <w:p>
            <w:pPr>
              <w:jc w:val="right"/>
              <w:ind w:right="30"/>
              <w:spacing w:after="0"/>
              <w:rPr>
                <w:sz w:val="20"/>
                <w:szCs w:val="20"/>
                <w:color w:val="auto"/>
              </w:rPr>
            </w:pPr>
            <w:r>
              <w:rPr>
                <w:rFonts w:ascii="Calibri" w:cs="Calibri" w:eastAsia="Calibri" w:hAnsi="Calibri"/>
                <w:sz w:val="14"/>
                <w:szCs w:val="14"/>
                <w:color w:val="231F20"/>
              </w:rPr>
              <w:t>-</w:t>
            </w:r>
          </w:p>
        </w:tc>
        <w:tc>
          <w:tcPr>
            <w:tcW w:w="320" w:type="dxa"/>
            <w:vAlign w:val="bottom"/>
          </w:tcPr>
          <w:p>
            <w:pPr>
              <w:ind w:left="100"/>
              <w:spacing w:after="0"/>
              <w:rPr>
                <w:sz w:val="20"/>
                <w:szCs w:val="20"/>
                <w:color w:val="auto"/>
              </w:rPr>
            </w:pPr>
            <w:r>
              <w:rPr>
                <w:rFonts w:ascii="Calibri" w:cs="Calibri" w:eastAsia="Calibri" w:hAnsi="Calibri"/>
                <w:sz w:val="14"/>
                <w:szCs w:val="14"/>
                <w:color w:val="231F20"/>
              </w:rPr>
              <w:t>$</w:t>
            </w:r>
          </w:p>
        </w:tc>
        <w:tc>
          <w:tcPr>
            <w:tcW w:w="800" w:type="dxa"/>
            <w:vAlign w:val="bottom"/>
          </w:tcPr>
          <w:p>
            <w:pPr>
              <w:jc w:val="right"/>
              <w:ind w:right="30"/>
              <w:spacing w:after="0"/>
              <w:rPr>
                <w:sz w:val="20"/>
                <w:szCs w:val="20"/>
                <w:color w:val="auto"/>
              </w:rPr>
            </w:pPr>
            <w:r>
              <w:rPr>
                <w:rFonts w:ascii="Calibri" w:cs="Calibri" w:eastAsia="Calibri" w:hAnsi="Calibri"/>
                <w:sz w:val="14"/>
                <w:szCs w:val="14"/>
                <w:color w:val="231F20"/>
              </w:rPr>
              <w:t>7,554,434</w:t>
            </w:r>
          </w:p>
        </w:tc>
        <w:tc>
          <w:tcPr>
            <w:tcW w:w="360" w:type="dxa"/>
            <w:vAlign w:val="bottom"/>
          </w:tcPr>
          <w:p>
            <w:pPr>
              <w:jc w:val="right"/>
              <w:spacing w:after="0"/>
              <w:rPr>
                <w:sz w:val="20"/>
                <w:szCs w:val="20"/>
                <w:color w:val="auto"/>
              </w:rPr>
            </w:pPr>
            <w:r>
              <w:rPr>
                <w:rFonts w:ascii="Calibri" w:cs="Calibri" w:eastAsia="Calibri" w:hAnsi="Calibri"/>
                <w:sz w:val="14"/>
                <w:szCs w:val="14"/>
                <w:color w:val="231F20"/>
              </w:rPr>
              <w:t>$</w:t>
            </w:r>
          </w:p>
        </w:tc>
        <w:tc>
          <w:tcPr>
            <w:tcW w:w="1080" w:type="dxa"/>
            <w:vAlign w:val="bottom"/>
          </w:tcPr>
          <w:p>
            <w:pPr>
              <w:jc w:val="right"/>
              <w:ind w:right="190"/>
              <w:spacing w:after="0"/>
              <w:rPr>
                <w:sz w:val="20"/>
                <w:szCs w:val="20"/>
                <w:color w:val="auto"/>
              </w:rPr>
            </w:pPr>
            <w:r>
              <w:rPr>
                <w:rFonts w:ascii="Calibri" w:cs="Calibri" w:eastAsia="Calibri" w:hAnsi="Calibri"/>
                <w:sz w:val="14"/>
                <w:szCs w:val="14"/>
                <w:color w:val="231F20"/>
              </w:rPr>
              <w:t>1,350,000</w:t>
            </w:r>
          </w:p>
        </w:tc>
        <w:tc>
          <w:tcPr>
            <w:tcW w:w="380" w:type="dxa"/>
            <w:vAlign w:val="bottom"/>
          </w:tcPr>
          <w:p>
            <w:pPr>
              <w:jc w:val="right"/>
              <w:ind w:right="50"/>
              <w:spacing w:after="0"/>
              <w:rPr>
                <w:sz w:val="20"/>
                <w:szCs w:val="20"/>
                <w:color w:val="auto"/>
              </w:rPr>
            </w:pPr>
            <w:r>
              <w:rPr>
                <w:rFonts w:ascii="Calibri" w:cs="Calibri" w:eastAsia="Calibri" w:hAnsi="Calibri"/>
                <w:sz w:val="14"/>
                <w:szCs w:val="14"/>
                <w:color w:val="231F20"/>
              </w:rPr>
              <w:t>$</w:t>
            </w:r>
          </w:p>
        </w:tc>
        <w:tc>
          <w:tcPr>
            <w:tcW w:w="720" w:type="dxa"/>
            <w:vAlign w:val="bottom"/>
          </w:tcPr>
          <w:p>
            <w:pPr>
              <w:jc w:val="right"/>
              <w:ind w:right="90"/>
              <w:spacing w:after="0"/>
              <w:rPr>
                <w:sz w:val="20"/>
                <w:szCs w:val="20"/>
                <w:color w:val="auto"/>
              </w:rPr>
            </w:pPr>
            <w:r>
              <w:rPr>
                <w:rFonts w:ascii="Calibri" w:cs="Calibri" w:eastAsia="Calibri" w:hAnsi="Calibri"/>
                <w:sz w:val="14"/>
                <w:szCs w:val="14"/>
                <w:color w:val="231F20"/>
              </w:rPr>
              <w:t>24,712</w:t>
            </w:r>
          </w:p>
        </w:tc>
        <w:tc>
          <w:tcPr>
            <w:tcW w:w="280" w:type="dxa"/>
            <w:vAlign w:val="bottom"/>
          </w:tcPr>
          <w:p>
            <w:pPr>
              <w:jc w:val="right"/>
              <w:ind w:right="70"/>
              <w:spacing w:after="0"/>
              <w:rPr>
                <w:sz w:val="20"/>
                <w:szCs w:val="20"/>
                <w:color w:val="auto"/>
              </w:rPr>
            </w:pPr>
            <w:r>
              <w:rPr>
                <w:rFonts w:ascii="Calibri" w:cs="Calibri" w:eastAsia="Calibri" w:hAnsi="Calibri"/>
                <w:sz w:val="14"/>
                <w:szCs w:val="14"/>
                <w:color w:val="231F20"/>
              </w:rPr>
              <w:t>$</w:t>
            </w:r>
          </w:p>
        </w:tc>
        <w:tc>
          <w:tcPr>
            <w:tcW w:w="860" w:type="dxa"/>
            <w:vAlign w:val="bottom"/>
          </w:tcPr>
          <w:p>
            <w:pPr>
              <w:jc w:val="right"/>
              <w:ind w:right="90"/>
              <w:spacing w:after="0"/>
              <w:rPr>
                <w:sz w:val="20"/>
                <w:szCs w:val="20"/>
                <w:color w:val="auto"/>
              </w:rPr>
            </w:pPr>
            <w:r>
              <w:rPr>
                <w:rFonts w:ascii="Calibri" w:cs="Calibri" w:eastAsia="Calibri" w:hAnsi="Calibri"/>
                <w:sz w:val="14"/>
                <w:szCs w:val="14"/>
                <w:color w:val="231F20"/>
              </w:rPr>
              <w:t>9,929,147</w:t>
            </w:r>
          </w:p>
        </w:tc>
      </w:tr>
      <w:tr>
        <w:trPr>
          <w:trHeight w:val="260"/>
        </w:trPr>
        <w:tc>
          <w:tcPr>
            <w:tcW w:w="2580" w:type="dxa"/>
            <w:vAlign w:val="bottom"/>
            <w:gridSpan w:val="2"/>
            <w:shd w:val="clear" w:color="auto" w:fill="DCDDDE"/>
          </w:tcPr>
          <w:p>
            <w:pPr>
              <w:ind w:left="120"/>
              <w:spacing w:after="0"/>
              <w:rPr>
                <w:sz w:val="20"/>
                <w:szCs w:val="20"/>
                <w:color w:val="auto"/>
              </w:rPr>
            </w:pPr>
            <w:r>
              <w:rPr>
                <w:rFonts w:ascii="Calibri" w:cs="Calibri" w:eastAsia="Calibri" w:hAnsi="Calibri"/>
                <w:sz w:val="14"/>
                <w:szCs w:val="14"/>
                <w:b w:val="1"/>
                <w:bCs w:val="1"/>
                <w:color w:val="231F20"/>
              </w:rPr>
              <w:t>Chief Executive Officer and</w:t>
            </w:r>
          </w:p>
        </w:tc>
        <w:tc>
          <w:tcPr>
            <w:tcW w:w="580" w:type="dxa"/>
            <w:vAlign w:val="bottom"/>
          </w:tcPr>
          <w:p>
            <w:pPr>
              <w:ind w:left="200"/>
              <w:spacing w:after="0"/>
              <w:rPr>
                <w:sz w:val="20"/>
                <w:szCs w:val="20"/>
                <w:color w:val="auto"/>
              </w:rPr>
            </w:pPr>
            <w:r>
              <w:rPr>
                <w:rFonts w:ascii="Calibri" w:cs="Calibri" w:eastAsia="Calibri" w:hAnsi="Calibri"/>
                <w:sz w:val="14"/>
                <w:szCs w:val="14"/>
                <w:color w:val="231F20"/>
              </w:rPr>
              <w:t>2024</w:t>
            </w:r>
          </w:p>
        </w:tc>
        <w:tc>
          <w:tcPr>
            <w:tcW w:w="240" w:type="dxa"/>
            <w:vAlign w:val="bottom"/>
          </w:tcPr>
          <w:p>
            <w:pPr>
              <w:jc w:val="right"/>
              <w:ind w:right="10"/>
              <w:spacing w:after="0"/>
              <w:rPr>
                <w:sz w:val="20"/>
                <w:szCs w:val="20"/>
                <w:color w:val="auto"/>
              </w:rPr>
            </w:pPr>
            <w:r>
              <w:rPr>
                <w:rFonts w:ascii="Calibri" w:cs="Calibri" w:eastAsia="Calibri" w:hAnsi="Calibri"/>
                <w:sz w:val="14"/>
                <w:szCs w:val="14"/>
                <w:color w:val="231F20"/>
              </w:rPr>
              <w:t>$</w:t>
            </w:r>
          </w:p>
        </w:tc>
        <w:tc>
          <w:tcPr>
            <w:tcW w:w="880" w:type="dxa"/>
            <w:vAlign w:val="bottom"/>
          </w:tcPr>
          <w:p>
            <w:pPr>
              <w:jc w:val="right"/>
              <w:ind w:right="30"/>
              <w:spacing w:after="0"/>
              <w:rPr>
                <w:sz w:val="20"/>
                <w:szCs w:val="20"/>
                <w:color w:val="auto"/>
              </w:rPr>
            </w:pPr>
            <w:r>
              <w:rPr>
                <w:rFonts w:ascii="Calibri" w:cs="Calibri" w:eastAsia="Calibri" w:hAnsi="Calibri"/>
                <w:sz w:val="14"/>
                <w:szCs w:val="14"/>
                <w:color w:val="231F20"/>
              </w:rPr>
              <w:t>1,000,000</w:t>
            </w:r>
          </w:p>
        </w:tc>
        <w:tc>
          <w:tcPr>
            <w:tcW w:w="300" w:type="dxa"/>
            <w:vAlign w:val="bottom"/>
          </w:tcPr>
          <w:p>
            <w:pPr>
              <w:jc w:val="right"/>
              <w:ind w:right="70"/>
              <w:spacing w:after="0"/>
              <w:rPr>
                <w:sz w:val="20"/>
                <w:szCs w:val="20"/>
                <w:color w:val="auto"/>
              </w:rPr>
            </w:pPr>
            <w:r>
              <w:rPr>
                <w:rFonts w:ascii="Calibri" w:cs="Calibri" w:eastAsia="Calibri" w:hAnsi="Calibri"/>
                <w:sz w:val="14"/>
                <w:szCs w:val="14"/>
                <w:color w:val="231F20"/>
              </w:rPr>
              <w:t>$</w:t>
            </w:r>
          </w:p>
        </w:tc>
        <w:tc>
          <w:tcPr>
            <w:tcW w:w="700" w:type="dxa"/>
            <w:vAlign w:val="bottom"/>
          </w:tcPr>
          <w:p>
            <w:pPr>
              <w:jc w:val="right"/>
              <w:ind w:right="30"/>
              <w:spacing w:after="0"/>
              <w:rPr>
                <w:sz w:val="20"/>
                <w:szCs w:val="20"/>
                <w:color w:val="auto"/>
              </w:rPr>
            </w:pPr>
            <w:r>
              <w:rPr>
                <w:rFonts w:ascii="Calibri" w:cs="Calibri" w:eastAsia="Calibri" w:hAnsi="Calibri"/>
                <w:sz w:val="14"/>
                <w:szCs w:val="14"/>
                <w:color w:val="231F20"/>
              </w:rPr>
              <w:t>-</w:t>
            </w:r>
          </w:p>
        </w:tc>
        <w:tc>
          <w:tcPr>
            <w:tcW w:w="320" w:type="dxa"/>
            <w:vAlign w:val="bottom"/>
          </w:tcPr>
          <w:p>
            <w:pPr>
              <w:ind w:left="100"/>
              <w:spacing w:after="0"/>
              <w:rPr>
                <w:sz w:val="20"/>
                <w:szCs w:val="20"/>
                <w:color w:val="auto"/>
              </w:rPr>
            </w:pPr>
            <w:r>
              <w:rPr>
                <w:rFonts w:ascii="Calibri" w:cs="Calibri" w:eastAsia="Calibri" w:hAnsi="Calibri"/>
                <w:sz w:val="14"/>
                <w:szCs w:val="14"/>
                <w:color w:val="231F20"/>
              </w:rPr>
              <w:t>$</w:t>
            </w:r>
          </w:p>
        </w:tc>
        <w:tc>
          <w:tcPr>
            <w:tcW w:w="800" w:type="dxa"/>
            <w:vAlign w:val="bottom"/>
          </w:tcPr>
          <w:p>
            <w:pPr>
              <w:jc w:val="right"/>
              <w:ind w:right="30"/>
              <w:spacing w:after="0"/>
              <w:rPr>
                <w:sz w:val="20"/>
                <w:szCs w:val="20"/>
                <w:color w:val="auto"/>
              </w:rPr>
            </w:pPr>
            <w:r>
              <w:rPr>
                <w:rFonts w:ascii="Calibri" w:cs="Calibri" w:eastAsia="Calibri" w:hAnsi="Calibri"/>
                <w:sz w:val="14"/>
                <w:szCs w:val="14"/>
                <w:color w:val="231F20"/>
              </w:rPr>
              <w:t>6,946,529</w:t>
            </w:r>
          </w:p>
        </w:tc>
        <w:tc>
          <w:tcPr>
            <w:tcW w:w="360" w:type="dxa"/>
            <w:vAlign w:val="bottom"/>
          </w:tcPr>
          <w:p>
            <w:pPr>
              <w:jc w:val="right"/>
              <w:spacing w:after="0"/>
              <w:rPr>
                <w:sz w:val="20"/>
                <w:szCs w:val="20"/>
                <w:color w:val="auto"/>
              </w:rPr>
            </w:pPr>
            <w:r>
              <w:rPr>
                <w:rFonts w:ascii="Calibri" w:cs="Calibri" w:eastAsia="Calibri" w:hAnsi="Calibri"/>
                <w:sz w:val="14"/>
                <w:szCs w:val="14"/>
                <w:color w:val="231F20"/>
              </w:rPr>
              <w:t>$</w:t>
            </w:r>
          </w:p>
        </w:tc>
        <w:tc>
          <w:tcPr>
            <w:tcW w:w="1080" w:type="dxa"/>
            <w:vAlign w:val="bottom"/>
          </w:tcPr>
          <w:p>
            <w:pPr>
              <w:jc w:val="right"/>
              <w:ind w:right="190"/>
              <w:spacing w:after="0"/>
              <w:rPr>
                <w:sz w:val="20"/>
                <w:szCs w:val="20"/>
                <w:color w:val="auto"/>
              </w:rPr>
            </w:pPr>
            <w:r>
              <w:rPr>
                <w:rFonts w:ascii="Calibri" w:cs="Calibri" w:eastAsia="Calibri" w:hAnsi="Calibri"/>
                <w:sz w:val="14"/>
                <w:szCs w:val="14"/>
                <w:color w:val="231F20"/>
              </w:rPr>
              <w:t>1,265,625</w:t>
            </w:r>
          </w:p>
        </w:tc>
        <w:tc>
          <w:tcPr>
            <w:tcW w:w="380" w:type="dxa"/>
            <w:vAlign w:val="bottom"/>
          </w:tcPr>
          <w:p>
            <w:pPr>
              <w:jc w:val="right"/>
              <w:ind w:right="50"/>
              <w:spacing w:after="0"/>
              <w:rPr>
                <w:sz w:val="20"/>
                <w:szCs w:val="20"/>
                <w:color w:val="auto"/>
              </w:rPr>
            </w:pPr>
            <w:r>
              <w:rPr>
                <w:rFonts w:ascii="Calibri" w:cs="Calibri" w:eastAsia="Calibri" w:hAnsi="Calibri"/>
                <w:sz w:val="14"/>
                <w:szCs w:val="14"/>
                <w:color w:val="231F20"/>
              </w:rPr>
              <w:t>$</w:t>
            </w:r>
          </w:p>
        </w:tc>
        <w:tc>
          <w:tcPr>
            <w:tcW w:w="720" w:type="dxa"/>
            <w:vAlign w:val="bottom"/>
          </w:tcPr>
          <w:p>
            <w:pPr>
              <w:jc w:val="right"/>
              <w:ind w:right="90"/>
              <w:spacing w:after="0"/>
              <w:rPr>
                <w:sz w:val="20"/>
                <w:szCs w:val="20"/>
                <w:color w:val="auto"/>
              </w:rPr>
            </w:pPr>
            <w:r>
              <w:rPr>
                <w:rFonts w:ascii="Calibri" w:cs="Calibri" w:eastAsia="Calibri" w:hAnsi="Calibri"/>
                <w:sz w:val="14"/>
                <w:szCs w:val="14"/>
                <w:color w:val="231F20"/>
              </w:rPr>
              <w:t>28,376</w:t>
            </w:r>
          </w:p>
        </w:tc>
        <w:tc>
          <w:tcPr>
            <w:tcW w:w="280" w:type="dxa"/>
            <w:vAlign w:val="bottom"/>
          </w:tcPr>
          <w:p>
            <w:pPr>
              <w:jc w:val="right"/>
              <w:ind w:right="70"/>
              <w:spacing w:after="0"/>
              <w:rPr>
                <w:sz w:val="20"/>
                <w:szCs w:val="20"/>
                <w:color w:val="auto"/>
              </w:rPr>
            </w:pPr>
            <w:r>
              <w:rPr>
                <w:rFonts w:ascii="Calibri" w:cs="Calibri" w:eastAsia="Calibri" w:hAnsi="Calibri"/>
                <w:sz w:val="14"/>
                <w:szCs w:val="14"/>
                <w:color w:val="231F20"/>
              </w:rPr>
              <w:t>$</w:t>
            </w:r>
          </w:p>
        </w:tc>
        <w:tc>
          <w:tcPr>
            <w:tcW w:w="860" w:type="dxa"/>
            <w:vAlign w:val="bottom"/>
          </w:tcPr>
          <w:p>
            <w:pPr>
              <w:jc w:val="right"/>
              <w:ind w:right="90"/>
              <w:spacing w:after="0"/>
              <w:rPr>
                <w:sz w:val="20"/>
                <w:szCs w:val="20"/>
                <w:color w:val="auto"/>
              </w:rPr>
            </w:pPr>
            <w:r>
              <w:rPr>
                <w:rFonts w:ascii="Calibri" w:cs="Calibri" w:eastAsia="Calibri" w:hAnsi="Calibri"/>
                <w:sz w:val="14"/>
                <w:szCs w:val="14"/>
                <w:color w:val="231F20"/>
              </w:rPr>
              <w:t>9,240,530</w:t>
            </w:r>
          </w:p>
        </w:tc>
      </w:tr>
      <w:tr>
        <w:trPr>
          <w:trHeight w:val="284"/>
        </w:trPr>
        <w:tc>
          <w:tcPr>
            <w:tcW w:w="2580" w:type="dxa"/>
            <w:vAlign w:val="bottom"/>
            <w:tcBorders>
              <w:bottom w:val="single" w:sz="8" w:color="DCDDDE"/>
            </w:tcBorders>
            <w:gridSpan w:val="2"/>
            <w:shd w:val="clear" w:color="auto" w:fill="DCDDDE"/>
          </w:tcPr>
          <w:p>
            <w:pPr>
              <w:ind w:left="120"/>
              <w:spacing w:after="0"/>
              <w:rPr>
                <w:sz w:val="20"/>
                <w:szCs w:val="20"/>
                <w:color w:val="auto"/>
              </w:rPr>
            </w:pPr>
            <w:r>
              <w:rPr>
                <w:rFonts w:ascii="Calibri" w:cs="Calibri" w:eastAsia="Calibri" w:hAnsi="Calibri"/>
                <w:sz w:val="14"/>
                <w:szCs w:val="14"/>
                <w:b w:val="1"/>
                <w:bCs w:val="1"/>
                <w:color w:val="231F20"/>
              </w:rPr>
              <w:t>President</w:t>
            </w:r>
          </w:p>
        </w:tc>
        <w:tc>
          <w:tcPr>
            <w:tcW w:w="580" w:type="dxa"/>
            <w:vAlign w:val="bottom"/>
          </w:tcPr>
          <w:p>
            <w:pPr>
              <w:ind w:left="200"/>
              <w:spacing w:after="0"/>
              <w:rPr>
                <w:sz w:val="20"/>
                <w:szCs w:val="20"/>
                <w:color w:val="auto"/>
              </w:rPr>
            </w:pPr>
            <w:r>
              <w:rPr>
                <w:rFonts w:ascii="Calibri" w:cs="Calibri" w:eastAsia="Calibri" w:hAnsi="Calibri"/>
                <w:sz w:val="14"/>
                <w:szCs w:val="14"/>
                <w:color w:val="231F20"/>
              </w:rPr>
              <w:t>2023</w:t>
            </w:r>
          </w:p>
        </w:tc>
        <w:tc>
          <w:tcPr>
            <w:tcW w:w="240" w:type="dxa"/>
            <w:vAlign w:val="bottom"/>
          </w:tcPr>
          <w:p>
            <w:pPr>
              <w:jc w:val="right"/>
              <w:ind w:right="10"/>
              <w:spacing w:after="0"/>
              <w:rPr>
                <w:sz w:val="20"/>
                <w:szCs w:val="20"/>
                <w:color w:val="auto"/>
              </w:rPr>
            </w:pPr>
            <w:r>
              <w:rPr>
                <w:rFonts w:ascii="Calibri" w:cs="Calibri" w:eastAsia="Calibri" w:hAnsi="Calibri"/>
                <w:sz w:val="14"/>
                <w:szCs w:val="14"/>
                <w:color w:val="231F20"/>
              </w:rPr>
              <w:t>$</w:t>
            </w:r>
          </w:p>
        </w:tc>
        <w:tc>
          <w:tcPr>
            <w:tcW w:w="880" w:type="dxa"/>
            <w:vAlign w:val="bottom"/>
          </w:tcPr>
          <w:p>
            <w:pPr>
              <w:jc w:val="right"/>
              <w:ind w:right="30"/>
              <w:spacing w:after="0"/>
              <w:rPr>
                <w:sz w:val="20"/>
                <w:szCs w:val="20"/>
                <w:color w:val="auto"/>
              </w:rPr>
            </w:pPr>
            <w:r>
              <w:rPr>
                <w:rFonts w:ascii="Calibri" w:cs="Calibri" w:eastAsia="Calibri" w:hAnsi="Calibri"/>
                <w:sz w:val="14"/>
                <w:szCs w:val="14"/>
                <w:color w:val="231F20"/>
              </w:rPr>
              <w:t>1,000,000</w:t>
            </w:r>
          </w:p>
        </w:tc>
        <w:tc>
          <w:tcPr>
            <w:tcW w:w="300" w:type="dxa"/>
            <w:vAlign w:val="bottom"/>
          </w:tcPr>
          <w:p>
            <w:pPr>
              <w:jc w:val="right"/>
              <w:ind w:right="70"/>
              <w:spacing w:after="0"/>
              <w:rPr>
                <w:sz w:val="20"/>
                <w:szCs w:val="20"/>
                <w:color w:val="auto"/>
              </w:rPr>
            </w:pPr>
            <w:r>
              <w:rPr>
                <w:rFonts w:ascii="Calibri" w:cs="Calibri" w:eastAsia="Calibri" w:hAnsi="Calibri"/>
                <w:sz w:val="14"/>
                <w:szCs w:val="14"/>
                <w:color w:val="231F20"/>
              </w:rPr>
              <w:t>$</w:t>
            </w:r>
          </w:p>
        </w:tc>
        <w:tc>
          <w:tcPr>
            <w:tcW w:w="700" w:type="dxa"/>
            <w:vAlign w:val="bottom"/>
          </w:tcPr>
          <w:p>
            <w:pPr>
              <w:jc w:val="right"/>
              <w:ind w:right="30"/>
              <w:spacing w:after="0"/>
              <w:rPr>
                <w:sz w:val="20"/>
                <w:szCs w:val="20"/>
                <w:color w:val="auto"/>
              </w:rPr>
            </w:pPr>
            <w:r>
              <w:rPr>
                <w:rFonts w:ascii="Calibri" w:cs="Calibri" w:eastAsia="Calibri" w:hAnsi="Calibri"/>
                <w:sz w:val="14"/>
                <w:szCs w:val="14"/>
                <w:color w:val="231F20"/>
              </w:rPr>
              <w:t>-</w:t>
            </w:r>
          </w:p>
        </w:tc>
        <w:tc>
          <w:tcPr>
            <w:tcW w:w="320" w:type="dxa"/>
            <w:vAlign w:val="bottom"/>
          </w:tcPr>
          <w:p>
            <w:pPr>
              <w:ind w:left="100"/>
              <w:spacing w:after="0"/>
              <w:rPr>
                <w:sz w:val="20"/>
                <w:szCs w:val="20"/>
                <w:color w:val="auto"/>
              </w:rPr>
            </w:pPr>
            <w:r>
              <w:rPr>
                <w:rFonts w:ascii="Calibri" w:cs="Calibri" w:eastAsia="Calibri" w:hAnsi="Calibri"/>
                <w:sz w:val="14"/>
                <w:szCs w:val="14"/>
                <w:color w:val="231F20"/>
              </w:rPr>
              <w:t>$</w:t>
            </w:r>
          </w:p>
        </w:tc>
        <w:tc>
          <w:tcPr>
            <w:tcW w:w="800" w:type="dxa"/>
            <w:vAlign w:val="bottom"/>
          </w:tcPr>
          <w:p>
            <w:pPr>
              <w:jc w:val="right"/>
              <w:ind w:right="30"/>
              <w:spacing w:after="0"/>
              <w:rPr>
                <w:sz w:val="20"/>
                <w:szCs w:val="20"/>
                <w:color w:val="auto"/>
              </w:rPr>
            </w:pPr>
            <w:r>
              <w:rPr>
                <w:rFonts w:ascii="Calibri" w:cs="Calibri" w:eastAsia="Calibri" w:hAnsi="Calibri"/>
                <w:sz w:val="14"/>
                <w:szCs w:val="14"/>
                <w:color w:val="231F20"/>
              </w:rPr>
              <w:t>6,502,565</w:t>
            </w:r>
          </w:p>
        </w:tc>
        <w:tc>
          <w:tcPr>
            <w:tcW w:w="360" w:type="dxa"/>
            <w:vAlign w:val="bottom"/>
          </w:tcPr>
          <w:p>
            <w:pPr>
              <w:jc w:val="right"/>
              <w:spacing w:after="0"/>
              <w:rPr>
                <w:sz w:val="20"/>
                <w:szCs w:val="20"/>
                <w:color w:val="auto"/>
              </w:rPr>
            </w:pPr>
            <w:r>
              <w:rPr>
                <w:rFonts w:ascii="Calibri" w:cs="Calibri" w:eastAsia="Calibri" w:hAnsi="Calibri"/>
                <w:sz w:val="14"/>
                <w:szCs w:val="14"/>
                <w:color w:val="231F20"/>
              </w:rPr>
              <w:t>$</w:t>
            </w:r>
          </w:p>
        </w:tc>
        <w:tc>
          <w:tcPr>
            <w:tcW w:w="1080" w:type="dxa"/>
            <w:vAlign w:val="bottom"/>
          </w:tcPr>
          <w:p>
            <w:pPr>
              <w:jc w:val="right"/>
              <w:ind w:right="190"/>
              <w:spacing w:after="0"/>
              <w:rPr>
                <w:sz w:val="20"/>
                <w:szCs w:val="20"/>
                <w:color w:val="auto"/>
              </w:rPr>
            </w:pPr>
            <w:r>
              <w:rPr>
                <w:rFonts w:ascii="Calibri" w:cs="Calibri" w:eastAsia="Calibri" w:hAnsi="Calibri"/>
                <w:sz w:val="14"/>
                <w:szCs w:val="14"/>
                <w:color w:val="231F20"/>
              </w:rPr>
              <w:t>1,406,250</w:t>
            </w:r>
          </w:p>
        </w:tc>
        <w:tc>
          <w:tcPr>
            <w:tcW w:w="380" w:type="dxa"/>
            <w:vAlign w:val="bottom"/>
          </w:tcPr>
          <w:p>
            <w:pPr>
              <w:jc w:val="right"/>
              <w:ind w:right="50"/>
              <w:spacing w:after="0"/>
              <w:rPr>
                <w:sz w:val="20"/>
                <w:szCs w:val="20"/>
                <w:color w:val="auto"/>
              </w:rPr>
            </w:pPr>
            <w:r>
              <w:rPr>
                <w:rFonts w:ascii="Calibri" w:cs="Calibri" w:eastAsia="Calibri" w:hAnsi="Calibri"/>
                <w:sz w:val="14"/>
                <w:szCs w:val="14"/>
                <w:color w:val="231F20"/>
              </w:rPr>
              <w:t>$</w:t>
            </w:r>
          </w:p>
        </w:tc>
        <w:tc>
          <w:tcPr>
            <w:tcW w:w="720" w:type="dxa"/>
            <w:vAlign w:val="bottom"/>
          </w:tcPr>
          <w:p>
            <w:pPr>
              <w:jc w:val="right"/>
              <w:ind w:right="90"/>
              <w:spacing w:after="0"/>
              <w:rPr>
                <w:sz w:val="20"/>
                <w:szCs w:val="20"/>
                <w:color w:val="auto"/>
              </w:rPr>
            </w:pPr>
            <w:r>
              <w:rPr>
                <w:rFonts w:ascii="Calibri" w:cs="Calibri" w:eastAsia="Calibri" w:hAnsi="Calibri"/>
                <w:sz w:val="14"/>
                <w:szCs w:val="14"/>
                <w:color w:val="231F20"/>
              </w:rPr>
              <w:t>33,005</w:t>
            </w:r>
          </w:p>
        </w:tc>
        <w:tc>
          <w:tcPr>
            <w:tcW w:w="280" w:type="dxa"/>
            <w:vAlign w:val="bottom"/>
          </w:tcPr>
          <w:p>
            <w:pPr>
              <w:jc w:val="right"/>
              <w:ind w:right="70"/>
              <w:spacing w:after="0"/>
              <w:rPr>
                <w:sz w:val="20"/>
                <w:szCs w:val="20"/>
                <w:color w:val="auto"/>
              </w:rPr>
            </w:pPr>
            <w:r>
              <w:rPr>
                <w:rFonts w:ascii="Calibri" w:cs="Calibri" w:eastAsia="Calibri" w:hAnsi="Calibri"/>
                <w:sz w:val="14"/>
                <w:szCs w:val="14"/>
                <w:color w:val="231F20"/>
              </w:rPr>
              <w:t>$</w:t>
            </w:r>
          </w:p>
        </w:tc>
        <w:tc>
          <w:tcPr>
            <w:tcW w:w="860" w:type="dxa"/>
            <w:vAlign w:val="bottom"/>
          </w:tcPr>
          <w:p>
            <w:pPr>
              <w:jc w:val="right"/>
              <w:ind w:right="90"/>
              <w:spacing w:after="0"/>
              <w:rPr>
                <w:sz w:val="20"/>
                <w:szCs w:val="20"/>
                <w:color w:val="auto"/>
              </w:rPr>
            </w:pPr>
            <w:r>
              <w:rPr>
                <w:rFonts w:ascii="Calibri" w:cs="Calibri" w:eastAsia="Calibri" w:hAnsi="Calibri"/>
                <w:sz w:val="14"/>
                <w:szCs w:val="14"/>
                <w:color w:val="231F20"/>
              </w:rPr>
              <w:t>8,941,820</w:t>
            </w:r>
          </w:p>
        </w:tc>
      </w:tr>
      <w:tr>
        <w:trPr>
          <w:trHeight w:val="276"/>
        </w:trPr>
        <w:tc>
          <w:tcPr>
            <w:tcW w:w="2580" w:type="dxa"/>
            <w:vAlign w:val="bottom"/>
            <w:tcBorders>
              <w:top w:val="single" w:sz="8" w:color="231F20"/>
            </w:tcBorders>
            <w:gridSpan w:val="2"/>
            <w:shd w:val="clear" w:color="auto" w:fill="DCDDDE"/>
          </w:tcPr>
          <w:p>
            <w:pPr>
              <w:ind w:left="120"/>
              <w:spacing w:after="0"/>
              <w:rPr>
                <w:sz w:val="20"/>
                <w:szCs w:val="20"/>
                <w:color w:val="auto"/>
              </w:rPr>
            </w:pPr>
            <w:r>
              <w:rPr>
                <w:rFonts w:ascii="Calibri" w:cs="Calibri" w:eastAsia="Calibri" w:hAnsi="Calibri"/>
                <w:sz w:val="14"/>
                <w:szCs w:val="14"/>
                <w:b w:val="1"/>
                <w:bCs w:val="1"/>
                <w:color w:val="231F20"/>
              </w:rPr>
              <w:t>Daniel Guglielmone (PFO)</w:t>
            </w:r>
          </w:p>
        </w:tc>
        <w:tc>
          <w:tcPr>
            <w:tcW w:w="580" w:type="dxa"/>
            <w:vAlign w:val="bottom"/>
            <w:tcBorders>
              <w:top w:val="single" w:sz="8" w:color="231F20"/>
            </w:tcBorders>
          </w:tcPr>
          <w:p>
            <w:pPr>
              <w:ind w:left="200"/>
              <w:spacing w:after="0"/>
              <w:rPr>
                <w:sz w:val="20"/>
                <w:szCs w:val="20"/>
                <w:color w:val="auto"/>
              </w:rPr>
            </w:pPr>
            <w:r>
              <w:rPr>
                <w:rFonts w:ascii="Calibri" w:cs="Calibri" w:eastAsia="Calibri" w:hAnsi="Calibri"/>
                <w:sz w:val="14"/>
                <w:szCs w:val="14"/>
                <w:color w:val="231F20"/>
              </w:rPr>
              <w:t>2025</w:t>
            </w:r>
          </w:p>
        </w:tc>
        <w:tc>
          <w:tcPr>
            <w:tcW w:w="240" w:type="dxa"/>
            <w:vAlign w:val="bottom"/>
            <w:tcBorders>
              <w:top w:val="single" w:sz="8" w:color="231F20"/>
            </w:tcBorders>
          </w:tcPr>
          <w:p>
            <w:pPr>
              <w:jc w:val="right"/>
              <w:ind w:right="10"/>
              <w:spacing w:after="0"/>
              <w:rPr>
                <w:sz w:val="20"/>
                <w:szCs w:val="20"/>
                <w:color w:val="auto"/>
              </w:rPr>
            </w:pPr>
            <w:r>
              <w:rPr>
                <w:rFonts w:ascii="Calibri" w:cs="Calibri" w:eastAsia="Calibri" w:hAnsi="Calibri"/>
                <w:sz w:val="14"/>
                <w:szCs w:val="14"/>
                <w:color w:val="231F20"/>
              </w:rPr>
              <w:t>$</w:t>
            </w:r>
          </w:p>
        </w:tc>
        <w:tc>
          <w:tcPr>
            <w:tcW w:w="880" w:type="dxa"/>
            <w:vAlign w:val="bottom"/>
            <w:tcBorders>
              <w:top w:val="single" w:sz="8" w:color="231F20"/>
            </w:tcBorders>
          </w:tcPr>
          <w:p>
            <w:pPr>
              <w:jc w:val="right"/>
              <w:ind w:right="30"/>
              <w:spacing w:after="0"/>
              <w:rPr>
                <w:sz w:val="20"/>
                <w:szCs w:val="20"/>
                <w:color w:val="auto"/>
              </w:rPr>
            </w:pPr>
            <w:r>
              <w:rPr>
                <w:rFonts w:ascii="Calibri" w:cs="Calibri" w:eastAsia="Calibri" w:hAnsi="Calibri"/>
                <w:sz w:val="14"/>
                <w:szCs w:val="14"/>
                <w:color w:val="231F20"/>
              </w:rPr>
              <w:t>650,000</w:t>
            </w:r>
          </w:p>
        </w:tc>
        <w:tc>
          <w:tcPr>
            <w:tcW w:w="300" w:type="dxa"/>
            <w:vAlign w:val="bottom"/>
            <w:tcBorders>
              <w:top w:val="single" w:sz="8" w:color="231F20"/>
            </w:tcBorders>
          </w:tcPr>
          <w:p>
            <w:pPr>
              <w:jc w:val="right"/>
              <w:ind w:right="70"/>
              <w:spacing w:after="0"/>
              <w:rPr>
                <w:sz w:val="20"/>
                <w:szCs w:val="20"/>
                <w:color w:val="auto"/>
              </w:rPr>
            </w:pPr>
            <w:r>
              <w:rPr>
                <w:rFonts w:ascii="Calibri" w:cs="Calibri" w:eastAsia="Calibri" w:hAnsi="Calibri"/>
                <w:sz w:val="14"/>
                <w:szCs w:val="14"/>
                <w:color w:val="231F20"/>
              </w:rPr>
              <w:t>$</w:t>
            </w:r>
          </w:p>
        </w:tc>
        <w:tc>
          <w:tcPr>
            <w:tcW w:w="700" w:type="dxa"/>
            <w:vAlign w:val="bottom"/>
            <w:tcBorders>
              <w:top w:val="single" w:sz="8" w:color="231F20"/>
            </w:tcBorders>
          </w:tcPr>
          <w:p>
            <w:pPr>
              <w:jc w:val="right"/>
              <w:ind w:right="30"/>
              <w:spacing w:after="0"/>
              <w:rPr>
                <w:sz w:val="20"/>
                <w:szCs w:val="20"/>
                <w:color w:val="auto"/>
              </w:rPr>
            </w:pPr>
            <w:r>
              <w:rPr>
                <w:rFonts w:ascii="Calibri" w:cs="Calibri" w:eastAsia="Calibri" w:hAnsi="Calibri"/>
                <w:sz w:val="14"/>
                <w:szCs w:val="14"/>
                <w:color w:val="231F20"/>
              </w:rPr>
              <w:t>-</w:t>
            </w:r>
          </w:p>
        </w:tc>
        <w:tc>
          <w:tcPr>
            <w:tcW w:w="320" w:type="dxa"/>
            <w:vAlign w:val="bottom"/>
            <w:tcBorders>
              <w:top w:val="single" w:sz="8" w:color="231F20"/>
            </w:tcBorders>
          </w:tcPr>
          <w:p>
            <w:pPr>
              <w:ind w:left="100"/>
              <w:spacing w:after="0"/>
              <w:rPr>
                <w:sz w:val="20"/>
                <w:szCs w:val="20"/>
                <w:color w:val="auto"/>
              </w:rPr>
            </w:pPr>
            <w:r>
              <w:rPr>
                <w:rFonts w:ascii="Calibri" w:cs="Calibri" w:eastAsia="Calibri" w:hAnsi="Calibri"/>
                <w:sz w:val="14"/>
                <w:szCs w:val="14"/>
                <w:color w:val="231F20"/>
              </w:rPr>
              <w:t>$</w:t>
            </w:r>
          </w:p>
        </w:tc>
        <w:tc>
          <w:tcPr>
            <w:tcW w:w="800" w:type="dxa"/>
            <w:vAlign w:val="bottom"/>
            <w:tcBorders>
              <w:top w:val="single" w:sz="8" w:color="231F20"/>
            </w:tcBorders>
          </w:tcPr>
          <w:p>
            <w:pPr>
              <w:jc w:val="right"/>
              <w:ind w:right="30"/>
              <w:spacing w:after="0"/>
              <w:rPr>
                <w:sz w:val="20"/>
                <w:szCs w:val="20"/>
                <w:color w:val="auto"/>
              </w:rPr>
            </w:pPr>
            <w:r>
              <w:rPr>
                <w:rFonts w:ascii="Calibri" w:cs="Calibri" w:eastAsia="Calibri" w:hAnsi="Calibri"/>
                <w:sz w:val="14"/>
                <w:szCs w:val="14"/>
                <w:color w:val="231F20"/>
              </w:rPr>
              <w:t>1,762,056</w:t>
            </w:r>
          </w:p>
        </w:tc>
        <w:tc>
          <w:tcPr>
            <w:tcW w:w="360" w:type="dxa"/>
            <w:vAlign w:val="bottom"/>
            <w:tcBorders>
              <w:top w:val="single" w:sz="8" w:color="231F20"/>
            </w:tcBorders>
          </w:tcPr>
          <w:p>
            <w:pPr>
              <w:jc w:val="right"/>
              <w:spacing w:after="0"/>
              <w:rPr>
                <w:sz w:val="20"/>
                <w:szCs w:val="20"/>
                <w:color w:val="auto"/>
              </w:rPr>
            </w:pPr>
            <w:r>
              <w:rPr>
                <w:rFonts w:ascii="Calibri" w:cs="Calibri" w:eastAsia="Calibri" w:hAnsi="Calibri"/>
                <w:sz w:val="14"/>
                <w:szCs w:val="14"/>
                <w:color w:val="231F20"/>
              </w:rPr>
              <w:t>$</w:t>
            </w:r>
          </w:p>
        </w:tc>
        <w:tc>
          <w:tcPr>
            <w:tcW w:w="1080" w:type="dxa"/>
            <w:vAlign w:val="bottom"/>
            <w:tcBorders>
              <w:top w:val="single" w:sz="8" w:color="231F20"/>
            </w:tcBorders>
          </w:tcPr>
          <w:p>
            <w:pPr>
              <w:jc w:val="right"/>
              <w:ind w:right="190"/>
              <w:spacing w:after="0"/>
              <w:rPr>
                <w:sz w:val="20"/>
                <w:szCs w:val="20"/>
                <w:color w:val="auto"/>
              </w:rPr>
            </w:pPr>
            <w:r>
              <w:rPr>
                <w:rFonts w:ascii="Calibri" w:cs="Calibri" w:eastAsia="Calibri" w:hAnsi="Calibri"/>
                <w:sz w:val="14"/>
                <w:szCs w:val="14"/>
                <w:color w:val="231F20"/>
              </w:rPr>
              <w:t>877,500</w:t>
            </w:r>
          </w:p>
        </w:tc>
        <w:tc>
          <w:tcPr>
            <w:tcW w:w="380" w:type="dxa"/>
            <w:vAlign w:val="bottom"/>
            <w:tcBorders>
              <w:top w:val="single" w:sz="8" w:color="231F20"/>
            </w:tcBorders>
          </w:tcPr>
          <w:p>
            <w:pPr>
              <w:jc w:val="right"/>
              <w:ind w:right="50"/>
              <w:spacing w:after="0"/>
              <w:rPr>
                <w:sz w:val="20"/>
                <w:szCs w:val="20"/>
                <w:color w:val="auto"/>
              </w:rPr>
            </w:pPr>
            <w:r>
              <w:rPr>
                <w:rFonts w:ascii="Calibri" w:cs="Calibri" w:eastAsia="Calibri" w:hAnsi="Calibri"/>
                <w:sz w:val="14"/>
                <w:szCs w:val="14"/>
                <w:color w:val="231F20"/>
              </w:rPr>
              <w:t>$</w:t>
            </w:r>
          </w:p>
        </w:tc>
        <w:tc>
          <w:tcPr>
            <w:tcW w:w="720" w:type="dxa"/>
            <w:vAlign w:val="bottom"/>
            <w:tcBorders>
              <w:top w:val="single" w:sz="8" w:color="231F20"/>
            </w:tcBorders>
          </w:tcPr>
          <w:p>
            <w:pPr>
              <w:jc w:val="right"/>
              <w:ind w:right="90"/>
              <w:spacing w:after="0"/>
              <w:rPr>
                <w:sz w:val="20"/>
                <w:szCs w:val="20"/>
                <w:color w:val="auto"/>
              </w:rPr>
            </w:pPr>
            <w:r>
              <w:rPr>
                <w:rFonts w:ascii="Calibri" w:cs="Calibri" w:eastAsia="Calibri" w:hAnsi="Calibri"/>
                <w:sz w:val="14"/>
                <w:szCs w:val="14"/>
                <w:color w:val="231F20"/>
              </w:rPr>
              <w:t>13,118</w:t>
            </w:r>
          </w:p>
        </w:tc>
        <w:tc>
          <w:tcPr>
            <w:tcW w:w="280" w:type="dxa"/>
            <w:vAlign w:val="bottom"/>
            <w:tcBorders>
              <w:top w:val="single" w:sz="8" w:color="231F20"/>
            </w:tcBorders>
          </w:tcPr>
          <w:p>
            <w:pPr>
              <w:jc w:val="right"/>
              <w:ind w:right="70"/>
              <w:spacing w:after="0"/>
              <w:rPr>
                <w:sz w:val="20"/>
                <w:szCs w:val="20"/>
                <w:color w:val="auto"/>
              </w:rPr>
            </w:pPr>
            <w:r>
              <w:rPr>
                <w:rFonts w:ascii="Calibri" w:cs="Calibri" w:eastAsia="Calibri" w:hAnsi="Calibri"/>
                <w:sz w:val="14"/>
                <w:szCs w:val="14"/>
                <w:color w:val="231F20"/>
              </w:rPr>
              <w:t>$</w:t>
            </w:r>
          </w:p>
        </w:tc>
        <w:tc>
          <w:tcPr>
            <w:tcW w:w="860" w:type="dxa"/>
            <w:vAlign w:val="bottom"/>
            <w:tcBorders>
              <w:top w:val="single" w:sz="8" w:color="231F20"/>
            </w:tcBorders>
          </w:tcPr>
          <w:p>
            <w:pPr>
              <w:jc w:val="right"/>
              <w:ind w:right="90"/>
              <w:spacing w:after="0"/>
              <w:rPr>
                <w:sz w:val="20"/>
                <w:szCs w:val="20"/>
                <w:color w:val="auto"/>
              </w:rPr>
            </w:pPr>
            <w:r>
              <w:rPr>
                <w:rFonts w:ascii="Calibri" w:cs="Calibri" w:eastAsia="Calibri" w:hAnsi="Calibri"/>
                <w:sz w:val="14"/>
                <w:szCs w:val="14"/>
                <w:color w:val="231F20"/>
              </w:rPr>
              <w:t>3,302,674</w:t>
            </w:r>
          </w:p>
        </w:tc>
      </w:tr>
      <w:tr>
        <w:trPr>
          <w:trHeight w:val="260"/>
        </w:trPr>
        <w:tc>
          <w:tcPr>
            <w:tcW w:w="2580" w:type="dxa"/>
            <w:vAlign w:val="bottom"/>
            <w:gridSpan w:val="2"/>
            <w:shd w:val="clear" w:color="auto" w:fill="DCDDDE"/>
          </w:tcPr>
          <w:p>
            <w:pPr>
              <w:ind w:left="120"/>
              <w:spacing w:after="0"/>
              <w:rPr>
                <w:sz w:val="20"/>
                <w:szCs w:val="20"/>
                <w:color w:val="auto"/>
              </w:rPr>
            </w:pPr>
            <w:r>
              <w:rPr>
                <w:rFonts w:ascii="Calibri" w:cs="Calibri" w:eastAsia="Calibri" w:hAnsi="Calibri"/>
                <w:sz w:val="14"/>
                <w:szCs w:val="14"/>
                <w:b w:val="1"/>
                <w:bCs w:val="1"/>
                <w:color w:val="231F20"/>
              </w:rPr>
              <w:t>Executive Vice President-</w:t>
            </w:r>
          </w:p>
        </w:tc>
        <w:tc>
          <w:tcPr>
            <w:tcW w:w="580" w:type="dxa"/>
            <w:vAlign w:val="bottom"/>
          </w:tcPr>
          <w:p>
            <w:pPr>
              <w:ind w:left="200"/>
              <w:spacing w:after="0"/>
              <w:rPr>
                <w:sz w:val="20"/>
                <w:szCs w:val="20"/>
                <w:color w:val="auto"/>
              </w:rPr>
            </w:pPr>
            <w:r>
              <w:rPr>
                <w:rFonts w:ascii="Calibri" w:cs="Calibri" w:eastAsia="Calibri" w:hAnsi="Calibri"/>
                <w:sz w:val="14"/>
                <w:szCs w:val="14"/>
                <w:color w:val="231F20"/>
              </w:rPr>
              <w:t>2024</w:t>
            </w:r>
          </w:p>
        </w:tc>
        <w:tc>
          <w:tcPr>
            <w:tcW w:w="240" w:type="dxa"/>
            <w:vAlign w:val="bottom"/>
          </w:tcPr>
          <w:p>
            <w:pPr>
              <w:jc w:val="right"/>
              <w:ind w:right="10"/>
              <w:spacing w:after="0"/>
              <w:rPr>
                <w:sz w:val="20"/>
                <w:szCs w:val="20"/>
                <w:color w:val="auto"/>
              </w:rPr>
            </w:pPr>
            <w:r>
              <w:rPr>
                <w:rFonts w:ascii="Calibri" w:cs="Calibri" w:eastAsia="Calibri" w:hAnsi="Calibri"/>
                <w:sz w:val="14"/>
                <w:szCs w:val="14"/>
                <w:color w:val="231F20"/>
              </w:rPr>
              <w:t>$</w:t>
            </w:r>
          </w:p>
        </w:tc>
        <w:tc>
          <w:tcPr>
            <w:tcW w:w="880" w:type="dxa"/>
            <w:vAlign w:val="bottom"/>
          </w:tcPr>
          <w:p>
            <w:pPr>
              <w:jc w:val="right"/>
              <w:ind w:right="30"/>
              <w:spacing w:after="0"/>
              <w:rPr>
                <w:sz w:val="20"/>
                <w:szCs w:val="20"/>
                <w:color w:val="auto"/>
              </w:rPr>
            </w:pPr>
            <w:r>
              <w:rPr>
                <w:rFonts w:ascii="Calibri" w:cs="Calibri" w:eastAsia="Calibri" w:hAnsi="Calibri"/>
                <w:sz w:val="14"/>
                <w:szCs w:val="14"/>
                <w:color w:val="231F20"/>
              </w:rPr>
              <w:t>575,000</w:t>
            </w:r>
          </w:p>
        </w:tc>
        <w:tc>
          <w:tcPr>
            <w:tcW w:w="300" w:type="dxa"/>
            <w:vAlign w:val="bottom"/>
          </w:tcPr>
          <w:p>
            <w:pPr>
              <w:jc w:val="right"/>
              <w:ind w:right="70"/>
              <w:spacing w:after="0"/>
              <w:rPr>
                <w:sz w:val="20"/>
                <w:szCs w:val="20"/>
                <w:color w:val="auto"/>
              </w:rPr>
            </w:pPr>
            <w:r>
              <w:rPr>
                <w:rFonts w:ascii="Calibri" w:cs="Calibri" w:eastAsia="Calibri" w:hAnsi="Calibri"/>
                <w:sz w:val="14"/>
                <w:szCs w:val="14"/>
                <w:color w:val="231F20"/>
              </w:rPr>
              <w:t>$</w:t>
            </w:r>
          </w:p>
        </w:tc>
        <w:tc>
          <w:tcPr>
            <w:tcW w:w="700" w:type="dxa"/>
            <w:vAlign w:val="bottom"/>
          </w:tcPr>
          <w:p>
            <w:pPr>
              <w:jc w:val="right"/>
              <w:ind w:right="30"/>
              <w:spacing w:after="0"/>
              <w:rPr>
                <w:sz w:val="20"/>
                <w:szCs w:val="20"/>
                <w:color w:val="auto"/>
              </w:rPr>
            </w:pPr>
            <w:r>
              <w:rPr>
                <w:rFonts w:ascii="Calibri" w:cs="Calibri" w:eastAsia="Calibri" w:hAnsi="Calibri"/>
                <w:sz w:val="14"/>
                <w:szCs w:val="14"/>
                <w:color w:val="231F20"/>
              </w:rPr>
              <w:t>-</w:t>
            </w:r>
          </w:p>
        </w:tc>
        <w:tc>
          <w:tcPr>
            <w:tcW w:w="320" w:type="dxa"/>
            <w:vAlign w:val="bottom"/>
          </w:tcPr>
          <w:p>
            <w:pPr>
              <w:ind w:left="100"/>
              <w:spacing w:after="0"/>
              <w:rPr>
                <w:sz w:val="20"/>
                <w:szCs w:val="20"/>
                <w:color w:val="auto"/>
              </w:rPr>
            </w:pPr>
            <w:r>
              <w:rPr>
                <w:rFonts w:ascii="Calibri" w:cs="Calibri" w:eastAsia="Calibri" w:hAnsi="Calibri"/>
                <w:sz w:val="14"/>
                <w:szCs w:val="14"/>
                <w:color w:val="231F20"/>
              </w:rPr>
              <w:t>$</w:t>
            </w:r>
          </w:p>
        </w:tc>
        <w:tc>
          <w:tcPr>
            <w:tcW w:w="800" w:type="dxa"/>
            <w:vAlign w:val="bottom"/>
          </w:tcPr>
          <w:p>
            <w:pPr>
              <w:jc w:val="right"/>
              <w:ind w:right="30"/>
              <w:spacing w:after="0"/>
              <w:rPr>
                <w:sz w:val="20"/>
                <w:szCs w:val="20"/>
                <w:color w:val="auto"/>
              </w:rPr>
            </w:pPr>
            <w:r>
              <w:rPr>
                <w:rFonts w:ascii="Calibri" w:cs="Calibri" w:eastAsia="Calibri" w:hAnsi="Calibri"/>
                <w:sz w:val="14"/>
                <w:szCs w:val="14"/>
                <w:color w:val="231F20"/>
              </w:rPr>
              <w:t>1,063,974</w:t>
            </w:r>
          </w:p>
        </w:tc>
        <w:tc>
          <w:tcPr>
            <w:tcW w:w="360" w:type="dxa"/>
            <w:vAlign w:val="bottom"/>
          </w:tcPr>
          <w:p>
            <w:pPr>
              <w:jc w:val="right"/>
              <w:spacing w:after="0"/>
              <w:rPr>
                <w:sz w:val="20"/>
                <w:szCs w:val="20"/>
                <w:color w:val="auto"/>
              </w:rPr>
            </w:pPr>
            <w:r>
              <w:rPr>
                <w:rFonts w:ascii="Calibri" w:cs="Calibri" w:eastAsia="Calibri" w:hAnsi="Calibri"/>
                <w:sz w:val="14"/>
                <w:szCs w:val="14"/>
                <w:color w:val="231F20"/>
              </w:rPr>
              <w:t>$</w:t>
            </w:r>
          </w:p>
        </w:tc>
        <w:tc>
          <w:tcPr>
            <w:tcW w:w="1080" w:type="dxa"/>
            <w:vAlign w:val="bottom"/>
          </w:tcPr>
          <w:p>
            <w:pPr>
              <w:jc w:val="right"/>
              <w:ind w:right="190"/>
              <w:spacing w:after="0"/>
              <w:rPr>
                <w:sz w:val="20"/>
                <w:szCs w:val="20"/>
                <w:color w:val="auto"/>
              </w:rPr>
            </w:pPr>
            <w:r>
              <w:rPr>
                <w:rFonts w:ascii="Calibri" w:cs="Calibri" w:eastAsia="Calibri" w:hAnsi="Calibri"/>
                <w:sz w:val="14"/>
                <w:szCs w:val="14"/>
                <w:color w:val="231F20"/>
              </w:rPr>
              <w:t>646,875</w:t>
            </w:r>
          </w:p>
        </w:tc>
        <w:tc>
          <w:tcPr>
            <w:tcW w:w="380" w:type="dxa"/>
            <w:vAlign w:val="bottom"/>
          </w:tcPr>
          <w:p>
            <w:pPr>
              <w:jc w:val="right"/>
              <w:ind w:right="50"/>
              <w:spacing w:after="0"/>
              <w:rPr>
                <w:sz w:val="20"/>
                <w:szCs w:val="20"/>
                <w:color w:val="auto"/>
              </w:rPr>
            </w:pPr>
            <w:r>
              <w:rPr>
                <w:rFonts w:ascii="Calibri" w:cs="Calibri" w:eastAsia="Calibri" w:hAnsi="Calibri"/>
                <w:sz w:val="14"/>
                <w:szCs w:val="14"/>
                <w:color w:val="231F20"/>
              </w:rPr>
              <w:t>$</w:t>
            </w:r>
          </w:p>
        </w:tc>
        <w:tc>
          <w:tcPr>
            <w:tcW w:w="720" w:type="dxa"/>
            <w:vAlign w:val="bottom"/>
          </w:tcPr>
          <w:p>
            <w:pPr>
              <w:jc w:val="right"/>
              <w:ind w:right="90"/>
              <w:spacing w:after="0"/>
              <w:rPr>
                <w:sz w:val="20"/>
                <w:szCs w:val="20"/>
                <w:color w:val="auto"/>
              </w:rPr>
            </w:pPr>
            <w:r>
              <w:rPr>
                <w:rFonts w:ascii="Calibri" w:cs="Calibri" w:eastAsia="Calibri" w:hAnsi="Calibri"/>
                <w:sz w:val="14"/>
                <w:szCs w:val="14"/>
                <w:color w:val="231F20"/>
              </w:rPr>
              <w:t>13,340</w:t>
            </w:r>
          </w:p>
        </w:tc>
        <w:tc>
          <w:tcPr>
            <w:tcW w:w="280" w:type="dxa"/>
            <w:vAlign w:val="bottom"/>
          </w:tcPr>
          <w:p>
            <w:pPr>
              <w:jc w:val="right"/>
              <w:ind w:right="70"/>
              <w:spacing w:after="0"/>
              <w:rPr>
                <w:sz w:val="20"/>
                <w:szCs w:val="20"/>
                <w:color w:val="auto"/>
              </w:rPr>
            </w:pPr>
            <w:r>
              <w:rPr>
                <w:rFonts w:ascii="Calibri" w:cs="Calibri" w:eastAsia="Calibri" w:hAnsi="Calibri"/>
                <w:sz w:val="14"/>
                <w:szCs w:val="14"/>
                <w:color w:val="231F20"/>
              </w:rPr>
              <w:t>$</w:t>
            </w:r>
          </w:p>
        </w:tc>
        <w:tc>
          <w:tcPr>
            <w:tcW w:w="860" w:type="dxa"/>
            <w:vAlign w:val="bottom"/>
          </w:tcPr>
          <w:p>
            <w:pPr>
              <w:jc w:val="right"/>
              <w:ind w:right="90"/>
              <w:spacing w:after="0"/>
              <w:rPr>
                <w:sz w:val="20"/>
                <w:szCs w:val="20"/>
                <w:color w:val="auto"/>
              </w:rPr>
            </w:pPr>
            <w:r>
              <w:rPr>
                <w:rFonts w:ascii="Calibri" w:cs="Calibri" w:eastAsia="Calibri" w:hAnsi="Calibri"/>
                <w:sz w:val="14"/>
                <w:szCs w:val="14"/>
                <w:color w:val="231F20"/>
              </w:rPr>
              <w:t>2,299,188</w:t>
            </w:r>
          </w:p>
        </w:tc>
      </w:tr>
      <w:tr>
        <w:trPr>
          <w:trHeight w:val="284"/>
        </w:trPr>
        <w:tc>
          <w:tcPr>
            <w:tcW w:w="2580" w:type="dxa"/>
            <w:vAlign w:val="bottom"/>
            <w:tcBorders>
              <w:bottom w:val="single" w:sz="8" w:color="DCDDDE"/>
            </w:tcBorders>
            <w:gridSpan w:val="2"/>
            <w:shd w:val="clear" w:color="auto" w:fill="DCDDDE"/>
          </w:tcPr>
          <w:p>
            <w:pPr>
              <w:ind w:left="120"/>
              <w:spacing w:after="0"/>
              <w:rPr>
                <w:sz w:val="20"/>
                <w:szCs w:val="20"/>
                <w:color w:val="auto"/>
              </w:rPr>
            </w:pPr>
            <w:r>
              <w:rPr>
                <w:rFonts w:ascii="Calibri" w:cs="Calibri" w:eastAsia="Calibri" w:hAnsi="Calibri"/>
                <w:sz w:val="14"/>
                <w:szCs w:val="14"/>
                <w:b w:val="1"/>
                <w:bCs w:val="1"/>
                <w:color w:val="231F20"/>
              </w:rPr>
              <w:t>Chief Financial Officer &amp; Treasurer</w:t>
            </w:r>
          </w:p>
        </w:tc>
        <w:tc>
          <w:tcPr>
            <w:tcW w:w="580" w:type="dxa"/>
            <w:vAlign w:val="bottom"/>
          </w:tcPr>
          <w:p>
            <w:pPr>
              <w:ind w:left="200"/>
              <w:spacing w:after="0"/>
              <w:rPr>
                <w:sz w:val="20"/>
                <w:szCs w:val="20"/>
                <w:color w:val="auto"/>
              </w:rPr>
            </w:pPr>
            <w:r>
              <w:rPr>
                <w:rFonts w:ascii="Calibri" w:cs="Calibri" w:eastAsia="Calibri" w:hAnsi="Calibri"/>
                <w:sz w:val="14"/>
                <w:szCs w:val="14"/>
                <w:color w:val="231F20"/>
              </w:rPr>
              <w:t>2023</w:t>
            </w:r>
          </w:p>
        </w:tc>
        <w:tc>
          <w:tcPr>
            <w:tcW w:w="240" w:type="dxa"/>
            <w:vAlign w:val="bottom"/>
          </w:tcPr>
          <w:p>
            <w:pPr>
              <w:jc w:val="right"/>
              <w:ind w:right="10"/>
              <w:spacing w:after="0"/>
              <w:rPr>
                <w:sz w:val="20"/>
                <w:szCs w:val="20"/>
                <w:color w:val="auto"/>
              </w:rPr>
            </w:pPr>
            <w:r>
              <w:rPr>
                <w:rFonts w:ascii="Calibri" w:cs="Calibri" w:eastAsia="Calibri" w:hAnsi="Calibri"/>
                <w:sz w:val="14"/>
                <w:szCs w:val="14"/>
                <w:color w:val="231F20"/>
              </w:rPr>
              <w:t>$</w:t>
            </w:r>
          </w:p>
        </w:tc>
        <w:tc>
          <w:tcPr>
            <w:tcW w:w="880" w:type="dxa"/>
            <w:vAlign w:val="bottom"/>
          </w:tcPr>
          <w:p>
            <w:pPr>
              <w:jc w:val="right"/>
              <w:ind w:right="30"/>
              <w:spacing w:after="0"/>
              <w:rPr>
                <w:sz w:val="20"/>
                <w:szCs w:val="20"/>
                <w:color w:val="auto"/>
              </w:rPr>
            </w:pPr>
            <w:r>
              <w:rPr>
                <w:rFonts w:ascii="Calibri" w:cs="Calibri" w:eastAsia="Calibri" w:hAnsi="Calibri"/>
                <w:sz w:val="14"/>
                <w:szCs w:val="14"/>
                <w:color w:val="231F20"/>
              </w:rPr>
              <w:t>575,000</w:t>
            </w:r>
          </w:p>
        </w:tc>
        <w:tc>
          <w:tcPr>
            <w:tcW w:w="300" w:type="dxa"/>
            <w:vAlign w:val="bottom"/>
          </w:tcPr>
          <w:p>
            <w:pPr>
              <w:jc w:val="right"/>
              <w:ind w:right="70"/>
              <w:spacing w:after="0"/>
              <w:rPr>
                <w:sz w:val="20"/>
                <w:szCs w:val="20"/>
                <w:color w:val="auto"/>
              </w:rPr>
            </w:pPr>
            <w:r>
              <w:rPr>
                <w:rFonts w:ascii="Calibri" w:cs="Calibri" w:eastAsia="Calibri" w:hAnsi="Calibri"/>
                <w:sz w:val="14"/>
                <w:szCs w:val="14"/>
                <w:color w:val="231F20"/>
              </w:rPr>
              <w:t>$</w:t>
            </w:r>
          </w:p>
        </w:tc>
        <w:tc>
          <w:tcPr>
            <w:tcW w:w="700" w:type="dxa"/>
            <w:vAlign w:val="bottom"/>
          </w:tcPr>
          <w:p>
            <w:pPr>
              <w:jc w:val="right"/>
              <w:ind w:right="30"/>
              <w:spacing w:after="0"/>
              <w:rPr>
                <w:sz w:val="20"/>
                <w:szCs w:val="20"/>
                <w:color w:val="auto"/>
              </w:rPr>
            </w:pPr>
            <w:r>
              <w:rPr>
                <w:rFonts w:ascii="Calibri" w:cs="Calibri" w:eastAsia="Calibri" w:hAnsi="Calibri"/>
                <w:sz w:val="14"/>
                <w:szCs w:val="14"/>
                <w:color w:val="231F20"/>
              </w:rPr>
              <w:t>150,000</w:t>
            </w:r>
          </w:p>
        </w:tc>
        <w:tc>
          <w:tcPr>
            <w:tcW w:w="320" w:type="dxa"/>
            <w:vAlign w:val="bottom"/>
          </w:tcPr>
          <w:p>
            <w:pPr>
              <w:ind w:left="100"/>
              <w:spacing w:after="0"/>
              <w:rPr>
                <w:sz w:val="20"/>
                <w:szCs w:val="20"/>
                <w:color w:val="auto"/>
              </w:rPr>
            </w:pPr>
            <w:r>
              <w:rPr>
                <w:rFonts w:ascii="Calibri" w:cs="Calibri" w:eastAsia="Calibri" w:hAnsi="Calibri"/>
                <w:sz w:val="14"/>
                <w:szCs w:val="14"/>
                <w:color w:val="231F20"/>
              </w:rPr>
              <w:t>$</w:t>
            </w:r>
          </w:p>
        </w:tc>
        <w:tc>
          <w:tcPr>
            <w:tcW w:w="800" w:type="dxa"/>
            <w:vAlign w:val="bottom"/>
          </w:tcPr>
          <w:p>
            <w:pPr>
              <w:jc w:val="right"/>
              <w:ind w:right="30"/>
              <w:spacing w:after="0"/>
              <w:rPr>
                <w:sz w:val="20"/>
                <w:szCs w:val="20"/>
                <w:color w:val="auto"/>
              </w:rPr>
            </w:pPr>
            <w:r>
              <w:rPr>
                <w:rFonts w:ascii="Calibri" w:cs="Calibri" w:eastAsia="Calibri" w:hAnsi="Calibri"/>
                <w:sz w:val="14"/>
                <w:szCs w:val="14"/>
                <w:color w:val="231F20"/>
              </w:rPr>
              <w:t>989,990</w:t>
            </w:r>
          </w:p>
        </w:tc>
        <w:tc>
          <w:tcPr>
            <w:tcW w:w="360" w:type="dxa"/>
            <w:vAlign w:val="bottom"/>
          </w:tcPr>
          <w:p>
            <w:pPr>
              <w:jc w:val="right"/>
              <w:spacing w:after="0"/>
              <w:rPr>
                <w:sz w:val="20"/>
                <w:szCs w:val="20"/>
                <w:color w:val="auto"/>
              </w:rPr>
            </w:pPr>
            <w:r>
              <w:rPr>
                <w:rFonts w:ascii="Calibri" w:cs="Calibri" w:eastAsia="Calibri" w:hAnsi="Calibri"/>
                <w:sz w:val="14"/>
                <w:szCs w:val="14"/>
                <w:color w:val="231F20"/>
              </w:rPr>
              <w:t>$</w:t>
            </w:r>
          </w:p>
        </w:tc>
        <w:tc>
          <w:tcPr>
            <w:tcW w:w="1080" w:type="dxa"/>
            <w:vAlign w:val="bottom"/>
          </w:tcPr>
          <w:p>
            <w:pPr>
              <w:jc w:val="right"/>
              <w:ind w:right="190"/>
              <w:spacing w:after="0"/>
              <w:rPr>
                <w:sz w:val="20"/>
                <w:szCs w:val="20"/>
                <w:color w:val="auto"/>
              </w:rPr>
            </w:pPr>
            <w:r>
              <w:rPr>
                <w:rFonts w:ascii="Calibri" w:cs="Calibri" w:eastAsia="Calibri" w:hAnsi="Calibri"/>
                <w:sz w:val="14"/>
                <w:szCs w:val="14"/>
                <w:color w:val="231F20"/>
              </w:rPr>
              <w:t>718,750</w:t>
            </w:r>
          </w:p>
        </w:tc>
        <w:tc>
          <w:tcPr>
            <w:tcW w:w="380" w:type="dxa"/>
            <w:vAlign w:val="bottom"/>
          </w:tcPr>
          <w:p>
            <w:pPr>
              <w:jc w:val="right"/>
              <w:ind w:right="50"/>
              <w:spacing w:after="0"/>
              <w:rPr>
                <w:sz w:val="20"/>
                <w:szCs w:val="20"/>
                <w:color w:val="auto"/>
              </w:rPr>
            </w:pPr>
            <w:r>
              <w:rPr>
                <w:rFonts w:ascii="Calibri" w:cs="Calibri" w:eastAsia="Calibri" w:hAnsi="Calibri"/>
                <w:sz w:val="14"/>
                <w:szCs w:val="14"/>
                <w:color w:val="231F20"/>
              </w:rPr>
              <w:t>$</w:t>
            </w:r>
          </w:p>
        </w:tc>
        <w:tc>
          <w:tcPr>
            <w:tcW w:w="720" w:type="dxa"/>
            <w:vAlign w:val="bottom"/>
          </w:tcPr>
          <w:p>
            <w:pPr>
              <w:jc w:val="right"/>
              <w:ind w:right="90"/>
              <w:spacing w:after="0"/>
              <w:rPr>
                <w:sz w:val="20"/>
                <w:szCs w:val="20"/>
                <w:color w:val="auto"/>
              </w:rPr>
            </w:pPr>
            <w:r>
              <w:rPr>
                <w:rFonts w:ascii="Calibri" w:cs="Calibri" w:eastAsia="Calibri" w:hAnsi="Calibri"/>
                <w:sz w:val="14"/>
                <w:szCs w:val="14"/>
                <w:color w:val="231F20"/>
              </w:rPr>
              <w:t>12,389</w:t>
            </w:r>
          </w:p>
        </w:tc>
        <w:tc>
          <w:tcPr>
            <w:tcW w:w="280" w:type="dxa"/>
            <w:vAlign w:val="bottom"/>
          </w:tcPr>
          <w:p>
            <w:pPr>
              <w:jc w:val="right"/>
              <w:ind w:right="70"/>
              <w:spacing w:after="0"/>
              <w:rPr>
                <w:sz w:val="20"/>
                <w:szCs w:val="20"/>
                <w:color w:val="auto"/>
              </w:rPr>
            </w:pPr>
            <w:r>
              <w:rPr>
                <w:rFonts w:ascii="Calibri" w:cs="Calibri" w:eastAsia="Calibri" w:hAnsi="Calibri"/>
                <w:sz w:val="14"/>
                <w:szCs w:val="14"/>
                <w:color w:val="231F20"/>
              </w:rPr>
              <w:t>$</w:t>
            </w:r>
          </w:p>
        </w:tc>
        <w:tc>
          <w:tcPr>
            <w:tcW w:w="860" w:type="dxa"/>
            <w:vAlign w:val="bottom"/>
          </w:tcPr>
          <w:p>
            <w:pPr>
              <w:jc w:val="right"/>
              <w:ind w:right="90"/>
              <w:spacing w:after="0"/>
              <w:rPr>
                <w:sz w:val="20"/>
                <w:szCs w:val="20"/>
                <w:color w:val="auto"/>
              </w:rPr>
            </w:pPr>
            <w:r>
              <w:rPr>
                <w:rFonts w:ascii="Calibri" w:cs="Calibri" w:eastAsia="Calibri" w:hAnsi="Calibri"/>
                <w:sz w:val="14"/>
                <w:szCs w:val="14"/>
                <w:color w:val="231F20"/>
              </w:rPr>
              <w:t>2,446,128</w:t>
            </w:r>
          </w:p>
        </w:tc>
      </w:tr>
      <w:tr>
        <w:trPr>
          <w:trHeight w:val="236"/>
        </w:trPr>
        <w:tc>
          <w:tcPr>
            <w:tcW w:w="2580" w:type="dxa"/>
            <w:vAlign w:val="bottom"/>
            <w:tcBorders>
              <w:top w:val="single" w:sz="8" w:color="231F20"/>
            </w:tcBorders>
            <w:gridSpan w:val="2"/>
            <w:shd w:val="clear" w:color="auto" w:fill="DCDDDE"/>
          </w:tcPr>
          <w:p>
            <w:pPr>
              <w:ind w:left="120"/>
              <w:spacing w:after="0"/>
              <w:rPr>
                <w:sz w:val="20"/>
                <w:szCs w:val="20"/>
                <w:color w:val="auto"/>
              </w:rPr>
            </w:pPr>
            <w:r>
              <w:rPr>
                <w:rFonts w:ascii="Calibri" w:cs="Calibri" w:eastAsia="Calibri" w:hAnsi="Calibri"/>
                <w:sz w:val="14"/>
                <w:szCs w:val="14"/>
                <w:b w:val="1"/>
                <w:bCs w:val="1"/>
                <w:color w:val="231F20"/>
              </w:rPr>
              <w:t>Dawn M. Becker</w:t>
            </w:r>
          </w:p>
        </w:tc>
        <w:tc>
          <w:tcPr>
            <w:tcW w:w="580" w:type="dxa"/>
            <w:vAlign w:val="bottom"/>
            <w:tcBorders>
              <w:top w:val="single" w:sz="8" w:color="231F20"/>
            </w:tcBorders>
          </w:tcPr>
          <w:p>
            <w:pPr>
              <w:ind w:left="200"/>
              <w:spacing w:after="0"/>
              <w:rPr>
                <w:sz w:val="20"/>
                <w:szCs w:val="20"/>
                <w:color w:val="auto"/>
              </w:rPr>
            </w:pPr>
            <w:r>
              <w:rPr>
                <w:rFonts w:ascii="Calibri" w:cs="Calibri" w:eastAsia="Calibri" w:hAnsi="Calibri"/>
                <w:sz w:val="14"/>
                <w:szCs w:val="14"/>
                <w:color w:val="231F20"/>
              </w:rPr>
              <w:t>2025</w:t>
            </w:r>
          </w:p>
        </w:tc>
        <w:tc>
          <w:tcPr>
            <w:tcW w:w="240" w:type="dxa"/>
            <w:vAlign w:val="bottom"/>
            <w:tcBorders>
              <w:top w:val="single" w:sz="8" w:color="231F20"/>
            </w:tcBorders>
          </w:tcPr>
          <w:p>
            <w:pPr>
              <w:jc w:val="right"/>
              <w:ind w:right="10"/>
              <w:spacing w:after="0"/>
              <w:rPr>
                <w:sz w:val="20"/>
                <w:szCs w:val="20"/>
                <w:color w:val="auto"/>
              </w:rPr>
            </w:pPr>
            <w:r>
              <w:rPr>
                <w:rFonts w:ascii="Calibri" w:cs="Calibri" w:eastAsia="Calibri" w:hAnsi="Calibri"/>
                <w:sz w:val="14"/>
                <w:szCs w:val="14"/>
                <w:color w:val="231F20"/>
              </w:rPr>
              <w:t>$</w:t>
            </w:r>
          </w:p>
        </w:tc>
        <w:tc>
          <w:tcPr>
            <w:tcW w:w="880" w:type="dxa"/>
            <w:vAlign w:val="bottom"/>
            <w:tcBorders>
              <w:top w:val="single" w:sz="8" w:color="231F20"/>
            </w:tcBorders>
          </w:tcPr>
          <w:p>
            <w:pPr>
              <w:jc w:val="right"/>
              <w:ind w:right="30"/>
              <w:spacing w:after="0"/>
              <w:rPr>
                <w:sz w:val="20"/>
                <w:szCs w:val="20"/>
                <w:color w:val="auto"/>
              </w:rPr>
            </w:pPr>
            <w:r>
              <w:rPr>
                <w:rFonts w:ascii="Calibri" w:cs="Calibri" w:eastAsia="Calibri" w:hAnsi="Calibri"/>
                <w:sz w:val="14"/>
                <w:szCs w:val="14"/>
                <w:color w:val="231F20"/>
              </w:rPr>
              <w:t>575,000</w:t>
            </w:r>
          </w:p>
        </w:tc>
        <w:tc>
          <w:tcPr>
            <w:tcW w:w="300" w:type="dxa"/>
            <w:vAlign w:val="bottom"/>
            <w:tcBorders>
              <w:top w:val="single" w:sz="8" w:color="231F20"/>
            </w:tcBorders>
          </w:tcPr>
          <w:p>
            <w:pPr>
              <w:jc w:val="right"/>
              <w:ind w:right="70"/>
              <w:spacing w:after="0"/>
              <w:rPr>
                <w:sz w:val="20"/>
                <w:szCs w:val="20"/>
                <w:color w:val="auto"/>
              </w:rPr>
            </w:pPr>
            <w:r>
              <w:rPr>
                <w:rFonts w:ascii="Calibri" w:cs="Calibri" w:eastAsia="Calibri" w:hAnsi="Calibri"/>
                <w:sz w:val="14"/>
                <w:szCs w:val="14"/>
                <w:color w:val="231F20"/>
              </w:rPr>
              <w:t>$</w:t>
            </w:r>
          </w:p>
        </w:tc>
        <w:tc>
          <w:tcPr>
            <w:tcW w:w="700" w:type="dxa"/>
            <w:vAlign w:val="bottom"/>
            <w:tcBorders>
              <w:top w:val="single" w:sz="8" w:color="231F20"/>
            </w:tcBorders>
          </w:tcPr>
          <w:p>
            <w:pPr>
              <w:jc w:val="right"/>
              <w:ind w:right="30"/>
              <w:spacing w:after="0"/>
              <w:rPr>
                <w:sz w:val="20"/>
                <w:szCs w:val="20"/>
                <w:color w:val="auto"/>
              </w:rPr>
            </w:pPr>
            <w:r>
              <w:rPr>
                <w:rFonts w:ascii="Calibri" w:cs="Calibri" w:eastAsia="Calibri" w:hAnsi="Calibri"/>
                <w:sz w:val="14"/>
                <w:szCs w:val="14"/>
                <w:color w:val="231F20"/>
              </w:rPr>
              <w:t>-</w:t>
            </w:r>
          </w:p>
        </w:tc>
        <w:tc>
          <w:tcPr>
            <w:tcW w:w="320" w:type="dxa"/>
            <w:vAlign w:val="bottom"/>
            <w:tcBorders>
              <w:top w:val="single" w:sz="8" w:color="231F20"/>
            </w:tcBorders>
          </w:tcPr>
          <w:p>
            <w:pPr>
              <w:ind w:left="100"/>
              <w:spacing w:after="0"/>
              <w:rPr>
                <w:sz w:val="20"/>
                <w:szCs w:val="20"/>
                <w:color w:val="auto"/>
              </w:rPr>
            </w:pPr>
            <w:r>
              <w:rPr>
                <w:rFonts w:ascii="Calibri" w:cs="Calibri" w:eastAsia="Calibri" w:hAnsi="Calibri"/>
                <w:sz w:val="14"/>
                <w:szCs w:val="14"/>
                <w:color w:val="231F20"/>
              </w:rPr>
              <w:t>$</w:t>
            </w:r>
          </w:p>
        </w:tc>
        <w:tc>
          <w:tcPr>
            <w:tcW w:w="800" w:type="dxa"/>
            <w:vAlign w:val="bottom"/>
            <w:tcBorders>
              <w:top w:val="single" w:sz="8" w:color="231F20"/>
            </w:tcBorders>
          </w:tcPr>
          <w:p>
            <w:pPr>
              <w:jc w:val="right"/>
              <w:ind w:right="30"/>
              <w:spacing w:after="0"/>
              <w:rPr>
                <w:sz w:val="20"/>
                <w:szCs w:val="20"/>
                <w:color w:val="auto"/>
              </w:rPr>
            </w:pPr>
            <w:r>
              <w:rPr>
                <w:rFonts w:ascii="Calibri" w:cs="Calibri" w:eastAsia="Calibri" w:hAnsi="Calibri"/>
                <w:sz w:val="14"/>
                <w:szCs w:val="14"/>
                <w:color w:val="231F20"/>
              </w:rPr>
              <w:t>1,368,720</w:t>
            </w:r>
          </w:p>
        </w:tc>
        <w:tc>
          <w:tcPr>
            <w:tcW w:w="360" w:type="dxa"/>
            <w:vAlign w:val="bottom"/>
            <w:tcBorders>
              <w:top w:val="single" w:sz="8" w:color="231F20"/>
            </w:tcBorders>
          </w:tcPr>
          <w:p>
            <w:pPr>
              <w:jc w:val="right"/>
              <w:spacing w:after="0"/>
              <w:rPr>
                <w:sz w:val="20"/>
                <w:szCs w:val="20"/>
                <w:color w:val="auto"/>
              </w:rPr>
            </w:pPr>
            <w:r>
              <w:rPr>
                <w:rFonts w:ascii="Calibri" w:cs="Calibri" w:eastAsia="Calibri" w:hAnsi="Calibri"/>
                <w:sz w:val="14"/>
                <w:szCs w:val="14"/>
                <w:color w:val="231F20"/>
              </w:rPr>
              <w:t>$</w:t>
            </w:r>
          </w:p>
        </w:tc>
        <w:tc>
          <w:tcPr>
            <w:tcW w:w="1080" w:type="dxa"/>
            <w:vAlign w:val="bottom"/>
            <w:tcBorders>
              <w:top w:val="single" w:sz="8" w:color="231F20"/>
            </w:tcBorders>
          </w:tcPr>
          <w:p>
            <w:pPr>
              <w:jc w:val="right"/>
              <w:ind w:right="190"/>
              <w:spacing w:after="0"/>
              <w:rPr>
                <w:sz w:val="20"/>
                <w:szCs w:val="20"/>
                <w:color w:val="auto"/>
              </w:rPr>
            </w:pPr>
            <w:r>
              <w:rPr>
                <w:rFonts w:ascii="Calibri" w:cs="Calibri" w:eastAsia="Calibri" w:hAnsi="Calibri"/>
                <w:sz w:val="14"/>
                <w:szCs w:val="14"/>
                <w:color w:val="231F20"/>
              </w:rPr>
              <w:t>517,500</w:t>
            </w:r>
          </w:p>
        </w:tc>
        <w:tc>
          <w:tcPr>
            <w:tcW w:w="380" w:type="dxa"/>
            <w:vAlign w:val="bottom"/>
            <w:tcBorders>
              <w:top w:val="single" w:sz="8" w:color="231F20"/>
            </w:tcBorders>
          </w:tcPr>
          <w:p>
            <w:pPr>
              <w:jc w:val="right"/>
              <w:ind w:right="50"/>
              <w:spacing w:after="0"/>
              <w:rPr>
                <w:sz w:val="20"/>
                <w:szCs w:val="20"/>
                <w:color w:val="auto"/>
              </w:rPr>
            </w:pPr>
            <w:r>
              <w:rPr>
                <w:rFonts w:ascii="Calibri" w:cs="Calibri" w:eastAsia="Calibri" w:hAnsi="Calibri"/>
                <w:sz w:val="14"/>
                <w:szCs w:val="14"/>
                <w:color w:val="231F20"/>
              </w:rPr>
              <w:t>$</w:t>
            </w:r>
          </w:p>
        </w:tc>
        <w:tc>
          <w:tcPr>
            <w:tcW w:w="720" w:type="dxa"/>
            <w:vAlign w:val="bottom"/>
            <w:tcBorders>
              <w:top w:val="single" w:sz="8" w:color="231F20"/>
            </w:tcBorders>
          </w:tcPr>
          <w:p>
            <w:pPr>
              <w:jc w:val="right"/>
              <w:ind w:right="90"/>
              <w:spacing w:after="0"/>
              <w:rPr>
                <w:sz w:val="20"/>
                <w:szCs w:val="20"/>
                <w:color w:val="auto"/>
              </w:rPr>
            </w:pPr>
            <w:r>
              <w:rPr>
                <w:rFonts w:ascii="Calibri" w:cs="Calibri" w:eastAsia="Calibri" w:hAnsi="Calibri"/>
                <w:sz w:val="14"/>
                <w:szCs w:val="14"/>
                <w:color w:val="231F20"/>
              </w:rPr>
              <w:t>14,391</w:t>
            </w:r>
          </w:p>
        </w:tc>
        <w:tc>
          <w:tcPr>
            <w:tcW w:w="280" w:type="dxa"/>
            <w:vAlign w:val="bottom"/>
            <w:tcBorders>
              <w:top w:val="single" w:sz="8" w:color="231F20"/>
            </w:tcBorders>
          </w:tcPr>
          <w:p>
            <w:pPr>
              <w:jc w:val="right"/>
              <w:ind w:right="70"/>
              <w:spacing w:after="0"/>
              <w:rPr>
                <w:sz w:val="20"/>
                <w:szCs w:val="20"/>
                <w:color w:val="auto"/>
              </w:rPr>
            </w:pPr>
            <w:r>
              <w:rPr>
                <w:rFonts w:ascii="Calibri" w:cs="Calibri" w:eastAsia="Calibri" w:hAnsi="Calibri"/>
                <w:sz w:val="14"/>
                <w:szCs w:val="14"/>
                <w:color w:val="231F20"/>
              </w:rPr>
              <w:t>$</w:t>
            </w:r>
          </w:p>
        </w:tc>
        <w:tc>
          <w:tcPr>
            <w:tcW w:w="860" w:type="dxa"/>
            <w:vAlign w:val="bottom"/>
            <w:tcBorders>
              <w:top w:val="single" w:sz="8" w:color="231F20"/>
            </w:tcBorders>
          </w:tcPr>
          <w:p>
            <w:pPr>
              <w:jc w:val="right"/>
              <w:ind w:right="90"/>
              <w:spacing w:after="0"/>
              <w:rPr>
                <w:sz w:val="20"/>
                <w:szCs w:val="20"/>
                <w:color w:val="auto"/>
              </w:rPr>
            </w:pPr>
            <w:r>
              <w:rPr>
                <w:rFonts w:ascii="Calibri" w:cs="Calibri" w:eastAsia="Calibri" w:hAnsi="Calibri"/>
                <w:sz w:val="14"/>
                <w:szCs w:val="14"/>
                <w:color w:val="231F20"/>
              </w:rPr>
              <w:t>2,475,611</w:t>
            </w:r>
          </w:p>
        </w:tc>
      </w:tr>
      <w:tr>
        <w:trPr>
          <w:trHeight w:val="260"/>
        </w:trPr>
        <w:tc>
          <w:tcPr>
            <w:tcW w:w="2580" w:type="dxa"/>
            <w:vAlign w:val="bottom"/>
            <w:gridSpan w:val="2"/>
            <w:shd w:val="clear" w:color="auto" w:fill="DCDDDE"/>
          </w:tcPr>
          <w:p>
            <w:pPr>
              <w:ind w:left="120"/>
              <w:spacing w:after="0"/>
              <w:rPr>
                <w:sz w:val="20"/>
                <w:szCs w:val="20"/>
                <w:color w:val="auto"/>
              </w:rPr>
            </w:pPr>
            <w:r>
              <w:rPr>
                <w:rFonts w:ascii="Calibri" w:cs="Calibri" w:eastAsia="Calibri" w:hAnsi="Calibri"/>
                <w:sz w:val="14"/>
                <w:szCs w:val="14"/>
                <w:b w:val="1"/>
                <w:bCs w:val="1"/>
                <w:color w:val="231F20"/>
              </w:rPr>
              <w:t>Executive Vice President-</w:t>
            </w:r>
          </w:p>
        </w:tc>
        <w:tc>
          <w:tcPr>
            <w:tcW w:w="580" w:type="dxa"/>
            <w:vAlign w:val="bottom"/>
          </w:tcPr>
          <w:p>
            <w:pPr>
              <w:ind w:left="200"/>
              <w:spacing w:after="0"/>
              <w:rPr>
                <w:sz w:val="20"/>
                <w:szCs w:val="20"/>
                <w:color w:val="auto"/>
              </w:rPr>
            </w:pPr>
            <w:r>
              <w:rPr>
                <w:rFonts w:ascii="Calibri" w:cs="Calibri" w:eastAsia="Calibri" w:hAnsi="Calibri"/>
                <w:sz w:val="14"/>
                <w:szCs w:val="14"/>
                <w:color w:val="231F20"/>
              </w:rPr>
              <w:t>2024</w:t>
            </w:r>
          </w:p>
        </w:tc>
        <w:tc>
          <w:tcPr>
            <w:tcW w:w="240" w:type="dxa"/>
            <w:vAlign w:val="bottom"/>
          </w:tcPr>
          <w:p>
            <w:pPr>
              <w:jc w:val="right"/>
              <w:ind w:right="10"/>
              <w:spacing w:after="0"/>
              <w:rPr>
                <w:sz w:val="20"/>
                <w:szCs w:val="20"/>
                <w:color w:val="auto"/>
              </w:rPr>
            </w:pPr>
            <w:r>
              <w:rPr>
                <w:rFonts w:ascii="Calibri" w:cs="Calibri" w:eastAsia="Calibri" w:hAnsi="Calibri"/>
                <w:sz w:val="14"/>
                <w:szCs w:val="14"/>
                <w:color w:val="231F20"/>
              </w:rPr>
              <w:t>$</w:t>
            </w:r>
          </w:p>
        </w:tc>
        <w:tc>
          <w:tcPr>
            <w:tcW w:w="880" w:type="dxa"/>
            <w:vAlign w:val="bottom"/>
          </w:tcPr>
          <w:p>
            <w:pPr>
              <w:jc w:val="right"/>
              <w:ind w:right="30"/>
              <w:spacing w:after="0"/>
              <w:rPr>
                <w:sz w:val="20"/>
                <w:szCs w:val="20"/>
                <w:color w:val="auto"/>
              </w:rPr>
            </w:pPr>
            <w:r>
              <w:rPr>
                <w:rFonts w:ascii="Calibri" w:cs="Calibri" w:eastAsia="Calibri" w:hAnsi="Calibri"/>
                <w:sz w:val="14"/>
                <w:szCs w:val="14"/>
                <w:color w:val="231F20"/>
              </w:rPr>
              <w:t>575,000</w:t>
            </w:r>
          </w:p>
        </w:tc>
        <w:tc>
          <w:tcPr>
            <w:tcW w:w="300" w:type="dxa"/>
            <w:vAlign w:val="bottom"/>
          </w:tcPr>
          <w:p>
            <w:pPr>
              <w:jc w:val="right"/>
              <w:ind w:right="70"/>
              <w:spacing w:after="0"/>
              <w:rPr>
                <w:sz w:val="20"/>
                <w:szCs w:val="20"/>
                <w:color w:val="auto"/>
              </w:rPr>
            </w:pPr>
            <w:r>
              <w:rPr>
                <w:rFonts w:ascii="Calibri" w:cs="Calibri" w:eastAsia="Calibri" w:hAnsi="Calibri"/>
                <w:sz w:val="14"/>
                <w:szCs w:val="14"/>
                <w:color w:val="231F20"/>
              </w:rPr>
              <w:t>$</w:t>
            </w:r>
          </w:p>
        </w:tc>
        <w:tc>
          <w:tcPr>
            <w:tcW w:w="700" w:type="dxa"/>
            <w:vAlign w:val="bottom"/>
          </w:tcPr>
          <w:p>
            <w:pPr>
              <w:jc w:val="right"/>
              <w:ind w:right="30"/>
              <w:spacing w:after="0"/>
              <w:rPr>
                <w:sz w:val="20"/>
                <w:szCs w:val="20"/>
                <w:color w:val="auto"/>
              </w:rPr>
            </w:pPr>
            <w:r>
              <w:rPr>
                <w:rFonts w:ascii="Calibri" w:cs="Calibri" w:eastAsia="Calibri" w:hAnsi="Calibri"/>
                <w:sz w:val="14"/>
                <w:szCs w:val="14"/>
                <w:color w:val="231F20"/>
              </w:rPr>
              <w:t>-</w:t>
            </w:r>
          </w:p>
        </w:tc>
        <w:tc>
          <w:tcPr>
            <w:tcW w:w="320" w:type="dxa"/>
            <w:vAlign w:val="bottom"/>
          </w:tcPr>
          <w:p>
            <w:pPr>
              <w:ind w:left="100"/>
              <w:spacing w:after="0"/>
              <w:rPr>
                <w:sz w:val="20"/>
                <w:szCs w:val="20"/>
                <w:color w:val="auto"/>
              </w:rPr>
            </w:pPr>
            <w:r>
              <w:rPr>
                <w:rFonts w:ascii="Calibri" w:cs="Calibri" w:eastAsia="Calibri" w:hAnsi="Calibri"/>
                <w:sz w:val="14"/>
                <w:szCs w:val="14"/>
                <w:color w:val="231F20"/>
              </w:rPr>
              <w:t>$</w:t>
            </w:r>
          </w:p>
        </w:tc>
        <w:tc>
          <w:tcPr>
            <w:tcW w:w="800" w:type="dxa"/>
            <w:vAlign w:val="bottom"/>
          </w:tcPr>
          <w:p>
            <w:pPr>
              <w:jc w:val="right"/>
              <w:ind w:right="30"/>
              <w:spacing w:after="0"/>
              <w:rPr>
                <w:sz w:val="20"/>
                <w:szCs w:val="20"/>
                <w:color w:val="auto"/>
              </w:rPr>
            </w:pPr>
            <w:r>
              <w:rPr>
                <w:rFonts w:ascii="Calibri" w:cs="Calibri" w:eastAsia="Calibri" w:hAnsi="Calibri"/>
                <w:sz w:val="14"/>
                <w:szCs w:val="14"/>
                <w:color w:val="231F20"/>
              </w:rPr>
              <w:t>1,279,594</w:t>
            </w:r>
          </w:p>
        </w:tc>
        <w:tc>
          <w:tcPr>
            <w:tcW w:w="360" w:type="dxa"/>
            <w:vAlign w:val="bottom"/>
          </w:tcPr>
          <w:p>
            <w:pPr>
              <w:jc w:val="right"/>
              <w:spacing w:after="0"/>
              <w:rPr>
                <w:sz w:val="20"/>
                <w:szCs w:val="20"/>
                <w:color w:val="auto"/>
              </w:rPr>
            </w:pPr>
            <w:r>
              <w:rPr>
                <w:rFonts w:ascii="Calibri" w:cs="Calibri" w:eastAsia="Calibri" w:hAnsi="Calibri"/>
                <w:sz w:val="14"/>
                <w:szCs w:val="14"/>
                <w:color w:val="231F20"/>
              </w:rPr>
              <w:t>$</w:t>
            </w:r>
          </w:p>
        </w:tc>
        <w:tc>
          <w:tcPr>
            <w:tcW w:w="1080" w:type="dxa"/>
            <w:vAlign w:val="bottom"/>
          </w:tcPr>
          <w:p>
            <w:pPr>
              <w:jc w:val="right"/>
              <w:ind w:right="190"/>
              <w:spacing w:after="0"/>
              <w:rPr>
                <w:sz w:val="20"/>
                <w:szCs w:val="20"/>
                <w:color w:val="auto"/>
              </w:rPr>
            </w:pPr>
            <w:r>
              <w:rPr>
                <w:rFonts w:ascii="Calibri" w:cs="Calibri" w:eastAsia="Calibri" w:hAnsi="Calibri"/>
                <w:sz w:val="14"/>
                <w:szCs w:val="14"/>
                <w:color w:val="231F20"/>
              </w:rPr>
              <w:t>485,156</w:t>
            </w:r>
          </w:p>
        </w:tc>
        <w:tc>
          <w:tcPr>
            <w:tcW w:w="380" w:type="dxa"/>
            <w:vAlign w:val="bottom"/>
          </w:tcPr>
          <w:p>
            <w:pPr>
              <w:jc w:val="right"/>
              <w:ind w:right="50"/>
              <w:spacing w:after="0"/>
              <w:rPr>
                <w:sz w:val="20"/>
                <w:szCs w:val="20"/>
                <w:color w:val="auto"/>
              </w:rPr>
            </w:pPr>
            <w:r>
              <w:rPr>
                <w:rFonts w:ascii="Calibri" w:cs="Calibri" w:eastAsia="Calibri" w:hAnsi="Calibri"/>
                <w:sz w:val="14"/>
                <w:szCs w:val="14"/>
                <w:color w:val="231F20"/>
              </w:rPr>
              <w:t>$</w:t>
            </w:r>
          </w:p>
        </w:tc>
        <w:tc>
          <w:tcPr>
            <w:tcW w:w="720" w:type="dxa"/>
            <w:vAlign w:val="bottom"/>
          </w:tcPr>
          <w:p>
            <w:pPr>
              <w:jc w:val="right"/>
              <w:ind w:right="90"/>
              <w:spacing w:after="0"/>
              <w:rPr>
                <w:sz w:val="20"/>
                <w:szCs w:val="20"/>
                <w:color w:val="auto"/>
              </w:rPr>
            </w:pPr>
            <w:r>
              <w:rPr>
                <w:rFonts w:ascii="Calibri" w:cs="Calibri" w:eastAsia="Calibri" w:hAnsi="Calibri"/>
                <w:sz w:val="14"/>
                <w:szCs w:val="14"/>
                <w:color w:val="231F20"/>
              </w:rPr>
              <w:t>18,868</w:t>
            </w:r>
          </w:p>
        </w:tc>
        <w:tc>
          <w:tcPr>
            <w:tcW w:w="280" w:type="dxa"/>
            <w:vAlign w:val="bottom"/>
          </w:tcPr>
          <w:p>
            <w:pPr>
              <w:jc w:val="right"/>
              <w:ind w:right="70"/>
              <w:spacing w:after="0"/>
              <w:rPr>
                <w:sz w:val="20"/>
                <w:szCs w:val="20"/>
                <w:color w:val="auto"/>
              </w:rPr>
            </w:pPr>
            <w:r>
              <w:rPr>
                <w:rFonts w:ascii="Calibri" w:cs="Calibri" w:eastAsia="Calibri" w:hAnsi="Calibri"/>
                <w:sz w:val="14"/>
                <w:szCs w:val="14"/>
                <w:color w:val="231F20"/>
              </w:rPr>
              <w:t>$</w:t>
            </w:r>
          </w:p>
        </w:tc>
        <w:tc>
          <w:tcPr>
            <w:tcW w:w="860" w:type="dxa"/>
            <w:vAlign w:val="bottom"/>
          </w:tcPr>
          <w:p>
            <w:pPr>
              <w:jc w:val="right"/>
              <w:ind w:right="90"/>
              <w:spacing w:after="0"/>
              <w:rPr>
                <w:sz w:val="20"/>
                <w:szCs w:val="20"/>
                <w:color w:val="auto"/>
              </w:rPr>
            </w:pPr>
            <w:r>
              <w:rPr>
                <w:rFonts w:ascii="Calibri" w:cs="Calibri" w:eastAsia="Calibri" w:hAnsi="Calibri"/>
                <w:sz w:val="14"/>
                <w:szCs w:val="14"/>
                <w:color w:val="231F20"/>
              </w:rPr>
              <w:t>2,358,619</w:t>
            </w:r>
          </w:p>
        </w:tc>
      </w:tr>
      <w:tr>
        <w:trPr>
          <w:trHeight w:val="284"/>
        </w:trPr>
        <w:tc>
          <w:tcPr>
            <w:tcW w:w="2580" w:type="dxa"/>
            <w:vAlign w:val="bottom"/>
            <w:tcBorders>
              <w:bottom w:val="single" w:sz="8" w:color="DCDDDE"/>
            </w:tcBorders>
            <w:gridSpan w:val="2"/>
            <w:shd w:val="clear" w:color="auto" w:fill="DCDDDE"/>
          </w:tcPr>
          <w:p>
            <w:pPr>
              <w:ind w:left="120"/>
              <w:spacing w:after="0"/>
              <w:rPr>
                <w:sz w:val="20"/>
                <w:szCs w:val="20"/>
                <w:color w:val="auto"/>
              </w:rPr>
            </w:pPr>
            <w:r>
              <w:rPr>
                <w:rFonts w:ascii="Calibri" w:cs="Calibri" w:eastAsia="Calibri" w:hAnsi="Calibri"/>
                <w:sz w:val="14"/>
                <w:szCs w:val="14"/>
                <w:b w:val="1"/>
                <w:bCs w:val="1"/>
                <w:color w:val="231F20"/>
              </w:rPr>
              <w:t>Chief Legal Officer &amp; Secretary</w:t>
            </w:r>
          </w:p>
        </w:tc>
        <w:tc>
          <w:tcPr>
            <w:tcW w:w="580" w:type="dxa"/>
            <w:vAlign w:val="bottom"/>
          </w:tcPr>
          <w:p>
            <w:pPr>
              <w:ind w:left="200"/>
              <w:spacing w:after="0"/>
              <w:rPr>
                <w:sz w:val="20"/>
                <w:szCs w:val="20"/>
                <w:color w:val="auto"/>
              </w:rPr>
            </w:pPr>
            <w:r>
              <w:rPr>
                <w:rFonts w:ascii="Calibri" w:cs="Calibri" w:eastAsia="Calibri" w:hAnsi="Calibri"/>
                <w:sz w:val="14"/>
                <w:szCs w:val="14"/>
                <w:color w:val="231F20"/>
              </w:rPr>
              <w:t>2023</w:t>
            </w:r>
          </w:p>
        </w:tc>
        <w:tc>
          <w:tcPr>
            <w:tcW w:w="240" w:type="dxa"/>
            <w:vAlign w:val="bottom"/>
          </w:tcPr>
          <w:p>
            <w:pPr>
              <w:jc w:val="right"/>
              <w:ind w:right="10"/>
              <w:spacing w:after="0"/>
              <w:rPr>
                <w:sz w:val="20"/>
                <w:szCs w:val="20"/>
                <w:color w:val="auto"/>
              </w:rPr>
            </w:pPr>
            <w:r>
              <w:rPr>
                <w:rFonts w:ascii="Calibri" w:cs="Calibri" w:eastAsia="Calibri" w:hAnsi="Calibri"/>
                <w:sz w:val="14"/>
                <w:szCs w:val="14"/>
                <w:color w:val="231F20"/>
              </w:rPr>
              <w:t>$</w:t>
            </w:r>
          </w:p>
        </w:tc>
        <w:tc>
          <w:tcPr>
            <w:tcW w:w="880" w:type="dxa"/>
            <w:vAlign w:val="bottom"/>
          </w:tcPr>
          <w:p>
            <w:pPr>
              <w:jc w:val="right"/>
              <w:ind w:right="30"/>
              <w:spacing w:after="0"/>
              <w:rPr>
                <w:sz w:val="20"/>
                <w:szCs w:val="20"/>
                <w:color w:val="auto"/>
              </w:rPr>
            </w:pPr>
            <w:r>
              <w:rPr>
                <w:rFonts w:ascii="Calibri" w:cs="Calibri" w:eastAsia="Calibri" w:hAnsi="Calibri"/>
                <w:sz w:val="14"/>
                <w:szCs w:val="14"/>
                <w:color w:val="231F20"/>
              </w:rPr>
              <w:t>575,000</w:t>
            </w:r>
          </w:p>
        </w:tc>
        <w:tc>
          <w:tcPr>
            <w:tcW w:w="300" w:type="dxa"/>
            <w:vAlign w:val="bottom"/>
          </w:tcPr>
          <w:p>
            <w:pPr>
              <w:jc w:val="right"/>
              <w:ind w:right="70"/>
              <w:spacing w:after="0"/>
              <w:rPr>
                <w:sz w:val="20"/>
                <w:szCs w:val="20"/>
                <w:color w:val="auto"/>
              </w:rPr>
            </w:pPr>
            <w:r>
              <w:rPr>
                <w:rFonts w:ascii="Calibri" w:cs="Calibri" w:eastAsia="Calibri" w:hAnsi="Calibri"/>
                <w:sz w:val="14"/>
                <w:szCs w:val="14"/>
                <w:color w:val="231F20"/>
              </w:rPr>
              <w:t>$</w:t>
            </w:r>
          </w:p>
        </w:tc>
        <w:tc>
          <w:tcPr>
            <w:tcW w:w="700" w:type="dxa"/>
            <w:vAlign w:val="bottom"/>
          </w:tcPr>
          <w:p>
            <w:pPr>
              <w:jc w:val="right"/>
              <w:ind w:right="30"/>
              <w:spacing w:after="0"/>
              <w:rPr>
                <w:sz w:val="20"/>
                <w:szCs w:val="20"/>
                <w:color w:val="auto"/>
              </w:rPr>
            </w:pPr>
            <w:r>
              <w:rPr>
                <w:rFonts w:ascii="Calibri" w:cs="Calibri" w:eastAsia="Calibri" w:hAnsi="Calibri"/>
                <w:sz w:val="14"/>
                <w:szCs w:val="14"/>
                <w:color w:val="231F20"/>
              </w:rPr>
              <w:t>-</w:t>
            </w:r>
          </w:p>
        </w:tc>
        <w:tc>
          <w:tcPr>
            <w:tcW w:w="320" w:type="dxa"/>
            <w:vAlign w:val="bottom"/>
          </w:tcPr>
          <w:p>
            <w:pPr>
              <w:ind w:left="100"/>
              <w:spacing w:after="0"/>
              <w:rPr>
                <w:sz w:val="20"/>
                <w:szCs w:val="20"/>
                <w:color w:val="auto"/>
              </w:rPr>
            </w:pPr>
            <w:r>
              <w:rPr>
                <w:rFonts w:ascii="Calibri" w:cs="Calibri" w:eastAsia="Calibri" w:hAnsi="Calibri"/>
                <w:sz w:val="14"/>
                <w:szCs w:val="14"/>
                <w:color w:val="231F20"/>
              </w:rPr>
              <w:t>$</w:t>
            </w:r>
          </w:p>
        </w:tc>
        <w:tc>
          <w:tcPr>
            <w:tcW w:w="800" w:type="dxa"/>
            <w:vAlign w:val="bottom"/>
          </w:tcPr>
          <w:p>
            <w:pPr>
              <w:jc w:val="right"/>
              <w:ind w:right="30"/>
              <w:spacing w:after="0"/>
              <w:rPr>
                <w:sz w:val="20"/>
                <w:szCs w:val="20"/>
                <w:color w:val="auto"/>
              </w:rPr>
            </w:pPr>
            <w:r>
              <w:rPr>
                <w:rFonts w:ascii="Calibri" w:cs="Calibri" w:eastAsia="Calibri" w:hAnsi="Calibri"/>
                <w:sz w:val="14"/>
                <w:szCs w:val="14"/>
                <w:color w:val="231F20"/>
              </w:rPr>
              <w:t>1,205,597</w:t>
            </w:r>
          </w:p>
        </w:tc>
        <w:tc>
          <w:tcPr>
            <w:tcW w:w="360" w:type="dxa"/>
            <w:vAlign w:val="bottom"/>
          </w:tcPr>
          <w:p>
            <w:pPr>
              <w:jc w:val="right"/>
              <w:spacing w:after="0"/>
              <w:rPr>
                <w:sz w:val="20"/>
                <w:szCs w:val="20"/>
                <w:color w:val="auto"/>
              </w:rPr>
            </w:pPr>
            <w:r>
              <w:rPr>
                <w:rFonts w:ascii="Calibri" w:cs="Calibri" w:eastAsia="Calibri" w:hAnsi="Calibri"/>
                <w:sz w:val="14"/>
                <w:szCs w:val="14"/>
                <w:color w:val="231F20"/>
              </w:rPr>
              <w:t>$</w:t>
            </w:r>
          </w:p>
        </w:tc>
        <w:tc>
          <w:tcPr>
            <w:tcW w:w="1080" w:type="dxa"/>
            <w:vAlign w:val="bottom"/>
          </w:tcPr>
          <w:p>
            <w:pPr>
              <w:jc w:val="right"/>
              <w:ind w:right="190"/>
              <w:spacing w:after="0"/>
              <w:rPr>
                <w:sz w:val="20"/>
                <w:szCs w:val="20"/>
                <w:color w:val="auto"/>
              </w:rPr>
            </w:pPr>
            <w:r>
              <w:rPr>
                <w:rFonts w:ascii="Calibri" w:cs="Calibri" w:eastAsia="Calibri" w:hAnsi="Calibri"/>
                <w:sz w:val="14"/>
                <w:szCs w:val="14"/>
                <w:color w:val="231F20"/>
              </w:rPr>
              <w:t>539,063</w:t>
            </w:r>
          </w:p>
        </w:tc>
        <w:tc>
          <w:tcPr>
            <w:tcW w:w="380" w:type="dxa"/>
            <w:vAlign w:val="bottom"/>
          </w:tcPr>
          <w:p>
            <w:pPr>
              <w:jc w:val="right"/>
              <w:ind w:right="50"/>
              <w:spacing w:after="0"/>
              <w:rPr>
                <w:sz w:val="20"/>
                <w:szCs w:val="20"/>
                <w:color w:val="auto"/>
              </w:rPr>
            </w:pPr>
            <w:r>
              <w:rPr>
                <w:rFonts w:ascii="Calibri" w:cs="Calibri" w:eastAsia="Calibri" w:hAnsi="Calibri"/>
                <w:sz w:val="14"/>
                <w:szCs w:val="14"/>
                <w:color w:val="231F20"/>
              </w:rPr>
              <w:t>$</w:t>
            </w:r>
          </w:p>
        </w:tc>
        <w:tc>
          <w:tcPr>
            <w:tcW w:w="720" w:type="dxa"/>
            <w:vAlign w:val="bottom"/>
          </w:tcPr>
          <w:p>
            <w:pPr>
              <w:jc w:val="right"/>
              <w:ind w:right="90"/>
              <w:spacing w:after="0"/>
              <w:rPr>
                <w:sz w:val="20"/>
                <w:szCs w:val="20"/>
                <w:color w:val="auto"/>
              </w:rPr>
            </w:pPr>
            <w:r>
              <w:rPr>
                <w:rFonts w:ascii="Calibri" w:cs="Calibri" w:eastAsia="Calibri" w:hAnsi="Calibri"/>
                <w:sz w:val="14"/>
                <w:szCs w:val="14"/>
                <w:color w:val="231F20"/>
              </w:rPr>
              <w:t>17,644</w:t>
            </w:r>
          </w:p>
        </w:tc>
        <w:tc>
          <w:tcPr>
            <w:tcW w:w="280" w:type="dxa"/>
            <w:vAlign w:val="bottom"/>
          </w:tcPr>
          <w:p>
            <w:pPr>
              <w:jc w:val="right"/>
              <w:ind w:right="70"/>
              <w:spacing w:after="0"/>
              <w:rPr>
                <w:sz w:val="20"/>
                <w:szCs w:val="20"/>
                <w:color w:val="auto"/>
              </w:rPr>
            </w:pPr>
            <w:r>
              <w:rPr>
                <w:rFonts w:ascii="Calibri" w:cs="Calibri" w:eastAsia="Calibri" w:hAnsi="Calibri"/>
                <w:sz w:val="14"/>
                <w:szCs w:val="14"/>
                <w:color w:val="231F20"/>
              </w:rPr>
              <w:t>$</w:t>
            </w:r>
          </w:p>
        </w:tc>
        <w:tc>
          <w:tcPr>
            <w:tcW w:w="860" w:type="dxa"/>
            <w:vAlign w:val="bottom"/>
          </w:tcPr>
          <w:p>
            <w:pPr>
              <w:jc w:val="right"/>
              <w:ind w:right="90"/>
              <w:spacing w:after="0"/>
              <w:rPr>
                <w:sz w:val="20"/>
                <w:szCs w:val="20"/>
                <w:color w:val="auto"/>
              </w:rPr>
            </w:pPr>
            <w:r>
              <w:rPr>
                <w:rFonts w:ascii="Calibri" w:cs="Calibri" w:eastAsia="Calibri" w:hAnsi="Calibri"/>
                <w:sz w:val="14"/>
                <w:szCs w:val="14"/>
                <w:color w:val="231F20"/>
              </w:rPr>
              <w:t>2,337,304</w:t>
            </w:r>
          </w:p>
        </w:tc>
      </w:tr>
      <w:tr>
        <w:trPr>
          <w:trHeight w:val="140"/>
        </w:trPr>
        <w:tc>
          <w:tcPr>
            <w:tcW w:w="960" w:type="dxa"/>
            <w:vAlign w:val="bottom"/>
            <w:tcBorders>
              <w:top w:val="single" w:sz="8" w:color="231F20"/>
              <w:bottom w:val="single" w:sz="8" w:color="231F20"/>
            </w:tcBorders>
          </w:tcPr>
          <w:p>
            <w:pPr>
              <w:spacing w:after="0"/>
              <w:rPr>
                <w:sz w:val="12"/>
                <w:szCs w:val="12"/>
                <w:color w:val="auto"/>
              </w:rPr>
            </w:pPr>
          </w:p>
        </w:tc>
        <w:tc>
          <w:tcPr>
            <w:tcW w:w="1620" w:type="dxa"/>
            <w:vAlign w:val="bottom"/>
            <w:tcBorders>
              <w:top w:val="single" w:sz="8" w:color="231F20"/>
            </w:tcBorders>
          </w:tcPr>
          <w:p>
            <w:pPr>
              <w:spacing w:after="0"/>
              <w:rPr>
                <w:sz w:val="12"/>
                <w:szCs w:val="12"/>
                <w:color w:val="auto"/>
              </w:rPr>
            </w:pPr>
          </w:p>
        </w:tc>
        <w:tc>
          <w:tcPr>
            <w:tcW w:w="580" w:type="dxa"/>
            <w:vAlign w:val="bottom"/>
            <w:tcBorders>
              <w:top w:val="single" w:sz="8" w:color="231F20"/>
            </w:tcBorders>
          </w:tcPr>
          <w:p>
            <w:pPr>
              <w:spacing w:after="0"/>
              <w:rPr>
                <w:sz w:val="12"/>
                <w:szCs w:val="12"/>
                <w:color w:val="auto"/>
              </w:rPr>
            </w:pPr>
          </w:p>
        </w:tc>
        <w:tc>
          <w:tcPr>
            <w:tcW w:w="240" w:type="dxa"/>
            <w:vAlign w:val="bottom"/>
            <w:tcBorders>
              <w:top w:val="single" w:sz="8" w:color="231F20"/>
            </w:tcBorders>
          </w:tcPr>
          <w:p>
            <w:pPr>
              <w:spacing w:after="0"/>
              <w:rPr>
                <w:sz w:val="12"/>
                <w:szCs w:val="12"/>
                <w:color w:val="auto"/>
              </w:rPr>
            </w:pPr>
          </w:p>
        </w:tc>
        <w:tc>
          <w:tcPr>
            <w:tcW w:w="880" w:type="dxa"/>
            <w:vAlign w:val="bottom"/>
            <w:tcBorders>
              <w:top w:val="single" w:sz="8" w:color="231F20"/>
            </w:tcBorders>
          </w:tcPr>
          <w:p>
            <w:pPr>
              <w:spacing w:after="0"/>
              <w:rPr>
                <w:sz w:val="12"/>
                <w:szCs w:val="12"/>
                <w:color w:val="auto"/>
              </w:rPr>
            </w:pPr>
          </w:p>
        </w:tc>
        <w:tc>
          <w:tcPr>
            <w:tcW w:w="300" w:type="dxa"/>
            <w:vAlign w:val="bottom"/>
            <w:tcBorders>
              <w:top w:val="single" w:sz="8" w:color="231F20"/>
            </w:tcBorders>
          </w:tcPr>
          <w:p>
            <w:pPr>
              <w:spacing w:after="0"/>
              <w:rPr>
                <w:sz w:val="12"/>
                <w:szCs w:val="12"/>
                <w:color w:val="auto"/>
              </w:rPr>
            </w:pPr>
          </w:p>
        </w:tc>
        <w:tc>
          <w:tcPr>
            <w:tcW w:w="700" w:type="dxa"/>
            <w:vAlign w:val="bottom"/>
            <w:tcBorders>
              <w:top w:val="single" w:sz="8" w:color="231F20"/>
            </w:tcBorders>
          </w:tcPr>
          <w:p>
            <w:pPr>
              <w:spacing w:after="0"/>
              <w:rPr>
                <w:sz w:val="12"/>
                <w:szCs w:val="12"/>
                <w:color w:val="auto"/>
              </w:rPr>
            </w:pPr>
          </w:p>
        </w:tc>
        <w:tc>
          <w:tcPr>
            <w:tcW w:w="320" w:type="dxa"/>
            <w:vAlign w:val="bottom"/>
            <w:tcBorders>
              <w:top w:val="single" w:sz="8" w:color="231F20"/>
            </w:tcBorders>
          </w:tcPr>
          <w:p>
            <w:pPr>
              <w:spacing w:after="0"/>
              <w:rPr>
                <w:sz w:val="12"/>
                <w:szCs w:val="12"/>
                <w:color w:val="auto"/>
              </w:rPr>
            </w:pPr>
          </w:p>
        </w:tc>
        <w:tc>
          <w:tcPr>
            <w:tcW w:w="800" w:type="dxa"/>
            <w:vAlign w:val="bottom"/>
            <w:tcBorders>
              <w:top w:val="single" w:sz="8" w:color="231F20"/>
            </w:tcBorders>
          </w:tcPr>
          <w:p>
            <w:pPr>
              <w:spacing w:after="0"/>
              <w:rPr>
                <w:sz w:val="12"/>
                <w:szCs w:val="12"/>
                <w:color w:val="auto"/>
              </w:rPr>
            </w:pPr>
          </w:p>
        </w:tc>
        <w:tc>
          <w:tcPr>
            <w:tcW w:w="360" w:type="dxa"/>
            <w:vAlign w:val="bottom"/>
            <w:tcBorders>
              <w:top w:val="single" w:sz="8" w:color="231F20"/>
            </w:tcBorders>
          </w:tcPr>
          <w:p>
            <w:pPr>
              <w:spacing w:after="0"/>
              <w:rPr>
                <w:sz w:val="12"/>
                <w:szCs w:val="12"/>
                <w:color w:val="auto"/>
              </w:rPr>
            </w:pPr>
          </w:p>
        </w:tc>
        <w:tc>
          <w:tcPr>
            <w:tcW w:w="1080" w:type="dxa"/>
            <w:vAlign w:val="bottom"/>
            <w:tcBorders>
              <w:top w:val="single" w:sz="8" w:color="231F20"/>
            </w:tcBorders>
          </w:tcPr>
          <w:p>
            <w:pPr>
              <w:spacing w:after="0"/>
              <w:rPr>
                <w:sz w:val="12"/>
                <w:szCs w:val="12"/>
                <w:color w:val="auto"/>
              </w:rPr>
            </w:pPr>
          </w:p>
        </w:tc>
        <w:tc>
          <w:tcPr>
            <w:tcW w:w="380" w:type="dxa"/>
            <w:vAlign w:val="bottom"/>
            <w:tcBorders>
              <w:top w:val="single" w:sz="8" w:color="231F20"/>
            </w:tcBorders>
          </w:tcPr>
          <w:p>
            <w:pPr>
              <w:spacing w:after="0"/>
              <w:rPr>
                <w:sz w:val="12"/>
                <w:szCs w:val="12"/>
                <w:color w:val="auto"/>
              </w:rPr>
            </w:pPr>
          </w:p>
        </w:tc>
        <w:tc>
          <w:tcPr>
            <w:tcW w:w="720" w:type="dxa"/>
            <w:vAlign w:val="bottom"/>
            <w:tcBorders>
              <w:top w:val="single" w:sz="8" w:color="231F20"/>
            </w:tcBorders>
          </w:tcPr>
          <w:p>
            <w:pPr>
              <w:spacing w:after="0"/>
              <w:rPr>
                <w:sz w:val="12"/>
                <w:szCs w:val="12"/>
                <w:color w:val="auto"/>
              </w:rPr>
            </w:pPr>
          </w:p>
        </w:tc>
        <w:tc>
          <w:tcPr>
            <w:tcW w:w="280" w:type="dxa"/>
            <w:vAlign w:val="bottom"/>
            <w:tcBorders>
              <w:top w:val="single" w:sz="8" w:color="231F20"/>
            </w:tcBorders>
          </w:tcPr>
          <w:p>
            <w:pPr>
              <w:spacing w:after="0"/>
              <w:rPr>
                <w:sz w:val="12"/>
                <w:szCs w:val="12"/>
                <w:color w:val="auto"/>
              </w:rPr>
            </w:pPr>
          </w:p>
        </w:tc>
        <w:tc>
          <w:tcPr>
            <w:tcW w:w="860" w:type="dxa"/>
            <w:vAlign w:val="bottom"/>
            <w:tcBorders>
              <w:top w:val="single" w:sz="8" w:color="231F20"/>
            </w:tcBorders>
          </w:tcPr>
          <w:p>
            <w:pPr>
              <w:spacing w:after="0"/>
              <w:rPr>
                <w:sz w:val="12"/>
                <w:szCs w:val="12"/>
                <w:color w:val="auto"/>
              </w:rPr>
            </w:pPr>
          </w:p>
        </w:tc>
      </w:tr>
    </w:tbl>
    <w:p>
      <w:pPr>
        <w:spacing w:after="0" w:line="55" w:lineRule="exact"/>
        <w:rPr>
          <w:sz w:val="20"/>
          <w:szCs w:val="20"/>
          <w:color w:val="auto"/>
        </w:rPr>
      </w:pPr>
    </w:p>
    <w:p>
      <w:pPr>
        <w:sectPr>
          <w:pgSz w:w="11880" w:h="15480" w:orient="portrait"/>
          <w:cols w:equalWidth="0" w:num="1">
            <w:col w:w="10080"/>
          </w:cols>
          <w:pgMar w:left="900" w:top="1440" w:right="900" w:bottom="763" w:gutter="0" w:footer="0" w:header="0"/>
        </w:sectPr>
      </w:pPr>
    </w:p>
    <w:p>
      <w:pPr>
        <w:spacing w:after="0" w:line="12" w:lineRule="exact"/>
        <w:rPr>
          <w:sz w:val="20"/>
          <w:szCs w:val="20"/>
          <w:color w:val="auto"/>
        </w:rPr>
      </w:pPr>
    </w:p>
    <w:p>
      <w:pPr>
        <w:spacing w:after="0"/>
        <w:rPr>
          <w:sz w:val="20"/>
          <w:szCs w:val="20"/>
          <w:color w:val="auto"/>
        </w:rPr>
      </w:pPr>
      <w:r>
        <w:rPr>
          <w:rFonts w:ascii="Arial" w:cs="Arial" w:eastAsia="Arial" w:hAnsi="Arial"/>
          <w:sz w:val="11"/>
          <w:szCs w:val="11"/>
          <w:color w:val="231F20"/>
        </w:rPr>
        <w:t>(1)</w:t>
      </w:r>
    </w:p>
    <w:p>
      <w:pPr>
        <w:spacing w:after="0" w:line="314" w:lineRule="exact"/>
        <w:rPr>
          <w:sz w:val="20"/>
          <w:szCs w:val="20"/>
          <w:color w:val="auto"/>
        </w:rPr>
      </w:pPr>
    </w:p>
    <w:p>
      <w:pPr>
        <w:spacing w:after="0"/>
        <w:rPr>
          <w:sz w:val="20"/>
          <w:szCs w:val="20"/>
          <w:color w:val="auto"/>
        </w:rPr>
      </w:pPr>
      <w:r>
        <w:rPr>
          <w:rFonts w:ascii="Arial" w:cs="Arial" w:eastAsia="Arial" w:hAnsi="Arial"/>
          <w:sz w:val="11"/>
          <w:szCs w:val="11"/>
          <w:color w:val="231F20"/>
        </w:rPr>
        <w:t>(2)</w:t>
      </w:r>
    </w:p>
    <w:p>
      <w:pPr>
        <w:spacing w:after="0" w:line="94" w:lineRule="exact"/>
        <w:rPr>
          <w:sz w:val="20"/>
          <w:szCs w:val="20"/>
          <w:color w:val="auto"/>
        </w:rPr>
      </w:pPr>
    </w:p>
    <w:p>
      <w:pPr>
        <w:spacing w:after="0"/>
        <w:rPr>
          <w:sz w:val="20"/>
          <w:szCs w:val="20"/>
          <w:color w:val="auto"/>
        </w:rPr>
      </w:pPr>
      <w:r>
        <w:rPr>
          <w:rFonts w:ascii="Arial" w:cs="Arial" w:eastAsia="Arial" w:hAnsi="Arial"/>
          <w:sz w:val="11"/>
          <w:szCs w:val="11"/>
          <w:color w:val="231F20"/>
        </w:rPr>
        <w:t>(3)</w:t>
      </w:r>
    </w:p>
    <w:p>
      <w:pPr>
        <w:spacing w:after="0" w:line="314" w:lineRule="exact"/>
        <w:rPr>
          <w:sz w:val="20"/>
          <w:szCs w:val="20"/>
          <w:color w:val="auto"/>
        </w:rPr>
      </w:pPr>
    </w:p>
    <w:p>
      <w:pPr>
        <w:spacing w:after="0"/>
        <w:rPr>
          <w:sz w:val="20"/>
          <w:szCs w:val="20"/>
          <w:color w:val="auto"/>
        </w:rPr>
      </w:pPr>
      <w:r>
        <w:rPr>
          <w:rFonts w:ascii="Arial" w:cs="Arial" w:eastAsia="Arial" w:hAnsi="Arial"/>
          <w:sz w:val="11"/>
          <w:szCs w:val="11"/>
          <w:color w:val="231F20"/>
        </w:rPr>
        <w:t>(4)</w:t>
      </w:r>
    </w:p>
    <w:p>
      <w:pPr>
        <w:spacing w:after="0" w:line="314" w:lineRule="exact"/>
        <w:rPr>
          <w:sz w:val="20"/>
          <w:szCs w:val="20"/>
          <w:color w:val="auto"/>
        </w:rPr>
      </w:pPr>
    </w:p>
    <w:p>
      <w:pPr>
        <w:spacing w:after="0"/>
        <w:rPr>
          <w:sz w:val="20"/>
          <w:szCs w:val="20"/>
          <w:color w:val="auto"/>
        </w:rPr>
      </w:pPr>
      <w:r>
        <w:rPr>
          <w:rFonts w:ascii="Arial" w:cs="Arial" w:eastAsia="Arial" w:hAnsi="Arial"/>
          <w:sz w:val="11"/>
          <w:szCs w:val="11"/>
          <w:color w:val="231F20"/>
        </w:rPr>
        <w:t>(5)</w:t>
      </w:r>
    </w:p>
    <w:p>
      <w:pPr>
        <w:spacing w:after="0" w:line="20" w:lineRule="exact"/>
        <w:rPr>
          <w:sz w:val="20"/>
          <w:szCs w:val="20"/>
          <w:color w:val="auto"/>
        </w:rPr>
      </w:pPr>
      <w:r>
        <w:rPr>
          <w:sz w:val="20"/>
          <w:szCs w:val="20"/>
          <w:color w:val="auto"/>
        </w:rPr>
        <w:br w:type="column"/>
      </w:r>
    </w:p>
    <w:p>
      <w:pPr>
        <w:jc w:val="both"/>
        <w:spacing w:after="0" w:line="248" w:lineRule="auto"/>
        <w:rPr>
          <w:sz w:val="20"/>
          <w:szCs w:val="20"/>
          <w:color w:val="auto"/>
        </w:rPr>
      </w:pPr>
      <w:r>
        <w:rPr>
          <w:rFonts w:ascii="Arial" w:cs="Arial" w:eastAsia="Arial" w:hAnsi="Arial"/>
          <w:sz w:val="18"/>
          <w:szCs w:val="18"/>
          <w:color w:val="231F20"/>
        </w:rPr>
        <w:t>Amounts shown in the Salary column include all amounts deferred at the election of the NEOs into our non-qualified deferred compensation plan.</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231F20"/>
        </w:rPr>
        <w:t>Amounts represent a one-time cash bonus.</w:t>
      </w:r>
    </w:p>
    <w:p>
      <w:pPr>
        <w:spacing w:after="0" w:line="19"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231F20"/>
        </w:rPr>
        <w:t>Amounts shown in this column reflect the aggregate grant date fair value of the awards calculated in accordance with FASB ASC Topic 718 that were issued in the year shown.</w:t>
      </w:r>
    </w:p>
    <w:p>
      <w:pPr>
        <w:spacing w:after="0" w:line="12"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231F20"/>
        </w:rPr>
        <w:t>Amounts shown in this column represent the cash amount paid under our annual bonus plan and include amounts deferred by our NEOs into our non-qualified deferred compensation plan.</w:t>
      </w:r>
    </w:p>
    <w:p>
      <w:pPr>
        <w:spacing w:after="0" w:line="1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231F20"/>
        </w:rPr>
        <w:t>The amounts shown in this column for the most recent fiscal year include: (a) Company contributions to our 401(k) plan of $8,750 for each of our NEOs; and (b) payments for various life, long-term disability and other medical related insurance of $15,962 for Mr. Wood, $4,368 for Mr. Guglielmone, and $5,641 for Ms. Becker.</w:t>
      </w:r>
    </w:p>
    <w:p>
      <w:pPr>
        <w:spacing w:after="0" w:line="185" w:lineRule="exact"/>
        <w:rPr>
          <w:sz w:val="20"/>
          <w:szCs w:val="20"/>
          <w:color w:val="auto"/>
        </w:rPr>
      </w:pPr>
    </w:p>
    <w:p>
      <w:pPr>
        <w:sectPr>
          <w:pgSz w:w="11880" w:h="15480" w:orient="portrait"/>
          <w:cols w:equalWidth="0" w:num="2">
            <w:col w:w="140" w:space="220"/>
            <w:col w:w="9720"/>
          </w:cols>
          <w:pgMar w:left="900" w:top="1440" w:right="900" w:bottom="763" w:gutter="0" w:footer="0" w:header="0"/>
          <w:type w:val="continuous"/>
        </w:sectPr>
      </w:pPr>
    </w:p>
    <w:p>
      <w:pPr>
        <w:spacing w:after="0" w:line="268" w:lineRule="exact"/>
        <w:rPr>
          <w:sz w:val="20"/>
          <w:szCs w:val="20"/>
          <w:color w:val="auto"/>
        </w:rPr>
      </w:pPr>
      <w:r>
        <w:rPr>
          <w:rFonts w:ascii="Arial Unicode MS" w:cs="Arial Unicode MS" w:eastAsia="Arial Unicode MS" w:hAnsi="Arial Unicode MS"/>
          <w:sz w:val="20"/>
          <w:szCs w:val="20"/>
          <w:color w:val="EF3E2A"/>
        </w:rPr>
        <w:t>➣</w:t>
      </w:r>
      <w:r>
        <w:rPr>
          <w:rFonts w:ascii="Arial" w:cs="Arial" w:eastAsia="Arial" w:hAnsi="Arial"/>
          <w:sz w:val="20"/>
          <w:szCs w:val="20"/>
          <w:b w:val="1"/>
          <w:bCs w:val="1"/>
          <w:color w:val="231F20"/>
        </w:rPr>
        <w:t xml:space="preserve"> GRANTS OF PLAN BASED AWARDS TABLE</w:t>
      </w:r>
    </w:p>
    <w:p>
      <w:pPr>
        <w:spacing w:after="0" w:line="118" w:lineRule="exact"/>
        <w:rPr>
          <w:sz w:val="20"/>
          <w:szCs w:val="20"/>
          <w:color w:val="auto"/>
        </w:rPr>
      </w:pPr>
    </w:p>
    <w:p>
      <w:pPr>
        <w:spacing w:after="0"/>
        <w:rPr>
          <w:sz w:val="20"/>
          <w:szCs w:val="20"/>
          <w:color w:val="auto"/>
        </w:rPr>
      </w:pPr>
      <w:r>
        <w:rPr>
          <w:rFonts w:ascii="Arial" w:cs="Arial" w:eastAsia="Arial" w:hAnsi="Arial"/>
          <w:sz w:val="20"/>
          <w:szCs w:val="20"/>
          <w:color w:val="231F20"/>
        </w:rPr>
        <w:t>The following equity awards were made in 2025 to our NEOs.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305"/>
        </w:trPr>
        <w:tc>
          <w:tcPr>
            <w:tcW w:w="4300" w:type="dxa"/>
            <w:vAlign w:val="bottom"/>
            <w:shd w:val="clear" w:color="auto" w:fill="EF3E2A"/>
          </w:tcPr>
          <w:p>
            <w:pPr>
              <w:spacing w:after="0"/>
              <w:rPr>
                <w:sz w:val="24"/>
                <w:szCs w:val="24"/>
                <w:color w:val="auto"/>
              </w:rPr>
            </w:pPr>
          </w:p>
        </w:tc>
        <w:tc>
          <w:tcPr>
            <w:tcW w:w="1360" w:type="dxa"/>
            <w:vAlign w:val="bottom"/>
            <w:shd w:val="clear" w:color="auto" w:fill="EF3E2A"/>
          </w:tcPr>
          <w:p>
            <w:pPr>
              <w:spacing w:after="0"/>
              <w:rPr>
                <w:sz w:val="24"/>
                <w:szCs w:val="24"/>
                <w:color w:val="auto"/>
              </w:rPr>
            </w:pPr>
          </w:p>
        </w:tc>
        <w:tc>
          <w:tcPr>
            <w:tcW w:w="1800" w:type="dxa"/>
            <w:vAlign w:val="bottom"/>
            <w:shd w:val="clear" w:color="auto" w:fill="EF3E2A"/>
          </w:tcPr>
          <w:p>
            <w:pPr>
              <w:jc w:val="right"/>
              <w:spacing w:after="0"/>
              <w:rPr>
                <w:sz w:val="20"/>
                <w:szCs w:val="20"/>
                <w:color w:val="auto"/>
              </w:rPr>
            </w:pPr>
            <w:r>
              <w:rPr>
                <w:rFonts w:ascii="Calibri" w:cs="Calibri" w:eastAsia="Calibri" w:hAnsi="Calibri"/>
                <w:sz w:val="16"/>
                <w:szCs w:val="16"/>
                <w:b w:val="1"/>
                <w:bCs w:val="1"/>
                <w:color w:val="E8E7E5"/>
              </w:rPr>
              <w:t>All Other Stock Awards:</w:t>
            </w:r>
          </w:p>
        </w:tc>
        <w:tc>
          <w:tcPr>
            <w:tcW w:w="160" w:type="dxa"/>
            <w:vAlign w:val="bottom"/>
            <w:shd w:val="clear" w:color="auto" w:fill="EF3E2A"/>
          </w:tcPr>
          <w:p>
            <w:pPr>
              <w:spacing w:after="0"/>
              <w:rPr>
                <w:sz w:val="24"/>
                <w:szCs w:val="24"/>
                <w:color w:val="auto"/>
              </w:rPr>
            </w:pPr>
          </w:p>
        </w:tc>
        <w:tc>
          <w:tcPr>
            <w:tcW w:w="860" w:type="dxa"/>
            <w:vAlign w:val="bottom"/>
            <w:vMerge w:val="restart"/>
            <w:shd w:val="clear" w:color="auto" w:fill="EF3E2A"/>
          </w:tcPr>
          <w:p>
            <w:pPr>
              <w:jc w:val="right"/>
              <w:spacing w:after="0"/>
              <w:rPr>
                <w:sz w:val="20"/>
                <w:szCs w:val="20"/>
                <w:color w:val="auto"/>
              </w:rPr>
            </w:pPr>
            <w:r>
              <w:rPr>
                <w:rFonts w:ascii="Calibri" w:cs="Calibri" w:eastAsia="Calibri" w:hAnsi="Calibri"/>
                <w:sz w:val="16"/>
                <w:szCs w:val="16"/>
                <w:b w:val="1"/>
                <w:bCs w:val="1"/>
                <w:color w:val="E8E7E5"/>
              </w:rPr>
              <w:t>Grant Date</w:t>
            </w:r>
          </w:p>
        </w:tc>
        <w:tc>
          <w:tcPr>
            <w:tcW w:w="0" w:type="dxa"/>
            <w:vAlign w:val="bottom"/>
          </w:tcPr>
          <w:p>
            <w:pPr>
              <w:spacing w:after="0"/>
              <w:rPr>
                <w:sz w:val="1"/>
                <w:szCs w:val="1"/>
                <w:color w:val="auto"/>
              </w:rPr>
            </w:pPr>
          </w:p>
        </w:tc>
      </w:tr>
      <w:tr>
        <w:trPr>
          <w:trHeight w:val="160"/>
        </w:trPr>
        <w:tc>
          <w:tcPr>
            <w:tcW w:w="4300" w:type="dxa"/>
            <w:vAlign w:val="bottom"/>
            <w:shd w:val="clear" w:color="auto" w:fill="EF3E2A"/>
          </w:tcPr>
          <w:p>
            <w:pPr>
              <w:spacing w:after="0"/>
              <w:rPr>
                <w:sz w:val="13"/>
                <w:szCs w:val="13"/>
                <w:color w:val="auto"/>
              </w:rPr>
            </w:pPr>
          </w:p>
        </w:tc>
        <w:tc>
          <w:tcPr>
            <w:tcW w:w="1360" w:type="dxa"/>
            <w:vAlign w:val="bottom"/>
            <w:shd w:val="clear" w:color="auto" w:fill="EF3E2A"/>
          </w:tcPr>
          <w:p>
            <w:pPr>
              <w:jc w:val="right"/>
              <w:ind w:right="340"/>
              <w:spacing w:after="0" w:line="160" w:lineRule="exact"/>
              <w:rPr>
                <w:sz w:val="20"/>
                <w:szCs w:val="20"/>
                <w:color w:val="auto"/>
              </w:rPr>
            </w:pPr>
            <w:r>
              <w:rPr>
                <w:rFonts w:ascii="Calibri" w:cs="Calibri" w:eastAsia="Calibri" w:hAnsi="Calibri"/>
                <w:sz w:val="16"/>
                <w:szCs w:val="16"/>
                <w:b w:val="1"/>
                <w:bCs w:val="1"/>
                <w:color w:val="E8E7E5"/>
              </w:rPr>
              <w:t>Grant</w:t>
            </w:r>
          </w:p>
        </w:tc>
        <w:tc>
          <w:tcPr>
            <w:tcW w:w="1800" w:type="dxa"/>
            <w:vAlign w:val="bottom"/>
            <w:shd w:val="clear" w:color="auto" w:fill="EF3E2A"/>
          </w:tcPr>
          <w:p>
            <w:pPr>
              <w:jc w:val="right"/>
              <w:spacing w:after="0" w:line="160" w:lineRule="exact"/>
              <w:rPr>
                <w:sz w:val="20"/>
                <w:szCs w:val="20"/>
                <w:color w:val="auto"/>
              </w:rPr>
            </w:pPr>
            <w:r>
              <w:rPr>
                <w:rFonts w:ascii="Calibri" w:cs="Calibri" w:eastAsia="Calibri" w:hAnsi="Calibri"/>
                <w:sz w:val="16"/>
                <w:szCs w:val="16"/>
                <w:b w:val="1"/>
                <w:bCs w:val="1"/>
                <w:color w:val="E8E7E5"/>
              </w:rPr>
              <w:t>Number of Shares of</w:t>
            </w:r>
          </w:p>
        </w:tc>
        <w:tc>
          <w:tcPr>
            <w:tcW w:w="160" w:type="dxa"/>
            <w:vAlign w:val="bottom"/>
            <w:shd w:val="clear" w:color="auto" w:fill="EF3E2A"/>
          </w:tcPr>
          <w:p>
            <w:pPr>
              <w:spacing w:after="0"/>
              <w:rPr>
                <w:sz w:val="13"/>
                <w:szCs w:val="13"/>
                <w:color w:val="auto"/>
              </w:rPr>
            </w:pPr>
          </w:p>
        </w:tc>
        <w:tc>
          <w:tcPr>
            <w:tcW w:w="860" w:type="dxa"/>
            <w:vAlign w:val="bottom"/>
            <w:vMerge w:val="continue"/>
            <w:shd w:val="clear" w:color="auto" w:fill="EF3E2A"/>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4300" w:type="dxa"/>
            <w:vAlign w:val="bottom"/>
            <w:tcBorders>
              <w:bottom w:val="single" w:sz="8" w:color="231F20"/>
            </w:tcBorders>
            <w:shd w:val="clear" w:color="auto" w:fill="EF3E2A"/>
          </w:tcPr>
          <w:p>
            <w:pPr>
              <w:ind w:left="80"/>
              <w:spacing w:after="0" w:line="163" w:lineRule="exact"/>
              <w:rPr>
                <w:sz w:val="20"/>
                <w:szCs w:val="20"/>
                <w:color w:val="auto"/>
              </w:rPr>
            </w:pPr>
            <w:r>
              <w:rPr>
                <w:rFonts w:ascii="Calibri" w:cs="Calibri" w:eastAsia="Calibri" w:hAnsi="Calibri"/>
                <w:sz w:val="16"/>
                <w:szCs w:val="16"/>
                <w:b w:val="1"/>
                <w:bCs w:val="1"/>
                <w:color w:val="E8E7E5"/>
              </w:rPr>
              <w:t>Name</w:t>
            </w:r>
          </w:p>
        </w:tc>
        <w:tc>
          <w:tcPr>
            <w:tcW w:w="1360" w:type="dxa"/>
            <w:vAlign w:val="bottom"/>
            <w:tcBorders>
              <w:bottom w:val="single" w:sz="8" w:color="231F20"/>
            </w:tcBorders>
            <w:shd w:val="clear" w:color="auto" w:fill="EF3E2A"/>
          </w:tcPr>
          <w:p>
            <w:pPr>
              <w:jc w:val="right"/>
              <w:ind w:right="380"/>
              <w:spacing w:after="0" w:line="163" w:lineRule="exact"/>
              <w:rPr>
                <w:sz w:val="20"/>
                <w:szCs w:val="20"/>
                <w:color w:val="auto"/>
              </w:rPr>
            </w:pPr>
            <w:r>
              <w:rPr>
                <w:rFonts w:ascii="Calibri" w:cs="Calibri" w:eastAsia="Calibri" w:hAnsi="Calibri"/>
                <w:sz w:val="16"/>
                <w:szCs w:val="16"/>
                <w:b w:val="1"/>
                <w:bCs w:val="1"/>
                <w:color w:val="E8E7E5"/>
              </w:rPr>
              <w:t>Date</w:t>
            </w:r>
          </w:p>
        </w:tc>
        <w:tc>
          <w:tcPr>
            <w:tcW w:w="1800" w:type="dxa"/>
            <w:vAlign w:val="bottom"/>
            <w:tcBorders>
              <w:bottom w:val="single" w:sz="8" w:color="231F20"/>
            </w:tcBorders>
            <w:shd w:val="clear" w:color="auto" w:fill="EF3E2A"/>
          </w:tcPr>
          <w:p>
            <w:pPr>
              <w:jc w:val="right"/>
              <w:ind w:right="20"/>
              <w:spacing w:after="0" w:line="205" w:lineRule="exact"/>
              <w:rPr>
                <w:sz w:val="20"/>
                <w:szCs w:val="20"/>
                <w:color w:val="auto"/>
              </w:rPr>
            </w:pPr>
            <w:r>
              <w:rPr>
                <w:rFonts w:ascii="Calibri" w:cs="Calibri" w:eastAsia="Calibri" w:hAnsi="Calibri"/>
                <w:sz w:val="16"/>
                <w:szCs w:val="16"/>
                <w:b w:val="1"/>
                <w:bCs w:val="1"/>
                <w:color w:val="E8E7E5"/>
              </w:rPr>
              <w:t>Stock or Units</w:t>
            </w:r>
            <w:r>
              <w:rPr>
                <w:rFonts w:ascii="Calibri" w:cs="Calibri" w:eastAsia="Calibri" w:hAnsi="Calibri"/>
                <w:sz w:val="20"/>
                <w:szCs w:val="20"/>
                <w:b w:val="1"/>
                <w:bCs w:val="1"/>
                <w:color w:val="E8E7E5"/>
                <w:vertAlign w:val="superscript"/>
              </w:rPr>
              <w:t>(3)</w:t>
            </w:r>
          </w:p>
        </w:tc>
        <w:tc>
          <w:tcPr>
            <w:tcW w:w="160" w:type="dxa"/>
            <w:vAlign w:val="bottom"/>
            <w:tcBorders>
              <w:bottom w:val="single" w:sz="8" w:color="231F20"/>
            </w:tcBorders>
            <w:shd w:val="clear" w:color="auto" w:fill="EF3E2A"/>
          </w:tcPr>
          <w:p>
            <w:pPr>
              <w:spacing w:after="0"/>
              <w:rPr>
                <w:sz w:val="17"/>
                <w:szCs w:val="17"/>
                <w:color w:val="auto"/>
              </w:rPr>
            </w:pPr>
          </w:p>
        </w:tc>
        <w:tc>
          <w:tcPr>
            <w:tcW w:w="860" w:type="dxa"/>
            <w:vAlign w:val="bottom"/>
            <w:tcBorders>
              <w:bottom w:val="single" w:sz="8" w:color="231F20"/>
            </w:tcBorders>
            <w:shd w:val="clear" w:color="auto" w:fill="EF3E2A"/>
          </w:tcPr>
          <w:p>
            <w:pPr>
              <w:jc w:val="right"/>
              <w:spacing w:after="0" w:line="205" w:lineRule="exact"/>
              <w:rPr>
                <w:sz w:val="20"/>
                <w:szCs w:val="20"/>
                <w:color w:val="auto"/>
              </w:rPr>
            </w:pPr>
            <w:r>
              <w:rPr>
                <w:rFonts w:ascii="Calibri" w:cs="Calibri" w:eastAsia="Calibri" w:hAnsi="Calibri"/>
                <w:sz w:val="16"/>
                <w:szCs w:val="16"/>
                <w:b w:val="1"/>
                <w:bCs w:val="1"/>
                <w:color w:val="E8E7E5"/>
                <w:w w:val="95"/>
              </w:rPr>
              <w:t>Fair Value</w:t>
            </w:r>
            <w:r>
              <w:rPr>
                <w:rFonts w:ascii="Calibri" w:cs="Calibri" w:eastAsia="Calibri" w:hAnsi="Calibri"/>
                <w:sz w:val="20"/>
                <w:szCs w:val="20"/>
                <w:b w:val="1"/>
                <w:bCs w:val="1"/>
                <w:color w:val="E8E7E5"/>
                <w:w w:val="95"/>
                <w:vertAlign w:val="superscript"/>
              </w:rPr>
              <w:t>(4)</w:t>
            </w:r>
          </w:p>
        </w:tc>
        <w:tc>
          <w:tcPr>
            <w:tcW w:w="0" w:type="dxa"/>
            <w:vAlign w:val="bottom"/>
          </w:tcPr>
          <w:p>
            <w:pPr>
              <w:spacing w:after="0"/>
              <w:rPr>
                <w:sz w:val="1"/>
                <w:szCs w:val="1"/>
                <w:color w:val="auto"/>
              </w:rPr>
            </w:pPr>
          </w:p>
        </w:tc>
      </w:tr>
      <w:tr>
        <w:trPr>
          <w:trHeight w:val="310"/>
        </w:trPr>
        <w:tc>
          <w:tcPr>
            <w:tcW w:w="4300" w:type="dxa"/>
            <w:vAlign w:val="bottom"/>
            <w:shd w:val="clear" w:color="auto" w:fill="DCDDDE"/>
          </w:tcPr>
          <w:p>
            <w:pPr>
              <w:ind w:left="80"/>
              <w:spacing w:after="0"/>
              <w:rPr>
                <w:sz w:val="20"/>
                <w:szCs w:val="20"/>
                <w:color w:val="auto"/>
              </w:rPr>
            </w:pPr>
            <w:r>
              <w:rPr>
                <w:rFonts w:ascii="Calibri" w:cs="Calibri" w:eastAsia="Calibri" w:hAnsi="Calibri"/>
                <w:sz w:val="16"/>
                <w:szCs w:val="16"/>
                <w:color w:val="231F20"/>
              </w:rPr>
              <w:t>Donald C. Wood</w:t>
            </w:r>
          </w:p>
        </w:tc>
        <w:tc>
          <w:tcPr>
            <w:tcW w:w="1360" w:type="dxa"/>
            <w:vAlign w:val="bottom"/>
          </w:tcPr>
          <w:p>
            <w:pPr>
              <w:jc w:val="right"/>
              <w:ind w:right="40"/>
              <w:spacing w:after="0"/>
              <w:rPr>
                <w:sz w:val="20"/>
                <w:szCs w:val="20"/>
                <w:color w:val="auto"/>
              </w:rPr>
            </w:pPr>
            <w:r>
              <w:rPr>
                <w:rFonts w:ascii="Calibri" w:cs="Calibri" w:eastAsia="Calibri" w:hAnsi="Calibri"/>
                <w:sz w:val="16"/>
                <w:szCs w:val="16"/>
                <w:color w:val="231F20"/>
              </w:rPr>
              <w:t xml:space="preserve">2/12/2025 </w:t>
            </w:r>
            <w:r>
              <w:rPr>
                <w:rFonts w:ascii="Calibri" w:cs="Calibri" w:eastAsia="Calibri" w:hAnsi="Calibri"/>
                <w:sz w:val="20"/>
                <w:szCs w:val="20"/>
                <w:color w:val="231F20"/>
                <w:vertAlign w:val="superscript"/>
              </w:rPr>
              <w:t>(1)</w:t>
            </w:r>
          </w:p>
        </w:tc>
        <w:tc>
          <w:tcPr>
            <w:tcW w:w="1800" w:type="dxa"/>
            <w:vAlign w:val="bottom"/>
          </w:tcPr>
          <w:p>
            <w:pPr>
              <w:jc w:val="right"/>
              <w:ind w:right="560"/>
              <w:spacing w:after="0"/>
              <w:rPr>
                <w:sz w:val="20"/>
                <w:szCs w:val="20"/>
                <w:color w:val="auto"/>
              </w:rPr>
            </w:pPr>
            <w:r>
              <w:rPr>
                <w:rFonts w:ascii="Calibri" w:cs="Calibri" w:eastAsia="Calibri" w:hAnsi="Calibri"/>
                <w:sz w:val="16"/>
                <w:szCs w:val="16"/>
                <w:color w:val="231F20"/>
              </w:rPr>
              <w:t>4,579</w:t>
            </w:r>
          </w:p>
        </w:tc>
        <w:tc>
          <w:tcPr>
            <w:tcW w:w="160" w:type="dxa"/>
            <w:vAlign w:val="bottom"/>
          </w:tcPr>
          <w:p>
            <w:pPr>
              <w:jc w:val="right"/>
              <w:spacing w:after="0"/>
              <w:rPr>
                <w:sz w:val="20"/>
                <w:szCs w:val="20"/>
                <w:color w:val="auto"/>
              </w:rPr>
            </w:pPr>
            <w:r>
              <w:rPr>
                <w:rFonts w:ascii="Calibri" w:cs="Calibri" w:eastAsia="Calibri" w:hAnsi="Calibri"/>
                <w:sz w:val="16"/>
                <w:szCs w:val="16"/>
                <w:color w:val="231F20"/>
              </w:rPr>
              <w:t>$</w:t>
            </w:r>
          </w:p>
        </w:tc>
        <w:tc>
          <w:tcPr>
            <w:tcW w:w="860" w:type="dxa"/>
            <w:vAlign w:val="bottom"/>
          </w:tcPr>
          <w:p>
            <w:pPr>
              <w:jc w:val="right"/>
              <w:ind w:right="60"/>
              <w:spacing w:after="0"/>
              <w:rPr>
                <w:sz w:val="20"/>
                <w:szCs w:val="20"/>
                <w:color w:val="auto"/>
              </w:rPr>
            </w:pPr>
            <w:r>
              <w:rPr>
                <w:rFonts w:ascii="Calibri" w:cs="Calibri" w:eastAsia="Calibri" w:hAnsi="Calibri"/>
                <w:sz w:val="16"/>
                <w:szCs w:val="16"/>
                <w:color w:val="231F20"/>
              </w:rPr>
              <w:t>506,208</w:t>
            </w:r>
          </w:p>
        </w:tc>
        <w:tc>
          <w:tcPr>
            <w:tcW w:w="0" w:type="dxa"/>
            <w:vAlign w:val="bottom"/>
          </w:tcPr>
          <w:p>
            <w:pPr>
              <w:spacing w:after="0"/>
              <w:rPr>
                <w:sz w:val="1"/>
                <w:szCs w:val="1"/>
                <w:color w:val="auto"/>
              </w:rPr>
            </w:pPr>
          </w:p>
        </w:tc>
      </w:tr>
      <w:tr>
        <w:trPr>
          <w:trHeight w:val="230"/>
        </w:trPr>
        <w:tc>
          <w:tcPr>
            <w:tcW w:w="4300" w:type="dxa"/>
            <w:vAlign w:val="bottom"/>
            <w:tcBorders>
              <w:bottom w:val="single" w:sz="8" w:color="231F20"/>
            </w:tcBorders>
            <w:shd w:val="clear" w:color="auto" w:fill="DCDDDE"/>
          </w:tcPr>
          <w:p>
            <w:pPr>
              <w:spacing w:after="0"/>
              <w:rPr>
                <w:sz w:val="19"/>
                <w:szCs w:val="19"/>
                <w:color w:val="auto"/>
              </w:rPr>
            </w:pPr>
          </w:p>
        </w:tc>
        <w:tc>
          <w:tcPr>
            <w:tcW w:w="1360" w:type="dxa"/>
            <w:vAlign w:val="bottom"/>
            <w:tcBorders>
              <w:bottom w:val="single" w:sz="8" w:color="231F20"/>
            </w:tcBorders>
          </w:tcPr>
          <w:p>
            <w:pPr>
              <w:jc w:val="right"/>
              <w:ind w:right="40"/>
              <w:spacing w:after="0" w:line="229" w:lineRule="exact"/>
              <w:rPr>
                <w:sz w:val="20"/>
                <w:szCs w:val="20"/>
                <w:color w:val="auto"/>
              </w:rPr>
            </w:pPr>
            <w:r>
              <w:rPr>
                <w:rFonts w:ascii="Calibri" w:cs="Calibri" w:eastAsia="Calibri" w:hAnsi="Calibri"/>
                <w:sz w:val="16"/>
                <w:szCs w:val="16"/>
                <w:color w:val="231F20"/>
              </w:rPr>
              <w:t xml:space="preserve">2/12/2025 </w:t>
            </w:r>
            <w:r>
              <w:rPr>
                <w:rFonts w:ascii="Calibri" w:cs="Calibri" w:eastAsia="Calibri" w:hAnsi="Calibri"/>
                <w:sz w:val="20"/>
                <w:szCs w:val="20"/>
                <w:color w:val="231F20"/>
                <w:vertAlign w:val="superscript"/>
              </w:rPr>
              <w:t>(2)</w:t>
            </w:r>
          </w:p>
        </w:tc>
        <w:tc>
          <w:tcPr>
            <w:tcW w:w="1800" w:type="dxa"/>
            <w:vAlign w:val="bottom"/>
            <w:tcBorders>
              <w:bottom w:val="single" w:sz="8" w:color="231F20"/>
            </w:tcBorders>
          </w:tcPr>
          <w:p>
            <w:pPr>
              <w:jc w:val="right"/>
              <w:ind w:right="560"/>
              <w:spacing w:after="0"/>
              <w:rPr>
                <w:sz w:val="20"/>
                <w:szCs w:val="20"/>
                <w:color w:val="auto"/>
              </w:rPr>
            </w:pPr>
            <w:r>
              <w:rPr>
                <w:rFonts w:ascii="Calibri" w:cs="Calibri" w:eastAsia="Calibri" w:hAnsi="Calibri"/>
                <w:sz w:val="16"/>
                <w:szCs w:val="16"/>
                <w:color w:val="231F20"/>
              </w:rPr>
              <w:t>63,756</w:t>
            </w:r>
          </w:p>
        </w:tc>
        <w:tc>
          <w:tcPr>
            <w:tcW w:w="160" w:type="dxa"/>
            <w:vAlign w:val="bottom"/>
            <w:tcBorders>
              <w:bottom w:val="single" w:sz="8" w:color="231F20"/>
            </w:tcBorders>
          </w:tcPr>
          <w:p>
            <w:pPr>
              <w:jc w:val="right"/>
              <w:spacing w:after="0"/>
              <w:rPr>
                <w:sz w:val="20"/>
                <w:szCs w:val="20"/>
                <w:color w:val="auto"/>
              </w:rPr>
            </w:pPr>
            <w:r>
              <w:rPr>
                <w:rFonts w:ascii="Calibri" w:cs="Calibri" w:eastAsia="Calibri" w:hAnsi="Calibri"/>
                <w:sz w:val="16"/>
                <w:szCs w:val="16"/>
                <w:color w:val="231F20"/>
              </w:rPr>
              <w:t>$</w:t>
            </w:r>
          </w:p>
        </w:tc>
        <w:tc>
          <w:tcPr>
            <w:tcW w:w="860" w:type="dxa"/>
            <w:vAlign w:val="bottom"/>
            <w:tcBorders>
              <w:bottom w:val="single" w:sz="8" w:color="231F20"/>
            </w:tcBorders>
          </w:tcPr>
          <w:p>
            <w:pPr>
              <w:jc w:val="right"/>
              <w:ind w:right="60"/>
              <w:spacing w:after="0"/>
              <w:rPr>
                <w:sz w:val="20"/>
                <w:szCs w:val="20"/>
                <w:color w:val="auto"/>
              </w:rPr>
            </w:pPr>
            <w:r>
              <w:rPr>
                <w:rFonts w:ascii="Calibri" w:cs="Calibri" w:eastAsia="Calibri" w:hAnsi="Calibri"/>
                <w:sz w:val="16"/>
                <w:szCs w:val="16"/>
                <w:color w:val="231F20"/>
              </w:rPr>
              <w:t>7,048,226</w:t>
            </w:r>
          </w:p>
        </w:tc>
        <w:tc>
          <w:tcPr>
            <w:tcW w:w="0" w:type="dxa"/>
            <w:vAlign w:val="bottom"/>
          </w:tcPr>
          <w:p>
            <w:pPr>
              <w:spacing w:after="0"/>
              <w:rPr>
                <w:sz w:val="1"/>
                <w:szCs w:val="1"/>
                <w:color w:val="auto"/>
              </w:rPr>
            </w:pPr>
          </w:p>
        </w:tc>
      </w:tr>
      <w:tr>
        <w:trPr>
          <w:trHeight w:val="260"/>
        </w:trPr>
        <w:tc>
          <w:tcPr>
            <w:tcW w:w="4300" w:type="dxa"/>
            <w:vAlign w:val="bottom"/>
            <w:tcBorders>
              <w:bottom w:val="single" w:sz="8" w:color="231F20"/>
            </w:tcBorders>
            <w:shd w:val="clear" w:color="auto" w:fill="DCDDDE"/>
          </w:tcPr>
          <w:p>
            <w:pPr>
              <w:ind w:left="80"/>
              <w:spacing w:after="0"/>
              <w:rPr>
                <w:sz w:val="20"/>
                <w:szCs w:val="20"/>
                <w:color w:val="auto"/>
              </w:rPr>
            </w:pPr>
            <w:r>
              <w:rPr>
                <w:rFonts w:ascii="Calibri" w:cs="Calibri" w:eastAsia="Calibri" w:hAnsi="Calibri"/>
                <w:sz w:val="16"/>
                <w:szCs w:val="16"/>
                <w:color w:val="231F20"/>
              </w:rPr>
              <w:t>Daniel Guglielmone</w:t>
            </w:r>
          </w:p>
        </w:tc>
        <w:tc>
          <w:tcPr>
            <w:tcW w:w="1360" w:type="dxa"/>
            <w:vAlign w:val="bottom"/>
            <w:tcBorders>
              <w:bottom w:val="single" w:sz="8" w:color="231F20"/>
            </w:tcBorders>
          </w:tcPr>
          <w:p>
            <w:pPr>
              <w:jc w:val="right"/>
              <w:ind w:right="40"/>
              <w:spacing w:after="0"/>
              <w:rPr>
                <w:sz w:val="20"/>
                <w:szCs w:val="20"/>
                <w:color w:val="auto"/>
              </w:rPr>
            </w:pPr>
            <w:r>
              <w:rPr>
                <w:rFonts w:ascii="Calibri" w:cs="Calibri" w:eastAsia="Calibri" w:hAnsi="Calibri"/>
                <w:sz w:val="16"/>
                <w:szCs w:val="16"/>
                <w:color w:val="231F20"/>
              </w:rPr>
              <w:t xml:space="preserve">2/12/2025 </w:t>
            </w:r>
            <w:r>
              <w:rPr>
                <w:rFonts w:ascii="Calibri" w:cs="Calibri" w:eastAsia="Calibri" w:hAnsi="Calibri"/>
                <w:sz w:val="20"/>
                <w:szCs w:val="20"/>
                <w:color w:val="231F20"/>
                <w:vertAlign w:val="superscript"/>
              </w:rPr>
              <w:t>(2)</w:t>
            </w:r>
          </w:p>
        </w:tc>
        <w:tc>
          <w:tcPr>
            <w:tcW w:w="1800" w:type="dxa"/>
            <w:vAlign w:val="bottom"/>
            <w:tcBorders>
              <w:bottom w:val="single" w:sz="8" w:color="231F20"/>
            </w:tcBorders>
          </w:tcPr>
          <w:p>
            <w:pPr>
              <w:jc w:val="right"/>
              <w:ind w:right="560"/>
              <w:spacing w:after="0"/>
              <w:rPr>
                <w:sz w:val="20"/>
                <w:szCs w:val="20"/>
                <w:color w:val="auto"/>
              </w:rPr>
            </w:pPr>
            <w:r>
              <w:rPr>
                <w:rFonts w:ascii="Calibri" w:cs="Calibri" w:eastAsia="Calibri" w:hAnsi="Calibri"/>
                <w:sz w:val="16"/>
                <w:szCs w:val="16"/>
                <w:color w:val="231F20"/>
              </w:rPr>
              <w:t>15,939</w:t>
            </w:r>
          </w:p>
        </w:tc>
        <w:tc>
          <w:tcPr>
            <w:tcW w:w="160" w:type="dxa"/>
            <w:vAlign w:val="bottom"/>
            <w:tcBorders>
              <w:bottom w:val="single" w:sz="8" w:color="231F20"/>
            </w:tcBorders>
          </w:tcPr>
          <w:p>
            <w:pPr>
              <w:jc w:val="right"/>
              <w:spacing w:after="0"/>
              <w:rPr>
                <w:sz w:val="20"/>
                <w:szCs w:val="20"/>
                <w:color w:val="auto"/>
              </w:rPr>
            </w:pPr>
            <w:r>
              <w:rPr>
                <w:rFonts w:ascii="Calibri" w:cs="Calibri" w:eastAsia="Calibri" w:hAnsi="Calibri"/>
                <w:sz w:val="16"/>
                <w:szCs w:val="16"/>
                <w:color w:val="231F20"/>
              </w:rPr>
              <w:t>$</w:t>
            </w:r>
          </w:p>
        </w:tc>
        <w:tc>
          <w:tcPr>
            <w:tcW w:w="860" w:type="dxa"/>
            <w:vAlign w:val="bottom"/>
            <w:tcBorders>
              <w:bottom w:val="single" w:sz="8" w:color="231F20"/>
            </w:tcBorders>
          </w:tcPr>
          <w:p>
            <w:pPr>
              <w:jc w:val="right"/>
              <w:ind w:right="60"/>
              <w:spacing w:after="0"/>
              <w:rPr>
                <w:sz w:val="20"/>
                <w:szCs w:val="20"/>
                <w:color w:val="auto"/>
              </w:rPr>
            </w:pPr>
            <w:r>
              <w:rPr>
                <w:rFonts w:ascii="Calibri" w:cs="Calibri" w:eastAsia="Calibri" w:hAnsi="Calibri"/>
                <w:sz w:val="16"/>
                <w:szCs w:val="16"/>
                <w:color w:val="231F20"/>
              </w:rPr>
              <w:t>1,762,056</w:t>
            </w:r>
          </w:p>
        </w:tc>
        <w:tc>
          <w:tcPr>
            <w:tcW w:w="0" w:type="dxa"/>
            <w:vAlign w:val="bottom"/>
          </w:tcPr>
          <w:p>
            <w:pPr>
              <w:spacing w:after="0"/>
              <w:rPr>
                <w:sz w:val="1"/>
                <w:szCs w:val="1"/>
                <w:color w:val="auto"/>
              </w:rPr>
            </w:pPr>
          </w:p>
        </w:tc>
      </w:tr>
      <w:tr>
        <w:trPr>
          <w:trHeight w:val="310"/>
        </w:trPr>
        <w:tc>
          <w:tcPr>
            <w:tcW w:w="4300" w:type="dxa"/>
            <w:vAlign w:val="bottom"/>
            <w:shd w:val="clear" w:color="auto" w:fill="DCDDDE"/>
          </w:tcPr>
          <w:p>
            <w:pPr>
              <w:ind w:left="80"/>
              <w:spacing w:after="0"/>
              <w:rPr>
                <w:sz w:val="20"/>
                <w:szCs w:val="20"/>
                <w:color w:val="auto"/>
              </w:rPr>
            </w:pPr>
            <w:r>
              <w:rPr>
                <w:rFonts w:ascii="Calibri" w:cs="Calibri" w:eastAsia="Calibri" w:hAnsi="Calibri"/>
                <w:sz w:val="16"/>
                <w:szCs w:val="16"/>
                <w:color w:val="231F20"/>
              </w:rPr>
              <w:t>Dawn M. Becker</w:t>
            </w:r>
          </w:p>
        </w:tc>
        <w:tc>
          <w:tcPr>
            <w:tcW w:w="1360" w:type="dxa"/>
            <w:vAlign w:val="bottom"/>
          </w:tcPr>
          <w:p>
            <w:pPr>
              <w:jc w:val="right"/>
              <w:ind w:right="40"/>
              <w:spacing w:after="0"/>
              <w:rPr>
                <w:sz w:val="20"/>
                <w:szCs w:val="20"/>
                <w:color w:val="auto"/>
              </w:rPr>
            </w:pPr>
            <w:r>
              <w:rPr>
                <w:rFonts w:ascii="Calibri" w:cs="Calibri" w:eastAsia="Calibri" w:hAnsi="Calibri"/>
                <w:sz w:val="16"/>
                <w:szCs w:val="16"/>
                <w:color w:val="231F20"/>
              </w:rPr>
              <w:t xml:space="preserve">2/12/2025 </w:t>
            </w:r>
            <w:r>
              <w:rPr>
                <w:rFonts w:ascii="Calibri" w:cs="Calibri" w:eastAsia="Calibri" w:hAnsi="Calibri"/>
                <w:sz w:val="20"/>
                <w:szCs w:val="20"/>
                <w:color w:val="231F20"/>
                <w:vertAlign w:val="superscript"/>
              </w:rPr>
              <w:t>(1)</w:t>
            </w:r>
          </w:p>
        </w:tc>
        <w:tc>
          <w:tcPr>
            <w:tcW w:w="1800" w:type="dxa"/>
            <w:vAlign w:val="bottom"/>
          </w:tcPr>
          <w:p>
            <w:pPr>
              <w:jc w:val="right"/>
              <w:ind w:right="560"/>
              <w:spacing w:after="0"/>
              <w:rPr>
                <w:sz w:val="20"/>
                <w:szCs w:val="20"/>
                <w:color w:val="auto"/>
              </w:rPr>
            </w:pPr>
            <w:r>
              <w:rPr>
                <w:rFonts w:ascii="Calibri" w:cs="Calibri" w:eastAsia="Calibri" w:hAnsi="Calibri"/>
                <w:sz w:val="16"/>
                <w:szCs w:val="16"/>
                <w:color w:val="231F20"/>
              </w:rPr>
              <w:t>1,755</w:t>
            </w:r>
          </w:p>
        </w:tc>
        <w:tc>
          <w:tcPr>
            <w:tcW w:w="160" w:type="dxa"/>
            <w:vAlign w:val="bottom"/>
          </w:tcPr>
          <w:p>
            <w:pPr>
              <w:jc w:val="right"/>
              <w:spacing w:after="0"/>
              <w:rPr>
                <w:sz w:val="20"/>
                <w:szCs w:val="20"/>
                <w:color w:val="auto"/>
              </w:rPr>
            </w:pPr>
            <w:r>
              <w:rPr>
                <w:rFonts w:ascii="Calibri" w:cs="Calibri" w:eastAsia="Calibri" w:hAnsi="Calibri"/>
                <w:sz w:val="16"/>
                <w:szCs w:val="16"/>
                <w:color w:val="231F20"/>
              </w:rPr>
              <w:t>$</w:t>
            </w:r>
          </w:p>
        </w:tc>
        <w:tc>
          <w:tcPr>
            <w:tcW w:w="860" w:type="dxa"/>
            <w:vAlign w:val="bottom"/>
          </w:tcPr>
          <w:p>
            <w:pPr>
              <w:jc w:val="right"/>
              <w:ind w:right="60"/>
              <w:spacing w:after="0"/>
              <w:rPr>
                <w:sz w:val="20"/>
                <w:szCs w:val="20"/>
                <w:color w:val="auto"/>
              </w:rPr>
            </w:pPr>
            <w:r>
              <w:rPr>
                <w:rFonts w:ascii="Calibri" w:cs="Calibri" w:eastAsia="Calibri" w:hAnsi="Calibri"/>
                <w:sz w:val="16"/>
                <w:szCs w:val="16"/>
                <w:color w:val="231F20"/>
              </w:rPr>
              <w:t>194,015</w:t>
            </w:r>
          </w:p>
        </w:tc>
        <w:tc>
          <w:tcPr>
            <w:tcW w:w="0" w:type="dxa"/>
            <w:vAlign w:val="bottom"/>
          </w:tcPr>
          <w:p>
            <w:pPr>
              <w:spacing w:after="0"/>
              <w:rPr>
                <w:sz w:val="1"/>
                <w:szCs w:val="1"/>
                <w:color w:val="auto"/>
              </w:rPr>
            </w:pPr>
          </w:p>
        </w:tc>
      </w:tr>
      <w:tr>
        <w:trPr>
          <w:trHeight w:val="230"/>
        </w:trPr>
        <w:tc>
          <w:tcPr>
            <w:tcW w:w="4300" w:type="dxa"/>
            <w:vAlign w:val="bottom"/>
            <w:tcBorders>
              <w:bottom w:val="single" w:sz="8" w:color="231F20"/>
            </w:tcBorders>
            <w:shd w:val="clear" w:color="auto" w:fill="DCDDDE"/>
          </w:tcPr>
          <w:p>
            <w:pPr>
              <w:spacing w:after="0"/>
              <w:rPr>
                <w:sz w:val="19"/>
                <w:szCs w:val="19"/>
                <w:color w:val="auto"/>
              </w:rPr>
            </w:pPr>
          </w:p>
        </w:tc>
        <w:tc>
          <w:tcPr>
            <w:tcW w:w="1360" w:type="dxa"/>
            <w:vAlign w:val="bottom"/>
            <w:tcBorders>
              <w:bottom w:val="single" w:sz="8" w:color="231F20"/>
            </w:tcBorders>
          </w:tcPr>
          <w:p>
            <w:pPr>
              <w:jc w:val="right"/>
              <w:ind w:right="40"/>
              <w:spacing w:after="0" w:line="229" w:lineRule="exact"/>
              <w:rPr>
                <w:sz w:val="20"/>
                <w:szCs w:val="20"/>
                <w:color w:val="auto"/>
              </w:rPr>
            </w:pPr>
            <w:r>
              <w:rPr>
                <w:rFonts w:ascii="Calibri" w:cs="Calibri" w:eastAsia="Calibri" w:hAnsi="Calibri"/>
                <w:sz w:val="16"/>
                <w:szCs w:val="16"/>
                <w:color w:val="231F20"/>
              </w:rPr>
              <w:t xml:space="preserve">2/12/2025 </w:t>
            </w:r>
            <w:r>
              <w:rPr>
                <w:rFonts w:ascii="Calibri" w:cs="Calibri" w:eastAsia="Calibri" w:hAnsi="Calibri"/>
                <w:sz w:val="20"/>
                <w:szCs w:val="20"/>
                <w:color w:val="231F20"/>
                <w:vertAlign w:val="superscript"/>
              </w:rPr>
              <w:t>(2)</w:t>
            </w:r>
          </w:p>
        </w:tc>
        <w:tc>
          <w:tcPr>
            <w:tcW w:w="1800" w:type="dxa"/>
            <w:vAlign w:val="bottom"/>
            <w:tcBorders>
              <w:bottom w:val="single" w:sz="8" w:color="231F20"/>
            </w:tcBorders>
          </w:tcPr>
          <w:p>
            <w:pPr>
              <w:jc w:val="right"/>
              <w:ind w:right="560"/>
              <w:spacing w:after="0"/>
              <w:rPr>
                <w:sz w:val="20"/>
                <w:szCs w:val="20"/>
                <w:color w:val="auto"/>
              </w:rPr>
            </w:pPr>
            <w:r>
              <w:rPr>
                <w:rFonts w:ascii="Calibri" w:cs="Calibri" w:eastAsia="Calibri" w:hAnsi="Calibri"/>
                <w:sz w:val="16"/>
                <w:szCs w:val="16"/>
                <w:color w:val="231F20"/>
              </w:rPr>
              <w:t>10,626</w:t>
            </w:r>
          </w:p>
        </w:tc>
        <w:tc>
          <w:tcPr>
            <w:tcW w:w="160" w:type="dxa"/>
            <w:vAlign w:val="bottom"/>
            <w:tcBorders>
              <w:bottom w:val="single" w:sz="8" w:color="231F20"/>
            </w:tcBorders>
          </w:tcPr>
          <w:p>
            <w:pPr>
              <w:jc w:val="right"/>
              <w:spacing w:after="0"/>
              <w:rPr>
                <w:sz w:val="20"/>
                <w:szCs w:val="20"/>
                <w:color w:val="auto"/>
              </w:rPr>
            </w:pPr>
            <w:r>
              <w:rPr>
                <w:rFonts w:ascii="Calibri" w:cs="Calibri" w:eastAsia="Calibri" w:hAnsi="Calibri"/>
                <w:sz w:val="16"/>
                <w:szCs w:val="16"/>
                <w:color w:val="231F20"/>
              </w:rPr>
              <w:t>$</w:t>
            </w:r>
          </w:p>
        </w:tc>
        <w:tc>
          <w:tcPr>
            <w:tcW w:w="860" w:type="dxa"/>
            <w:vAlign w:val="bottom"/>
            <w:tcBorders>
              <w:bottom w:val="single" w:sz="8" w:color="231F20"/>
            </w:tcBorders>
          </w:tcPr>
          <w:p>
            <w:pPr>
              <w:jc w:val="right"/>
              <w:ind w:right="60"/>
              <w:spacing w:after="0"/>
              <w:rPr>
                <w:sz w:val="20"/>
                <w:szCs w:val="20"/>
                <w:color w:val="auto"/>
              </w:rPr>
            </w:pPr>
            <w:r>
              <w:rPr>
                <w:rFonts w:ascii="Calibri" w:cs="Calibri" w:eastAsia="Calibri" w:hAnsi="Calibri"/>
                <w:sz w:val="16"/>
                <w:szCs w:val="16"/>
                <w:color w:val="231F20"/>
              </w:rPr>
              <w:t>1,174,704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98425</wp:posOffset>
                </wp:positionV>
                <wp:extent cx="609600" cy="0"/>
                <wp:wrapNone/>
                <wp:docPr id="437" name="Shape 4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9600"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437" o:spid="_x0000_s14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7.75pt" to="48pt,7.75pt" o:allowincell="f" strokecolor="#231F20" strokeweight="0.5pt"/>
            </w:pict>
          </mc:Fallback>
        </mc:AlternateContent>
      </w:r>
    </w:p>
    <w:p>
      <w:pPr>
        <w:spacing w:after="0" w:line="195" w:lineRule="exact"/>
        <w:rPr>
          <w:sz w:val="20"/>
          <w:szCs w:val="20"/>
          <w:color w:val="auto"/>
        </w:rPr>
      </w:pPr>
    </w:p>
    <w:p>
      <w:pPr>
        <w:ind w:left="360" w:hanging="360"/>
        <w:spacing w:after="0" w:line="214" w:lineRule="auto"/>
        <w:tabs>
          <w:tab w:leader="none" w:pos="360" w:val="left"/>
        </w:tabs>
        <w:numPr>
          <w:ilvl w:val="0"/>
          <w:numId w:val="140"/>
        </w:numPr>
        <w:rPr>
          <w:rFonts w:ascii="Arial" w:cs="Arial" w:eastAsia="Arial" w:hAnsi="Arial"/>
          <w:sz w:val="23"/>
          <w:szCs w:val="23"/>
          <w:color w:val="231F20"/>
          <w:vertAlign w:val="superscript"/>
        </w:rPr>
      </w:pPr>
      <w:r>
        <w:rPr>
          <w:rFonts w:ascii="Arial" w:cs="Arial" w:eastAsia="Arial" w:hAnsi="Arial"/>
          <w:sz w:val="18"/>
          <w:szCs w:val="18"/>
          <w:color w:val="231F20"/>
        </w:rPr>
        <w:t>Issued under our annual bonus plan for the 1-year performance period ending December 31, 2024. These shares vest equally over 3 years.</w:t>
      </w:r>
    </w:p>
    <w:p>
      <w:pPr>
        <w:spacing w:after="0" w:line="19" w:lineRule="exact"/>
        <w:rPr>
          <w:rFonts w:ascii="Arial" w:cs="Arial" w:eastAsia="Arial" w:hAnsi="Arial"/>
          <w:sz w:val="23"/>
          <w:szCs w:val="23"/>
          <w:color w:val="231F20"/>
          <w:vertAlign w:val="superscript"/>
        </w:rPr>
      </w:pPr>
    </w:p>
    <w:p>
      <w:pPr>
        <w:ind w:left="360" w:hanging="360"/>
        <w:spacing w:after="0" w:line="214" w:lineRule="auto"/>
        <w:tabs>
          <w:tab w:leader="none" w:pos="360" w:val="left"/>
        </w:tabs>
        <w:numPr>
          <w:ilvl w:val="0"/>
          <w:numId w:val="140"/>
        </w:numPr>
        <w:rPr>
          <w:rFonts w:ascii="Arial" w:cs="Arial" w:eastAsia="Arial" w:hAnsi="Arial"/>
          <w:sz w:val="23"/>
          <w:szCs w:val="23"/>
          <w:color w:val="231F20"/>
          <w:vertAlign w:val="superscript"/>
        </w:rPr>
      </w:pPr>
      <w:r>
        <w:rPr>
          <w:rFonts w:ascii="Arial" w:cs="Arial" w:eastAsia="Arial" w:hAnsi="Arial"/>
          <w:sz w:val="18"/>
          <w:szCs w:val="18"/>
          <w:color w:val="231F20"/>
        </w:rPr>
        <w:t>Issued under our long-term incentive award program for the 3-year performance period ending December 31, 2024. These shares vest equally over 3 years.</w:t>
      </w:r>
    </w:p>
    <w:p>
      <w:pPr>
        <w:spacing w:after="0" w:line="19" w:lineRule="exact"/>
        <w:rPr>
          <w:rFonts w:ascii="Arial" w:cs="Arial" w:eastAsia="Arial" w:hAnsi="Arial"/>
          <w:sz w:val="23"/>
          <w:szCs w:val="23"/>
          <w:color w:val="231F20"/>
          <w:vertAlign w:val="superscript"/>
        </w:rPr>
      </w:pPr>
    </w:p>
    <w:p>
      <w:pPr>
        <w:ind w:left="360" w:hanging="360"/>
        <w:spacing w:after="0" w:line="214" w:lineRule="auto"/>
        <w:tabs>
          <w:tab w:leader="none" w:pos="360" w:val="left"/>
        </w:tabs>
        <w:numPr>
          <w:ilvl w:val="0"/>
          <w:numId w:val="140"/>
        </w:numPr>
        <w:rPr>
          <w:rFonts w:ascii="Arial" w:cs="Arial" w:eastAsia="Arial" w:hAnsi="Arial"/>
          <w:sz w:val="23"/>
          <w:szCs w:val="23"/>
          <w:color w:val="231F20"/>
          <w:vertAlign w:val="superscript"/>
        </w:rPr>
      </w:pPr>
      <w:r>
        <w:rPr>
          <w:rFonts w:ascii="Arial" w:cs="Arial" w:eastAsia="Arial" w:hAnsi="Arial"/>
          <w:sz w:val="18"/>
          <w:szCs w:val="18"/>
          <w:color w:val="231F20"/>
        </w:rPr>
        <w:t>Dividends are paid on these shares issued at the same rate and time as paid to all other holders of our shares as declared by our Board from time to time.</w:t>
      </w:r>
    </w:p>
    <w:p>
      <w:pPr>
        <w:ind w:left="360" w:hanging="360"/>
        <w:spacing w:after="0" w:line="199" w:lineRule="auto"/>
        <w:tabs>
          <w:tab w:leader="none" w:pos="360" w:val="left"/>
        </w:tabs>
        <w:numPr>
          <w:ilvl w:val="0"/>
          <w:numId w:val="140"/>
        </w:numPr>
        <w:rPr>
          <w:rFonts w:ascii="Arial" w:cs="Arial" w:eastAsia="Arial" w:hAnsi="Arial"/>
          <w:sz w:val="23"/>
          <w:szCs w:val="23"/>
          <w:color w:val="231F20"/>
          <w:vertAlign w:val="superscript"/>
        </w:rPr>
      </w:pPr>
      <w:r>
        <w:rPr>
          <w:rFonts w:ascii="Arial" w:cs="Arial" w:eastAsia="Arial" w:hAnsi="Arial"/>
          <w:sz w:val="18"/>
          <w:szCs w:val="18"/>
          <w:color w:val="231F20"/>
        </w:rPr>
        <w:t>Represents the grant date fair value of share awards as computed in accordance with FASB ASC Topic 718.</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132715</wp:posOffset>
                </wp:positionV>
                <wp:extent cx="6400800" cy="177800"/>
                <wp:wrapNone/>
                <wp:docPr id="438" name="Shape 4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177800"/>
                        </a:xfrm>
                        <a:prstGeom prst="rect">
                          <a:avLst/>
                        </a:prstGeom>
                        <a:solidFill>
                          <a:srgbClr val="E8E7E5"/>
                        </a:solidFill>
                      </wps:spPr>
                      <wps:bodyPr/>
                    </wps:wsp>
                  </a:graphicData>
                </a:graphic>
              </wp:anchor>
            </w:drawing>
          </mc:Choice>
          <mc:Fallback>
            <w:pict>
              <v:rect id="Shape 438" o:spid="_x0000_s1463" style="position:absolute;margin-left:0pt;margin-top:10.45pt;width:504pt;height:1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8E7E5" stroked="f"/>
            </w:pict>
          </mc:Fallback>
        </mc:AlternateContent>
        <mc:AlternateContent>
          <mc:Choice Requires="wps">
            <w:drawing>
              <wp:anchor simplePos="0" relativeHeight="251657728" behindDoc="1" locked="0" layoutInCell="0" allowOverlap="1">
                <wp:simplePos x="0" y="0"/>
                <wp:positionH relativeFrom="column">
                  <wp:posOffset>6350</wp:posOffset>
                </wp:positionH>
                <wp:positionV relativeFrom="paragraph">
                  <wp:posOffset>132080</wp:posOffset>
                </wp:positionV>
                <wp:extent cx="0" cy="177800"/>
                <wp:wrapNone/>
                <wp:docPr id="439" name="Shape 4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439" o:spid="_x0000_s14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pt,10.4pt" to="0.5pt,24.4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138430</wp:posOffset>
                </wp:positionV>
                <wp:extent cx="6400800" cy="0"/>
                <wp:wrapNone/>
                <wp:docPr id="440" name="Shape 4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440" o:spid="_x0000_s14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0.9pt" to="504pt,10.9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6394450</wp:posOffset>
                </wp:positionH>
                <wp:positionV relativeFrom="paragraph">
                  <wp:posOffset>132080</wp:posOffset>
                </wp:positionV>
                <wp:extent cx="0" cy="177800"/>
                <wp:wrapNone/>
                <wp:docPr id="441" name="Shape 4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441" o:spid="_x0000_s14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3.5pt,10.4pt" to="503.5pt,24.4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303530</wp:posOffset>
                </wp:positionV>
                <wp:extent cx="6400800" cy="0"/>
                <wp:wrapNone/>
                <wp:docPr id="442" name="Shape 4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442" o:spid="_x0000_s14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3.9pt" to="504pt,23.9pt" o:allowincell="f" strokecolor="#231F20" strokeweight="1pt"/>
            </w:pict>
          </mc:Fallback>
        </mc:AlternateContent>
      </w:r>
    </w:p>
    <w:p>
      <w:pPr>
        <w:sectPr>
          <w:pgSz w:w="11880" w:h="15480" w:orient="portrait"/>
          <w:cols w:equalWidth="0" w:num="1">
            <w:col w:w="10080"/>
          </w:cols>
          <w:pgMar w:left="900" w:top="1440" w:right="900" w:bottom="763" w:gutter="0" w:footer="0" w:header="0"/>
          <w:type w:val="continuous"/>
        </w:sectPr>
      </w:pPr>
    </w:p>
    <w:p>
      <w:pPr>
        <w:spacing w:after="0" w:line="257" w:lineRule="exact"/>
        <w:rPr>
          <w:sz w:val="20"/>
          <w:szCs w:val="20"/>
          <w:color w:val="auto"/>
        </w:rPr>
      </w:pPr>
    </w:p>
    <w:p>
      <w:pPr>
        <w:ind w:left="80"/>
        <w:spacing w:after="0"/>
        <w:tabs>
          <w:tab w:leader="none" w:pos="1420" w:val="left"/>
          <w:tab w:leader="none" w:pos="3160" w:val="left"/>
        </w:tabs>
        <w:rPr>
          <w:sz w:val="20"/>
          <w:szCs w:val="20"/>
          <w:color w:val="auto"/>
        </w:rPr>
      </w:pPr>
      <w:r>
        <w:rPr>
          <w:rFonts w:ascii="Arial" w:cs="Arial" w:eastAsia="Arial" w:hAnsi="Arial"/>
          <w:sz w:val="16"/>
          <w:szCs w:val="16"/>
          <w:color w:val="EF3E2A"/>
        </w:rPr>
        <w:t>Federal Realty</w:t>
      </w:r>
      <w:r>
        <w:rPr>
          <w:sz w:val="20"/>
          <w:szCs w:val="20"/>
          <w:color w:val="auto"/>
        </w:rPr>
        <w:tab/>
      </w:r>
      <w:r>
        <w:rPr>
          <w:rFonts w:ascii="Arial" w:cs="Arial" w:eastAsia="Arial" w:hAnsi="Arial"/>
          <w:sz w:val="16"/>
          <w:szCs w:val="16"/>
          <w:color w:val="231F20"/>
        </w:rPr>
        <w:t>2026 Proxy Statement</w:t>
        <w:tab/>
        <w:t>32</w:t>
      </w:r>
    </w:p>
    <w:p>
      <w:pPr>
        <w:sectPr>
          <w:pgSz w:w="11880" w:h="15480" w:orient="portrait"/>
          <w:cols w:equalWidth="0" w:num="1">
            <w:col w:w="10080"/>
          </w:cols>
          <w:pgMar w:left="900" w:top="1440" w:right="900" w:bottom="763" w:gutter="0" w:footer="0" w:header="0"/>
          <w:type w:val="continuous"/>
        </w:sectPr>
      </w:pPr>
    </w:p>
    <w:bookmarkStart w:id="152" w:name="page153"/>
    <w:bookmarkEnd w:id="152"/>
    <w:p>
      <w:pPr>
        <w:spacing w:after="0" w:line="268" w:lineRule="exact"/>
        <w:rPr>
          <w:sz w:val="20"/>
          <w:szCs w:val="20"/>
          <w:color w:val="auto"/>
        </w:rPr>
      </w:pPr>
      <w:r>
        <w:rPr>
          <w:rFonts w:ascii="Arial Unicode MS" w:cs="Arial Unicode MS" w:eastAsia="Arial Unicode MS" w:hAnsi="Arial Unicode MS"/>
          <w:sz w:val="20"/>
          <w:szCs w:val="20"/>
          <w:color w:val="EF3E2A"/>
        </w:rPr>
        <w:t>➣</w:t>
      </w:r>
      <w:r>
        <w:rPr>
          <w:rFonts w:ascii="Arial" w:cs="Arial" w:eastAsia="Arial" w:hAnsi="Arial"/>
          <w:sz w:val="20"/>
          <w:szCs w:val="20"/>
          <w:b w:val="1"/>
          <w:bCs w:val="1"/>
          <w:color w:val="231F20"/>
        </w:rPr>
        <w:t xml:space="preserve"> OUTSTANDING EQUITY AWARDS AT FISCAL YEAR END TABLE</w:t>
      </w:r>
    </w:p>
    <w:p>
      <w:pPr>
        <w:spacing w:after="0" w:line="257" w:lineRule="exact"/>
        <w:rPr>
          <w:sz w:val="20"/>
          <w:szCs w:val="20"/>
          <w:color w:val="auto"/>
        </w:rPr>
      </w:pPr>
    </w:p>
    <w:p>
      <w:pPr>
        <w:spacing w:after="0" w:line="243" w:lineRule="auto"/>
        <w:rPr>
          <w:sz w:val="20"/>
          <w:szCs w:val="20"/>
          <w:color w:val="auto"/>
        </w:rPr>
      </w:pPr>
      <w:r>
        <w:rPr>
          <w:rFonts w:ascii="Arial" w:cs="Arial" w:eastAsia="Arial" w:hAnsi="Arial"/>
          <w:sz w:val="20"/>
          <w:szCs w:val="20"/>
          <w:color w:val="231F20"/>
        </w:rPr>
        <w:t>The following table sets forth information about outstanding equity awards held by our NEOs as of December 31, 2025:</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308"/>
        </w:trPr>
        <w:tc>
          <w:tcPr>
            <w:tcW w:w="960" w:type="dxa"/>
            <w:vAlign w:val="bottom"/>
            <w:shd w:val="clear" w:color="auto" w:fill="EF3E2A"/>
          </w:tcPr>
          <w:p>
            <w:pPr>
              <w:spacing w:after="0"/>
              <w:rPr>
                <w:sz w:val="24"/>
                <w:szCs w:val="24"/>
                <w:color w:val="auto"/>
              </w:rPr>
            </w:pPr>
          </w:p>
        </w:tc>
        <w:tc>
          <w:tcPr>
            <w:tcW w:w="1240" w:type="dxa"/>
            <w:vAlign w:val="bottom"/>
            <w:shd w:val="clear" w:color="auto" w:fill="EF3E2A"/>
          </w:tcPr>
          <w:p>
            <w:pPr>
              <w:spacing w:after="0"/>
              <w:rPr>
                <w:sz w:val="24"/>
                <w:szCs w:val="24"/>
                <w:color w:val="auto"/>
              </w:rPr>
            </w:pPr>
          </w:p>
        </w:tc>
        <w:tc>
          <w:tcPr>
            <w:tcW w:w="3620" w:type="dxa"/>
            <w:vAlign w:val="bottom"/>
            <w:shd w:val="clear" w:color="auto" w:fill="EF3E2A"/>
          </w:tcPr>
          <w:p>
            <w:pPr>
              <w:jc w:val="right"/>
              <w:ind w:right="1220"/>
              <w:spacing w:after="0"/>
              <w:rPr>
                <w:sz w:val="20"/>
                <w:szCs w:val="20"/>
                <w:color w:val="auto"/>
              </w:rPr>
            </w:pPr>
            <w:r>
              <w:rPr>
                <w:rFonts w:ascii="Calibri" w:cs="Calibri" w:eastAsia="Calibri" w:hAnsi="Calibri"/>
                <w:sz w:val="16"/>
                <w:szCs w:val="16"/>
                <w:b w:val="1"/>
                <w:bCs w:val="1"/>
                <w:color w:val="E8E7E5"/>
              </w:rPr>
              <w:t>Share Awards</w:t>
            </w:r>
          </w:p>
        </w:tc>
        <w:tc>
          <w:tcPr>
            <w:tcW w:w="360" w:type="dxa"/>
            <w:vAlign w:val="bottom"/>
            <w:shd w:val="clear" w:color="auto" w:fill="EF3E2A"/>
          </w:tcPr>
          <w:p>
            <w:pPr>
              <w:spacing w:after="0"/>
              <w:rPr>
                <w:sz w:val="24"/>
                <w:szCs w:val="24"/>
                <w:color w:val="auto"/>
              </w:rPr>
            </w:pPr>
          </w:p>
        </w:tc>
        <w:tc>
          <w:tcPr>
            <w:tcW w:w="460" w:type="dxa"/>
            <w:vAlign w:val="bottom"/>
            <w:shd w:val="clear" w:color="auto" w:fill="EF3E2A"/>
          </w:tcPr>
          <w:p>
            <w:pPr>
              <w:spacing w:after="0"/>
              <w:rPr>
                <w:sz w:val="24"/>
                <w:szCs w:val="24"/>
                <w:color w:val="auto"/>
              </w:rPr>
            </w:pPr>
          </w:p>
        </w:tc>
        <w:tc>
          <w:tcPr>
            <w:tcW w:w="1580" w:type="dxa"/>
            <w:vAlign w:val="bottom"/>
            <w:shd w:val="clear" w:color="auto" w:fill="EF3E2A"/>
          </w:tcPr>
          <w:p>
            <w:pPr>
              <w:spacing w:after="0"/>
              <w:rPr>
                <w:sz w:val="24"/>
                <w:szCs w:val="24"/>
                <w:color w:val="auto"/>
              </w:rPr>
            </w:pPr>
          </w:p>
        </w:tc>
      </w:tr>
      <w:tr>
        <w:trPr>
          <w:trHeight w:val="340"/>
        </w:trPr>
        <w:tc>
          <w:tcPr>
            <w:tcW w:w="960" w:type="dxa"/>
            <w:vAlign w:val="bottom"/>
            <w:shd w:val="clear" w:color="auto" w:fill="EF3E2A"/>
          </w:tcPr>
          <w:p>
            <w:pPr>
              <w:spacing w:after="0"/>
              <w:rPr>
                <w:sz w:val="24"/>
                <w:szCs w:val="24"/>
                <w:color w:val="auto"/>
              </w:rPr>
            </w:pPr>
          </w:p>
        </w:tc>
        <w:tc>
          <w:tcPr>
            <w:tcW w:w="1240" w:type="dxa"/>
            <w:vAlign w:val="bottom"/>
            <w:shd w:val="clear" w:color="auto" w:fill="EF3E2A"/>
          </w:tcPr>
          <w:p>
            <w:pPr>
              <w:spacing w:after="0"/>
              <w:rPr>
                <w:sz w:val="24"/>
                <w:szCs w:val="24"/>
                <w:color w:val="auto"/>
              </w:rPr>
            </w:pPr>
          </w:p>
        </w:tc>
        <w:tc>
          <w:tcPr>
            <w:tcW w:w="3980" w:type="dxa"/>
            <w:vAlign w:val="bottom"/>
            <w:gridSpan w:val="2"/>
            <w:shd w:val="clear" w:color="auto" w:fill="EF3E2A"/>
          </w:tcPr>
          <w:p>
            <w:pPr>
              <w:jc w:val="right"/>
              <w:ind w:right="148"/>
              <w:spacing w:after="0"/>
              <w:rPr>
                <w:sz w:val="20"/>
                <w:szCs w:val="20"/>
                <w:color w:val="auto"/>
              </w:rPr>
            </w:pPr>
            <w:r>
              <w:rPr>
                <w:rFonts w:ascii="Calibri" w:cs="Calibri" w:eastAsia="Calibri" w:hAnsi="Calibri"/>
                <w:sz w:val="16"/>
                <w:szCs w:val="16"/>
                <w:b w:val="1"/>
                <w:bCs w:val="1"/>
                <w:color w:val="E8E7E5"/>
              </w:rPr>
              <w:t>Number of Shares or</w:t>
            </w:r>
          </w:p>
        </w:tc>
        <w:tc>
          <w:tcPr>
            <w:tcW w:w="2040" w:type="dxa"/>
            <w:vAlign w:val="bottom"/>
            <w:gridSpan w:val="2"/>
            <w:shd w:val="clear" w:color="auto" w:fill="EF3E2A"/>
          </w:tcPr>
          <w:p>
            <w:pPr>
              <w:jc w:val="right"/>
              <w:spacing w:after="0"/>
              <w:rPr>
                <w:sz w:val="20"/>
                <w:szCs w:val="20"/>
                <w:color w:val="auto"/>
              </w:rPr>
            </w:pPr>
            <w:r>
              <w:rPr>
                <w:rFonts w:ascii="Calibri" w:cs="Calibri" w:eastAsia="Calibri" w:hAnsi="Calibri"/>
                <w:sz w:val="16"/>
                <w:szCs w:val="16"/>
                <w:b w:val="1"/>
                <w:bCs w:val="1"/>
                <w:color w:val="E8E7E5"/>
              </w:rPr>
              <w:t>Market Value of Shares or</w:t>
            </w:r>
          </w:p>
        </w:tc>
      </w:tr>
      <w:tr>
        <w:trPr>
          <w:trHeight w:val="200"/>
        </w:trPr>
        <w:tc>
          <w:tcPr>
            <w:tcW w:w="960" w:type="dxa"/>
            <w:vAlign w:val="bottom"/>
            <w:shd w:val="clear" w:color="auto" w:fill="EF3E2A"/>
          </w:tcPr>
          <w:p>
            <w:pPr>
              <w:spacing w:after="0"/>
              <w:rPr>
                <w:sz w:val="17"/>
                <w:szCs w:val="17"/>
                <w:color w:val="auto"/>
              </w:rPr>
            </w:pPr>
          </w:p>
        </w:tc>
        <w:tc>
          <w:tcPr>
            <w:tcW w:w="1240" w:type="dxa"/>
            <w:vAlign w:val="bottom"/>
            <w:shd w:val="clear" w:color="auto" w:fill="EF3E2A"/>
          </w:tcPr>
          <w:p>
            <w:pPr>
              <w:spacing w:after="0"/>
              <w:rPr>
                <w:sz w:val="17"/>
                <w:szCs w:val="17"/>
                <w:color w:val="auto"/>
              </w:rPr>
            </w:pPr>
          </w:p>
        </w:tc>
        <w:tc>
          <w:tcPr>
            <w:tcW w:w="3980" w:type="dxa"/>
            <w:vAlign w:val="bottom"/>
            <w:gridSpan w:val="2"/>
            <w:shd w:val="clear" w:color="auto" w:fill="EF3E2A"/>
          </w:tcPr>
          <w:p>
            <w:pPr>
              <w:jc w:val="right"/>
              <w:ind w:right="148"/>
              <w:spacing w:after="0"/>
              <w:rPr>
                <w:sz w:val="20"/>
                <w:szCs w:val="20"/>
                <w:color w:val="auto"/>
              </w:rPr>
            </w:pPr>
            <w:r>
              <w:rPr>
                <w:rFonts w:ascii="Calibri" w:cs="Calibri" w:eastAsia="Calibri" w:hAnsi="Calibri"/>
                <w:sz w:val="16"/>
                <w:szCs w:val="16"/>
                <w:b w:val="1"/>
                <w:bCs w:val="1"/>
                <w:color w:val="E8E7E5"/>
              </w:rPr>
              <w:t>Units of Shares That</w:t>
            </w:r>
          </w:p>
        </w:tc>
        <w:tc>
          <w:tcPr>
            <w:tcW w:w="460" w:type="dxa"/>
            <w:vAlign w:val="bottom"/>
            <w:shd w:val="clear" w:color="auto" w:fill="EF3E2A"/>
          </w:tcPr>
          <w:p>
            <w:pPr>
              <w:spacing w:after="0"/>
              <w:rPr>
                <w:sz w:val="17"/>
                <w:szCs w:val="17"/>
                <w:color w:val="auto"/>
              </w:rPr>
            </w:pPr>
          </w:p>
        </w:tc>
        <w:tc>
          <w:tcPr>
            <w:tcW w:w="1580" w:type="dxa"/>
            <w:vAlign w:val="bottom"/>
            <w:shd w:val="clear" w:color="auto" w:fill="EF3E2A"/>
          </w:tcPr>
          <w:p>
            <w:pPr>
              <w:jc w:val="right"/>
              <w:spacing w:after="0"/>
              <w:rPr>
                <w:sz w:val="20"/>
                <w:szCs w:val="20"/>
                <w:color w:val="auto"/>
              </w:rPr>
            </w:pPr>
            <w:r>
              <w:rPr>
                <w:rFonts w:ascii="Calibri" w:cs="Calibri" w:eastAsia="Calibri" w:hAnsi="Calibri"/>
                <w:sz w:val="16"/>
                <w:szCs w:val="16"/>
                <w:b w:val="1"/>
                <w:bCs w:val="1"/>
                <w:color w:val="E8E7E5"/>
              </w:rPr>
              <w:t>Units of Shares That</w:t>
            </w:r>
          </w:p>
        </w:tc>
      </w:tr>
      <w:tr>
        <w:trPr>
          <w:trHeight w:val="252"/>
        </w:trPr>
        <w:tc>
          <w:tcPr>
            <w:tcW w:w="2200" w:type="dxa"/>
            <w:vAlign w:val="bottom"/>
            <w:gridSpan w:val="2"/>
            <w:shd w:val="clear" w:color="auto" w:fill="EF3E2A"/>
          </w:tcPr>
          <w:p>
            <w:pPr>
              <w:ind w:left="80"/>
              <w:spacing w:after="0"/>
              <w:rPr>
                <w:sz w:val="20"/>
                <w:szCs w:val="20"/>
                <w:color w:val="auto"/>
              </w:rPr>
            </w:pPr>
            <w:r>
              <w:rPr>
                <w:rFonts w:ascii="Calibri" w:cs="Calibri" w:eastAsia="Calibri" w:hAnsi="Calibri"/>
                <w:sz w:val="16"/>
                <w:szCs w:val="16"/>
                <w:b w:val="1"/>
                <w:bCs w:val="1"/>
                <w:color w:val="E8E7E5"/>
              </w:rPr>
              <w:t>Name</w:t>
            </w:r>
          </w:p>
        </w:tc>
        <w:tc>
          <w:tcPr>
            <w:tcW w:w="3980" w:type="dxa"/>
            <w:vAlign w:val="bottom"/>
            <w:gridSpan w:val="2"/>
            <w:shd w:val="clear" w:color="auto" w:fill="EF3E2A"/>
          </w:tcPr>
          <w:p>
            <w:pPr>
              <w:jc w:val="right"/>
              <w:ind w:right="148"/>
              <w:spacing w:after="0"/>
              <w:rPr>
                <w:sz w:val="20"/>
                <w:szCs w:val="20"/>
                <w:color w:val="auto"/>
              </w:rPr>
            </w:pPr>
            <w:r>
              <w:rPr>
                <w:rFonts w:ascii="Calibri" w:cs="Calibri" w:eastAsia="Calibri" w:hAnsi="Calibri"/>
                <w:sz w:val="16"/>
                <w:szCs w:val="16"/>
                <w:b w:val="1"/>
                <w:bCs w:val="1"/>
                <w:color w:val="E8E7E5"/>
              </w:rPr>
              <w:t>Have Not Vested</w:t>
            </w:r>
          </w:p>
        </w:tc>
        <w:tc>
          <w:tcPr>
            <w:tcW w:w="460" w:type="dxa"/>
            <w:vAlign w:val="bottom"/>
            <w:shd w:val="clear" w:color="auto" w:fill="EF3E2A"/>
          </w:tcPr>
          <w:p>
            <w:pPr>
              <w:spacing w:after="0"/>
              <w:rPr>
                <w:sz w:val="21"/>
                <w:szCs w:val="21"/>
                <w:color w:val="auto"/>
              </w:rPr>
            </w:pPr>
          </w:p>
        </w:tc>
        <w:tc>
          <w:tcPr>
            <w:tcW w:w="1580" w:type="dxa"/>
            <w:vAlign w:val="bottom"/>
            <w:shd w:val="clear" w:color="auto" w:fill="EF3E2A"/>
          </w:tcPr>
          <w:p>
            <w:pPr>
              <w:jc w:val="right"/>
              <w:spacing w:after="0"/>
              <w:rPr>
                <w:sz w:val="20"/>
                <w:szCs w:val="20"/>
                <w:color w:val="auto"/>
              </w:rPr>
            </w:pPr>
            <w:r>
              <w:rPr>
                <w:rFonts w:ascii="Calibri" w:cs="Calibri" w:eastAsia="Calibri" w:hAnsi="Calibri"/>
                <w:sz w:val="16"/>
                <w:szCs w:val="16"/>
                <w:b w:val="1"/>
                <w:bCs w:val="1"/>
                <w:color w:val="E8E7E5"/>
              </w:rPr>
              <w:t>Have Not Vested</w:t>
            </w:r>
            <w:r>
              <w:rPr>
                <w:rFonts w:ascii="Calibri" w:cs="Calibri" w:eastAsia="Calibri" w:hAnsi="Calibri"/>
                <w:sz w:val="20"/>
                <w:szCs w:val="20"/>
                <w:b w:val="1"/>
                <w:bCs w:val="1"/>
                <w:color w:val="E8E7E5"/>
                <w:vertAlign w:val="superscript"/>
              </w:rPr>
              <w:t>(5)</w:t>
            </w:r>
          </w:p>
        </w:tc>
      </w:tr>
      <w:tr>
        <w:trPr>
          <w:trHeight w:val="305"/>
        </w:trPr>
        <w:tc>
          <w:tcPr>
            <w:tcW w:w="2200" w:type="dxa"/>
            <w:vAlign w:val="bottom"/>
            <w:gridSpan w:val="2"/>
            <w:shd w:val="clear" w:color="auto" w:fill="DCDDDE"/>
          </w:tcPr>
          <w:p>
            <w:pPr>
              <w:ind w:left="80"/>
              <w:spacing w:after="0"/>
              <w:rPr>
                <w:sz w:val="20"/>
                <w:szCs w:val="20"/>
                <w:color w:val="auto"/>
              </w:rPr>
            </w:pPr>
            <w:r>
              <w:rPr>
                <w:rFonts w:ascii="Calibri" w:cs="Calibri" w:eastAsia="Calibri" w:hAnsi="Calibri"/>
                <w:sz w:val="16"/>
                <w:szCs w:val="16"/>
                <w:color w:val="231F20"/>
              </w:rPr>
              <w:t>Donald C. Wood</w:t>
            </w:r>
          </w:p>
        </w:tc>
        <w:tc>
          <w:tcPr>
            <w:tcW w:w="3980" w:type="dxa"/>
            <w:vAlign w:val="bottom"/>
            <w:gridSpan w:val="2"/>
          </w:tcPr>
          <w:p>
            <w:pPr>
              <w:jc w:val="right"/>
              <w:ind w:right="148"/>
              <w:spacing w:after="0"/>
              <w:rPr>
                <w:sz w:val="20"/>
                <w:szCs w:val="20"/>
                <w:color w:val="auto"/>
              </w:rPr>
            </w:pPr>
            <w:r>
              <w:rPr>
                <w:rFonts w:ascii="Calibri" w:cs="Calibri" w:eastAsia="Calibri" w:hAnsi="Calibri"/>
                <w:sz w:val="16"/>
                <w:szCs w:val="16"/>
                <w:color w:val="231F20"/>
              </w:rPr>
              <w:t xml:space="preserve">4,579 </w:t>
            </w:r>
            <w:r>
              <w:rPr>
                <w:rFonts w:ascii="Calibri" w:cs="Calibri" w:eastAsia="Calibri" w:hAnsi="Calibri"/>
                <w:sz w:val="20"/>
                <w:szCs w:val="20"/>
                <w:color w:val="231F20"/>
                <w:vertAlign w:val="superscript"/>
              </w:rPr>
              <w:t>(1)</w:t>
            </w:r>
          </w:p>
        </w:tc>
        <w:tc>
          <w:tcPr>
            <w:tcW w:w="460" w:type="dxa"/>
            <w:vAlign w:val="bottom"/>
          </w:tcPr>
          <w:p>
            <w:pPr>
              <w:jc w:val="right"/>
              <w:ind w:right="100"/>
              <w:spacing w:after="0"/>
              <w:rPr>
                <w:sz w:val="20"/>
                <w:szCs w:val="20"/>
                <w:color w:val="auto"/>
              </w:rPr>
            </w:pPr>
            <w:r>
              <w:rPr>
                <w:rFonts w:ascii="Calibri" w:cs="Calibri" w:eastAsia="Calibri" w:hAnsi="Calibri"/>
                <w:sz w:val="16"/>
                <w:szCs w:val="16"/>
                <w:color w:val="231F20"/>
              </w:rPr>
              <w:t>$</w:t>
            </w:r>
          </w:p>
        </w:tc>
        <w:tc>
          <w:tcPr>
            <w:tcW w:w="1580" w:type="dxa"/>
            <w:vAlign w:val="bottom"/>
          </w:tcPr>
          <w:p>
            <w:pPr>
              <w:jc w:val="right"/>
              <w:spacing w:after="0"/>
              <w:rPr>
                <w:sz w:val="20"/>
                <w:szCs w:val="20"/>
                <w:color w:val="auto"/>
              </w:rPr>
            </w:pPr>
            <w:r>
              <w:rPr>
                <w:rFonts w:ascii="Calibri" w:cs="Calibri" w:eastAsia="Calibri" w:hAnsi="Calibri"/>
                <w:sz w:val="16"/>
                <w:szCs w:val="16"/>
                <w:color w:val="231F20"/>
              </w:rPr>
              <w:t>461,563</w:t>
            </w:r>
          </w:p>
        </w:tc>
      </w:tr>
      <w:tr>
        <w:trPr>
          <w:trHeight w:val="165"/>
        </w:trPr>
        <w:tc>
          <w:tcPr>
            <w:tcW w:w="960" w:type="dxa"/>
            <w:vAlign w:val="bottom"/>
            <w:shd w:val="clear" w:color="auto" w:fill="DCDDDE"/>
          </w:tcPr>
          <w:p>
            <w:pPr>
              <w:spacing w:after="0"/>
              <w:rPr>
                <w:sz w:val="14"/>
                <w:szCs w:val="14"/>
                <w:color w:val="auto"/>
              </w:rPr>
            </w:pPr>
          </w:p>
        </w:tc>
        <w:tc>
          <w:tcPr>
            <w:tcW w:w="1240" w:type="dxa"/>
            <w:vAlign w:val="bottom"/>
            <w:shd w:val="clear" w:color="auto" w:fill="DCDDDE"/>
          </w:tcPr>
          <w:p>
            <w:pPr>
              <w:spacing w:after="0"/>
              <w:rPr>
                <w:sz w:val="14"/>
                <w:szCs w:val="14"/>
                <w:color w:val="auto"/>
              </w:rPr>
            </w:pPr>
          </w:p>
        </w:tc>
        <w:tc>
          <w:tcPr>
            <w:tcW w:w="3620" w:type="dxa"/>
            <w:vAlign w:val="bottom"/>
          </w:tcPr>
          <w:p>
            <w:pPr>
              <w:jc w:val="right"/>
              <w:spacing w:after="0" w:line="165" w:lineRule="exact"/>
              <w:rPr>
                <w:sz w:val="20"/>
                <w:szCs w:val="20"/>
                <w:color w:val="auto"/>
              </w:rPr>
            </w:pPr>
            <w:r>
              <w:rPr>
                <w:rFonts w:ascii="Calibri" w:cs="Calibri" w:eastAsia="Calibri" w:hAnsi="Calibri"/>
                <w:sz w:val="16"/>
                <w:szCs w:val="16"/>
                <w:color w:val="231F20"/>
              </w:rPr>
              <w:t>63,756</w:t>
            </w:r>
          </w:p>
        </w:tc>
        <w:tc>
          <w:tcPr>
            <w:tcW w:w="360" w:type="dxa"/>
            <w:vAlign w:val="bottom"/>
          </w:tcPr>
          <w:p>
            <w:pPr>
              <w:jc w:val="right"/>
              <w:ind w:right="148"/>
              <w:spacing w:after="0" w:line="113" w:lineRule="exact"/>
              <w:rPr>
                <w:sz w:val="20"/>
                <w:szCs w:val="20"/>
                <w:color w:val="auto"/>
              </w:rPr>
            </w:pPr>
            <w:r>
              <w:rPr>
                <w:rFonts w:ascii="Calibri" w:cs="Calibri" w:eastAsia="Calibri" w:hAnsi="Calibri"/>
                <w:sz w:val="10"/>
                <w:szCs w:val="10"/>
                <w:color w:val="231F20"/>
              </w:rPr>
              <w:t>(1)</w:t>
            </w:r>
          </w:p>
        </w:tc>
        <w:tc>
          <w:tcPr>
            <w:tcW w:w="460" w:type="dxa"/>
            <w:vAlign w:val="bottom"/>
          </w:tcPr>
          <w:p>
            <w:pPr>
              <w:jc w:val="right"/>
              <w:ind w:right="100"/>
              <w:spacing w:after="0" w:line="165" w:lineRule="exact"/>
              <w:rPr>
                <w:sz w:val="20"/>
                <w:szCs w:val="20"/>
                <w:color w:val="auto"/>
              </w:rPr>
            </w:pPr>
            <w:r>
              <w:rPr>
                <w:rFonts w:ascii="Calibri" w:cs="Calibri" w:eastAsia="Calibri" w:hAnsi="Calibri"/>
                <w:sz w:val="16"/>
                <w:szCs w:val="16"/>
                <w:color w:val="231F20"/>
              </w:rPr>
              <w:t>$</w:t>
            </w:r>
          </w:p>
        </w:tc>
        <w:tc>
          <w:tcPr>
            <w:tcW w:w="1580" w:type="dxa"/>
            <w:vAlign w:val="bottom"/>
          </w:tcPr>
          <w:p>
            <w:pPr>
              <w:jc w:val="right"/>
              <w:spacing w:after="0" w:line="165" w:lineRule="exact"/>
              <w:rPr>
                <w:sz w:val="20"/>
                <w:szCs w:val="20"/>
                <w:color w:val="auto"/>
              </w:rPr>
            </w:pPr>
            <w:r>
              <w:rPr>
                <w:rFonts w:ascii="Calibri" w:cs="Calibri" w:eastAsia="Calibri" w:hAnsi="Calibri"/>
                <w:sz w:val="16"/>
                <w:szCs w:val="16"/>
                <w:color w:val="231F20"/>
              </w:rPr>
              <w:t>6,426,605</w:t>
            </w:r>
          </w:p>
        </w:tc>
      </w:tr>
      <w:tr>
        <w:trPr>
          <w:trHeight w:val="200"/>
        </w:trPr>
        <w:tc>
          <w:tcPr>
            <w:tcW w:w="960" w:type="dxa"/>
            <w:vAlign w:val="bottom"/>
            <w:shd w:val="clear" w:color="auto" w:fill="DCDDDE"/>
          </w:tcPr>
          <w:p>
            <w:pPr>
              <w:spacing w:after="0"/>
              <w:rPr>
                <w:sz w:val="17"/>
                <w:szCs w:val="17"/>
                <w:color w:val="auto"/>
              </w:rPr>
            </w:pPr>
          </w:p>
        </w:tc>
        <w:tc>
          <w:tcPr>
            <w:tcW w:w="1240" w:type="dxa"/>
            <w:vAlign w:val="bottom"/>
            <w:shd w:val="clear" w:color="auto" w:fill="DCDDDE"/>
          </w:tcPr>
          <w:p>
            <w:pPr>
              <w:spacing w:after="0"/>
              <w:rPr>
                <w:sz w:val="17"/>
                <w:szCs w:val="17"/>
                <w:color w:val="auto"/>
              </w:rPr>
            </w:pPr>
          </w:p>
        </w:tc>
        <w:tc>
          <w:tcPr>
            <w:tcW w:w="3620" w:type="dxa"/>
            <w:vAlign w:val="bottom"/>
          </w:tcPr>
          <w:p>
            <w:pPr>
              <w:jc w:val="right"/>
              <w:spacing w:after="0"/>
              <w:rPr>
                <w:sz w:val="20"/>
                <w:szCs w:val="20"/>
                <w:color w:val="auto"/>
              </w:rPr>
            </w:pPr>
            <w:r>
              <w:rPr>
                <w:rFonts w:ascii="Calibri" w:cs="Calibri" w:eastAsia="Calibri" w:hAnsi="Calibri"/>
                <w:sz w:val="16"/>
                <w:szCs w:val="16"/>
                <w:color w:val="231F20"/>
              </w:rPr>
              <w:t>3,689</w:t>
            </w:r>
          </w:p>
        </w:tc>
        <w:tc>
          <w:tcPr>
            <w:tcW w:w="360" w:type="dxa"/>
            <w:vAlign w:val="bottom"/>
          </w:tcPr>
          <w:p>
            <w:pPr>
              <w:jc w:val="right"/>
              <w:ind w:right="148"/>
              <w:spacing w:after="0"/>
              <w:rPr>
                <w:sz w:val="20"/>
                <w:szCs w:val="20"/>
                <w:color w:val="auto"/>
              </w:rPr>
            </w:pPr>
            <w:r>
              <w:rPr>
                <w:rFonts w:ascii="Calibri" w:cs="Calibri" w:eastAsia="Calibri" w:hAnsi="Calibri"/>
                <w:sz w:val="10"/>
                <w:szCs w:val="10"/>
                <w:color w:val="231F20"/>
              </w:rPr>
              <w:t>(2)</w:t>
            </w:r>
          </w:p>
        </w:tc>
        <w:tc>
          <w:tcPr>
            <w:tcW w:w="460" w:type="dxa"/>
            <w:vAlign w:val="bottom"/>
          </w:tcPr>
          <w:p>
            <w:pPr>
              <w:jc w:val="right"/>
              <w:ind w:right="100"/>
              <w:spacing w:after="0"/>
              <w:rPr>
                <w:sz w:val="20"/>
                <w:szCs w:val="20"/>
                <w:color w:val="auto"/>
              </w:rPr>
            </w:pPr>
            <w:r>
              <w:rPr>
                <w:rFonts w:ascii="Calibri" w:cs="Calibri" w:eastAsia="Calibri" w:hAnsi="Calibri"/>
                <w:sz w:val="16"/>
                <w:szCs w:val="16"/>
                <w:color w:val="231F20"/>
              </w:rPr>
              <w:t>$</w:t>
            </w:r>
          </w:p>
        </w:tc>
        <w:tc>
          <w:tcPr>
            <w:tcW w:w="1580" w:type="dxa"/>
            <w:vAlign w:val="bottom"/>
          </w:tcPr>
          <w:p>
            <w:pPr>
              <w:jc w:val="right"/>
              <w:spacing w:after="0"/>
              <w:rPr>
                <w:sz w:val="20"/>
                <w:szCs w:val="20"/>
                <w:color w:val="auto"/>
              </w:rPr>
            </w:pPr>
            <w:r>
              <w:rPr>
                <w:rFonts w:ascii="Calibri" w:cs="Calibri" w:eastAsia="Calibri" w:hAnsi="Calibri"/>
                <w:sz w:val="16"/>
                <w:szCs w:val="16"/>
                <w:color w:val="231F20"/>
              </w:rPr>
              <w:t>371,851</w:t>
            </w:r>
          </w:p>
        </w:tc>
      </w:tr>
      <w:tr>
        <w:trPr>
          <w:trHeight w:val="200"/>
        </w:trPr>
        <w:tc>
          <w:tcPr>
            <w:tcW w:w="960" w:type="dxa"/>
            <w:vAlign w:val="bottom"/>
            <w:shd w:val="clear" w:color="auto" w:fill="DCDDDE"/>
          </w:tcPr>
          <w:p>
            <w:pPr>
              <w:spacing w:after="0"/>
              <w:rPr>
                <w:sz w:val="17"/>
                <w:szCs w:val="17"/>
                <w:color w:val="auto"/>
              </w:rPr>
            </w:pPr>
          </w:p>
        </w:tc>
        <w:tc>
          <w:tcPr>
            <w:tcW w:w="1240" w:type="dxa"/>
            <w:vAlign w:val="bottom"/>
            <w:shd w:val="clear" w:color="auto" w:fill="DCDDDE"/>
          </w:tcPr>
          <w:p>
            <w:pPr>
              <w:spacing w:after="0"/>
              <w:rPr>
                <w:sz w:val="17"/>
                <w:szCs w:val="17"/>
                <w:color w:val="auto"/>
              </w:rPr>
            </w:pPr>
          </w:p>
        </w:tc>
        <w:tc>
          <w:tcPr>
            <w:tcW w:w="3620" w:type="dxa"/>
            <w:vAlign w:val="bottom"/>
          </w:tcPr>
          <w:p>
            <w:pPr>
              <w:jc w:val="right"/>
              <w:spacing w:after="0"/>
              <w:rPr>
                <w:sz w:val="20"/>
                <w:szCs w:val="20"/>
                <w:color w:val="auto"/>
              </w:rPr>
            </w:pPr>
            <w:r>
              <w:rPr>
                <w:rFonts w:ascii="Calibri" w:cs="Calibri" w:eastAsia="Calibri" w:hAnsi="Calibri"/>
                <w:sz w:val="16"/>
                <w:szCs w:val="16"/>
                <w:color w:val="231F20"/>
              </w:rPr>
              <w:t>41,865</w:t>
            </w:r>
          </w:p>
        </w:tc>
        <w:tc>
          <w:tcPr>
            <w:tcW w:w="360" w:type="dxa"/>
            <w:vAlign w:val="bottom"/>
          </w:tcPr>
          <w:p>
            <w:pPr>
              <w:jc w:val="right"/>
              <w:ind w:right="148"/>
              <w:spacing w:after="0"/>
              <w:rPr>
                <w:sz w:val="20"/>
                <w:szCs w:val="20"/>
                <w:color w:val="auto"/>
              </w:rPr>
            </w:pPr>
            <w:r>
              <w:rPr>
                <w:rFonts w:ascii="Calibri" w:cs="Calibri" w:eastAsia="Calibri" w:hAnsi="Calibri"/>
                <w:sz w:val="10"/>
                <w:szCs w:val="10"/>
                <w:color w:val="231F20"/>
              </w:rPr>
              <w:t>(2)</w:t>
            </w:r>
          </w:p>
        </w:tc>
        <w:tc>
          <w:tcPr>
            <w:tcW w:w="460" w:type="dxa"/>
            <w:vAlign w:val="bottom"/>
          </w:tcPr>
          <w:p>
            <w:pPr>
              <w:jc w:val="right"/>
              <w:ind w:right="100"/>
              <w:spacing w:after="0"/>
              <w:rPr>
                <w:sz w:val="20"/>
                <w:szCs w:val="20"/>
                <w:color w:val="auto"/>
              </w:rPr>
            </w:pPr>
            <w:r>
              <w:rPr>
                <w:rFonts w:ascii="Calibri" w:cs="Calibri" w:eastAsia="Calibri" w:hAnsi="Calibri"/>
                <w:sz w:val="16"/>
                <w:szCs w:val="16"/>
                <w:color w:val="231F20"/>
              </w:rPr>
              <w:t>$</w:t>
            </w:r>
          </w:p>
        </w:tc>
        <w:tc>
          <w:tcPr>
            <w:tcW w:w="1580" w:type="dxa"/>
            <w:vAlign w:val="bottom"/>
          </w:tcPr>
          <w:p>
            <w:pPr>
              <w:jc w:val="right"/>
              <w:spacing w:after="0"/>
              <w:rPr>
                <w:sz w:val="20"/>
                <w:szCs w:val="20"/>
                <w:color w:val="auto"/>
              </w:rPr>
            </w:pPr>
            <w:r>
              <w:rPr>
                <w:rFonts w:ascii="Calibri" w:cs="Calibri" w:eastAsia="Calibri" w:hAnsi="Calibri"/>
                <w:sz w:val="16"/>
                <w:szCs w:val="16"/>
                <w:color w:val="231F20"/>
              </w:rPr>
              <w:t>4,219,992</w:t>
            </w:r>
          </w:p>
        </w:tc>
      </w:tr>
      <w:tr>
        <w:trPr>
          <w:trHeight w:val="200"/>
        </w:trPr>
        <w:tc>
          <w:tcPr>
            <w:tcW w:w="960" w:type="dxa"/>
            <w:vAlign w:val="bottom"/>
            <w:shd w:val="clear" w:color="auto" w:fill="DCDDDE"/>
          </w:tcPr>
          <w:p>
            <w:pPr>
              <w:spacing w:after="0"/>
              <w:rPr>
                <w:sz w:val="17"/>
                <w:szCs w:val="17"/>
                <w:color w:val="auto"/>
              </w:rPr>
            </w:pPr>
          </w:p>
        </w:tc>
        <w:tc>
          <w:tcPr>
            <w:tcW w:w="1240" w:type="dxa"/>
            <w:vAlign w:val="bottom"/>
            <w:shd w:val="clear" w:color="auto" w:fill="DCDDDE"/>
          </w:tcPr>
          <w:p>
            <w:pPr>
              <w:spacing w:after="0"/>
              <w:rPr>
                <w:sz w:val="17"/>
                <w:szCs w:val="17"/>
                <w:color w:val="auto"/>
              </w:rPr>
            </w:pPr>
          </w:p>
        </w:tc>
        <w:tc>
          <w:tcPr>
            <w:tcW w:w="3620" w:type="dxa"/>
            <w:vAlign w:val="bottom"/>
          </w:tcPr>
          <w:p>
            <w:pPr>
              <w:jc w:val="right"/>
              <w:spacing w:after="0"/>
              <w:rPr>
                <w:sz w:val="20"/>
                <w:szCs w:val="20"/>
                <w:color w:val="auto"/>
              </w:rPr>
            </w:pPr>
            <w:r>
              <w:rPr>
                <w:rFonts w:ascii="Calibri" w:cs="Calibri" w:eastAsia="Calibri" w:hAnsi="Calibri"/>
                <w:sz w:val="16"/>
                <w:szCs w:val="16"/>
                <w:color w:val="231F20"/>
              </w:rPr>
              <w:t>1,704</w:t>
            </w:r>
          </w:p>
        </w:tc>
        <w:tc>
          <w:tcPr>
            <w:tcW w:w="360" w:type="dxa"/>
            <w:vAlign w:val="bottom"/>
          </w:tcPr>
          <w:p>
            <w:pPr>
              <w:jc w:val="right"/>
              <w:ind w:right="148"/>
              <w:spacing w:after="0"/>
              <w:rPr>
                <w:sz w:val="20"/>
                <w:szCs w:val="20"/>
                <w:color w:val="auto"/>
              </w:rPr>
            </w:pPr>
            <w:r>
              <w:rPr>
                <w:rFonts w:ascii="Calibri" w:cs="Calibri" w:eastAsia="Calibri" w:hAnsi="Calibri"/>
                <w:sz w:val="10"/>
                <w:szCs w:val="10"/>
                <w:color w:val="231F20"/>
              </w:rPr>
              <w:t>(3)</w:t>
            </w:r>
          </w:p>
        </w:tc>
        <w:tc>
          <w:tcPr>
            <w:tcW w:w="460" w:type="dxa"/>
            <w:vAlign w:val="bottom"/>
          </w:tcPr>
          <w:p>
            <w:pPr>
              <w:jc w:val="right"/>
              <w:ind w:right="100"/>
              <w:spacing w:after="0"/>
              <w:rPr>
                <w:sz w:val="20"/>
                <w:szCs w:val="20"/>
                <w:color w:val="auto"/>
              </w:rPr>
            </w:pPr>
            <w:r>
              <w:rPr>
                <w:rFonts w:ascii="Calibri" w:cs="Calibri" w:eastAsia="Calibri" w:hAnsi="Calibri"/>
                <w:sz w:val="16"/>
                <w:szCs w:val="16"/>
                <w:color w:val="231F20"/>
              </w:rPr>
              <w:t>$</w:t>
            </w:r>
          </w:p>
        </w:tc>
        <w:tc>
          <w:tcPr>
            <w:tcW w:w="1580" w:type="dxa"/>
            <w:vAlign w:val="bottom"/>
          </w:tcPr>
          <w:p>
            <w:pPr>
              <w:jc w:val="right"/>
              <w:spacing w:after="0"/>
              <w:rPr>
                <w:sz w:val="20"/>
                <w:szCs w:val="20"/>
                <w:color w:val="auto"/>
              </w:rPr>
            </w:pPr>
            <w:r>
              <w:rPr>
                <w:rFonts w:ascii="Calibri" w:cs="Calibri" w:eastAsia="Calibri" w:hAnsi="Calibri"/>
                <w:sz w:val="16"/>
                <w:szCs w:val="16"/>
                <w:color w:val="231F20"/>
              </w:rPr>
              <w:t>171,763</w:t>
            </w:r>
          </w:p>
        </w:tc>
      </w:tr>
      <w:tr>
        <w:trPr>
          <w:trHeight w:val="210"/>
        </w:trPr>
        <w:tc>
          <w:tcPr>
            <w:tcW w:w="960" w:type="dxa"/>
            <w:vAlign w:val="bottom"/>
            <w:tcBorders>
              <w:bottom w:val="single" w:sz="8" w:color="231F20"/>
            </w:tcBorders>
            <w:shd w:val="clear" w:color="auto" w:fill="DCDDDE"/>
          </w:tcPr>
          <w:p>
            <w:pPr>
              <w:spacing w:after="0"/>
              <w:rPr>
                <w:sz w:val="18"/>
                <w:szCs w:val="18"/>
                <w:color w:val="auto"/>
              </w:rPr>
            </w:pPr>
          </w:p>
        </w:tc>
        <w:tc>
          <w:tcPr>
            <w:tcW w:w="1240" w:type="dxa"/>
            <w:vAlign w:val="bottom"/>
            <w:tcBorders>
              <w:bottom w:val="single" w:sz="8" w:color="231F20"/>
            </w:tcBorders>
            <w:shd w:val="clear" w:color="auto" w:fill="DCDDDE"/>
          </w:tcPr>
          <w:p>
            <w:pPr>
              <w:spacing w:after="0"/>
              <w:rPr>
                <w:sz w:val="18"/>
                <w:szCs w:val="18"/>
                <w:color w:val="auto"/>
              </w:rPr>
            </w:pPr>
          </w:p>
        </w:tc>
        <w:tc>
          <w:tcPr>
            <w:tcW w:w="3620" w:type="dxa"/>
            <w:vAlign w:val="bottom"/>
            <w:tcBorders>
              <w:bottom w:val="single" w:sz="8" w:color="231F20"/>
            </w:tcBorders>
          </w:tcPr>
          <w:p>
            <w:pPr>
              <w:jc w:val="right"/>
              <w:spacing w:after="0"/>
              <w:rPr>
                <w:sz w:val="20"/>
                <w:szCs w:val="20"/>
                <w:color w:val="auto"/>
              </w:rPr>
            </w:pPr>
            <w:r>
              <w:rPr>
                <w:rFonts w:ascii="Calibri" w:cs="Calibri" w:eastAsia="Calibri" w:hAnsi="Calibri"/>
                <w:sz w:val="16"/>
                <w:szCs w:val="16"/>
                <w:color w:val="231F20"/>
              </w:rPr>
              <w:t>17,990</w:t>
            </w:r>
          </w:p>
        </w:tc>
        <w:tc>
          <w:tcPr>
            <w:tcW w:w="360" w:type="dxa"/>
            <w:vAlign w:val="bottom"/>
            <w:tcBorders>
              <w:bottom w:val="single" w:sz="8" w:color="231F20"/>
            </w:tcBorders>
          </w:tcPr>
          <w:p>
            <w:pPr>
              <w:jc w:val="right"/>
              <w:ind w:right="148"/>
              <w:spacing w:after="0"/>
              <w:rPr>
                <w:sz w:val="20"/>
                <w:szCs w:val="20"/>
                <w:color w:val="auto"/>
              </w:rPr>
            </w:pPr>
            <w:r>
              <w:rPr>
                <w:rFonts w:ascii="Calibri" w:cs="Calibri" w:eastAsia="Calibri" w:hAnsi="Calibri"/>
                <w:sz w:val="10"/>
                <w:szCs w:val="10"/>
                <w:color w:val="231F20"/>
              </w:rPr>
              <w:t>(3)</w:t>
            </w:r>
          </w:p>
        </w:tc>
        <w:tc>
          <w:tcPr>
            <w:tcW w:w="460" w:type="dxa"/>
            <w:vAlign w:val="bottom"/>
            <w:tcBorders>
              <w:bottom w:val="single" w:sz="8" w:color="231F20"/>
            </w:tcBorders>
          </w:tcPr>
          <w:p>
            <w:pPr>
              <w:jc w:val="right"/>
              <w:ind w:right="100"/>
              <w:spacing w:after="0"/>
              <w:rPr>
                <w:sz w:val="20"/>
                <w:szCs w:val="20"/>
                <w:color w:val="auto"/>
              </w:rPr>
            </w:pPr>
            <w:r>
              <w:rPr>
                <w:rFonts w:ascii="Calibri" w:cs="Calibri" w:eastAsia="Calibri" w:hAnsi="Calibri"/>
                <w:sz w:val="16"/>
                <w:szCs w:val="16"/>
                <w:color w:val="231F20"/>
              </w:rPr>
              <w:t>$</w:t>
            </w:r>
          </w:p>
        </w:tc>
        <w:tc>
          <w:tcPr>
            <w:tcW w:w="1580" w:type="dxa"/>
            <w:vAlign w:val="bottom"/>
            <w:tcBorders>
              <w:bottom w:val="single" w:sz="8" w:color="231F20"/>
            </w:tcBorders>
          </w:tcPr>
          <w:p>
            <w:pPr>
              <w:jc w:val="right"/>
              <w:spacing w:after="0"/>
              <w:rPr>
                <w:sz w:val="20"/>
                <w:szCs w:val="20"/>
                <w:color w:val="auto"/>
              </w:rPr>
            </w:pPr>
            <w:r>
              <w:rPr>
                <w:rFonts w:ascii="Calibri" w:cs="Calibri" w:eastAsia="Calibri" w:hAnsi="Calibri"/>
                <w:sz w:val="16"/>
                <w:szCs w:val="16"/>
                <w:color w:val="231F20"/>
              </w:rPr>
              <w:t>1,813,392</w:t>
            </w:r>
          </w:p>
        </w:tc>
      </w:tr>
      <w:tr>
        <w:trPr>
          <w:trHeight w:val="305"/>
        </w:trPr>
        <w:tc>
          <w:tcPr>
            <w:tcW w:w="2200" w:type="dxa"/>
            <w:vAlign w:val="bottom"/>
            <w:gridSpan w:val="2"/>
            <w:shd w:val="clear" w:color="auto" w:fill="DCDDDE"/>
          </w:tcPr>
          <w:p>
            <w:pPr>
              <w:ind w:left="80"/>
              <w:spacing w:after="0"/>
              <w:rPr>
                <w:sz w:val="20"/>
                <w:szCs w:val="20"/>
                <w:color w:val="auto"/>
              </w:rPr>
            </w:pPr>
            <w:r>
              <w:rPr>
                <w:rFonts w:ascii="Calibri" w:cs="Calibri" w:eastAsia="Calibri" w:hAnsi="Calibri"/>
                <w:sz w:val="16"/>
                <w:szCs w:val="16"/>
                <w:color w:val="231F20"/>
              </w:rPr>
              <w:t>Daniel Guglielmone</w:t>
            </w:r>
          </w:p>
        </w:tc>
        <w:tc>
          <w:tcPr>
            <w:tcW w:w="3980" w:type="dxa"/>
            <w:vAlign w:val="bottom"/>
            <w:gridSpan w:val="2"/>
          </w:tcPr>
          <w:p>
            <w:pPr>
              <w:jc w:val="right"/>
              <w:ind w:right="148"/>
              <w:spacing w:after="0"/>
              <w:rPr>
                <w:sz w:val="20"/>
                <w:szCs w:val="20"/>
                <w:color w:val="auto"/>
              </w:rPr>
            </w:pPr>
            <w:r>
              <w:rPr>
                <w:rFonts w:ascii="Calibri" w:cs="Calibri" w:eastAsia="Calibri" w:hAnsi="Calibri"/>
                <w:sz w:val="16"/>
                <w:szCs w:val="16"/>
                <w:color w:val="231F20"/>
              </w:rPr>
              <w:t xml:space="preserve">15,939 </w:t>
            </w:r>
            <w:r>
              <w:rPr>
                <w:rFonts w:ascii="Calibri" w:cs="Calibri" w:eastAsia="Calibri" w:hAnsi="Calibri"/>
                <w:sz w:val="20"/>
                <w:szCs w:val="20"/>
                <w:color w:val="231F20"/>
                <w:vertAlign w:val="superscript"/>
              </w:rPr>
              <w:t>(1)</w:t>
            </w:r>
          </w:p>
        </w:tc>
        <w:tc>
          <w:tcPr>
            <w:tcW w:w="460" w:type="dxa"/>
            <w:vAlign w:val="bottom"/>
          </w:tcPr>
          <w:p>
            <w:pPr>
              <w:jc w:val="right"/>
              <w:ind w:right="100"/>
              <w:spacing w:after="0"/>
              <w:rPr>
                <w:sz w:val="20"/>
                <w:szCs w:val="20"/>
                <w:color w:val="auto"/>
              </w:rPr>
            </w:pPr>
            <w:r>
              <w:rPr>
                <w:rFonts w:ascii="Calibri" w:cs="Calibri" w:eastAsia="Calibri" w:hAnsi="Calibri"/>
                <w:sz w:val="16"/>
                <w:szCs w:val="16"/>
                <w:color w:val="231F20"/>
              </w:rPr>
              <w:t>$</w:t>
            </w:r>
          </w:p>
        </w:tc>
        <w:tc>
          <w:tcPr>
            <w:tcW w:w="1580" w:type="dxa"/>
            <w:vAlign w:val="bottom"/>
          </w:tcPr>
          <w:p>
            <w:pPr>
              <w:jc w:val="right"/>
              <w:spacing w:after="0"/>
              <w:rPr>
                <w:sz w:val="20"/>
                <w:szCs w:val="20"/>
                <w:color w:val="auto"/>
              </w:rPr>
            </w:pPr>
            <w:r>
              <w:rPr>
                <w:rFonts w:ascii="Calibri" w:cs="Calibri" w:eastAsia="Calibri" w:hAnsi="Calibri"/>
                <w:sz w:val="16"/>
                <w:szCs w:val="16"/>
                <w:color w:val="231F20"/>
              </w:rPr>
              <w:t>1,606,651</w:t>
            </w:r>
          </w:p>
        </w:tc>
      </w:tr>
      <w:tr>
        <w:trPr>
          <w:trHeight w:val="165"/>
        </w:trPr>
        <w:tc>
          <w:tcPr>
            <w:tcW w:w="960" w:type="dxa"/>
            <w:vAlign w:val="bottom"/>
            <w:shd w:val="clear" w:color="auto" w:fill="DCDDDE"/>
          </w:tcPr>
          <w:p>
            <w:pPr>
              <w:spacing w:after="0"/>
              <w:rPr>
                <w:sz w:val="14"/>
                <w:szCs w:val="14"/>
                <w:color w:val="auto"/>
              </w:rPr>
            </w:pPr>
          </w:p>
        </w:tc>
        <w:tc>
          <w:tcPr>
            <w:tcW w:w="1240" w:type="dxa"/>
            <w:vAlign w:val="bottom"/>
            <w:shd w:val="clear" w:color="auto" w:fill="DCDDDE"/>
          </w:tcPr>
          <w:p>
            <w:pPr>
              <w:spacing w:after="0"/>
              <w:rPr>
                <w:sz w:val="14"/>
                <w:szCs w:val="14"/>
                <w:color w:val="auto"/>
              </w:rPr>
            </w:pPr>
          </w:p>
        </w:tc>
        <w:tc>
          <w:tcPr>
            <w:tcW w:w="3620" w:type="dxa"/>
            <w:vAlign w:val="bottom"/>
          </w:tcPr>
          <w:p>
            <w:pPr>
              <w:jc w:val="right"/>
              <w:spacing w:after="0" w:line="165" w:lineRule="exact"/>
              <w:rPr>
                <w:sz w:val="20"/>
                <w:szCs w:val="20"/>
                <w:color w:val="auto"/>
              </w:rPr>
            </w:pPr>
            <w:r>
              <w:rPr>
                <w:rFonts w:ascii="Calibri" w:cs="Calibri" w:eastAsia="Calibri" w:hAnsi="Calibri"/>
                <w:sz w:val="16"/>
                <w:szCs w:val="16"/>
                <w:color w:val="231F20"/>
              </w:rPr>
              <w:t>6,977</w:t>
            </w:r>
          </w:p>
        </w:tc>
        <w:tc>
          <w:tcPr>
            <w:tcW w:w="360" w:type="dxa"/>
            <w:vAlign w:val="bottom"/>
          </w:tcPr>
          <w:p>
            <w:pPr>
              <w:jc w:val="right"/>
              <w:ind w:right="148"/>
              <w:spacing w:after="0" w:line="113" w:lineRule="exact"/>
              <w:rPr>
                <w:sz w:val="20"/>
                <w:szCs w:val="20"/>
                <w:color w:val="auto"/>
              </w:rPr>
            </w:pPr>
            <w:r>
              <w:rPr>
                <w:rFonts w:ascii="Calibri" w:cs="Calibri" w:eastAsia="Calibri" w:hAnsi="Calibri"/>
                <w:sz w:val="10"/>
                <w:szCs w:val="10"/>
                <w:color w:val="231F20"/>
              </w:rPr>
              <w:t>(2)</w:t>
            </w:r>
          </w:p>
        </w:tc>
        <w:tc>
          <w:tcPr>
            <w:tcW w:w="460" w:type="dxa"/>
            <w:vAlign w:val="bottom"/>
          </w:tcPr>
          <w:p>
            <w:pPr>
              <w:jc w:val="right"/>
              <w:ind w:right="100"/>
              <w:spacing w:after="0" w:line="165" w:lineRule="exact"/>
              <w:rPr>
                <w:sz w:val="20"/>
                <w:szCs w:val="20"/>
                <w:color w:val="auto"/>
              </w:rPr>
            </w:pPr>
            <w:r>
              <w:rPr>
                <w:rFonts w:ascii="Calibri" w:cs="Calibri" w:eastAsia="Calibri" w:hAnsi="Calibri"/>
                <w:sz w:val="16"/>
                <w:szCs w:val="16"/>
                <w:color w:val="231F20"/>
              </w:rPr>
              <w:t>$</w:t>
            </w:r>
          </w:p>
        </w:tc>
        <w:tc>
          <w:tcPr>
            <w:tcW w:w="1580" w:type="dxa"/>
            <w:vAlign w:val="bottom"/>
          </w:tcPr>
          <w:p>
            <w:pPr>
              <w:jc w:val="right"/>
              <w:spacing w:after="0" w:line="165" w:lineRule="exact"/>
              <w:rPr>
                <w:sz w:val="20"/>
                <w:szCs w:val="20"/>
                <w:color w:val="auto"/>
              </w:rPr>
            </w:pPr>
            <w:r>
              <w:rPr>
                <w:rFonts w:ascii="Calibri" w:cs="Calibri" w:eastAsia="Calibri" w:hAnsi="Calibri"/>
                <w:sz w:val="16"/>
                <w:szCs w:val="16"/>
                <w:color w:val="231F20"/>
              </w:rPr>
              <w:t>703,282</w:t>
            </w:r>
          </w:p>
        </w:tc>
      </w:tr>
      <w:tr>
        <w:trPr>
          <w:trHeight w:val="200"/>
        </w:trPr>
        <w:tc>
          <w:tcPr>
            <w:tcW w:w="960" w:type="dxa"/>
            <w:vAlign w:val="bottom"/>
            <w:shd w:val="clear" w:color="auto" w:fill="DCDDDE"/>
          </w:tcPr>
          <w:p>
            <w:pPr>
              <w:spacing w:after="0"/>
              <w:rPr>
                <w:sz w:val="17"/>
                <w:szCs w:val="17"/>
                <w:color w:val="auto"/>
              </w:rPr>
            </w:pPr>
          </w:p>
        </w:tc>
        <w:tc>
          <w:tcPr>
            <w:tcW w:w="1240" w:type="dxa"/>
            <w:vAlign w:val="bottom"/>
            <w:shd w:val="clear" w:color="auto" w:fill="DCDDDE"/>
          </w:tcPr>
          <w:p>
            <w:pPr>
              <w:spacing w:after="0"/>
              <w:rPr>
                <w:sz w:val="17"/>
                <w:szCs w:val="17"/>
                <w:color w:val="auto"/>
              </w:rPr>
            </w:pPr>
          </w:p>
        </w:tc>
        <w:tc>
          <w:tcPr>
            <w:tcW w:w="3620" w:type="dxa"/>
            <w:vAlign w:val="bottom"/>
          </w:tcPr>
          <w:p>
            <w:pPr>
              <w:jc w:val="right"/>
              <w:spacing w:after="0"/>
              <w:rPr>
                <w:sz w:val="20"/>
                <w:szCs w:val="20"/>
                <w:color w:val="auto"/>
              </w:rPr>
            </w:pPr>
            <w:r>
              <w:rPr>
                <w:rFonts w:ascii="Calibri" w:cs="Calibri" w:eastAsia="Calibri" w:hAnsi="Calibri"/>
                <w:sz w:val="16"/>
                <w:szCs w:val="16"/>
                <w:color w:val="231F20"/>
              </w:rPr>
              <w:t>2,998</w:t>
            </w:r>
          </w:p>
        </w:tc>
        <w:tc>
          <w:tcPr>
            <w:tcW w:w="360" w:type="dxa"/>
            <w:vAlign w:val="bottom"/>
          </w:tcPr>
          <w:p>
            <w:pPr>
              <w:jc w:val="right"/>
              <w:ind w:right="148"/>
              <w:spacing w:after="0"/>
              <w:rPr>
                <w:sz w:val="20"/>
                <w:szCs w:val="20"/>
                <w:color w:val="auto"/>
              </w:rPr>
            </w:pPr>
            <w:r>
              <w:rPr>
                <w:rFonts w:ascii="Calibri" w:cs="Calibri" w:eastAsia="Calibri" w:hAnsi="Calibri"/>
                <w:sz w:val="10"/>
                <w:szCs w:val="10"/>
                <w:color w:val="231F20"/>
              </w:rPr>
              <w:t>(3)</w:t>
            </w:r>
          </w:p>
        </w:tc>
        <w:tc>
          <w:tcPr>
            <w:tcW w:w="460" w:type="dxa"/>
            <w:vAlign w:val="bottom"/>
          </w:tcPr>
          <w:p>
            <w:pPr>
              <w:jc w:val="right"/>
              <w:ind w:right="100"/>
              <w:spacing w:after="0"/>
              <w:rPr>
                <w:sz w:val="20"/>
                <w:szCs w:val="20"/>
                <w:color w:val="auto"/>
              </w:rPr>
            </w:pPr>
            <w:r>
              <w:rPr>
                <w:rFonts w:ascii="Calibri" w:cs="Calibri" w:eastAsia="Calibri" w:hAnsi="Calibri"/>
                <w:sz w:val="16"/>
                <w:szCs w:val="16"/>
                <w:color w:val="231F20"/>
              </w:rPr>
              <w:t>$</w:t>
            </w:r>
          </w:p>
        </w:tc>
        <w:tc>
          <w:tcPr>
            <w:tcW w:w="1580" w:type="dxa"/>
            <w:vAlign w:val="bottom"/>
          </w:tcPr>
          <w:p>
            <w:pPr>
              <w:jc w:val="right"/>
              <w:spacing w:after="0"/>
              <w:rPr>
                <w:sz w:val="20"/>
                <w:szCs w:val="20"/>
                <w:color w:val="auto"/>
              </w:rPr>
            </w:pPr>
            <w:r>
              <w:rPr>
                <w:rFonts w:ascii="Calibri" w:cs="Calibri" w:eastAsia="Calibri" w:hAnsi="Calibri"/>
                <w:sz w:val="16"/>
                <w:szCs w:val="16"/>
                <w:color w:val="231F20"/>
              </w:rPr>
              <w:t>302,198</w:t>
            </w:r>
          </w:p>
        </w:tc>
      </w:tr>
      <w:tr>
        <w:trPr>
          <w:trHeight w:val="210"/>
        </w:trPr>
        <w:tc>
          <w:tcPr>
            <w:tcW w:w="960" w:type="dxa"/>
            <w:vAlign w:val="bottom"/>
            <w:tcBorders>
              <w:bottom w:val="single" w:sz="8" w:color="231F20"/>
            </w:tcBorders>
            <w:shd w:val="clear" w:color="auto" w:fill="DCDDDE"/>
          </w:tcPr>
          <w:p>
            <w:pPr>
              <w:spacing w:after="0"/>
              <w:rPr>
                <w:sz w:val="18"/>
                <w:szCs w:val="18"/>
                <w:color w:val="auto"/>
              </w:rPr>
            </w:pPr>
          </w:p>
        </w:tc>
        <w:tc>
          <w:tcPr>
            <w:tcW w:w="1240" w:type="dxa"/>
            <w:vAlign w:val="bottom"/>
            <w:tcBorders>
              <w:bottom w:val="single" w:sz="8" w:color="231F20"/>
            </w:tcBorders>
            <w:shd w:val="clear" w:color="auto" w:fill="DCDDDE"/>
          </w:tcPr>
          <w:p>
            <w:pPr>
              <w:spacing w:after="0"/>
              <w:rPr>
                <w:sz w:val="18"/>
                <w:szCs w:val="18"/>
                <w:color w:val="auto"/>
              </w:rPr>
            </w:pPr>
          </w:p>
        </w:tc>
        <w:tc>
          <w:tcPr>
            <w:tcW w:w="3620" w:type="dxa"/>
            <w:vAlign w:val="bottom"/>
            <w:tcBorders>
              <w:bottom w:val="single" w:sz="8" w:color="231F20"/>
            </w:tcBorders>
          </w:tcPr>
          <w:p>
            <w:pPr>
              <w:jc w:val="right"/>
              <w:spacing w:after="0"/>
              <w:rPr>
                <w:sz w:val="20"/>
                <w:szCs w:val="20"/>
                <w:color w:val="auto"/>
              </w:rPr>
            </w:pPr>
            <w:r>
              <w:rPr>
                <w:rFonts w:ascii="Calibri" w:cs="Calibri" w:eastAsia="Calibri" w:hAnsi="Calibri"/>
                <w:sz w:val="16"/>
                <w:szCs w:val="16"/>
                <w:color w:val="231F20"/>
              </w:rPr>
              <w:t>1,714</w:t>
            </w:r>
          </w:p>
        </w:tc>
        <w:tc>
          <w:tcPr>
            <w:tcW w:w="360" w:type="dxa"/>
            <w:vAlign w:val="bottom"/>
            <w:tcBorders>
              <w:bottom w:val="single" w:sz="8" w:color="231F20"/>
            </w:tcBorders>
          </w:tcPr>
          <w:p>
            <w:pPr>
              <w:jc w:val="right"/>
              <w:ind w:right="148"/>
              <w:spacing w:after="0"/>
              <w:rPr>
                <w:sz w:val="20"/>
                <w:szCs w:val="20"/>
                <w:color w:val="auto"/>
              </w:rPr>
            </w:pPr>
            <w:r>
              <w:rPr>
                <w:rFonts w:ascii="Calibri" w:cs="Calibri" w:eastAsia="Calibri" w:hAnsi="Calibri"/>
                <w:sz w:val="10"/>
                <w:szCs w:val="10"/>
                <w:color w:val="231F20"/>
              </w:rPr>
              <w:t>(4)</w:t>
            </w:r>
          </w:p>
        </w:tc>
        <w:tc>
          <w:tcPr>
            <w:tcW w:w="460" w:type="dxa"/>
            <w:vAlign w:val="bottom"/>
            <w:tcBorders>
              <w:bottom w:val="single" w:sz="8" w:color="231F20"/>
            </w:tcBorders>
          </w:tcPr>
          <w:p>
            <w:pPr>
              <w:jc w:val="right"/>
              <w:ind w:right="100"/>
              <w:spacing w:after="0"/>
              <w:rPr>
                <w:sz w:val="20"/>
                <w:szCs w:val="20"/>
                <w:color w:val="auto"/>
              </w:rPr>
            </w:pPr>
            <w:r>
              <w:rPr>
                <w:rFonts w:ascii="Calibri" w:cs="Calibri" w:eastAsia="Calibri" w:hAnsi="Calibri"/>
                <w:sz w:val="16"/>
                <w:szCs w:val="16"/>
                <w:color w:val="231F20"/>
              </w:rPr>
              <w:t>$</w:t>
            </w:r>
          </w:p>
        </w:tc>
        <w:tc>
          <w:tcPr>
            <w:tcW w:w="1580" w:type="dxa"/>
            <w:vAlign w:val="bottom"/>
            <w:tcBorders>
              <w:bottom w:val="single" w:sz="8" w:color="231F20"/>
            </w:tcBorders>
          </w:tcPr>
          <w:p>
            <w:pPr>
              <w:jc w:val="right"/>
              <w:spacing w:after="0"/>
              <w:rPr>
                <w:sz w:val="20"/>
                <w:szCs w:val="20"/>
                <w:color w:val="auto"/>
              </w:rPr>
            </w:pPr>
            <w:r>
              <w:rPr>
                <w:rFonts w:ascii="Calibri" w:cs="Calibri" w:eastAsia="Calibri" w:hAnsi="Calibri"/>
                <w:sz w:val="16"/>
                <w:szCs w:val="16"/>
                <w:color w:val="231F20"/>
              </w:rPr>
              <w:t>172,771</w:t>
            </w:r>
          </w:p>
        </w:tc>
      </w:tr>
      <w:tr>
        <w:trPr>
          <w:trHeight w:val="305"/>
        </w:trPr>
        <w:tc>
          <w:tcPr>
            <w:tcW w:w="2200" w:type="dxa"/>
            <w:vAlign w:val="bottom"/>
            <w:gridSpan w:val="2"/>
            <w:shd w:val="clear" w:color="auto" w:fill="DCDDDE"/>
          </w:tcPr>
          <w:p>
            <w:pPr>
              <w:ind w:left="80"/>
              <w:spacing w:after="0"/>
              <w:rPr>
                <w:sz w:val="20"/>
                <w:szCs w:val="20"/>
                <w:color w:val="auto"/>
              </w:rPr>
            </w:pPr>
            <w:r>
              <w:rPr>
                <w:rFonts w:ascii="Calibri" w:cs="Calibri" w:eastAsia="Calibri" w:hAnsi="Calibri"/>
                <w:sz w:val="16"/>
                <w:szCs w:val="16"/>
                <w:color w:val="231F20"/>
              </w:rPr>
              <w:t>Dawn M. Becker</w:t>
            </w:r>
          </w:p>
        </w:tc>
        <w:tc>
          <w:tcPr>
            <w:tcW w:w="3980" w:type="dxa"/>
            <w:vAlign w:val="bottom"/>
            <w:gridSpan w:val="2"/>
          </w:tcPr>
          <w:p>
            <w:pPr>
              <w:jc w:val="right"/>
              <w:ind w:right="148"/>
              <w:spacing w:after="0"/>
              <w:rPr>
                <w:sz w:val="20"/>
                <w:szCs w:val="20"/>
                <w:color w:val="auto"/>
              </w:rPr>
            </w:pPr>
            <w:r>
              <w:rPr>
                <w:rFonts w:ascii="Calibri" w:cs="Calibri" w:eastAsia="Calibri" w:hAnsi="Calibri"/>
                <w:sz w:val="16"/>
                <w:szCs w:val="16"/>
                <w:color w:val="231F20"/>
              </w:rPr>
              <w:t xml:space="preserve">1,755 </w:t>
            </w:r>
            <w:r>
              <w:rPr>
                <w:rFonts w:ascii="Calibri" w:cs="Calibri" w:eastAsia="Calibri" w:hAnsi="Calibri"/>
                <w:sz w:val="20"/>
                <w:szCs w:val="20"/>
                <w:color w:val="231F20"/>
                <w:vertAlign w:val="superscript"/>
              </w:rPr>
              <w:t>(1)</w:t>
            </w:r>
          </w:p>
        </w:tc>
        <w:tc>
          <w:tcPr>
            <w:tcW w:w="460" w:type="dxa"/>
            <w:vAlign w:val="bottom"/>
          </w:tcPr>
          <w:p>
            <w:pPr>
              <w:jc w:val="right"/>
              <w:ind w:right="100"/>
              <w:spacing w:after="0"/>
              <w:rPr>
                <w:sz w:val="20"/>
                <w:szCs w:val="20"/>
                <w:color w:val="auto"/>
              </w:rPr>
            </w:pPr>
            <w:r>
              <w:rPr>
                <w:rFonts w:ascii="Calibri" w:cs="Calibri" w:eastAsia="Calibri" w:hAnsi="Calibri"/>
                <w:sz w:val="16"/>
                <w:szCs w:val="16"/>
                <w:color w:val="231F20"/>
              </w:rPr>
              <w:t>$</w:t>
            </w:r>
          </w:p>
        </w:tc>
        <w:tc>
          <w:tcPr>
            <w:tcW w:w="1580" w:type="dxa"/>
            <w:vAlign w:val="bottom"/>
          </w:tcPr>
          <w:p>
            <w:pPr>
              <w:jc w:val="right"/>
              <w:spacing w:after="0"/>
              <w:rPr>
                <w:sz w:val="20"/>
                <w:szCs w:val="20"/>
                <w:color w:val="auto"/>
              </w:rPr>
            </w:pPr>
            <w:r>
              <w:rPr>
                <w:rFonts w:ascii="Calibri" w:cs="Calibri" w:eastAsia="Calibri" w:hAnsi="Calibri"/>
                <w:sz w:val="16"/>
                <w:szCs w:val="16"/>
                <w:color w:val="231F20"/>
              </w:rPr>
              <w:t>176,904</w:t>
            </w:r>
          </w:p>
        </w:tc>
      </w:tr>
      <w:tr>
        <w:trPr>
          <w:trHeight w:val="165"/>
        </w:trPr>
        <w:tc>
          <w:tcPr>
            <w:tcW w:w="960" w:type="dxa"/>
            <w:vAlign w:val="bottom"/>
            <w:shd w:val="clear" w:color="auto" w:fill="DCDDDE"/>
          </w:tcPr>
          <w:p>
            <w:pPr>
              <w:spacing w:after="0"/>
              <w:rPr>
                <w:sz w:val="14"/>
                <w:szCs w:val="14"/>
                <w:color w:val="auto"/>
              </w:rPr>
            </w:pPr>
          </w:p>
        </w:tc>
        <w:tc>
          <w:tcPr>
            <w:tcW w:w="1240" w:type="dxa"/>
            <w:vAlign w:val="bottom"/>
            <w:shd w:val="clear" w:color="auto" w:fill="DCDDDE"/>
          </w:tcPr>
          <w:p>
            <w:pPr>
              <w:spacing w:after="0"/>
              <w:rPr>
                <w:sz w:val="14"/>
                <w:szCs w:val="14"/>
                <w:color w:val="auto"/>
              </w:rPr>
            </w:pPr>
          </w:p>
        </w:tc>
        <w:tc>
          <w:tcPr>
            <w:tcW w:w="3620" w:type="dxa"/>
            <w:vAlign w:val="bottom"/>
          </w:tcPr>
          <w:p>
            <w:pPr>
              <w:jc w:val="right"/>
              <w:spacing w:after="0" w:line="165" w:lineRule="exact"/>
              <w:rPr>
                <w:sz w:val="20"/>
                <w:szCs w:val="20"/>
                <w:color w:val="auto"/>
              </w:rPr>
            </w:pPr>
            <w:r>
              <w:rPr>
                <w:rFonts w:ascii="Calibri" w:cs="Calibri" w:eastAsia="Calibri" w:hAnsi="Calibri"/>
                <w:sz w:val="16"/>
                <w:szCs w:val="16"/>
                <w:color w:val="231F20"/>
              </w:rPr>
              <w:t>10,626</w:t>
            </w:r>
          </w:p>
        </w:tc>
        <w:tc>
          <w:tcPr>
            <w:tcW w:w="360" w:type="dxa"/>
            <w:vAlign w:val="bottom"/>
          </w:tcPr>
          <w:p>
            <w:pPr>
              <w:jc w:val="right"/>
              <w:ind w:right="148"/>
              <w:spacing w:after="0" w:line="113" w:lineRule="exact"/>
              <w:rPr>
                <w:sz w:val="20"/>
                <w:szCs w:val="20"/>
                <w:color w:val="auto"/>
              </w:rPr>
            </w:pPr>
            <w:r>
              <w:rPr>
                <w:rFonts w:ascii="Calibri" w:cs="Calibri" w:eastAsia="Calibri" w:hAnsi="Calibri"/>
                <w:sz w:val="10"/>
                <w:szCs w:val="10"/>
                <w:color w:val="231F20"/>
              </w:rPr>
              <w:t>(1)</w:t>
            </w:r>
          </w:p>
        </w:tc>
        <w:tc>
          <w:tcPr>
            <w:tcW w:w="460" w:type="dxa"/>
            <w:vAlign w:val="bottom"/>
          </w:tcPr>
          <w:p>
            <w:pPr>
              <w:jc w:val="right"/>
              <w:ind w:right="100"/>
              <w:spacing w:after="0" w:line="165" w:lineRule="exact"/>
              <w:rPr>
                <w:sz w:val="20"/>
                <w:szCs w:val="20"/>
                <w:color w:val="auto"/>
              </w:rPr>
            </w:pPr>
            <w:r>
              <w:rPr>
                <w:rFonts w:ascii="Calibri" w:cs="Calibri" w:eastAsia="Calibri" w:hAnsi="Calibri"/>
                <w:sz w:val="16"/>
                <w:szCs w:val="16"/>
                <w:color w:val="231F20"/>
              </w:rPr>
              <w:t>$</w:t>
            </w:r>
          </w:p>
        </w:tc>
        <w:tc>
          <w:tcPr>
            <w:tcW w:w="1580" w:type="dxa"/>
            <w:vAlign w:val="bottom"/>
          </w:tcPr>
          <w:p>
            <w:pPr>
              <w:jc w:val="right"/>
              <w:spacing w:after="0" w:line="165" w:lineRule="exact"/>
              <w:rPr>
                <w:sz w:val="20"/>
                <w:szCs w:val="20"/>
                <w:color w:val="auto"/>
              </w:rPr>
            </w:pPr>
            <w:r>
              <w:rPr>
                <w:rFonts w:ascii="Calibri" w:cs="Calibri" w:eastAsia="Calibri" w:hAnsi="Calibri"/>
                <w:sz w:val="16"/>
                <w:szCs w:val="16"/>
                <w:color w:val="231F20"/>
              </w:rPr>
              <w:t>1,071,101</w:t>
            </w:r>
          </w:p>
        </w:tc>
      </w:tr>
      <w:tr>
        <w:trPr>
          <w:trHeight w:val="200"/>
        </w:trPr>
        <w:tc>
          <w:tcPr>
            <w:tcW w:w="960" w:type="dxa"/>
            <w:vAlign w:val="bottom"/>
            <w:shd w:val="clear" w:color="auto" w:fill="DCDDDE"/>
          </w:tcPr>
          <w:p>
            <w:pPr>
              <w:spacing w:after="0"/>
              <w:rPr>
                <w:sz w:val="17"/>
                <w:szCs w:val="17"/>
                <w:color w:val="auto"/>
              </w:rPr>
            </w:pPr>
          </w:p>
        </w:tc>
        <w:tc>
          <w:tcPr>
            <w:tcW w:w="1240" w:type="dxa"/>
            <w:vAlign w:val="bottom"/>
            <w:shd w:val="clear" w:color="auto" w:fill="DCDDDE"/>
          </w:tcPr>
          <w:p>
            <w:pPr>
              <w:spacing w:after="0"/>
              <w:rPr>
                <w:sz w:val="17"/>
                <w:szCs w:val="17"/>
                <w:color w:val="auto"/>
              </w:rPr>
            </w:pPr>
          </w:p>
        </w:tc>
        <w:tc>
          <w:tcPr>
            <w:tcW w:w="3620" w:type="dxa"/>
            <w:vAlign w:val="bottom"/>
          </w:tcPr>
          <w:p>
            <w:pPr>
              <w:jc w:val="right"/>
              <w:spacing w:after="0"/>
              <w:rPr>
                <w:sz w:val="20"/>
                <w:szCs w:val="20"/>
                <w:color w:val="auto"/>
              </w:rPr>
            </w:pPr>
            <w:r>
              <w:rPr>
                <w:rFonts w:ascii="Calibri" w:cs="Calibri" w:eastAsia="Calibri" w:hAnsi="Calibri"/>
                <w:sz w:val="16"/>
                <w:szCs w:val="16"/>
                <w:color w:val="231F20"/>
              </w:rPr>
              <w:t>1,414</w:t>
            </w:r>
          </w:p>
        </w:tc>
        <w:tc>
          <w:tcPr>
            <w:tcW w:w="360" w:type="dxa"/>
            <w:vAlign w:val="bottom"/>
          </w:tcPr>
          <w:p>
            <w:pPr>
              <w:jc w:val="right"/>
              <w:ind w:right="148"/>
              <w:spacing w:after="0"/>
              <w:rPr>
                <w:sz w:val="20"/>
                <w:szCs w:val="20"/>
                <w:color w:val="auto"/>
              </w:rPr>
            </w:pPr>
            <w:r>
              <w:rPr>
                <w:rFonts w:ascii="Calibri" w:cs="Calibri" w:eastAsia="Calibri" w:hAnsi="Calibri"/>
                <w:sz w:val="10"/>
                <w:szCs w:val="10"/>
                <w:color w:val="231F20"/>
              </w:rPr>
              <w:t>(2)</w:t>
            </w:r>
          </w:p>
        </w:tc>
        <w:tc>
          <w:tcPr>
            <w:tcW w:w="460" w:type="dxa"/>
            <w:vAlign w:val="bottom"/>
          </w:tcPr>
          <w:p>
            <w:pPr>
              <w:jc w:val="right"/>
              <w:ind w:right="100"/>
              <w:spacing w:after="0"/>
              <w:rPr>
                <w:sz w:val="20"/>
                <w:szCs w:val="20"/>
                <w:color w:val="auto"/>
              </w:rPr>
            </w:pPr>
            <w:r>
              <w:rPr>
                <w:rFonts w:ascii="Calibri" w:cs="Calibri" w:eastAsia="Calibri" w:hAnsi="Calibri"/>
                <w:sz w:val="16"/>
                <w:szCs w:val="16"/>
                <w:color w:val="231F20"/>
              </w:rPr>
              <w:t>$</w:t>
            </w:r>
          </w:p>
        </w:tc>
        <w:tc>
          <w:tcPr>
            <w:tcW w:w="1580" w:type="dxa"/>
            <w:vAlign w:val="bottom"/>
          </w:tcPr>
          <w:p>
            <w:pPr>
              <w:jc w:val="right"/>
              <w:spacing w:after="0"/>
              <w:rPr>
                <w:sz w:val="20"/>
                <w:szCs w:val="20"/>
                <w:color w:val="auto"/>
              </w:rPr>
            </w:pPr>
            <w:r>
              <w:rPr>
                <w:rFonts w:ascii="Calibri" w:cs="Calibri" w:eastAsia="Calibri" w:hAnsi="Calibri"/>
                <w:sz w:val="16"/>
                <w:szCs w:val="16"/>
                <w:color w:val="231F20"/>
              </w:rPr>
              <w:t>142,531</w:t>
            </w:r>
          </w:p>
        </w:tc>
      </w:tr>
      <w:tr>
        <w:trPr>
          <w:trHeight w:val="200"/>
        </w:trPr>
        <w:tc>
          <w:tcPr>
            <w:tcW w:w="960" w:type="dxa"/>
            <w:vAlign w:val="bottom"/>
            <w:shd w:val="clear" w:color="auto" w:fill="DCDDDE"/>
          </w:tcPr>
          <w:p>
            <w:pPr>
              <w:spacing w:after="0"/>
              <w:rPr>
                <w:sz w:val="17"/>
                <w:szCs w:val="17"/>
                <w:color w:val="auto"/>
              </w:rPr>
            </w:pPr>
          </w:p>
        </w:tc>
        <w:tc>
          <w:tcPr>
            <w:tcW w:w="1240" w:type="dxa"/>
            <w:vAlign w:val="bottom"/>
            <w:shd w:val="clear" w:color="auto" w:fill="DCDDDE"/>
          </w:tcPr>
          <w:p>
            <w:pPr>
              <w:spacing w:after="0"/>
              <w:rPr>
                <w:sz w:val="17"/>
                <w:szCs w:val="17"/>
                <w:color w:val="auto"/>
              </w:rPr>
            </w:pPr>
          </w:p>
        </w:tc>
        <w:tc>
          <w:tcPr>
            <w:tcW w:w="3620" w:type="dxa"/>
            <w:vAlign w:val="bottom"/>
          </w:tcPr>
          <w:p>
            <w:pPr>
              <w:jc w:val="right"/>
              <w:spacing w:after="0"/>
              <w:rPr>
                <w:sz w:val="20"/>
                <w:szCs w:val="20"/>
                <w:color w:val="auto"/>
              </w:rPr>
            </w:pPr>
            <w:r>
              <w:rPr>
                <w:rFonts w:ascii="Calibri" w:cs="Calibri" w:eastAsia="Calibri" w:hAnsi="Calibri"/>
                <w:sz w:val="16"/>
                <w:szCs w:val="16"/>
                <w:color w:val="231F20"/>
              </w:rPr>
              <w:t>6,977</w:t>
            </w:r>
          </w:p>
        </w:tc>
        <w:tc>
          <w:tcPr>
            <w:tcW w:w="360" w:type="dxa"/>
            <w:vAlign w:val="bottom"/>
          </w:tcPr>
          <w:p>
            <w:pPr>
              <w:jc w:val="right"/>
              <w:ind w:right="148"/>
              <w:spacing w:after="0"/>
              <w:rPr>
                <w:sz w:val="20"/>
                <w:szCs w:val="20"/>
                <w:color w:val="auto"/>
              </w:rPr>
            </w:pPr>
            <w:r>
              <w:rPr>
                <w:rFonts w:ascii="Calibri" w:cs="Calibri" w:eastAsia="Calibri" w:hAnsi="Calibri"/>
                <w:sz w:val="10"/>
                <w:szCs w:val="10"/>
                <w:color w:val="231F20"/>
              </w:rPr>
              <w:t>(2)</w:t>
            </w:r>
          </w:p>
        </w:tc>
        <w:tc>
          <w:tcPr>
            <w:tcW w:w="460" w:type="dxa"/>
            <w:vAlign w:val="bottom"/>
          </w:tcPr>
          <w:p>
            <w:pPr>
              <w:jc w:val="right"/>
              <w:ind w:right="100"/>
              <w:spacing w:after="0"/>
              <w:rPr>
                <w:sz w:val="20"/>
                <w:szCs w:val="20"/>
                <w:color w:val="auto"/>
              </w:rPr>
            </w:pPr>
            <w:r>
              <w:rPr>
                <w:rFonts w:ascii="Calibri" w:cs="Calibri" w:eastAsia="Calibri" w:hAnsi="Calibri"/>
                <w:sz w:val="16"/>
                <w:szCs w:val="16"/>
                <w:color w:val="231F20"/>
              </w:rPr>
              <w:t>$</w:t>
            </w:r>
          </w:p>
        </w:tc>
        <w:tc>
          <w:tcPr>
            <w:tcW w:w="1580" w:type="dxa"/>
            <w:vAlign w:val="bottom"/>
          </w:tcPr>
          <w:p>
            <w:pPr>
              <w:jc w:val="right"/>
              <w:spacing w:after="0"/>
              <w:rPr>
                <w:sz w:val="20"/>
                <w:szCs w:val="20"/>
                <w:color w:val="auto"/>
              </w:rPr>
            </w:pPr>
            <w:r>
              <w:rPr>
                <w:rFonts w:ascii="Calibri" w:cs="Calibri" w:eastAsia="Calibri" w:hAnsi="Calibri"/>
                <w:sz w:val="16"/>
                <w:szCs w:val="16"/>
                <w:color w:val="231F20"/>
              </w:rPr>
              <w:t>703,282</w:t>
            </w:r>
          </w:p>
        </w:tc>
      </w:tr>
      <w:tr>
        <w:trPr>
          <w:trHeight w:val="200"/>
        </w:trPr>
        <w:tc>
          <w:tcPr>
            <w:tcW w:w="960" w:type="dxa"/>
            <w:vAlign w:val="bottom"/>
            <w:shd w:val="clear" w:color="auto" w:fill="DCDDDE"/>
          </w:tcPr>
          <w:p>
            <w:pPr>
              <w:spacing w:after="0"/>
              <w:rPr>
                <w:sz w:val="17"/>
                <w:szCs w:val="17"/>
                <w:color w:val="auto"/>
              </w:rPr>
            </w:pPr>
          </w:p>
        </w:tc>
        <w:tc>
          <w:tcPr>
            <w:tcW w:w="1240" w:type="dxa"/>
            <w:vAlign w:val="bottom"/>
            <w:shd w:val="clear" w:color="auto" w:fill="DCDDDE"/>
          </w:tcPr>
          <w:p>
            <w:pPr>
              <w:spacing w:after="0"/>
              <w:rPr>
                <w:sz w:val="17"/>
                <w:szCs w:val="17"/>
                <w:color w:val="auto"/>
              </w:rPr>
            </w:pPr>
          </w:p>
        </w:tc>
        <w:tc>
          <w:tcPr>
            <w:tcW w:w="3620" w:type="dxa"/>
            <w:vAlign w:val="bottom"/>
          </w:tcPr>
          <w:p>
            <w:pPr>
              <w:jc w:val="right"/>
              <w:spacing w:after="0"/>
              <w:rPr>
                <w:sz w:val="20"/>
                <w:szCs w:val="20"/>
                <w:color w:val="auto"/>
              </w:rPr>
            </w:pPr>
            <w:r>
              <w:rPr>
                <w:rFonts w:ascii="Calibri" w:cs="Calibri" w:eastAsia="Calibri" w:hAnsi="Calibri"/>
                <w:sz w:val="16"/>
                <w:szCs w:val="16"/>
                <w:color w:val="231F20"/>
              </w:rPr>
              <w:t>653</w:t>
            </w:r>
          </w:p>
        </w:tc>
        <w:tc>
          <w:tcPr>
            <w:tcW w:w="360" w:type="dxa"/>
            <w:vAlign w:val="bottom"/>
          </w:tcPr>
          <w:p>
            <w:pPr>
              <w:jc w:val="right"/>
              <w:ind w:right="148"/>
              <w:spacing w:after="0"/>
              <w:rPr>
                <w:sz w:val="20"/>
                <w:szCs w:val="20"/>
                <w:color w:val="auto"/>
              </w:rPr>
            </w:pPr>
            <w:r>
              <w:rPr>
                <w:rFonts w:ascii="Calibri" w:cs="Calibri" w:eastAsia="Calibri" w:hAnsi="Calibri"/>
                <w:sz w:val="10"/>
                <w:szCs w:val="10"/>
                <w:color w:val="231F20"/>
              </w:rPr>
              <w:t>(3)</w:t>
            </w:r>
          </w:p>
        </w:tc>
        <w:tc>
          <w:tcPr>
            <w:tcW w:w="460" w:type="dxa"/>
            <w:vAlign w:val="bottom"/>
          </w:tcPr>
          <w:p>
            <w:pPr>
              <w:jc w:val="right"/>
              <w:ind w:right="100"/>
              <w:spacing w:after="0"/>
              <w:rPr>
                <w:sz w:val="20"/>
                <w:szCs w:val="20"/>
                <w:color w:val="auto"/>
              </w:rPr>
            </w:pPr>
            <w:r>
              <w:rPr>
                <w:rFonts w:ascii="Calibri" w:cs="Calibri" w:eastAsia="Calibri" w:hAnsi="Calibri"/>
                <w:sz w:val="16"/>
                <w:szCs w:val="16"/>
                <w:color w:val="231F20"/>
              </w:rPr>
              <w:t>$</w:t>
            </w:r>
          </w:p>
        </w:tc>
        <w:tc>
          <w:tcPr>
            <w:tcW w:w="1580" w:type="dxa"/>
            <w:vAlign w:val="bottom"/>
          </w:tcPr>
          <w:p>
            <w:pPr>
              <w:jc w:val="right"/>
              <w:spacing w:after="0"/>
              <w:rPr>
                <w:sz w:val="20"/>
                <w:szCs w:val="20"/>
                <w:color w:val="auto"/>
              </w:rPr>
            </w:pPr>
            <w:r>
              <w:rPr>
                <w:rFonts w:ascii="Calibri" w:cs="Calibri" w:eastAsia="Calibri" w:hAnsi="Calibri"/>
                <w:sz w:val="16"/>
                <w:szCs w:val="16"/>
                <w:color w:val="231F20"/>
              </w:rPr>
              <w:t>65,822</w:t>
            </w:r>
          </w:p>
        </w:tc>
      </w:tr>
      <w:tr>
        <w:trPr>
          <w:trHeight w:val="210"/>
        </w:trPr>
        <w:tc>
          <w:tcPr>
            <w:tcW w:w="960" w:type="dxa"/>
            <w:vAlign w:val="bottom"/>
            <w:tcBorders>
              <w:bottom w:val="single" w:sz="8" w:color="231F20"/>
            </w:tcBorders>
            <w:shd w:val="clear" w:color="auto" w:fill="DCDDDE"/>
          </w:tcPr>
          <w:p>
            <w:pPr>
              <w:spacing w:after="0"/>
              <w:rPr>
                <w:sz w:val="18"/>
                <w:szCs w:val="18"/>
                <w:color w:val="auto"/>
              </w:rPr>
            </w:pPr>
          </w:p>
        </w:tc>
        <w:tc>
          <w:tcPr>
            <w:tcW w:w="1240" w:type="dxa"/>
            <w:vAlign w:val="bottom"/>
            <w:tcBorders>
              <w:bottom w:val="single" w:sz="8" w:color="231F20"/>
            </w:tcBorders>
            <w:shd w:val="clear" w:color="auto" w:fill="DCDDDE"/>
          </w:tcPr>
          <w:p>
            <w:pPr>
              <w:spacing w:after="0"/>
              <w:rPr>
                <w:sz w:val="18"/>
                <w:szCs w:val="18"/>
                <w:color w:val="auto"/>
              </w:rPr>
            </w:pPr>
          </w:p>
        </w:tc>
        <w:tc>
          <w:tcPr>
            <w:tcW w:w="3620" w:type="dxa"/>
            <w:vAlign w:val="bottom"/>
            <w:tcBorders>
              <w:bottom w:val="single" w:sz="8" w:color="231F20"/>
            </w:tcBorders>
          </w:tcPr>
          <w:p>
            <w:pPr>
              <w:jc w:val="right"/>
              <w:spacing w:after="0"/>
              <w:rPr>
                <w:sz w:val="20"/>
                <w:szCs w:val="20"/>
                <w:color w:val="auto"/>
              </w:rPr>
            </w:pPr>
            <w:r>
              <w:rPr>
                <w:rFonts w:ascii="Calibri" w:cs="Calibri" w:eastAsia="Calibri" w:hAnsi="Calibri"/>
                <w:sz w:val="16"/>
                <w:szCs w:val="16"/>
                <w:color w:val="231F20"/>
              </w:rPr>
              <w:t>2,998</w:t>
            </w:r>
          </w:p>
        </w:tc>
        <w:tc>
          <w:tcPr>
            <w:tcW w:w="360" w:type="dxa"/>
            <w:vAlign w:val="bottom"/>
            <w:tcBorders>
              <w:bottom w:val="single" w:sz="8" w:color="231F20"/>
            </w:tcBorders>
          </w:tcPr>
          <w:p>
            <w:pPr>
              <w:jc w:val="right"/>
              <w:ind w:right="148"/>
              <w:spacing w:after="0"/>
              <w:rPr>
                <w:sz w:val="20"/>
                <w:szCs w:val="20"/>
                <w:color w:val="auto"/>
              </w:rPr>
            </w:pPr>
            <w:r>
              <w:rPr>
                <w:rFonts w:ascii="Calibri" w:cs="Calibri" w:eastAsia="Calibri" w:hAnsi="Calibri"/>
                <w:sz w:val="10"/>
                <w:szCs w:val="10"/>
                <w:color w:val="231F20"/>
              </w:rPr>
              <w:t>(3)</w:t>
            </w:r>
          </w:p>
        </w:tc>
        <w:tc>
          <w:tcPr>
            <w:tcW w:w="460" w:type="dxa"/>
            <w:vAlign w:val="bottom"/>
            <w:tcBorders>
              <w:bottom w:val="single" w:sz="8" w:color="231F20"/>
            </w:tcBorders>
          </w:tcPr>
          <w:p>
            <w:pPr>
              <w:jc w:val="right"/>
              <w:ind w:right="100"/>
              <w:spacing w:after="0"/>
              <w:rPr>
                <w:sz w:val="20"/>
                <w:szCs w:val="20"/>
                <w:color w:val="auto"/>
              </w:rPr>
            </w:pPr>
            <w:r>
              <w:rPr>
                <w:rFonts w:ascii="Calibri" w:cs="Calibri" w:eastAsia="Calibri" w:hAnsi="Calibri"/>
                <w:sz w:val="16"/>
                <w:szCs w:val="16"/>
                <w:color w:val="231F20"/>
              </w:rPr>
              <w:t>$</w:t>
            </w:r>
          </w:p>
        </w:tc>
        <w:tc>
          <w:tcPr>
            <w:tcW w:w="1580" w:type="dxa"/>
            <w:vAlign w:val="bottom"/>
            <w:tcBorders>
              <w:bottom w:val="single" w:sz="8" w:color="231F20"/>
            </w:tcBorders>
          </w:tcPr>
          <w:p>
            <w:pPr>
              <w:jc w:val="right"/>
              <w:spacing w:after="0"/>
              <w:rPr>
                <w:sz w:val="20"/>
                <w:szCs w:val="20"/>
                <w:color w:val="auto"/>
              </w:rPr>
            </w:pPr>
            <w:r>
              <w:rPr>
                <w:rFonts w:ascii="Calibri" w:cs="Calibri" w:eastAsia="Calibri" w:hAnsi="Calibri"/>
                <w:sz w:val="16"/>
                <w:szCs w:val="16"/>
                <w:color w:val="231F20"/>
              </w:rPr>
              <w:t>302,198</w:t>
            </w:r>
          </w:p>
        </w:tc>
      </w:tr>
      <w:tr>
        <w:trPr>
          <w:trHeight w:val="150"/>
        </w:trPr>
        <w:tc>
          <w:tcPr>
            <w:tcW w:w="960" w:type="dxa"/>
            <w:vAlign w:val="bottom"/>
            <w:tcBorders>
              <w:bottom w:val="single" w:sz="8" w:color="231F20"/>
            </w:tcBorders>
          </w:tcPr>
          <w:p>
            <w:pPr>
              <w:spacing w:after="0"/>
              <w:rPr>
                <w:sz w:val="13"/>
                <w:szCs w:val="13"/>
                <w:color w:val="auto"/>
              </w:rPr>
            </w:pPr>
          </w:p>
        </w:tc>
        <w:tc>
          <w:tcPr>
            <w:tcW w:w="124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580" w:type="dxa"/>
            <w:vAlign w:val="bottom"/>
          </w:tcPr>
          <w:p>
            <w:pPr>
              <w:spacing w:after="0"/>
              <w:rPr>
                <w:sz w:val="13"/>
                <w:szCs w:val="13"/>
                <w:color w:val="auto"/>
              </w:rPr>
            </w:pPr>
          </w:p>
        </w:tc>
      </w:tr>
    </w:tbl>
    <w:p>
      <w:pPr>
        <w:spacing w:after="0" w:line="55" w:lineRule="exact"/>
        <w:rPr>
          <w:sz w:val="20"/>
          <w:szCs w:val="20"/>
          <w:color w:val="auto"/>
        </w:rPr>
      </w:pPr>
    </w:p>
    <w:p>
      <w:pPr>
        <w:ind w:left="360" w:hanging="360"/>
        <w:spacing w:after="0" w:line="214" w:lineRule="auto"/>
        <w:tabs>
          <w:tab w:leader="none" w:pos="360" w:val="left"/>
        </w:tabs>
        <w:numPr>
          <w:ilvl w:val="0"/>
          <w:numId w:val="142"/>
        </w:numPr>
        <w:rPr>
          <w:rFonts w:ascii="Arial" w:cs="Arial" w:eastAsia="Arial" w:hAnsi="Arial"/>
          <w:sz w:val="23"/>
          <w:szCs w:val="23"/>
          <w:color w:val="231F20"/>
          <w:vertAlign w:val="superscript"/>
        </w:rPr>
      </w:pPr>
      <w:r>
        <w:rPr>
          <w:rFonts w:ascii="Arial" w:cs="Arial" w:eastAsia="Arial" w:hAnsi="Arial"/>
          <w:sz w:val="18"/>
          <w:szCs w:val="18"/>
          <w:color w:val="231F20"/>
        </w:rPr>
        <w:t>One-third of these shares vested on February 12, 2026 and the remaining shares will vest equally on February 12 of each of 2027 and 2028.</w:t>
      </w:r>
    </w:p>
    <w:p>
      <w:pPr>
        <w:ind w:left="360" w:hanging="360"/>
        <w:spacing w:after="0" w:line="199" w:lineRule="auto"/>
        <w:tabs>
          <w:tab w:leader="none" w:pos="360" w:val="left"/>
        </w:tabs>
        <w:numPr>
          <w:ilvl w:val="0"/>
          <w:numId w:val="142"/>
        </w:numPr>
        <w:rPr>
          <w:rFonts w:ascii="Arial" w:cs="Arial" w:eastAsia="Arial" w:hAnsi="Arial"/>
          <w:sz w:val="23"/>
          <w:szCs w:val="23"/>
          <w:color w:val="231F20"/>
          <w:vertAlign w:val="superscript"/>
        </w:rPr>
      </w:pPr>
      <w:r>
        <w:rPr>
          <w:rFonts w:ascii="Arial" w:cs="Arial" w:eastAsia="Arial" w:hAnsi="Arial"/>
          <w:sz w:val="18"/>
          <w:szCs w:val="18"/>
          <w:color w:val="231F20"/>
        </w:rPr>
        <w:t>One-half of these shares vested on February 12, 2026 and the remaining shares will vest on February 12, 2027.</w:t>
      </w:r>
    </w:p>
    <w:p>
      <w:pPr>
        <w:spacing w:after="0" w:line="55" w:lineRule="exact"/>
        <w:rPr>
          <w:rFonts w:ascii="Arial" w:cs="Arial" w:eastAsia="Arial" w:hAnsi="Arial"/>
          <w:sz w:val="23"/>
          <w:szCs w:val="23"/>
          <w:color w:val="231F20"/>
          <w:vertAlign w:val="superscript"/>
        </w:rPr>
      </w:pPr>
    </w:p>
    <w:p>
      <w:pPr>
        <w:ind w:left="360" w:hanging="360"/>
        <w:spacing w:after="0" w:line="181" w:lineRule="auto"/>
        <w:tabs>
          <w:tab w:leader="none" w:pos="360" w:val="left"/>
        </w:tabs>
        <w:numPr>
          <w:ilvl w:val="0"/>
          <w:numId w:val="142"/>
        </w:numPr>
        <w:rPr>
          <w:rFonts w:ascii="Arial" w:cs="Arial" w:eastAsia="Arial" w:hAnsi="Arial"/>
          <w:sz w:val="19"/>
          <w:szCs w:val="19"/>
          <w:color w:val="231F20"/>
          <w:vertAlign w:val="superscript"/>
        </w:rPr>
      </w:pPr>
      <w:r>
        <w:rPr>
          <w:rFonts w:ascii="Arial" w:cs="Arial" w:eastAsia="Arial" w:hAnsi="Arial"/>
          <w:sz w:val="15"/>
          <w:szCs w:val="15"/>
          <w:color w:val="231F20"/>
        </w:rPr>
        <w:t>These shares vested on February 12, 2026.</w:t>
      </w:r>
    </w:p>
    <w:p>
      <w:pPr>
        <w:spacing w:after="0" w:line="55" w:lineRule="exact"/>
        <w:rPr>
          <w:rFonts w:ascii="Arial" w:cs="Arial" w:eastAsia="Arial" w:hAnsi="Arial"/>
          <w:sz w:val="19"/>
          <w:szCs w:val="19"/>
          <w:color w:val="231F20"/>
          <w:vertAlign w:val="superscript"/>
        </w:rPr>
      </w:pPr>
    </w:p>
    <w:p>
      <w:pPr>
        <w:ind w:left="360" w:hanging="360"/>
        <w:spacing w:after="0" w:line="181" w:lineRule="auto"/>
        <w:tabs>
          <w:tab w:leader="none" w:pos="360" w:val="left"/>
        </w:tabs>
        <w:numPr>
          <w:ilvl w:val="0"/>
          <w:numId w:val="142"/>
        </w:numPr>
        <w:rPr>
          <w:rFonts w:ascii="Arial" w:cs="Arial" w:eastAsia="Arial" w:hAnsi="Arial"/>
          <w:sz w:val="19"/>
          <w:szCs w:val="19"/>
          <w:color w:val="231F20"/>
          <w:vertAlign w:val="superscript"/>
        </w:rPr>
      </w:pPr>
      <w:r>
        <w:rPr>
          <w:rFonts w:ascii="Arial" w:cs="Arial" w:eastAsia="Arial" w:hAnsi="Arial"/>
          <w:sz w:val="15"/>
          <w:szCs w:val="15"/>
          <w:color w:val="231F20"/>
        </w:rPr>
        <w:t>These shares will vest on August 3, 2026.</w:t>
      </w:r>
    </w:p>
    <w:p>
      <w:pPr>
        <w:spacing w:after="0" w:line="55" w:lineRule="exact"/>
        <w:rPr>
          <w:rFonts w:ascii="Arial" w:cs="Arial" w:eastAsia="Arial" w:hAnsi="Arial"/>
          <w:sz w:val="19"/>
          <w:szCs w:val="19"/>
          <w:color w:val="231F20"/>
          <w:vertAlign w:val="superscript"/>
        </w:rPr>
      </w:pPr>
    </w:p>
    <w:p>
      <w:pPr>
        <w:ind w:left="360" w:hanging="360"/>
        <w:spacing w:after="0" w:line="181" w:lineRule="auto"/>
        <w:tabs>
          <w:tab w:leader="none" w:pos="360" w:val="left"/>
        </w:tabs>
        <w:numPr>
          <w:ilvl w:val="0"/>
          <w:numId w:val="142"/>
        </w:numPr>
        <w:rPr>
          <w:rFonts w:ascii="Arial" w:cs="Arial" w:eastAsia="Arial" w:hAnsi="Arial"/>
          <w:sz w:val="19"/>
          <w:szCs w:val="19"/>
          <w:color w:val="231F20"/>
          <w:vertAlign w:val="superscript"/>
        </w:rPr>
      </w:pPr>
      <w:r>
        <w:rPr>
          <w:rFonts w:ascii="Arial" w:cs="Arial" w:eastAsia="Arial" w:hAnsi="Arial"/>
          <w:sz w:val="15"/>
          <w:szCs w:val="15"/>
          <w:color w:val="231F20"/>
        </w:rPr>
        <w:t>The value of shares is calculated based on $100.80, the closing price of our shares on the NYSE on December 31, 2025.</w:t>
      </w:r>
    </w:p>
    <w:p>
      <w:pPr>
        <w:spacing w:after="0" w:line="338" w:lineRule="exact"/>
        <w:rPr>
          <w:sz w:val="20"/>
          <w:szCs w:val="20"/>
          <w:color w:val="auto"/>
        </w:rPr>
      </w:pPr>
    </w:p>
    <w:p>
      <w:pPr>
        <w:spacing w:after="0" w:line="268" w:lineRule="exact"/>
        <w:rPr>
          <w:sz w:val="20"/>
          <w:szCs w:val="20"/>
          <w:color w:val="auto"/>
        </w:rPr>
      </w:pPr>
      <w:r>
        <w:rPr>
          <w:rFonts w:ascii="Arial Unicode MS" w:cs="Arial Unicode MS" w:eastAsia="Arial Unicode MS" w:hAnsi="Arial Unicode MS"/>
          <w:sz w:val="20"/>
          <w:szCs w:val="20"/>
          <w:color w:val="EF3E2A"/>
        </w:rPr>
        <w:t>➣</w:t>
      </w:r>
      <w:r>
        <w:rPr>
          <w:rFonts w:ascii="Arial" w:cs="Arial" w:eastAsia="Arial" w:hAnsi="Arial"/>
          <w:sz w:val="20"/>
          <w:szCs w:val="20"/>
          <w:b w:val="1"/>
          <w:bCs w:val="1"/>
          <w:color w:val="231F20"/>
        </w:rPr>
        <w:t xml:space="preserve"> OPTIONS EXERCISED AND STOCK VESTED IN 2025</w:t>
      </w:r>
    </w:p>
    <w:p>
      <w:pPr>
        <w:spacing w:after="0" w:line="135" w:lineRule="exact"/>
        <w:rPr>
          <w:sz w:val="20"/>
          <w:szCs w:val="20"/>
          <w:color w:val="auto"/>
        </w:rPr>
      </w:pPr>
    </w:p>
    <w:p>
      <w:pPr>
        <w:spacing w:after="0" w:line="245" w:lineRule="auto"/>
        <w:rPr>
          <w:sz w:val="20"/>
          <w:szCs w:val="20"/>
          <w:color w:val="auto"/>
        </w:rPr>
      </w:pPr>
      <w:r>
        <w:rPr>
          <w:rFonts w:ascii="Arial" w:cs="Arial" w:eastAsia="Arial" w:hAnsi="Arial"/>
          <w:sz w:val="20"/>
          <w:szCs w:val="20"/>
          <w:color w:val="231F20"/>
        </w:rPr>
        <w:t>The following table includes information with respect to shares held by our NEOs that vested in 2025. None of our NEOs holds any options or exercised any options during 2025.</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308"/>
        </w:trPr>
        <w:tc>
          <w:tcPr>
            <w:tcW w:w="960" w:type="dxa"/>
            <w:vAlign w:val="bottom"/>
            <w:shd w:val="clear" w:color="auto" w:fill="EF3E2A"/>
          </w:tcPr>
          <w:p>
            <w:pPr>
              <w:spacing w:after="0"/>
              <w:rPr>
                <w:sz w:val="24"/>
                <w:szCs w:val="24"/>
                <w:color w:val="auto"/>
              </w:rPr>
            </w:pPr>
          </w:p>
        </w:tc>
        <w:tc>
          <w:tcPr>
            <w:tcW w:w="1240" w:type="dxa"/>
            <w:vAlign w:val="bottom"/>
            <w:shd w:val="clear" w:color="auto" w:fill="EF3E2A"/>
          </w:tcPr>
          <w:p>
            <w:pPr>
              <w:spacing w:after="0"/>
              <w:rPr>
                <w:sz w:val="24"/>
                <w:szCs w:val="24"/>
                <w:color w:val="auto"/>
              </w:rPr>
            </w:pPr>
          </w:p>
        </w:tc>
        <w:tc>
          <w:tcPr>
            <w:tcW w:w="5260" w:type="dxa"/>
            <w:vAlign w:val="bottom"/>
            <w:gridSpan w:val="2"/>
            <w:shd w:val="clear" w:color="auto" w:fill="EF3E2A"/>
          </w:tcPr>
          <w:p>
            <w:pPr>
              <w:jc w:val="right"/>
              <w:ind w:right="940"/>
              <w:spacing w:after="0"/>
              <w:rPr>
                <w:sz w:val="20"/>
                <w:szCs w:val="20"/>
                <w:color w:val="auto"/>
              </w:rPr>
            </w:pPr>
            <w:r>
              <w:rPr>
                <w:rFonts w:ascii="Calibri" w:cs="Calibri" w:eastAsia="Calibri" w:hAnsi="Calibri"/>
                <w:sz w:val="16"/>
                <w:szCs w:val="16"/>
                <w:b w:val="1"/>
                <w:bCs w:val="1"/>
                <w:color w:val="E8E7E5"/>
              </w:rPr>
              <w:t>Stock Awards</w:t>
            </w:r>
          </w:p>
        </w:tc>
      </w:tr>
      <w:tr>
        <w:trPr>
          <w:trHeight w:val="340"/>
        </w:trPr>
        <w:tc>
          <w:tcPr>
            <w:tcW w:w="960" w:type="dxa"/>
            <w:vAlign w:val="bottom"/>
            <w:shd w:val="clear" w:color="auto" w:fill="EF3E2A"/>
          </w:tcPr>
          <w:p>
            <w:pPr>
              <w:spacing w:after="0"/>
              <w:rPr>
                <w:sz w:val="24"/>
                <w:szCs w:val="24"/>
                <w:color w:val="auto"/>
              </w:rPr>
            </w:pPr>
          </w:p>
        </w:tc>
        <w:tc>
          <w:tcPr>
            <w:tcW w:w="1240" w:type="dxa"/>
            <w:vAlign w:val="bottom"/>
            <w:shd w:val="clear" w:color="auto" w:fill="EF3E2A"/>
          </w:tcPr>
          <w:p>
            <w:pPr>
              <w:spacing w:after="0"/>
              <w:rPr>
                <w:sz w:val="24"/>
                <w:szCs w:val="24"/>
                <w:color w:val="auto"/>
              </w:rPr>
            </w:pPr>
          </w:p>
        </w:tc>
        <w:tc>
          <w:tcPr>
            <w:tcW w:w="3980" w:type="dxa"/>
            <w:vAlign w:val="bottom"/>
            <w:shd w:val="clear" w:color="auto" w:fill="EF3E2A"/>
          </w:tcPr>
          <w:p>
            <w:pPr>
              <w:jc w:val="right"/>
              <w:ind w:right="160"/>
              <w:spacing w:after="0"/>
              <w:rPr>
                <w:sz w:val="20"/>
                <w:szCs w:val="20"/>
                <w:color w:val="auto"/>
              </w:rPr>
            </w:pPr>
            <w:r>
              <w:rPr>
                <w:rFonts w:ascii="Calibri" w:cs="Calibri" w:eastAsia="Calibri" w:hAnsi="Calibri"/>
                <w:sz w:val="16"/>
                <w:szCs w:val="16"/>
                <w:b w:val="1"/>
                <w:bCs w:val="1"/>
                <w:color w:val="E8E7E5"/>
              </w:rPr>
              <w:t>Number of Shares</w:t>
            </w:r>
          </w:p>
        </w:tc>
        <w:tc>
          <w:tcPr>
            <w:tcW w:w="1280" w:type="dxa"/>
            <w:vAlign w:val="bottom"/>
            <w:shd w:val="clear" w:color="auto" w:fill="EF3E2A"/>
          </w:tcPr>
          <w:p>
            <w:pPr>
              <w:jc w:val="right"/>
              <w:ind w:right="40"/>
              <w:spacing w:after="0"/>
              <w:rPr>
                <w:sz w:val="20"/>
                <w:szCs w:val="20"/>
                <w:color w:val="auto"/>
              </w:rPr>
            </w:pPr>
            <w:r>
              <w:rPr>
                <w:rFonts w:ascii="Calibri" w:cs="Calibri" w:eastAsia="Calibri" w:hAnsi="Calibri"/>
                <w:sz w:val="16"/>
                <w:szCs w:val="16"/>
                <w:b w:val="1"/>
                <w:bCs w:val="1"/>
                <w:color w:val="E8E7E5"/>
              </w:rPr>
              <w:t>Value Realized</w:t>
            </w:r>
          </w:p>
        </w:tc>
      </w:tr>
      <w:tr>
        <w:trPr>
          <w:trHeight w:val="232"/>
        </w:trPr>
        <w:tc>
          <w:tcPr>
            <w:tcW w:w="2200" w:type="dxa"/>
            <w:vAlign w:val="bottom"/>
            <w:gridSpan w:val="2"/>
            <w:shd w:val="clear" w:color="auto" w:fill="EF3E2A"/>
          </w:tcPr>
          <w:p>
            <w:pPr>
              <w:ind w:left="80"/>
              <w:spacing w:after="0"/>
              <w:rPr>
                <w:sz w:val="20"/>
                <w:szCs w:val="20"/>
                <w:color w:val="auto"/>
              </w:rPr>
            </w:pPr>
            <w:r>
              <w:rPr>
                <w:rFonts w:ascii="Calibri" w:cs="Calibri" w:eastAsia="Calibri" w:hAnsi="Calibri"/>
                <w:sz w:val="16"/>
                <w:szCs w:val="16"/>
                <w:b w:val="1"/>
                <w:bCs w:val="1"/>
                <w:color w:val="E8E7E5"/>
              </w:rPr>
              <w:t>Name</w:t>
            </w:r>
          </w:p>
        </w:tc>
        <w:tc>
          <w:tcPr>
            <w:tcW w:w="3980" w:type="dxa"/>
            <w:vAlign w:val="bottom"/>
            <w:shd w:val="clear" w:color="auto" w:fill="EF3E2A"/>
          </w:tcPr>
          <w:p>
            <w:pPr>
              <w:jc w:val="right"/>
              <w:ind w:right="120"/>
              <w:spacing w:after="0"/>
              <w:rPr>
                <w:sz w:val="20"/>
                <w:szCs w:val="20"/>
                <w:color w:val="auto"/>
              </w:rPr>
            </w:pPr>
            <w:r>
              <w:rPr>
                <w:rFonts w:ascii="Calibri" w:cs="Calibri" w:eastAsia="Calibri" w:hAnsi="Calibri"/>
                <w:sz w:val="16"/>
                <w:szCs w:val="16"/>
                <w:b w:val="1"/>
                <w:bCs w:val="1"/>
                <w:color w:val="E8E7E5"/>
              </w:rPr>
              <w:t>Acquired on Vesting</w:t>
            </w:r>
          </w:p>
        </w:tc>
        <w:tc>
          <w:tcPr>
            <w:tcW w:w="1280" w:type="dxa"/>
            <w:vAlign w:val="bottom"/>
            <w:shd w:val="clear" w:color="auto" w:fill="EF3E2A"/>
          </w:tcPr>
          <w:p>
            <w:pPr>
              <w:jc w:val="right"/>
              <w:ind w:right="40"/>
              <w:spacing w:after="0" w:line="232" w:lineRule="exact"/>
              <w:rPr>
                <w:sz w:val="20"/>
                <w:szCs w:val="20"/>
                <w:color w:val="auto"/>
              </w:rPr>
            </w:pPr>
            <w:r>
              <w:rPr>
                <w:rFonts w:ascii="Calibri" w:cs="Calibri" w:eastAsia="Calibri" w:hAnsi="Calibri"/>
                <w:sz w:val="16"/>
                <w:szCs w:val="16"/>
                <w:b w:val="1"/>
                <w:bCs w:val="1"/>
                <w:color w:val="E8E7E5"/>
              </w:rPr>
              <w:t>on Vesting</w:t>
            </w:r>
            <w:r>
              <w:rPr>
                <w:rFonts w:ascii="Calibri" w:cs="Calibri" w:eastAsia="Calibri" w:hAnsi="Calibri"/>
                <w:sz w:val="20"/>
                <w:szCs w:val="20"/>
                <w:b w:val="1"/>
                <w:bCs w:val="1"/>
                <w:color w:val="E8E7E5"/>
                <w:vertAlign w:val="superscript"/>
              </w:rPr>
              <w:t>(1)</w:t>
            </w:r>
          </w:p>
        </w:tc>
      </w:tr>
      <w:tr>
        <w:trPr>
          <w:trHeight w:val="270"/>
        </w:trPr>
        <w:tc>
          <w:tcPr>
            <w:tcW w:w="2200" w:type="dxa"/>
            <w:vAlign w:val="bottom"/>
            <w:gridSpan w:val="2"/>
            <w:shd w:val="clear" w:color="auto" w:fill="DCDDDE"/>
          </w:tcPr>
          <w:p>
            <w:pPr>
              <w:ind w:left="80"/>
              <w:spacing w:after="0"/>
              <w:rPr>
                <w:sz w:val="20"/>
                <w:szCs w:val="20"/>
                <w:color w:val="auto"/>
              </w:rPr>
            </w:pPr>
            <w:r>
              <w:rPr>
                <w:rFonts w:ascii="Calibri" w:cs="Calibri" w:eastAsia="Calibri" w:hAnsi="Calibri"/>
                <w:sz w:val="16"/>
                <w:szCs w:val="16"/>
                <w:color w:val="231F20"/>
              </w:rPr>
              <w:t>Donald C. Wood</w:t>
            </w:r>
          </w:p>
        </w:tc>
        <w:tc>
          <w:tcPr>
            <w:tcW w:w="3980" w:type="dxa"/>
            <w:vAlign w:val="bottom"/>
          </w:tcPr>
          <w:p>
            <w:pPr>
              <w:jc w:val="right"/>
              <w:ind w:right="120"/>
              <w:spacing w:after="0"/>
              <w:rPr>
                <w:sz w:val="20"/>
                <w:szCs w:val="20"/>
                <w:color w:val="auto"/>
              </w:rPr>
            </w:pPr>
            <w:r>
              <w:rPr>
                <w:rFonts w:ascii="Calibri" w:cs="Calibri" w:eastAsia="Calibri" w:hAnsi="Calibri"/>
                <w:sz w:val="16"/>
                <w:szCs w:val="16"/>
                <w:color w:val="231F20"/>
              </w:rPr>
              <w:t>59,532</w:t>
            </w:r>
          </w:p>
        </w:tc>
        <w:tc>
          <w:tcPr>
            <w:tcW w:w="1280" w:type="dxa"/>
            <w:vAlign w:val="bottom"/>
          </w:tcPr>
          <w:p>
            <w:pPr>
              <w:jc w:val="right"/>
              <w:ind w:right="40"/>
              <w:spacing w:after="0"/>
              <w:rPr>
                <w:sz w:val="20"/>
                <w:szCs w:val="20"/>
                <w:color w:val="auto"/>
              </w:rPr>
            </w:pPr>
            <w:r>
              <w:rPr>
                <w:rFonts w:ascii="Calibri" w:cs="Calibri" w:eastAsia="Calibri" w:hAnsi="Calibri"/>
                <w:sz w:val="16"/>
                <w:szCs w:val="16"/>
                <w:color w:val="231F20"/>
              </w:rPr>
              <w:t>$ 6,581,263</w:t>
            </w:r>
          </w:p>
        </w:tc>
      </w:tr>
      <w:tr>
        <w:trPr>
          <w:trHeight w:val="300"/>
        </w:trPr>
        <w:tc>
          <w:tcPr>
            <w:tcW w:w="2200" w:type="dxa"/>
            <w:vAlign w:val="bottom"/>
            <w:gridSpan w:val="2"/>
            <w:shd w:val="clear" w:color="auto" w:fill="DCDDDE"/>
          </w:tcPr>
          <w:p>
            <w:pPr>
              <w:ind w:left="80"/>
              <w:spacing w:after="0"/>
              <w:rPr>
                <w:sz w:val="20"/>
                <w:szCs w:val="20"/>
                <w:color w:val="auto"/>
              </w:rPr>
            </w:pPr>
            <w:r>
              <w:rPr>
                <w:rFonts w:ascii="Calibri" w:cs="Calibri" w:eastAsia="Calibri" w:hAnsi="Calibri"/>
                <w:sz w:val="16"/>
                <w:szCs w:val="16"/>
                <w:color w:val="231F20"/>
              </w:rPr>
              <w:t>Daniel Guglielmone</w:t>
            </w:r>
          </w:p>
        </w:tc>
        <w:tc>
          <w:tcPr>
            <w:tcW w:w="3980" w:type="dxa"/>
            <w:vAlign w:val="bottom"/>
          </w:tcPr>
          <w:p>
            <w:pPr>
              <w:jc w:val="right"/>
              <w:ind w:right="120"/>
              <w:spacing w:after="0"/>
              <w:rPr>
                <w:sz w:val="20"/>
                <w:szCs w:val="20"/>
                <w:color w:val="auto"/>
              </w:rPr>
            </w:pPr>
            <w:r>
              <w:rPr>
                <w:rFonts w:ascii="Calibri" w:cs="Calibri" w:eastAsia="Calibri" w:hAnsi="Calibri"/>
                <w:sz w:val="16"/>
                <w:szCs w:val="16"/>
                <w:color w:val="231F20"/>
              </w:rPr>
              <w:t>10,550</w:t>
            </w:r>
          </w:p>
        </w:tc>
        <w:tc>
          <w:tcPr>
            <w:tcW w:w="1280" w:type="dxa"/>
            <w:vAlign w:val="bottom"/>
          </w:tcPr>
          <w:p>
            <w:pPr>
              <w:jc w:val="right"/>
              <w:ind w:right="40"/>
              <w:spacing w:after="0"/>
              <w:rPr>
                <w:sz w:val="20"/>
                <w:szCs w:val="20"/>
                <w:color w:val="auto"/>
              </w:rPr>
            </w:pPr>
            <w:r>
              <w:rPr>
                <w:rFonts w:ascii="Calibri" w:cs="Calibri" w:eastAsia="Calibri" w:hAnsi="Calibri"/>
                <w:sz w:val="16"/>
                <w:szCs w:val="16"/>
                <w:color w:val="231F20"/>
              </w:rPr>
              <w:t>$ 1,132,125</w:t>
            </w:r>
          </w:p>
        </w:tc>
      </w:tr>
      <w:tr>
        <w:trPr>
          <w:trHeight w:val="310"/>
        </w:trPr>
        <w:tc>
          <w:tcPr>
            <w:tcW w:w="2200" w:type="dxa"/>
            <w:vAlign w:val="bottom"/>
            <w:tcBorders>
              <w:bottom w:val="single" w:sz="8" w:color="DCDDDE"/>
            </w:tcBorders>
            <w:gridSpan w:val="2"/>
            <w:shd w:val="clear" w:color="auto" w:fill="DCDDDE"/>
          </w:tcPr>
          <w:p>
            <w:pPr>
              <w:ind w:left="80"/>
              <w:spacing w:after="0"/>
              <w:rPr>
                <w:sz w:val="20"/>
                <w:szCs w:val="20"/>
                <w:color w:val="auto"/>
              </w:rPr>
            </w:pPr>
            <w:r>
              <w:rPr>
                <w:rFonts w:ascii="Calibri" w:cs="Calibri" w:eastAsia="Calibri" w:hAnsi="Calibri"/>
                <w:sz w:val="16"/>
                <w:szCs w:val="16"/>
                <w:color w:val="231F20"/>
              </w:rPr>
              <w:t>Dawn M. Becker</w:t>
            </w:r>
          </w:p>
        </w:tc>
        <w:tc>
          <w:tcPr>
            <w:tcW w:w="3980" w:type="dxa"/>
            <w:vAlign w:val="bottom"/>
          </w:tcPr>
          <w:p>
            <w:pPr>
              <w:jc w:val="right"/>
              <w:ind w:right="120"/>
              <w:spacing w:after="0"/>
              <w:rPr>
                <w:sz w:val="20"/>
                <w:szCs w:val="20"/>
                <w:color w:val="auto"/>
              </w:rPr>
            </w:pPr>
            <w:r>
              <w:rPr>
                <w:rFonts w:ascii="Calibri" w:cs="Calibri" w:eastAsia="Calibri" w:hAnsi="Calibri"/>
                <w:sz w:val="16"/>
                <w:szCs w:val="16"/>
                <w:color w:val="231F20"/>
              </w:rPr>
              <w:t>9,765</w:t>
            </w:r>
          </w:p>
        </w:tc>
        <w:tc>
          <w:tcPr>
            <w:tcW w:w="1280" w:type="dxa"/>
            <w:vAlign w:val="bottom"/>
          </w:tcPr>
          <w:p>
            <w:pPr>
              <w:jc w:val="right"/>
              <w:ind w:right="40"/>
              <w:spacing w:after="0"/>
              <w:rPr>
                <w:sz w:val="20"/>
                <w:szCs w:val="20"/>
                <w:color w:val="auto"/>
              </w:rPr>
            </w:pPr>
            <w:r>
              <w:rPr>
                <w:rFonts w:ascii="Calibri" w:cs="Calibri" w:eastAsia="Calibri" w:hAnsi="Calibri"/>
                <w:sz w:val="16"/>
                <w:szCs w:val="16"/>
                <w:color w:val="231F20"/>
              </w:rPr>
              <w:t>$ 1,079,521</w:t>
            </w:r>
          </w:p>
        </w:tc>
      </w:tr>
      <w:tr>
        <w:trPr>
          <w:trHeight w:val="150"/>
        </w:trPr>
        <w:tc>
          <w:tcPr>
            <w:tcW w:w="960" w:type="dxa"/>
            <w:vAlign w:val="bottom"/>
            <w:tcBorders>
              <w:bottom w:val="single" w:sz="8" w:color="231F20"/>
            </w:tcBorders>
          </w:tcPr>
          <w:p>
            <w:pPr>
              <w:spacing w:after="0"/>
              <w:rPr>
                <w:sz w:val="13"/>
                <w:szCs w:val="13"/>
                <w:color w:val="auto"/>
              </w:rPr>
            </w:pPr>
          </w:p>
        </w:tc>
        <w:tc>
          <w:tcPr>
            <w:tcW w:w="1240" w:type="dxa"/>
            <w:vAlign w:val="bottom"/>
          </w:tcPr>
          <w:p>
            <w:pPr>
              <w:spacing w:after="0"/>
              <w:rPr>
                <w:sz w:val="13"/>
                <w:szCs w:val="13"/>
                <w:color w:val="auto"/>
              </w:rPr>
            </w:pPr>
          </w:p>
        </w:tc>
        <w:tc>
          <w:tcPr>
            <w:tcW w:w="3980" w:type="dxa"/>
            <w:vAlign w:val="bottom"/>
          </w:tcPr>
          <w:p>
            <w:pPr>
              <w:spacing w:after="0"/>
              <w:rPr>
                <w:sz w:val="13"/>
                <w:szCs w:val="13"/>
                <w:color w:val="auto"/>
              </w:rPr>
            </w:pPr>
          </w:p>
        </w:tc>
        <w:tc>
          <w:tcPr>
            <w:tcW w:w="1280" w:type="dxa"/>
            <w:vAlign w:val="bottom"/>
          </w:tcPr>
          <w:p>
            <w:pPr>
              <w:spacing w:after="0"/>
              <w:rPr>
                <w:sz w:val="13"/>
                <w:szCs w:val="13"/>
                <w:color w:val="auto"/>
              </w:rPr>
            </w:pPr>
          </w:p>
        </w:tc>
      </w:tr>
    </w:tbl>
    <w:p>
      <w:pPr>
        <w:ind w:left="360" w:hanging="360"/>
        <w:spacing w:after="0" w:line="232" w:lineRule="auto"/>
        <w:tabs>
          <w:tab w:leader="none" w:pos="360" w:val="left"/>
        </w:tabs>
        <w:numPr>
          <w:ilvl w:val="0"/>
          <w:numId w:val="144"/>
        </w:numPr>
        <w:rPr>
          <w:rFonts w:ascii="Arial" w:cs="Arial" w:eastAsia="Arial" w:hAnsi="Arial"/>
          <w:sz w:val="23"/>
          <w:szCs w:val="23"/>
          <w:color w:val="231F20"/>
          <w:vertAlign w:val="superscript"/>
        </w:rPr>
      </w:pPr>
      <w:r>
        <w:rPr>
          <w:rFonts w:ascii="Arial" w:cs="Arial" w:eastAsia="Arial" w:hAnsi="Arial"/>
          <w:sz w:val="18"/>
          <w:szCs w:val="18"/>
          <w:color w:val="231F20"/>
        </w:rPr>
        <w:t>The amounts in this column were calculated using the closing price of a share on the date the shares vested.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1107440</wp:posOffset>
                </wp:positionV>
                <wp:extent cx="6400800" cy="177800"/>
                <wp:wrapNone/>
                <wp:docPr id="443" name="Shape 4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177800"/>
                        </a:xfrm>
                        <a:prstGeom prst="rect">
                          <a:avLst/>
                        </a:prstGeom>
                        <a:solidFill>
                          <a:srgbClr val="E8E7E5"/>
                        </a:solidFill>
                      </wps:spPr>
                      <wps:bodyPr/>
                    </wps:wsp>
                  </a:graphicData>
                </a:graphic>
              </wp:anchor>
            </w:drawing>
          </mc:Choice>
          <mc:Fallback>
            <w:pict>
              <v:rect id="Shape 443" o:spid="_x0000_s1468" style="position:absolute;margin-left:0pt;margin-top:87.2pt;width:504pt;height:1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8E7E5" stroked="f"/>
            </w:pict>
          </mc:Fallback>
        </mc:AlternateContent>
        <mc:AlternateContent>
          <mc:Choice Requires="wps">
            <w:drawing>
              <wp:anchor simplePos="0" relativeHeight="251657728" behindDoc="1" locked="0" layoutInCell="0" allowOverlap="1">
                <wp:simplePos x="0" y="0"/>
                <wp:positionH relativeFrom="column">
                  <wp:posOffset>6350</wp:posOffset>
                </wp:positionH>
                <wp:positionV relativeFrom="paragraph">
                  <wp:posOffset>1107440</wp:posOffset>
                </wp:positionV>
                <wp:extent cx="0" cy="177800"/>
                <wp:wrapNone/>
                <wp:docPr id="444" name="Shape 4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444" o:spid="_x0000_s14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pt,87.2pt" to="0.5pt,101.2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1113790</wp:posOffset>
                </wp:positionV>
                <wp:extent cx="6400800" cy="0"/>
                <wp:wrapNone/>
                <wp:docPr id="445" name="Shape 4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445" o:spid="_x0000_s14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87.7pt" to="504pt,87.7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6394450</wp:posOffset>
                </wp:positionH>
                <wp:positionV relativeFrom="paragraph">
                  <wp:posOffset>1107440</wp:posOffset>
                </wp:positionV>
                <wp:extent cx="0" cy="177800"/>
                <wp:wrapNone/>
                <wp:docPr id="446" name="Shape 4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446" o:spid="_x0000_s14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3.5pt,87.2pt" to="503.5pt,101.2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1278890</wp:posOffset>
                </wp:positionV>
                <wp:extent cx="6400800" cy="0"/>
                <wp:wrapNone/>
                <wp:docPr id="447" name="Shape 4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447" o:spid="_x0000_s14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00.7pt" to="504pt,100.7pt" o:allowincell="f" strokecolor="#231F20" strokeweight="1pt"/>
            </w:pict>
          </mc:Fallback>
        </mc:AlternateContent>
      </w:r>
    </w:p>
    <w:p>
      <w:pPr>
        <w:sectPr>
          <w:pgSz w:w="11880" w:h="15480" w:orient="portrait"/>
          <w:cols w:equalWidth="0" w:num="1">
            <w:col w:w="10080"/>
          </w:cols>
          <w:pgMar w:left="900" w:top="1272" w:right="900" w:bottom="76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6720"/>
        <w:spacing w:after="0"/>
        <w:tabs>
          <w:tab w:leader="none" w:pos="8060" w:val="left"/>
          <w:tab w:leader="none" w:pos="9800" w:val="left"/>
        </w:tabs>
        <w:rPr>
          <w:sz w:val="20"/>
          <w:szCs w:val="20"/>
          <w:color w:val="auto"/>
        </w:rPr>
      </w:pPr>
      <w:r>
        <w:rPr>
          <w:rFonts w:ascii="Arial" w:cs="Arial" w:eastAsia="Arial" w:hAnsi="Arial"/>
          <w:sz w:val="16"/>
          <w:szCs w:val="16"/>
          <w:color w:val="EF3E2A"/>
        </w:rPr>
        <w:t>Federal Realty</w:t>
      </w:r>
      <w:r>
        <w:rPr>
          <w:sz w:val="20"/>
          <w:szCs w:val="20"/>
          <w:color w:val="auto"/>
        </w:rPr>
        <w:tab/>
      </w:r>
      <w:r>
        <w:rPr>
          <w:rFonts w:ascii="Arial" w:cs="Arial" w:eastAsia="Arial" w:hAnsi="Arial"/>
          <w:sz w:val="16"/>
          <w:szCs w:val="16"/>
          <w:color w:val="231F20"/>
        </w:rPr>
        <w:t>2026 Proxy Statement</w:t>
        <w:tab/>
        <w:t>33</w:t>
      </w:r>
    </w:p>
    <w:p>
      <w:pPr>
        <w:sectPr>
          <w:pgSz w:w="11880" w:h="15480" w:orient="portrait"/>
          <w:cols w:equalWidth="0" w:num="1">
            <w:col w:w="10080"/>
          </w:cols>
          <w:pgMar w:left="900" w:top="1272" w:right="900" w:bottom="763" w:gutter="0" w:footer="0" w:header="0"/>
          <w:type w:val="continuous"/>
        </w:sectPr>
      </w:pPr>
    </w:p>
    <w:bookmarkStart w:id="153" w:name="page154"/>
    <w:bookmarkEnd w:id="153"/>
    <w:p>
      <w:pPr>
        <w:spacing w:after="0" w:line="268" w:lineRule="exact"/>
        <w:rPr>
          <w:sz w:val="20"/>
          <w:szCs w:val="20"/>
          <w:color w:val="auto"/>
        </w:rPr>
      </w:pPr>
      <w:r>
        <w:rPr>
          <w:rFonts w:ascii="Arial Unicode MS" w:cs="Arial Unicode MS" w:eastAsia="Arial Unicode MS" w:hAnsi="Arial Unicode MS"/>
          <w:sz w:val="20"/>
          <w:szCs w:val="20"/>
          <w:color w:val="EF3E2A"/>
        </w:rPr>
        <w:t>➣</w:t>
      </w:r>
      <w:r>
        <w:rPr>
          <w:rFonts w:ascii="Arial" w:cs="Arial" w:eastAsia="Arial" w:hAnsi="Arial"/>
          <w:sz w:val="20"/>
          <w:szCs w:val="20"/>
          <w:b w:val="1"/>
          <w:bCs w:val="1"/>
          <w:color w:val="231F20"/>
        </w:rPr>
        <w:t xml:space="preserve"> NON-QUALIFIED DEFERRED COMPENSATION</w:t>
      </w:r>
    </w:p>
    <w:p>
      <w:pPr>
        <w:spacing w:after="0" w:line="217"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231F20"/>
        </w:rPr>
        <w:t>We maintain a non-qualified deferred compensation plan that is open to participation by 43 members of our management team, including our NEOs. Each participant can elect to defer up to 100% of his or her base salary and cash payment under our annual bonus plan with deferral elections made in December of each year for amounts to be earned in the following year. A number of widely available investment options are made available to each plan participant who then decides how to allocate amounts deferred among those investment options. The amount earned by plan participants on their deferrals is calculated by our third party plan administrator as if the amounts deferred had actually been invested in the investment options selected by each participant. We do not make any contributions to the deferred compensation plan for any individual nor do we guarantee any rate of return on amounts deferred. Amounts deferred into the plan, including amounts earned on the deferrals, are generally payable to the participant shortly after he or she retires or is otherwise no longer employed by us; however, there are a few other alternatives where amounts may be paid to a participant sooner. Both Mr. Wood and Ms. Becker participate in our deferred compensation plan. 2025 activity for the participants in our plan is described below.</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960" w:type="dxa"/>
            <w:vAlign w:val="bottom"/>
            <w:shd w:val="clear" w:color="auto" w:fill="EF3E2A"/>
          </w:tcPr>
          <w:p>
            <w:pPr>
              <w:spacing w:after="0"/>
              <w:rPr>
                <w:sz w:val="24"/>
                <w:szCs w:val="24"/>
                <w:color w:val="auto"/>
              </w:rPr>
            </w:pPr>
          </w:p>
        </w:tc>
        <w:tc>
          <w:tcPr>
            <w:tcW w:w="1720" w:type="dxa"/>
            <w:vAlign w:val="bottom"/>
            <w:shd w:val="clear" w:color="auto" w:fill="EF3E2A"/>
          </w:tcPr>
          <w:p>
            <w:pPr>
              <w:spacing w:after="0"/>
              <w:rPr>
                <w:sz w:val="24"/>
                <w:szCs w:val="24"/>
                <w:color w:val="auto"/>
              </w:rPr>
            </w:pPr>
          </w:p>
        </w:tc>
        <w:tc>
          <w:tcPr>
            <w:tcW w:w="160" w:type="dxa"/>
            <w:vAlign w:val="bottom"/>
            <w:shd w:val="clear" w:color="auto" w:fill="EF3E2A"/>
          </w:tcPr>
          <w:p>
            <w:pPr>
              <w:spacing w:after="0"/>
              <w:rPr>
                <w:sz w:val="24"/>
                <w:szCs w:val="24"/>
                <w:color w:val="auto"/>
              </w:rPr>
            </w:pPr>
          </w:p>
        </w:tc>
        <w:tc>
          <w:tcPr>
            <w:tcW w:w="1380" w:type="dxa"/>
            <w:vAlign w:val="bottom"/>
            <w:shd w:val="clear" w:color="auto" w:fill="EF3E2A"/>
          </w:tcPr>
          <w:p>
            <w:pPr>
              <w:jc w:val="right"/>
              <w:spacing w:after="0"/>
              <w:rPr>
                <w:sz w:val="20"/>
                <w:szCs w:val="20"/>
                <w:color w:val="auto"/>
              </w:rPr>
            </w:pPr>
            <w:r>
              <w:rPr>
                <w:rFonts w:ascii="Calibri" w:cs="Calibri" w:eastAsia="Calibri" w:hAnsi="Calibri"/>
                <w:sz w:val="20"/>
                <w:szCs w:val="20"/>
                <w:b w:val="1"/>
                <w:bCs w:val="1"/>
                <w:color w:val="FFFFFF"/>
              </w:rPr>
              <w:t>Executive</w:t>
            </w:r>
          </w:p>
        </w:tc>
        <w:tc>
          <w:tcPr>
            <w:tcW w:w="560" w:type="dxa"/>
            <w:vAlign w:val="bottom"/>
            <w:shd w:val="clear" w:color="auto" w:fill="EF3E2A"/>
          </w:tcPr>
          <w:p>
            <w:pPr>
              <w:spacing w:after="0"/>
              <w:rPr>
                <w:sz w:val="24"/>
                <w:szCs w:val="24"/>
                <w:color w:val="auto"/>
              </w:rPr>
            </w:pPr>
          </w:p>
        </w:tc>
        <w:tc>
          <w:tcPr>
            <w:tcW w:w="1300" w:type="dxa"/>
            <w:vAlign w:val="bottom"/>
            <w:shd w:val="clear" w:color="auto" w:fill="EF3E2A"/>
          </w:tcPr>
          <w:p>
            <w:pPr>
              <w:jc w:val="right"/>
              <w:spacing w:after="0"/>
              <w:rPr>
                <w:sz w:val="20"/>
                <w:szCs w:val="20"/>
                <w:color w:val="auto"/>
              </w:rPr>
            </w:pPr>
            <w:r>
              <w:rPr>
                <w:rFonts w:ascii="Calibri" w:cs="Calibri" w:eastAsia="Calibri" w:hAnsi="Calibri"/>
                <w:sz w:val="20"/>
                <w:szCs w:val="20"/>
                <w:b w:val="1"/>
                <w:bCs w:val="1"/>
                <w:color w:val="FFFFFF"/>
              </w:rPr>
              <w:t>Registrant</w:t>
            </w:r>
          </w:p>
        </w:tc>
        <w:tc>
          <w:tcPr>
            <w:tcW w:w="300" w:type="dxa"/>
            <w:vAlign w:val="bottom"/>
            <w:shd w:val="clear" w:color="auto" w:fill="EF3E2A"/>
          </w:tcPr>
          <w:p>
            <w:pPr>
              <w:spacing w:after="0"/>
              <w:rPr>
                <w:sz w:val="24"/>
                <w:szCs w:val="24"/>
                <w:color w:val="auto"/>
              </w:rPr>
            </w:pPr>
          </w:p>
        </w:tc>
        <w:tc>
          <w:tcPr>
            <w:tcW w:w="1100" w:type="dxa"/>
            <w:vAlign w:val="bottom"/>
            <w:shd w:val="clear" w:color="auto" w:fill="EF3E2A"/>
          </w:tcPr>
          <w:p>
            <w:pPr>
              <w:jc w:val="right"/>
              <w:spacing w:after="0"/>
              <w:rPr>
                <w:sz w:val="20"/>
                <w:szCs w:val="20"/>
                <w:color w:val="auto"/>
              </w:rPr>
            </w:pPr>
            <w:r>
              <w:rPr>
                <w:rFonts w:ascii="Calibri" w:cs="Calibri" w:eastAsia="Calibri" w:hAnsi="Calibri"/>
                <w:sz w:val="20"/>
                <w:szCs w:val="20"/>
                <w:b w:val="1"/>
                <w:bCs w:val="1"/>
                <w:color w:val="FFFFFF"/>
              </w:rPr>
              <w:t>Aggregate</w:t>
            </w:r>
          </w:p>
        </w:tc>
        <w:tc>
          <w:tcPr>
            <w:tcW w:w="240" w:type="dxa"/>
            <w:vAlign w:val="bottom"/>
            <w:shd w:val="clear" w:color="auto" w:fill="EF3E2A"/>
          </w:tcPr>
          <w:p>
            <w:pPr>
              <w:spacing w:after="0"/>
              <w:rPr>
                <w:sz w:val="24"/>
                <w:szCs w:val="24"/>
                <w:color w:val="auto"/>
              </w:rPr>
            </w:pPr>
          </w:p>
        </w:tc>
        <w:tc>
          <w:tcPr>
            <w:tcW w:w="960" w:type="dxa"/>
            <w:vAlign w:val="bottom"/>
            <w:shd w:val="clear" w:color="auto" w:fill="EF3E2A"/>
          </w:tcPr>
          <w:p>
            <w:pPr>
              <w:jc w:val="right"/>
              <w:spacing w:after="0"/>
              <w:rPr>
                <w:sz w:val="20"/>
                <w:szCs w:val="20"/>
                <w:color w:val="auto"/>
              </w:rPr>
            </w:pPr>
            <w:r>
              <w:rPr>
                <w:rFonts w:ascii="Calibri" w:cs="Calibri" w:eastAsia="Calibri" w:hAnsi="Calibri"/>
                <w:sz w:val="20"/>
                <w:szCs w:val="20"/>
                <w:b w:val="1"/>
                <w:bCs w:val="1"/>
                <w:color w:val="FFFFFF"/>
              </w:rPr>
              <w:t>Aggregate</w:t>
            </w:r>
          </w:p>
        </w:tc>
        <w:tc>
          <w:tcPr>
            <w:tcW w:w="280" w:type="dxa"/>
            <w:vAlign w:val="bottom"/>
            <w:shd w:val="clear" w:color="auto" w:fill="EF3E2A"/>
          </w:tcPr>
          <w:p>
            <w:pPr>
              <w:spacing w:after="0"/>
              <w:rPr>
                <w:sz w:val="24"/>
                <w:szCs w:val="24"/>
                <w:color w:val="auto"/>
              </w:rPr>
            </w:pPr>
          </w:p>
        </w:tc>
        <w:tc>
          <w:tcPr>
            <w:tcW w:w="1120" w:type="dxa"/>
            <w:vAlign w:val="bottom"/>
            <w:shd w:val="clear" w:color="auto" w:fill="EF3E2A"/>
          </w:tcPr>
          <w:p>
            <w:pPr>
              <w:jc w:val="right"/>
              <w:ind w:right="1"/>
              <w:spacing w:after="0"/>
              <w:rPr>
                <w:sz w:val="20"/>
                <w:szCs w:val="20"/>
                <w:color w:val="auto"/>
              </w:rPr>
            </w:pPr>
            <w:r>
              <w:rPr>
                <w:rFonts w:ascii="Calibri" w:cs="Calibri" w:eastAsia="Calibri" w:hAnsi="Calibri"/>
                <w:sz w:val="20"/>
                <w:szCs w:val="20"/>
                <w:b w:val="1"/>
                <w:bCs w:val="1"/>
                <w:color w:val="FFFFFF"/>
              </w:rPr>
              <w:t>Aggregate</w:t>
            </w:r>
          </w:p>
        </w:tc>
      </w:tr>
      <w:tr>
        <w:trPr>
          <w:trHeight w:val="240"/>
        </w:trPr>
        <w:tc>
          <w:tcPr>
            <w:tcW w:w="960" w:type="dxa"/>
            <w:vAlign w:val="bottom"/>
            <w:shd w:val="clear" w:color="auto" w:fill="EF3E2A"/>
          </w:tcPr>
          <w:p>
            <w:pPr>
              <w:spacing w:after="0"/>
              <w:rPr>
                <w:sz w:val="20"/>
                <w:szCs w:val="20"/>
                <w:color w:val="auto"/>
              </w:rPr>
            </w:pPr>
          </w:p>
        </w:tc>
        <w:tc>
          <w:tcPr>
            <w:tcW w:w="1720" w:type="dxa"/>
            <w:vAlign w:val="bottom"/>
            <w:shd w:val="clear" w:color="auto" w:fill="EF3E2A"/>
          </w:tcPr>
          <w:p>
            <w:pPr>
              <w:spacing w:after="0"/>
              <w:rPr>
                <w:sz w:val="20"/>
                <w:szCs w:val="20"/>
                <w:color w:val="auto"/>
              </w:rPr>
            </w:pPr>
          </w:p>
        </w:tc>
        <w:tc>
          <w:tcPr>
            <w:tcW w:w="160" w:type="dxa"/>
            <w:vAlign w:val="bottom"/>
            <w:shd w:val="clear" w:color="auto" w:fill="EF3E2A"/>
          </w:tcPr>
          <w:p>
            <w:pPr>
              <w:spacing w:after="0"/>
              <w:rPr>
                <w:sz w:val="20"/>
                <w:szCs w:val="20"/>
                <w:color w:val="auto"/>
              </w:rPr>
            </w:pPr>
          </w:p>
        </w:tc>
        <w:tc>
          <w:tcPr>
            <w:tcW w:w="1380" w:type="dxa"/>
            <w:vAlign w:val="bottom"/>
            <w:shd w:val="clear" w:color="auto" w:fill="EF3E2A"/>
          </w:tcPr>
          <w:p>
            <w:pPr>
              <w:jc w:val="right"/>
              <w:spacing w:after="0" w:line="240" w:lineRule="exact"/>
              <w:rPr>
                <w:sz w:val="20"/>
                <w:szCs w:val="20"/>
                <w:color w:val="auto"/>
              </w:rPr>
            </w:pPr>
            <w:r>
              <w:rPr>
                <w:rFonts w:ascii="Calibri" w:cs="Calibri" w:eastAsia="Calibri" w:hAnsi="Calibri"/>
                <w:sz w:val="20"/>
                <w:szCs w:val="20"/>
                <w:b w:val="1"/>
                <w:bCs w:val="1"/>
                <w:color w:val="FFFFFF"/>
                <w:w w:val="96"/>
              </w:rPr>
              <w:t>Contributions in</w:t>
            </w:r>
          </w:p>
        </w:tc>
        <w:tc>
          <w:tcPr>
            <w:tcW w:w="1860" w:type="dxa"/>
            <w:vAlign w:val="bottom"/>
            <w:gridSpan w:val="2"/>
            <w:shd w:val="clear" w:color="auto" w:fill="EF3E2A"/>
          </w:tcPr>
          <w:p>
            <w:pPr>
              <w:jc w:val="right"/>
              <w:spacing w:after="0" w:line="240" w:lineRule="exact"/>
              <w:rPr>
                <w:sz w:val="20"/>
                <w:szCs w:val="20"/>
                <w:color w:val="auto"/>
              </w:rPr>
            </w:pPr>
            <w:r>
              <w:rPr>
                <w:rFonts w:ascii="Calibri" w:cs="Calibri" w:eastAsia="Calibri" w:hAnsi="Calibri"/>
                <w:sz w:val="20"/>
                <w:szCs w:val="20"/>
                <w:b w:val="1"/>
                <w:bCs w:val="1"/>
                <w:color w:val="FFFFFF"/>
              </w:rPr>
              <w:t>Contributions in Last</w:t>
            </w:r>
          </w:p>
        </w:tc>
        <w:tc>
          <w:tcPr>
            <w:tcW w:w="300" w:type="dxa"/>
            <w:vAlign w:val="bottom"/>
            <w:shd w:val="clear" w:color="auto" w:fill="EF3E2A"/>
          </w:tcPr>
          <w:p>
            <w:pPr>
              <w:spacing w:after="0"/>
              <w:rPr>
                <w:sz w:val="20"/>
                <w:szCs w:val="20"/>
                <w:color w:val="auto"/>
              </w:rPr>
            </w:pPr>
          </w:p>
        </w:tc>
        <w:tc>
          <w:tcPr>
            <w:tcW w:w="2300" w:type="dxa"/>
            <w:vAlign w:val="bottom"/>
            <w:gridSpan w:val="3"/>
            <w:shd w:val="clear" w:color="auto" w:fill="EF3E2A"/>
          </w:tcPr>
          <w:p>
            <w:pPr>
              <w:jc w:val="right"/>
              <w:spacing w:after="0" w:line="240" w:lineRule="exact"/>
              <w:rPr>
                <w:sz w:val="20"/>
                <w:szCs w:val="20"/>
                <w:color w:val="auto"/>
              </w:rPr>
            </w:pPr>
            <w:r>
              <w:rPr>
                <w:rFonts w:ascii="Calibri" w:cs="Calibri" w:eastAsia="Calibri" w:hAnsi="Calibri"/>
                <w:sz w:val="20"/>
                <w:szCs w:val="20"/>
                <w:b w:val="1"/>
                <w:bCs w:val="1"/>
                <w:color w:val="FFFFFF"/>
              </w:rPr>
              <w:t>Earnings in Withdrawals/</w:t>
            </w:r>
          </w:p>
        </w:tc>
        <w:tc>
          <w:tcPr>
            <w:tcW w:w="1400" w:type="dxa"/>
            <w:vAlign w:val="bottom"/>
            <w:gridSpan w:val="2"/>
            <w:shd w:val="clear" w:color="auto" w:fill="EF3E2A"/>
          </w:tcPr>
          <w:p>
            <w:pPr>
              <w:ind w:left="60"/>
              <w:spacing w:after="0" w:line="240" w:lineRule="exact"/>
              <w:rPr>
                <w:sz w:val="20"/>
                <w:szCs w:val="20"/>
                <w:color w:val="auto"/>
              </w:rPr>
            </w:pPr>
            <w:r>
              <w:rPr>
                <w:rFonts w:ascii="Calibri" w:cs="Calibri" w:eastAsia="Calibri" w:hAnsi="Calibri"/>
                <w:sz w:val="20"/>
                <w:szCs w:val="20"/>
                <w:b w:val="1"/>
                <w:bCs w:val="1"/>
                <w:color w:val="FFFFFF"/>
              </w:rPr>
              <w:t>Balance at Last</w:t>
            </w:r>
          </w:p>
        </w:tc>
      </w:tr>
      <w:tr>
        <w:trPr>
          <w:trHeight w:val="264"/>
        </w:trPr>
        <w:tc>
          <w:tcPr>
            <w:tcW w:w="2680" w:type="dxa"/>
            <w:vAlign w:val="bottom"/>
            <w:gridSpan w:val="2"/>
            <w:shd w:val="clear" w:color="auto" w:fill="EF3E2A"/>
          </w:tcPr>
          <w:p>
            <w:pPr>
              <w:ind w:left="100"/>
              <w:spacing w:after="0" w:line="240" w:lineRule="exact"/>
              <w:rPr>
                <w:sz w:val="20"/>
                <w:szCs w:val="20"/>
                <w:color w:val="auto"/>
              </w:rPr>
            </w:pPr>
            <w:r>
              <w:rPr>
                <w:rFonts w:ascii="Calibri" w:cs="Calibri" w:eastAsia="Calibri" w:hAnsi="Calibri"/>
                <w:sz w:val="20"/>
                <w:szCs w:val="20"/>
                <w:b w:val="1"/>
                <w:bCs w:val="1"/>
                <w:color w:val="E8E7E5"/>
              </w:rPr>
              <w:t>Name</w:t>
            </w:r>
          </w:p>
        </w:tc>
        <w:tc>
          <w:tcPr>
            <w:tcW w:w="1540" w:type="dxa"/>
            <w:vAlign w:val="bottom"/>
            <w:gridSpan w:val="2"/>
            <w:shd w:val="clear" w:color="auto" w:fill="EF3E2A"/>
          </w:tcPr>
          <w:p>
            <w:pPr>
              <w:jc w:val="right"/>
              <w:spacing w:after="0" w:line="264" w:lineRule="exact"/>
              <w:rPr>
                <w:sz w:val="20"/>
                <w:szCs w:val="20"/>
                <w:color w:val="auto"/>
              </w:rPr>
            </w:pPr>
            <w:r>
              <w:rPr>
                <w:rFonts w:ascii="Calibri" w:cs="Calibri" w:eastAsia="Calibri" w:hAnsi="Calibri"/>
                <w:sz w:val="20"/>
                <w:szCs w:val="20"/>
                <w:b w:val="1"/>
                <w:bCs w:val="1"/>
                <w:color w:val="FFFFFF"/>
              </w:rPr>
              <w:t>Last Fiscal Year</w:t>
            </w:r>
            <w:r>
              <w:rPr>
                <w:rFonts w:ascii="Calibri" w:cs="Calibri" w:eastAsia="Calibri" w:hAnsi="Calibri"/>
                <w:sz w:val="25"/>
                <w:szCs w:val="25"/>
                <w:b w:val="1"/>
                <w:bCs w:val="1"/>
                <w:color w:val="FFFFFF"/>
                <w:vertAlign w:val="superscript"/>
              </w:rPr>
              <w:t>(1)</w:t>
            </w:r>
          </w:p>
        </w:tc>
        <w:tc>
          <w:tcPr>
            <w:tcW w:w="560" w:type="dxa"/>
            <w:vAlign w:val="bottom"/>
            <w:shd w:val="clear" w:color="auto" w:fill="EF3E2A"/>
          </w:tcPr>
          <w:p>
            <w:pPr>
              <w:spacing w:after="0"/>
              <w:rPr>
                <w:sz w:val="22"/>
                <w:szCs w:val="22"/>
                <w:color w:val="auto"/>
              </w:rPr>
            </w:pPr>
          </w:p>
        </w:tc>
        <w:tc>
          <w:tcPr>
            <w:tcW w:w="1300" w:type="dxa"/>
            <w:vAlign w:val="bottom"/>
            <w:shd w:val="clear" w:color="auto" w:fill="EF3E2A"/>
          </w:tcPr>
          <w:p>
            <w:pPr>
              <w:jc w:val="right"/>
              <w:spacing w:after="0" w:line="240" w:lineRule="exact"/>
              <w:rPr>
                <w:sz w:val="20"/>
                <w:szCs w:val="20"/>
                <w:color w:val="auto"/>
              </w:rPr>
            </w:pPr>
            <w:r>
              <w:rPr>
                <w:rFonts w:ascii="Calibri" w:cs="Calibri" w:eastAsia="Calibri" w:hAnsi="Calibri"/>
                <w:sz w:val="20"/>
                <w:szCs w:val="20"/>
                <w:b w:val="1"/>
                <w:bCs w:val="1"/>
                <w:color w:val="FFFFFF"/>
              </w:rPr>
              <w:t>Fiscal Year</w:t>
            </w:r>
          </w:p>
        </w:tc>
        <w:tc>
          <w:tcPr>
            <w:tcW w:w="1400" w:type="dxa"/>
            <w:vAlign w:val="bottom"/>
            <w:gridSpan w:val="2"/>
            <w:shd w:val="clear" w:color="auto" w:fill="EF3E2A"/>
          </w:tcPr>
          <w:p>
            <w:pPr>
              <w:jc w:val="right"/>
              <w:spacing w:after="0" w:line="240" w:lineRule="exact"/>
              <w:rPr>
                <w:sz w:val="20"/>
                <w:szCs w:val="20"/>
                <w:color w:val="auto"/>
              </w:rPr>
            </w:pPr>
            <w:r>
              <w:rPr>
                <w:rFonts w:ascii="Calibri" w:cs="Calibri" w:eastAsia="Calibri" w:hAnsi="Calibri"/>
                <w:sz w:val="20"/>
                <w:szCs w:val="20"/>
                <w:b w:val="1"/>
                <w:bCs w:val="1"/>
                <w:color w:val="FFFFFF"/>
              </w:rPr>
              <w:t>Last Fiscal Year</w:t>
            </w:r>
          </w:p>
        </w:tc>
        <w:tc>
          <w:tcPr>
            <w:tcW w:w="1200" w:type="dxa"/>
            <w:vAlign w:val="bottom"/>
            <w:gridSpan w:val="2"/>
            <w:shd w:val="clear" w:color="auto" w:fill="EF3E2A"/>
          </w:tcPr>
          <w:p>
            <w:pPr>
              <w:jc w:val="right"/>
              <w:spacing w:after="0" w:line="240" w:lineRule="exact"/>
              <w:rPr>
                <w:sz w:val="20"/>
                <w:szCs w:val="20"/>
                <w:color w:val="auto"/>
              </w:rPr>
            </w:pPr>
            <w:r>
              <w:rPr>
                <w:rFonts w:ascii="Calibri" w:cs="Calibri" w:eastAsia="Calibri" w:hAnsi="Calibri"/>
                <w:sz w:val="20"/>
                <w:szCs w:val="20"/>
                <w:b w:val="1"/>
                <w:bCs w:val="1"/>
                <w:color w:val="FFFFFF"/>
              </w:rPr>
              <w:t>Distributions</w:t>
            </w:r>
          </w:p>
        </w:tc>
        <w:tc>
          <w:tcPr>
            <w:tcW w:w="1400" w:type="dxa"/>
            <w:vAlign w:val="bottom"/>
            <w:gridSpan w:val="2"/>
            <w:shd w:val="clear" w:color="auto" w:fill="EF3E2A"/>
          </w:tcPr>
          <w:p>
            <w:pPr>
              <w:ind w:left="60"/>
              <w:spacing w:after="0" w:line="240" w:lineRule="exact"/>
              <w:rPr>
                <w:sz w:val="20"/>
                <w:szCs w:val="20"/>
                <w:color w:val="auto"/>
              </w:rPr>
            </w:pPr>
            <w:r>
              <w:rPr>
                <w:rFonts w:ascii="Calibri" w:cs="Calibri" w:eastAsia="Calibri" w:hAnsi="Calibri"/>
                <w:sz w:val="20"/>
                <w:szCs w:val="20"/>
                <w:b w:val="1"/>
                <w:bCs w:val="1"/>
                <w:color w:val="FFFFFF"/>
              </w:rPr>
              <w:t>Fiscal Year-End</w:t>
            </w:r>
          </w:p>
        </w:tc>
      </w:tr>
      <w:tr>
        <w:trPr>
          <w:trHeight w:val="276"/>
        </w:trPr>
        <w:tc>
          <w:tcPr>
            <w:tcW w:w="2680" w:type="dxa"/>
            <w:vAlign w:val="bottom"/>
            <w:gridSpan w:val="2"/>
            <w:shd w:val="clear" w:color="auto" w:fill="DCDDDE"/>
          </w:tcPr>
          <w:p>
            <w:pPr>
              <w:ind w:left="100"/>
              <w:spacing w:after="0"/>
              <w:rPr>
                <w:sz w:val="20"/>
                <w:szCs w:val="20"/>
                <w:color w:val="auto"/>
              </w:rPr>
            </w:pPr>
            <w:r>
              <w:rPr>
                <w:rFonts w:ascii="Calibri" w:cs="Calibri" w:eastAsia="Calibri" w:hAnsi="Calibri"/>
                <w:sz w:val="20"/>
                <w:szCs w:val="20"/>
                <w:color w:val="231F20"/>
              </w:rPr>
              <w:t>Donald C. Wood</w:t>
            </w:r>
          </w:p>
        </w:tc>
        <w:tc>
          <w:tcPr>
            <w:tcW w:w="160" w:type="dxa"/>
            <w:vAlign w:val="bottom"/>
          </w:tcPr>
          <w:p>
            <w:pPr>
              <w:jc w:val="right"/>
              <w:spacing w:after="0"/>
              <w:rPr>
                <w:sz w:val="20"/>
                <w:szCs w:val="20"/>
                <w:color w:val="auto"/>
              </w:rPr>
            </w:pPr>
            <w:r>
              <w:rPr>
                <w:rFonts w:ascii="Calibri" w:cs="Calibri" w:eastAsia="Calibri" w:hAnsi="Calibri"/>
                <w:sz w:val="20"/>
                <w:szCs w:val="20"/>
                <w:color w:val="231F20"/>
              </w:rPr>
              <w:t>$</w:t>
            </w:r>
          </w:p>
        </w:tc>
        <w:tc>
          <w:tcPr>
            <w:tcW w:w="1380" w:type="dxa"/>
            <w:vAlign w:val="bottom"/>
          </w:tcPr>
          <w:p>
            <w:pPr>
              <w:jc w:val="right"/>
              <w:spacing w:after="0"/>
              <w:rPr>
                <w:sz w:val="20"/>
                <w:szCs w:val="20"/>
                <w:color w:val="auto"/>
              </w:rPr>
            </w:pPr>
            <w:r>
              <w:rPr>
                <w:rFonts w:ascii="Calibri" w:cs="Calibri" w:eastAsia="Calibri" w:hAnsi="Calibri"/>
                <w:sz w:val="20"/>
                <w:szCs w:val="20"/>
                <w:color w:val="231F20"/>
              </w:rPr>
              <w:t>250,000</w:t>
            </w:r>
          </w:p>
        </w:tc>
        <w:tc>
          <w:tcPr>
            <w:tcW w:w="560" w:type="dxa"/>
            <w:vAlign w:val="bottom"/>
          </w:tcPr>
          <w:p>
            <w:pPr>
              <w:jc w:val="right"/>
              <w:ind w:right="302"/>
              <w:spacing w:after="0"/>
              <w:rPr>
                <w:sz w:val="20"/>
                <w:szCs w:val="20"/>
                <w:color w:val="auto"/>
              </w:rPr>
            </w:pPr>
            <w:r>
              <w:rPr>
                <w:rFonts w:ascii="Calibri" w:cs="Calibri" w:eastAsia="Calibri" w:hAnsi="Calibri"/>
                <w:sz w:val="20"/>
                <w:szCs w:val="20"/>
                <w:color w:val="231F20"/>
              </w:rPr>
              <w:t>$</w:t>
            </w:r>
          </w:p>
        </w:tc>
        <w:tc>
          <w:tcPr>
            <w:tcW w:w="1300" w:type="dxa"/>
            <w:vAlign w:val="bottom"/>
          </w:tcPr>
          <w:p>
            <w:pPr>
              <w:jc w:val="right"/>
              <w:spacing w:after="0"/>
              <w:rPr>
                <w:sz w:val="20"/>
                <w:szCs w:val="20"/>
                <w:color w:val="auto"/>
              </w:rPr>
            </w:pPr>
            <w:r>
              <w:rPr>
                <w:rFonts w:ascii="Calibri" w:cs="Calibri" w:eastAsia="Calibri" w:hAnsi="Calibri"/>
                <w:sz w:val="20"/>
                <w:szCs w:val="20"/>
                <w:color w:val="231F20"/>
              </w:rPr>
              <w:t>-</w:t>
            </w:r>
          </w:p>
        </w:tc>
        <w:tc>
          <w:tcPr>
            <w:tcW w:w="300" w:type="dxa"/>
            <w:vAlign w:val="bottom"/>
          </w:tcPr>
          <w:p>
            <w:pPr>
              <w:jc w:val="right"/>
              <w:ind w:right="41"/>
              <w:spacing w:after="0"/>
              <w:rPr>
                <w:sz w:val="20"/>
                <w:szCs w:val="20"/>
                <w:color w:val="auto"/>
              </w:rPr>
            </w:pPr>
            <w:r>
              <w:rPr>
                <w:rFonts w:ascii="Calibri" w:cs="Calibri" w:eastAsia="Calibri" w:hAnsi="Calibri"/>
                <w:sz w:val="20"/>
                <w:szCs w:val="20"/>
                <w:color w:val="231F20"/>
              </w:rPr>
              <w:t>$</w:t>
            </w:r>
          </w:p>
        </w:tc>
        <w:tc>
          <w:tcPr>
            <w:tcW w:w="1100" w:type="dxa"/>
            <w:vAlign w:val="bottom"/>
          </w:tcPr>
          <w:p>
            <w:pPr>
              <w:jc w:val="right"/>
              <w:spacing w:after="0"/>
              <w:rPr>
                <w:sz w:val="20"/>
                <w:szCs w:val="20"/>
                <w:color w:val="auto"/>
              </w:rPr>
            </w:pPr>
            <w:r>
              <w:rPr>
                <w:rFonts w:ascii="Calibri" w:cs="Calibri" w:eastAsia="Calibri" w:hAnsi="Calibri"/>
                <w:sz w:val="20"/>
                <w:szCs w:val="20"/>
                <w:color w:val="231F20"/>
              </w:rPr>
              <w:t>2,397,039</w:t>
            </w:r>
          </w:p>
        </w:tc>
        <w:tc>
          <w:tcPr>
            <w:tcW w:w="240" w:type="dxa"/>
            <w:vAlign w:val="bottom"/>
          </w:tcPr>
          <w:p>
            <w:pPr>
              <w:jc w:val="right"/>
              <w:spacing w:after="0"/>
              <w:rPr>
                <w:sz w:val="20"/>
                <w:szCs w:val="20"/>
                <w:color w:val="auto"/>
              </w:rPr>
            </w:pPr>
            <w:r>
              <w:rPr>
                <w:rFonts w:ascii="Calibri" w:cs="Calibri" w:eastAsia="Calibri" w:hAnsi="Calibri"/>
                <w:sz w:val="20"/>
                <w:szCs w:val="20"/>
                <w:color w:val="231F20"/>
              </w:rPr>
              <w:t>$</w:t>
            </w:r>
          </w:p>
        </w:tc>
        <w:tc>
          <w:tcPr>
            <w:tcW w:w="960" w:type="dxa"/>
            <w:vAlign w:val="bottom"/>
          </w:tcPr>
          <w:p>
            <w:pPr>
              <w:jc w:val="right"/>
              <w:spacing w:after="0"/>
              <w:rPr>
                <w:sz w:val="20"/>
                <w:szCs w:val="20"/>
                <w:color w:val="auto"/>
              </w:rPr>
            </w:pPr>
            <w:r>
              <w:rPr>
                <w:rFonts w:ascii="Calibri" w:cs="Calibri" w:eastAsia="Calibri" w:hAnsi="Calibri"/>
                <w:sz w:val="20"/>
                <w:szCs w:val="20"/>
                <w:color w:val="231F20"/>
              </w:rPr>
              <w:t>-</w:t>
            </w:r>
          </w:p>
        </w:tc>
        <w:tc>
          <w:tcPr>
            <w:tcW w:w="280" w:type="dxa"/>
            <w:vAlign w:val="bottom"/>
          </w:tcPr>
          <w:p>
            <w:pPr>
              <w:ind w:left="60"/>
              <w:spacing w:after="0"/>
              <w:rPr>
                <w:sz w:val="20"/>
                <w:szCs w:val="20"/>
                <w:color w:val="auto"/>
              </w:rPr>
            </w:pPr>
            <w:r>
              <w:rPr>
                <w:rFonts w:ascii="Calibri" w:cs="Calibri" w:eastAsia="Calibri" w:hAnsi="Calibri"/>
                <w:sz w:val="20"/>
                <w:szCs w:val="20"/>
                <w:color w:val="231F20"/>
              </w:rPr>
              <w:t>$</w:t>
            </w:r>
          </w:p>
        </w:tc>
        <w:tc>
          <w:tcPr>
            <w:tcW w:w="1120" w:type="dxa"/>
            <w:vAlign w:val="bottom"/>
          </w:tcPr>
          <w:p>
            <w:pPr>
              <w:jc w:val="right"/>
              <w:ind w:right="1"/>
              <w:spacing w:after="0"/>
              <w:rPr>
                <w:sz w:val="20"/>
                <w:szCs w:val="20"/>
                <w:color w:val="auto"/>
              </w:rPr>
            </w:pPr>
            <w:r>
              <w:rPr>
                <w:rFonts w:ascii="Calibri" w:cs="Calibri" w:eastAsia="Calibri" w:hAnsi="Calibri"/>
                <w:sz w:val="20"/>
                <w:szCs w:val="20"/>
                <w:color w:val="231F20"/>
              </w:rPr>
              <w:t>15,473,689</w:t>
            </w:r>
          </w:p>
        </w:tc>
      </w:tr>
      <w:tr>
        <w:trPr>
          <w:trHeight w:val="304"/>
        </w:trPr>
        <w:tc>
          <w:tcPr>
            <w:tcW w:w="2680" w:type="dxa"/>
            <w:vAlign w:val="bottom"/>
            <w:tcBorders>
              <w:bottom w:val="single" w:sz="8" w:color="DCDDDE"/>
            </w:tcBorders>
            <w:gridSpan w:val="2"/>
            <w:shd w:val="clear" w:color="auto" w:fill="DCDDDE"/>
          </w:tcPr>
          <w:p>
            <w:pPr>
              <w:ind w:left="100"/>
              <w:spacing w:after="0"/>
              <w:rPr>
                <w:sz w:val="20"/>
                <w:szCs w:val="20"/>
                <w:color w:val="auto"/>
              </w:rPr>
            </w:pPr>
            <w:r>
              <w:rPr>
                <w:rFonts w:ascii="Calibri" w:cs="Calibri" w:eastAsia="Calibri" w:hAnsi="Calibri"/>
                <w:sz w:val="20"/>
                <w:szCs w:val="20"/>
                <w:color w:val="231F20"/>
              </w:rPr>
              <w:t>Dawn M. Becker</w:t>
            </w:r>
          </w:p>
        </w:tc>
        <w:tc>
          <w:tcPr>
            <w:tcW w:w="160" w:type="dxa"/>
            <w:vAlign w:val="bottom"/>
          </w:tcPr>
          <w:p>
            <w:pPr>
              <w:jc w:val="right"/>
              <w:spacing w:after="0"/>
              <w:rPr>
                <w:sz w:val="20"/>
                <w:szCs w:val="20"/>
                <w:color w:val="auto"/>
              </w:rPr>
            </w:pPr>
            <w:r>
              <w:rPr>
                <w:rFonts w:ascii="Calibri" w:cs="Calibri" w:eastAsia="Calibri" w:hAnsi="Calibri"/>
                <w:sz w:val="20"/>
                <w:szCs w:val="20"/>
                <w:color w:val="231F20"/>
              </w:rPr>
              <w:t>$</w:t>
            </w:r>
          </w:p>
        </w:tc>
        <w:tc>
          <w:tcPr>
            <w:tcW w:w="1380" w:type="dxa"/>
            <w:vAlign w:val="bottom"/>
          </w:tcPr>
          <w:p>
            <w:pPr>
              <w:jc w:val="right"/>
              <w:spacing w:after="0"/>
              <w:rPr>
                <w:sz w:val="20"/>
                <w:szCs w:val="20"/>
                <w:color w:val="auto"/>
              </w:rPr>
            </w:pPr>
            <w:r>
              <w:rPr>
                <w:rFonts w:ascii="Calibri" w:cs="Calibri" w:eastAsia="Calibri" w:hAnsi="Calibri"/>
                <w:sz w:val="20"/>
                <w:szCs w:val="20"/>
                <w:color w:val="231F20"/>
              </w:rPr>
              <w:t>57,500</w:t>
            </w:r>
          </w:p>
        </w:tc>
        <w:tc>
          <w:tcPr>
            <w:tcW w:w="560" w:type="dxa"/>
            <w:vAlign w:val="bottom"/>
          </w:tcPr>
          <w:p>
            <w:pPr>
              <w:jc w:val="right"/>
              <w:ind w:right="302"/>
              <w:spacing w:after="0"/>
              <w:rPr>
                <w:sz w:val="20"/>
                <w:szCs w:val="20"/>
                <w:color w:val="auto"/>
              </w:rPr>
            </w:pPr>
            <w:r>
              <w:rPr>
                <w:rFonts w:ascii="Calibri" w:cs="Calibri" w:eastAsia="Calibri" w:hAnsi="Calibri"/>
                <w:sz w:val="20"/>
                <w:szCs w:val="20"/>
                <w:color w:val="231F20"/>
              </w:rPr>
              <w:t>$</w:t>
            </w:r>
          </w:p>
        </w:tc>
        <w:tc>
          <w:tcPr>
            <w:tcW w:w="1300" w:type="dxa"/>
            <w:vAlign w:val="bottom"/>
          </w:tcPr>
          <w:p>
            <w:pPr>
              <w:jc w:val="right"/>
              <w:spacing w:after="0"/>
              <w:rPr>
                <w:sz w:val="20"/>
                <w:szCs w:val="20"/>
                <w:color w:val="auto"/>
              </w:rPr>
            </w:pPr>
            <w:r>
              <w:rPr>
                <w:rFonts w:ascii="Calibri" w:cs="Calibri" w:eastAsia="Calibri" w:hAnsi="Calibri"/>
                <w:sz w:val="20"/>
                <w:szCs w:val="20"/>
                <w:color w:val="231F20"/>
              </w:rPr>
              <w:t>-</w:t>
            </w:r>
          </w:p>
        </w:tc>
        <w:tc>
          <w:tcPr>
            <w:tcW w:w="300" w:type="dxa"/>
            <w:vAlign w:val="bottom"/>
          </w:tcPr>
          <w:p>
            <w:pPr>
              <w:jc w:val="right"/>
              <w:ind w:right="41"/>
              <w:spacing w:after="0"/>
              <w:rPr>
                <w:sz w:val="20"/>
                <w:szCs w:val="20"/>
                <w:color w:val="auto"/>
              </w:rPr>
            </w:pPr>
            <w:r>
              <w:rPr>
                <w:rFonts w:ascii="Calibri" w:cs="Calibri" w:eastAsia="Calibri" w:hAnsi="Calibri"/>
                <w:sz w:val="20"/>
                <w:szCs w:val="20"/>
                <w:color w:val="231F20"/>
              </w:rPr>
              <w:t>$</w:t>
            </w:r>
          </w:p>
        </w:tc>
        <w:tc>
          <w:tcPr>
            <w:tcW w:w="1100" w:type="dxa"/>
            <w:vAlign w:val="bottom"/>
          </w:tcPr>
          <w:p>
            <w:pPr>
              <w:jc w:val="right"/>
              <w:spacing w:after="0"/>
              <w:rPr>
                <w:sz w:val="20"/>
                <w:szCs w:val="20"/>
                <w:color w:val="auto"/>
              </w:rPr>
            </w:pPr>
            <w:r>
              <w:rPr>
                <w:rFonts w:ascii="Calibri" w:cs="Calibri" w:eastAsia="Calibri" w:hAnsi="Calibri"/>
                <w:sz w:val="20"/>
                <w:szCs w:val="20"/>
                <w:color w:val="231F20"/>
              </w:rPr>
              <w:t>478,073</w:t>
            </w:r>
          </w:p>
        </w:tc>
        <w:tc>
          <w:tcPr>
            <w:tcW w:w="240" w:type="dxa"/>
            <w:vAlign w:val="bottom"/>
          </w:tcPr>
          <w:p>
            <w:pPr>
              <w:jc w:val="right"/>
              <w:spacing w:after="0"/>
              <w:rPr>
                <w:sz w:val="20"/>
                <w:szCs w:val="20"/>
                <w:color w:val="auto"/>
              </w:rPr>
            </w:pPr>
            <w:r>
              <w:rPr>
                <w:rFonts w:ascii="Calibri" w:cs="Calibri" w:eastAsia="Calibri" w:hAnsi="Calibri"/>
                <w:sz w:val="20"/>
                <w:szCs w:val="20"/>
                <w:color w:val="231F20"/>
              </w:rPr>
              <w:t>$</w:t>
            </w:r>
          </w:p>
        </w:tc>
        <w:tc>
          <w:tcPr>
            <w:tcW w:w="960" w:type="dxa"/>
            <w:vAlign w:val="bottom"/>
          </w:tcPr>
          <w:p>
            <w:pPr>
              <w:jc w:val="right"/>
              <w:spacing w:after="0"/>
              <w:rPr>
                <w:sz w:val="20"/>
                <w:szCs w:val="20"/>
                <w:color w:val="auto"/>
              </w:rPr>
            </w:pPr>
            <w:r>
              <w:rPr>
                <w:rFonts w:ascii="Calibri" w:cs="Calibri" w:eastAsia="Calibri" w:hAnsi="Calibri"/>
                <w:sz w:val="20"/>
                <w:szCs w:val="20"/>
                <w:color w:val="231F20"/>
              </w:rPr>
              <w:t>-</w:t>
            </w:r>
          </w:p>
        </w:tc>
        <w:tc>
          <w:tcPr>
            <w:tcW w:w="280" w:type="dxa"/>
            <w:vAlign w:val="bottom"/>
          </w:tcPr>
          <w:p>
            <w:pPr>
              <w:ind w:left="60"/>
              <w:spacing w:after="0"/>
              <w:rPr>
                <w:sz w:val="20"/>
                <w:szCs w:val="20"/>
                <w:color w:val="auto"/>
              </w:rPr>
            </w:pPr>
            <w:r>
              <w:rPr>
                <w:rFonts w:ascii="Calibri" w:cs="Calibri" w:eastAsia="Calibri" w:hAnsi="Calibri"/>
                <w:sz w:val="20"/>
                <w:szCs w:val="20"/>
                <w:color w:val="231F20"/>
              </w:rPr>
              <w:t>$</w:t>
            </w:r>
          </w:p>
        </w:tc>
        <w:tc>
          <w:tcPr>
            <w:tcW w:w="1120" w:type="dxa"/>
            <w:vAlign w:val="bottom"/>
          </w:tcPr>
          <w:p>
            <w:pPr>
              <w:jc w:val="right"/>
              <w:ind w:right="1"/>
              <w:spacing w:after="0"/>
              <w:rPr>
                <w:sz w:val="20"/>
                <w:szCs w:val="20"/>
                <w:color w:val="auto"/>
              </w:rPr>
            </w:pPr>
            <w:r>
              <w:rPr>
                <w:rFonts w:ascii="Calibri" w:cs="Calibri" w:eastAsia="Calibri" w:hAnsi="Calibri"/>
                <w:sz w:val="20"/>
                <w:szCs w:val="20"/>
                <w:color w:val="231F20"/>
              </w:rPr>
              <w:t>3,309,104</w:t>
            </w:r>
          </w:p>
        </w:tc>
      </w:tr>
      <w:tr>
        <w:trPr>
          <w:trHeight w:val="150"/>
        </w:trPr>
        <w:tc>
          <w:tcPr>
            <w:tcW w:w="960" w:type="dxa"/>
            <w:vAlign w:val="bottom"/>
            <w:tcBorders>
              <w:bottom w:val="single" w:sz="8" w:color="231F20"/>
            </w:tcBorders>
          </w:tcPr>
          <w:p>
            <w:pPr>
              <w:spacing w:after="0"/>
              <w:rPr>
                <w:sz w:val="13"/>
                <w:szCs w:val="13"/>
                <w:color w:val="auto"/>
              </w:rPr>
            </w:pPr>
          </w:p>
        </w:tc>
        <w:tc>
          <w:tcPr>
            <w:tcW w:w="1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tcPr>
          <w:p>
            <w:pPr>
              <w:spacing w:after="0"/>
              <w:rPr>
                <w:sz w:val="13"/>
                <w:szCs w:val="13"/>
                <w:color w:val="auto"/>
              </w:rPr>
            </w:pPr>
          </w:p>
        </w:tc>
      </w:tr>
    </w:tbl>
    <w:p>
      <w:pPr>
        <w:spacing w:after="0" w:line="55" w:lineRule="exact"/>
        <w:rPr>
          <w:sz w:val="20"/>
          <w:szCs w:val="20"/>
          <w:color w:val="auto"/>
        </w:rPr>
      </w:pPr>
    </w:p>
    <w:p>
      <w:pPr>
        <w:ind w:left="360" w:hanging="360"/>
        <w:spacing w:after="0" w:line="214" w:lineRule="auto"/>
        <w:tabs>
          <w:tab w:leader="none" w:pos="360" w:val="left"/>
        </w:tabs>
        <w:numPr>
          <w:ilvl w:val="0"/>
          <w:numId w:val="146"/>
        </w:numPr>
        <w:rPr>
          <w:rFonts w:ascii="Arial" w:cs="Arial" w:eastAsia="Arial" w:hAnsi="Arial"/>
          <w:sz w:val="23"/>
          <w:szCs w:val="23"/>
          <w:color w:val="231F20"/>
          <w:vertAlign w:val="superscript"/>
        </w:rPr>
      </w:pPr>
      <w:r>
        <w:rPr>
          <w:rFonts w:ascii="Arial" w:cs="Arial" w:eastAsia="Arial" w:hAnsi="Arial"/>
          <w:sz w:val="18"/>
          <w:szCs w:val="18"/>
          <w:color w:val="231F20"/>
        </w:rPr>
        <w:t>All amounts in this column are included in either the “Salary” or “Non-Equity Incentive Plan Compensation” column of the Summary Compensation Table for 2025.</w:t>
      </w:r>
    </w:p>
    <w:p>
      <w:pPr>
        <w:spacing w:after="0" w:line="219" w:lineRule="exact"/>
        <w:rPr>
          <w:sz w:val="20"/>
          <w:szCs w:val="20"/>
          <w:color w:val="auto"/>
        </w:rPr>
      </w:pPr>
    </w:p>
    <w:p>
      <w:pPr>
        <w:spacing w:after="0" w:line="268" w:lineRule="exact"/>
        <w:rPr>
          <w:sz w:val="20"/>
          <w:szCs w:val="20"/>
          <w:color w:val="auto"/>
        </w:rPr>
      </w:pPr>
      <w:r>
        <w:rPr>
          <w:rFonts w:ascii="Arial Unicode MS" w:cs="Arial Unicode MS" w:eastAsia="Arial Unicode MS" w:hAnsi="Arial Unicode MS"/>
          <w:sz w:val="20"/>
          <w:szCs w:val="20"/>
          <w:color w:val="EF3E2A"/>
        </w:rPr>
        <w:t>➣</w:t>
      </w:r>
      <w:r>
        <w:rPr>
          <w:rFonts w:ascii="Arial" w:cs="Arial" w:eastAsia="Arial" w:hAnsi="Arial"/>
          <w:sz w:val="20"/>
          <w:szCs w:val="20"/>
          <w:b w:val="1"/>
          <w:bCs w:val="1"/>
          <w:color w:val="231F20"/>
        </w:rPr>
        <w:t xml:space="preserve"> POTENTIAL PAYMENTS ON TERMINATION OF EMPLOYMENT AND CHANGE-IN-CONTROL</w:t>
      </w:r>
    </w:p>
    <w:p>
      <w:pPr>
        <w:spacing w:after="0" w:line="255"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231F20"/>
        </w:rPr>
        <w:t>We have entered into severance agreements with each of our NEOs that require us to make certain payments and provide certain benefits to them in the event of a termination of employment, whether following a change in control of the Company or in connection with other circumstances. Regardless of the reason for an NEO’s termination of employment, he or she will be entitled to receive upon termination a distribution of any amounts in our non-qualified deferred compensation plan as described in the “Non-Qualified Deferred Compensation” section above. No NEO is entitled to receive a new award under the annual bonus plan or our long-term incentive plan for the year in which the termination occurs. The agreements with each of our NEOs contain provisions restricting the executive from engaging in competing behavior and soliciting and/or hiring our employees for a period of time after termination. The payments that will be made to an NEO on termination vary depending on the reason for termination and may be conditioned on the signing of a release in favor of the Company.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2360295</wp:posOffset>
                </wp:positionV>
                <wp:extent cx="6400800" cy="177800"/>
                <wp:wrapNone/>
                <wp:docPr id="448" name="Shape 4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177800"/>
                        </a:xfrm>
                        <a:prstGeom prst="rect">
                          <a:avLst/>
                        </a:prstGeom>
                        <a:solidFill>
                          <a:srgbClr val="E8E7E5"/>
                        </a:solidFill>
                      </wps:spPr>
                      <wps:bodyPr/>
                    </wps:wsp>
                  </a:graphicData>
                </a:graphic>
              </wp:anchor>
            </w:drawing>
          </mc:Choice>
          <mc:Fallback>
            <w:pict>
              <v:rect id="Shape 448" o:spid="_x0000_s1473" style="position:absolute;margin-left:0pt;margin-top:185.85pt;width:504pt;height:1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8E7E5" stroked="f"/>
            </w:pict>
          </mc:Fallback>
        </mc:AlternateContent>
        <mc:AlternateContent>
          <mc:Choice Requires="wps">
            <w:drawing>
              <wp:anchor simplePos="0" relativeHeight="251657728" behindDoc="1" locked="0" layoutInCell="0" allowOverlap="1">
                <wp:simplePos x="0" y="0"/>
                <wp:positionH relativeFrom="column">
                  <wp:posOffset>6350</wp:posOffset>
                </wp:positionH>
                <wp:positionV relativeFrom="paragraph">
                  <wp:posOffset>2360295</wp:posOffset>
                </wp:positionV>
                <wp:extent cx="0" cy="177800"/>
                <wp:wrapNone/>
                <wp:docPr id="449" name="Shape 4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449" o:spid="_x0000_s14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pt,185.85pt" to="0.5pt,199.85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2366645</wp:posOffset>
                </wp:positionV>
                <wp:extent cx="6400800" cy="0"/>
                <wp:wrapNone/>
                <wp:docPr id="450" name="Shape 4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450" o:spid="_x0000_s14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86.35pt" to="504pt,186.35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6394450</wp:posOffset>
                </wp:positionH>
                <wp:positionV relativeFrom="paragraph">
                  <wp:posOffset>2360295</wp:posOffset>
                </wp:positionV>
                <wp:extent cx="0" cy="177800"/>
                <wp:wrapNone/>
                <wp:docPr id="451" name="Shape 4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451" o:spid="_x0000_s14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3.5pt,185.85pt" to="503.5pt,199.85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2531745</wp:posOffset>
                </wp:positionV>
                <wp:extent cx="6400800" cy="0"/>
                <wp:wrapNone/>
                <wp:docPr id="452" name="Shape 4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452" o:spid="_x0000_s14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99.35pt" to="504pt,199.35pt" o:allowincell="f" strokecolor="#231F20" strokeweight="1pt"/>
            </w:pict>
          </mc:Fallback>
        </mc:AlternateContent>
      </w:r>
    </w:p>
    <w:p>
      <w:pPr>
        <w:sectPr>
          <w:pgSz w:w="11880" w:h="15480" w:orient="portrait"/>
          <w:cols w:equalWidth="0" w:num="1">
            <w:col w:w="10080"/>
          </w:cols>
          <w:pgMar w:left="900" w:top="1272" w:right="900" w:bottom="76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80"/>
        <w:spacing w:after="0"/>
        <w:tabs>
          <w:tab w:leader="none" w:pos="1420" w:val="left"/>
          <w:tab w:leader="none" w:pos="3160" w:val="left"/>
        </w:tabs>
        <w:rPr>
          <w:sz w:val="20"/>
          <w:szCs w:val="20"/>
          <w:color w:val="auto"/>
        </w:rPr>
      </w:pPr>
      <w:r>
        <w:rPr>
          <w:rFonts w:ascii="Arial" w:cs="Arial" w:eastAsia="Arial" w:hAnsi="Arial"/>
          <w:sz w:val="16"/>
          <w:szCs w:val="16"/>
          <w:color w:val="EF3E2A"/>
        </w:rPr>
        <w:t>Federal Realty</w:t>
      </w:r>
      <w:r>
        <w:rPr>
          <w:sz w:val="20"/>
          <w:szCs w:val="20"/>
          <w:color w:val="auto"/>
        </w:rPr>
        <w:tab/>
      </w:r>
      <w:r>
        <w:rPr>
          <w:rFonts w:ascii="Arial" w:cs="Arial" w:eastAsia="Arial" w:hAnsi="Arial"/>
          <w:sz w:val="16"/>
          <w:szCs w:val="16"/>
          <w:color w:val="231F20"/>
        </w:rPr>
        <w:t>2026 Proxy Statement</w:t>
        <w:tab/>
        <w:t>34</w:t>
      </w:r>
    </w:p>
    <w:p>
      <w:pPr>
        <w:sectPr>
          <w:pgSz w:w="11880" w:h="15480" w:orient="portrait"/>
          <w:cols w:equalWidth="0" w:num="1">
            <w:col w:w="10080"/>
          </w:cols>
          <w:pgMar w:left="900" w:top="1272" w:right="900" w:bottom="763" w:gutter="0" w:footer="0" w:header="0"/>
          <w:type w:val="continuous"/>
        </w:sectPr>
      </w:pPr>
    </w:p>
    <w:bookmarkStart w:id="154" w:name="page155"/>
    <w:bookmarkEnd w:id="154"/>
    <w:p>
      <w:pPr>
        <w:spacing w:after="0" w:line="243" w:lineRule="auto"/>
        <w:rPr>
          <w:sz w:val="20"/>
          <w:szCs w:val="20"/>
          <w:color w:val="auto"/>
        </w:rPr>
      </w:pPr>
      <w:r>
        <w:rPr>
          <w:rFonts w:ascii="Arial" w:cs="Arial" w:eastAsia="Arial" w:hAnsi="Arial"/>
          <w:sz w:val="20"/>
          <w:szCs w:val="20"/>
          <w:color w:val="231F20"/>
        </w:rPr>
        <w:t>The amount of compensation payable to each of our NEOs under various termination scenarios is reflected below assuming that the separation of service was effective on December 31, 2025.</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960" w:type="dxa"/>
            <w:vAlign w:val="bottom"/>
            <w:shd w:val="clear" w:color="auto" w:fill="EF3E2A"/>
          </w:tcPr>
          <w:p>
            <w:pPr>
              <w:spacing w:after="0"/>
              <w:rPr>
                <w:sz w:val="21"/>
                <w:szCs w:val="21"/>
                <w:color w:val="auto"/>
              </w:rPr>
            </w:pPr>
          </w:p>
        </w:tc>
        <w:tc>
          <w:tcPr>
            <w:tcW w:w="1020" w:type="dxa"/>
            <w:vAlign w:val="bottom"/>
            <w:shd w:val="clear" w:color="auto" w:fill="EF3E2A"/>
          </w:tcPr>
          <w:p>
            <w:pPr>
              <w:spacing w:after="0"/>
              <w:rPr>
                <w:sz w:val="21"/>
                <w:szCs w:val="21"/>
                <w:color w:val="auto"/>
              </w:rPr>
            </w:pPr>
          </w:p>
        </w:tc>
        <w:tc>
          <w:tcPr>
            <w:tcW w:w="1920" w:type="dxa"/>
            <w:vAlign w:val="bottom"/>
            <w:shd w:val="clear" w:color="auto" w:fill="EF3E2A"/>
          </w:tcPr>
          <w:p>
            <w:pPr>
              <w:spacing w:after="0"/>
              <w:rPr>
                <w:sz w:val="21"/>
                <w:szCs w:val="21"/>
                <w:color w:val="auto"/>
              </w:rPr>
            </w:pPr>
          </w:p>
        </w:tc>
        <w:tc>
          <w:tcPr>
            <w:tcW w:w="1180" w:type="dxa"/>
            <w:vAlign w:val="bottom"/>
            <w:gridSpan w:val="2"/>
            <w:vMerge w:val="restart"/>
            <w:shd w:val="clear" w:color="auto" w:fill="EF3E2A"/>
          </w:tcPr>
          <w:p>
            <w:pPr>
              <w:jc w:val="right"/>
              <w:ind w:right="103"/>
              <w:spacing w:after="0"/>
              <w:rPr>
                <w:sz w:val="20"/>
                <w:szCs w:val="20"/>
                <w:color w:val="auto"/>
              </w:rPr>
            </w:pPr>
            <w:r>
              <w:rPr>
                <w:rFonts w:ascii="Calibri" w:cs="Calibri" w:eastAsia="Calibri" w:hAnsi="Calibri"/>
                <w:sz w:val="20"/>
                <w:szCs w:val="20"/>
                <w:b w:val="1"/>
                <w:bCs w:val="1"/>
                <w:color w:val="FFFFFF"/>
              </w:rPr>
              <w:t>For Cause</w:t>
            </w:r>
          </w:p>
        </w:tc>
        <w:tc>
          <w:tcPr>
            <w:tcW w:w="280" w:type="dxa"/>
            <w:vAlign w:val="bottom"/>
            <w:shd w:val="clear" w:color="auto" w:fill="EF3E2A"/>
          </w:tcPr>
          <w:p>
            <w:pPr>
              <w:spacing w:after="0"/>
              <w:rPr>
                <w:sz w:val="21"/>
                <w:szCs w:val="21"/>
                <w:color w:val="auto"/>
              </w:rPr>
            </w:pPr>
          </w:p>
        </w:tc>
        <w:tc>
          <w:tcPr>
            <w:tcW w:w="1100" w:type="dxa"/>
            <w:vAlign w:val="bottom"/>
            <w:shd w:val="clear" w:color="auto" w:fill="EF3E2A"/>
          </w:tcPr>
          <w:p>
            <w:pPr>
              <w:spacing w:after="0"/>
              <w:rPr>
                <w:sz w:val="21"/>
                <w:szCs w:val="21"/>
                <w:color w:val="auto"/>
              </w:rPr>
            </w:pPr>
          </w:p>
        </w:tc>
        <w:tc>
          <w:tcPr>
            <w:tcW w:w="1320" w:type="dxa"/>
            <w:vAlign w:val="bottom"/>
            <w:gridSpan w:val="2"/>
            <w:shd w:val="clear" w:color="auto" w:fill="EF3E2A"/>
          </w:tcPr>
          <w:p>
            <w:pPr>
              <w:jc w:val="center"/>
              <w:spacing w:after="0"/>
              <w:rPr>
                <w:sz w:val="20"/>
                <w:szCs w:val="20"/>
                <w:color w:val="auto"/>
              </w:rPr>
            </w:pPr>
            <w:r>
              <w:rPr>
                <w:rFonts w:ascii="Calibri" w:cs="Calibri" w:eastAsia="Calibri" w:hAnsi="Calibri"/>
                <w:sz w:val="20"/>
                <w:szCs w:val="20"/>
                <w:b w:val="1"/>
                <w:bCs w:val="1"/>
                <w:color w:val="FFFFFF"/>
                <w:w w:val="96"/>
              </w:rPr>
              <w:t>Change-in-</w:t>
            </w:r>
          </w:p>
        </w:tc>
        <w:tc>
          <w:tcPr>
            <w:tcW w:w="120" w:type="dxa"/>
            <w:vAlign w:val="bottom"/>
            <w:shd w:val="clear" w:color="auto" w:fill="EF3E2A"/>
          </w:tcPr>
          <w:p>
            <w:pPr>
              <w:spacing w:after="0"/>
              <w:rPr>
                <w:sz w:val="21"/>
                <w:szCs w:val="21"/>
                <w:color w:val="auto"/>
              </w:rPr>
            </w:pPr>
          </w:p>
        </w:tc>
        <w:tc>
          <w:tcPr>
            <w:tcW w:w="980" w:type="dxa"/>
            <w:vAlign w:val="bottom"/>
            <w:shd w:val="clear" w:color="auto" w:fill="EF3E2A"/>
          </w:tcPr>
          <w:p>
            <w:pPr>
              <w:spacing w:after="0"/>
              <w:rPr>
                <w:sz w:val="21"/>
                <w:szCs w:val="21"/>
                <w:color w:val="auto"/>
              </w:rPr>
            </w:pPr>
          </w:p>
        </w:tc>
        <w:tc>
          <w:tcPr>
            <w:tcW w:w="200" w:type="dxa"/>
            <w:vAlign w:val="bottom"/>
            <w:shd w:val="clear" w:color="auto" w:fill="EF3E2A"/>
          </w:tcPr>
          <w:p>
            <w:pPr>
              <w:spacing w:after="0"/>
              <w:rPr>
                <w:sz w:val="21"/>
                <w:szCs w:val="21"/>
                <w:color w:val="auto"/>
              </w:rPr>
            </w:pPr>
          </w:p>
        </w:tc>
        <w:tc>
          <w:tcPr>
            <w:tcW w:w="1000" w:type="dxa"/>
            <w:vAlign w:val="bottom"/>
            <w:shd w:val="clear" w:color="auto" w:fill="EF3E2A"/>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960" w:type="dxa"/>
            <w:vAlign w:val="bottom"/>
            <w:shd w:val="clear" w:color="auto" w:fill="EF3E2A"/>
          </w:tcPr>
          <w:p>
            <w:pPr>
              <w:spacing w:after="0"/>
              <w:rPr>
                <w:sz w:val="17"/>
                <w:szCs w:val="17"/>
                <w:color w:val="auto"/>
              </w:rPr>
            </w:pPr>
          </w:p>
        </w:tc>
        <w:tc>
          <w:tcPr>
            <w:tcW w:w="1020" w:type="dxa"/>
            <w:vAlign w:val="bottom"/>
            <w:shd w:val="clear" w:color="auto" w:fill="EF3E2A"/>
          </w:tcPr>
          <w:p>
            <w:pPr>
              <w:spacing w:after="0"/>
              <w:rPr>
                <w:sz w:val="17"/>
                <w:szCs w:val="17"/>
                <w:color w:val="auto"/>
              </w:rPr>
            </w:pPr>
          </w:p>
        </w:tc>
        <w:tc>
          <w:tcPr>
            <w:tcW w:w="1920" w:type="dxa"/>
            <w:vAlign w:val="bottom"/>
            <w:shd w:val="clear" w:color="auto" w:fill="EF3E2A"/>
          </w:tcPr>
          <w:p>
            <w:pPr>
              <w:spacing w:after="0"/>
              <w:rPr>
                <w:sz w:val="17"/>
                <w:szCs w:val="17"/>
                <w:color w:val="auto"/>
              </w:rPr>
            </w:pPr>
          </w:p>
        </w:tc>
        <w:tc>
          <w:tcPr>
            <w:tcW w:w="1180" w:type="dxa"/>
            <w:vAlign w:val="bottom"/>
            <w:gridSpan w:val="2"/>
            <w:vMerge w:val="continue"/>
            <w:shd w:val="clear" w:color="auto" w:fill="EF3E2A"/>
          </w:tcPr>
          <w:p>
            <w:pPr>
              <w:spacing w:after="0"/>
              <w:rPr>
                <w:sz w:val="17"/>
                <w:szCs w:val="17"/>
                <w:color w:val="auto"/>
              </w:rPr>
            </w:pPr>
          </w:p>
        </w:tc>
        <w:tc>
          <w:tcPr>
            <w:tcW w:w="1380" w:type="dxa"/>
            <w:vAlign w:val="bottom"/>
            <w:gridSpan w:val="2"/>
            <w:shd w:val="clear" w:color="auto" w:fill="EF3E2A"/>
          </w:tcPr>
          <w:p>
            <w:pPr>
              <w:ind w:left="200"/>
              <w:spacing w:after="0" w:line="200" w:lineRule="exact"/>
              <w:rPr>
                <w:sz w:val="20"/>
                <w:szCs w:val="20"/>
                <w:color w:val="auto"/>
              </w:rPr>
            </w:pPr>
            <w:r>
              <w:rPr>
                <w:rFonts w:ascii="Calibri" w:cs="Calibri" w:eastAsia="Calibri" w:hAnsi="Calibri"/>
                <w:sz w:val="20"/>
                <w:szCs w:val="20"/>
                <w:b w:val="1"/>
                <w:bCs w:val="1"/>
                <w:color w:val="FFFFFF"/>
              </w:rPr>
              <w:t>Termination</w:t>
            </w:r>
          </w:p>
        </w:tc>
        <w:tc>
          <w:tcPr>
            <w:tcW w:w="260" w:type="dxa"/>
            <w:vAlign w:val="bottom"/>
            <w:shd w:val="clear" w:color="auto" w:fill="EF3E2A"/>
          </w:tcPr>
          <w:p>
            <w:pPr>
              <w:spacing w:after="0"/>
              <w:rPr>
                <w:sz w:val="17"/>
                <w:szCs w:val="17"/>
                <w:color w:val="auto"/>
              </w:rPr>
            </w:pPr>
          </w:p>
        </w:tc>
        <w:tc>
          <w:tcPr>
            <w:tcW w:w="1060" w:type="dxa"/>
            <w:vAlign w:val="bottom"/>
            <w:shd w:val="clear" w:color="auto" w:fill="EF3E2A"/>
          </w:tcPr>
          <w:p>
            <w:pPr>
              <w:jc w:val="center"/>
              <w:ind w:right="183"/>
              <w:spacing w:after="0" w:line="200" w:lineRule="exact"/>
              <w:rPr>
                <w:sz w:val="20"/>
                <w:szCs w:val="20"/>
                <w:color w:val="auto"/>
              </w:rPr>
            </w:pPr>
            <w:r>
              <w:rPr>
                <w:rFonts w:ascii="Calibri" w:cs="Calibri" w:eastAsia="Calibri" w:hAnsi="Calibri"/>
                <w:sz w:val="20"/>
                <w:szCs w:val="20"/>
                <w:b w:val="1"/>
                <w:bCs w:val="1"/>
                <w:color w:val="FFFFFF"/>
                <w:w w:val="93"/>
              </w:rPr>
              <w:t>Control</w:t>
            </w:r>
          </w:p>
        </w:tc>
        <w:tc>
          <w:tcPr>
            <w:tcW w:w="2300" w:type="dxa"/>
            <w:vAlign w:val="bottom"/>
            <w:gridSpan w:val="4"/>
            <w:shd w:val="clear" w:color="auto" w:fill="EF3E2A"/>
          </w:tcPr>
          <w:p>
            <w:pPr>
              <w:ind w:left="40"/>
              <w:spacing w:after="0" w:line="200" w:lineRule="exact"/>
              <w:rPr>
                <w:sz w:val="20"/>
                <w:szCs w:val="20"/>
                <w:color w:val="auto"/>
              </w:rPr>
            </w:pPr>
            <w:r>
              <w:rPr>
                <w:rFonts w:ascii="Calibri" w:cs="Calibri" w:eastAsia="Calibri" w:hAnsi="Calibri"/>
                <w:sz w:val="20"/>
                <w:szCs w:val="20"/>
                <w:b w:val="1"/>
                <w:bCs w:val="1"/>
                <w:color w:val="FFFFFF"/>
                <w:w w:val="95"/>
              </w:rPr>
              <w:t>Termination Termination on</w:t>
            </w:r>
          </w:p>
        </w:tc>
        <w:tc>
          <w:tcPr>
            <w:tcW w:w="0" w:type="dxa"/>
            <w:vAlign w:val="bottom"/>
          </w:tcPr>
          <w:p>
            <w:pPr>
              <w:spacing w:after="0"/>
              <w:rPr>
                <w:sz w:val="1"/>
                <w:szCs w:val="1"/>
                <w:color w:val="auto"/>
              </w:rPr>
            </w:pPr>
          </w:p>
        </w:tc>
      </w:tr>
      <w:tr>
        <w:trPr>
          <w:trHeight w:val="227"/>
        </w:trPr>
        <w:tc>
          <w:tcPr>
            <w:tcW w:w="1980" w:type="dxa"/>
            <w:vAlign w:val="bottom"/>
            <w:gridSpan w:val="2"/>
            <w:shd w:val="clear" w:color="auto" w:fill="EF3E2A"/>
          </w:tcPr>
          <w:p>
            <w:pPr>
              <w:spacing w:after="0" w:line="203" w:lineRule="exact"/>
              <w:rPr>
                <w:sz w:val="20"/>
                <w:szCs w:val="20"/>
                <w:color w:val="auto"/>
              </w:rPr>
            </w:pPr>
            <w:r>
              <w:rPr>
                <w:rFonts w:ascii="Calibri" w:cs="Calibri" w:eastAsia="Calibri" w:hAnsi="Calibri"/>
                <w:sz w:val="20"/>
                <w:szCs w:val="20"/>
                <w:b w:val="1"/>
                <w:bCs w:val="1"/>
                <w:color w:val="FFFFFF"/>
              </w:rPr>
              <w:t>Name</w:t>
            </w:r>
          </w:p>
        </w:tc>
        <w:tc>
          <w:tcPr>
            <w:tcW w:w="1920" w:type="dxa"/>
            <w:vAlign w:val="bottom"/>
            <w:shd w:val="clear" w:color="auto" w:fill="EF3E2A"/>
          </w:tcPr>
          <w:p>
            <w:pPr>
              <w:ind w:left="60"/>
              <w:spacing w:after="0" w:line="203" w:lineRule="exact"/>
              <w:rPr>
                <w:sz w:val="20"/>
                <w:szCs w:val="20"/>
                <w:color w:val="auto"/>
              </w:rPr>
            </w:pPr>
            <w:r>
              <w:rPr>
                <w:rFonts w:ascii="Calibri" w:cs="Calibri" w:eastAsia="Calibri" w:hAnsi="Calibri"/>
                <w:sz w:val="20"/>
                <w:szCs w:val="20"/>
                <w:b w:val="1"/>
                <w:bCs w:val="1"/>
                <w:color w:val="FFFFFF"/>
                <w:w w:val="98"/>
              </w:rPr>
              <w:t>Type of Compensation</w:t>
            </w:r>
          </w:p>
        </w:tc>
        <w:tc>
          <w:tcPr>
            <w:tcW w:w="1180" w:type="dxa"/>
            <w:vAlign w:val="bottom"/>
            <w:gridSpan w:val="2"/>
            <w:shd w:val="clear" w:color="auto" w:fill="EF3E2A"/>
          </w:tcPr>
          <w:p>
            <w:pPr>
              <w:jc w:val="right"/>
              <w:spacing w:after="0" w:line="226" w:lineRule="exact"/>
              <w:rPr>
                <w:sz w:val="20"/>
                <w:szCs w:val="20"/>
                <w:color w:val="auto"/>
              </w:rPr>
            </w:pPr>
            <w:r>
              <w:rPr>
                <w:rFonts w:ascii="Calibri" w:cs="Calibri" w:eastAsia="Calibri" w:hAnsi="Calibri"/>
                <w:sz w:val="19"/>
                <w:szCs w:val="19"/>
                <w:b w:val="1"/>
                <w:bCs w:val="1"/>
                <w:color w:val="FFFFFF"/>
                <w:w w:val="97"/>
              </w:rPr>
              <w:t>Termination</w:t>
            </w:r>
            <w:r>
              <w:rPr>
                <w:rFonts w:ascii="Calibri" w:cs="Calibri" w:eastAsia="Calibri" w:hAnsi="Calibri"/>
                <w:sz w:val="24"/>
                <w:szCs w:val="24"/>
                <w:b w:val="1"/>
                <w:bCs w:val="1"/>
                <w:color w:val="FFFFFF"/>
                <w:w w:val="97"/>
                <w:vertAlign w:val="superscript"/>
              </w:rPr>
              <w:t>(1)</w:t>
            </w:r>
          </w:p>
        </w:tc>
        <w:tc>
          <w:tcPr>
            <w:tcW w:w="1380" w:type="dxa"/>
            <w:vAlign w:val="bottom"/>
            <w:gridSpan w:val="2"/>
            <w:shd w:val="clear" w:color="auto" w:fill="EF3E2A"/>
          </w:tcPr>
          <w:p>
            <w:pPr>
              <w:jc w:val="right"/>
              <w:spacing w:after="0" w:line="226" w:lineRule="exact"/>
              <w:rPr>
                <w:sz w:val="20"/>
                <w:szCs w:val="20"/>
                <w:color w:val="auto"/>
              </w:rPr>
            </w:pPr>
            <w:r>
              <w:rPr>
                <w:rFonts w:ascii="Calibri" w:cs="Calibri" w:eastAsia="Calibri" w:hAnsi="Calibri"/>
                <w:sz w:val="19"/>
                <w:szCs w:val="19"/>
                <w:b w:val="1"/>
                <w:bCs w:val="1"/>
                <w:color w:val="FFFFFF"/>
                <w:w w:val="97"/>
              </w:rPr>
              <w:t>Without Cause</w:t>
            </w:r>
            <w:r>
              <w:rPr>
                <w:rFonts w:ascii="Calibri" w:cs="Calibri" w:eastAsia="Calibri" w:hAnsi="Calibri"/>
                <w:sz w:val="24"/>
                <w:szCs w:val="24"/>
                <w:b w:val="1"/>
                <w:bCs w:val="1"/>
                <w:color w:val="FFFFFF"/>
                <w:w w:val="97"/>
                <w:vertAlign w:val="superscript"/>
              </w:rPr>
              <w:t>(1)</w:t>
            </w:r>
          </w:p>
        </w:tc>
        <w:tc>
          <w:tcPr>
            <w:tcW w:w="1320" w:type="dxa"/>
            <w:vAlign w:val="bottom"/>
            <w:gridSpan w:val="2"/>
            <w:shd w:val="clear" w:color="auto" w:fill="EF3E2A"/>
          </w:tcPr>
          <w:p>
            <w:pPr>
              <w:jc w:val="center"/>
              <w:spacing w:after="0" w:line="226" w:lineRule="exact"/>
              <w:rPr>
                <w:sz w:val="20"/>
                <w:szCs w:val="20"/>
                <w:color w:val="auto"/>
              </w:rPr>
            </w:pPr>
            <w:r>
              <w:rPr>
                <w:rFonts w:ascii="Calibri" w:cs="Calibri" w:eastAsia="Calibri" w:hAnsi="Calibri"/>
                <w:sz w:val="19"/>
                <w:szCs w:val="19"/>
                <w:b w:val="1"/>
                <w:bCs w:val="1"/>
                <w:color w:val="FFFFFF"/>
                <w:w w:val="94"/>
              </w:rPr>
              <w:t>Termination</w:t>
            </w:r>
            <w:r>
              <w:rPr>
                <w:rFonts w:ascii="Calibri" w:cs="Calibri" w:eastAsia="Calibri" w:hAnsi="Calibri"/>
                <w:sz w:val="24"/>
                <w:szCs w:val="24"/>
                <w:b w:val="1"/>
                <w:bCs w:val="1"/>
                <w:color w:val="FFFFFF"/>
                <w:w w:val="94"/>
                <w:vertAlign w:val="superscript"/>
              </w:rPr>
              <w:t>(1)(5)</w:t>
            </w:r>
          </w:p>
        </w:tc>
        <w:tc>
          <w:tcPr>
            <w:tcW w:w="1100" w:type="dxa"/>
            <w:vAlign w:val="bottom"/>
            <w:gridSpan w:val="2"/>
            <w:shd w:val="clear" w:color="auto" w:fill="EF3E2A"/>
          </w:tcPr>
          <w:p>
            <w:pPr>
              <w:jc w:val="right"/>
              <w:ind w:right="43"/>
              <w:spacing w:after="0" w:line="226" w:lineRule="exact"/>
              <w:rPr>
                <w:sz w:val="20"/>
                <w:szCs w:val="20"/>
                <w:color w:val="auto"/>
              </w:rPr>
            </w:pPr>
            <w:r>
              <w:rPr>
                <w:rFonts w:ascii="Calibri" w:cs="Calibri" w:eastAsia="Calibri" w:hAnsi="Calibri"/>
                <w:sz w:val="19"/>
                <w:szCs w:val="19"/>
                <w:b w:val="1"/>
                <w:bCs w:val="1"/>
                <w:color w:val="FFFFFF"/>
              </w:rPr>
              <w:t>on Death</w:t>
            </w:r>
            <w:r>
              <w:rPr>
                <w:rFonts w:ascii="Calibri" w:cs="Calibri" w:eastAsia="Calibri" w:hAnsi="Calibri"/>
                <w:sz w:val="24"/>
                <w:szCs w:val="24"/>
                <w:b w:val="1"/>
                <w:bCs w:val="1"/>
                <w:color w:val="FFFFFF"/>
                <w:vertAlign w:val="superscript"/>
              </w:rPr>
              <w:t>(1)</w:t>
            </w:r>
          </w:p>
        </w:tc>
        <w:tc>
          <w:tcPr>
            <w:tcW w:w="1200" w:type="dxa"/>
            <w:vAlign w:val="bottom"/>
            <w:gridSpan w:val="2"/>
            <w:shd w:val="clear" w:color="auto" w:fill="EF3E2A"/>
          </w:tcPr>
          <w:p>
            <w:pPr>
              <w:jc w:val="right"/>
              <w:ind w:right="83"/>
              <w:spacing w:after="0" w:line="226" w:lineRule="exact"/>
              <w:rPr>
                <w:sz w:val="20"/>
                <w:szCs w:val="20"/>
                <w:color w:val="auto"/>
              </w:rPr>
            </w:pPr>
            <w:r>
              <w:rPr>
                <w:rFonts w:ascii="Calibri" w:cs="Calibri" w:eastAsia="Calibri" w:hAnsi="Calibri"/>
                <w:sz w:val="19"/>
                <w:szCs w:val="19"/>
                <w:b w:val="1"/>
                <w:bCs w:val="1"/>
                <w:color w:val="FFFFFF"/>
              </w:rPr>
              <w:t>Disability</w:t>
            </w:r>
            <w:r>
              <w:rPr>
                <w:rFonts w:ascii="Calibri" w:cs="Calibri" w:eastAsia="Calibri" w:hAnsi="Calibri"/>
                <w:sz w:val="24"/>
                <w:szCs w:val="24"/>
                <w:b w:val="1"/>
                <w:bCs w:val="1"/>
                <w:color w:val="FFFFFF"/>
                <w:vertAlign w:val="superscript"/>
              </w:rPr>
              <w:t>(1)</w:t>
            </w:r>
          </w:p>
        </w:tc>
        <w:tc>
          <w:tcPr>
            <w:tcW w:w="0" w:type="dxa"/>
            <w:vAlign w:val="bottom"/>
          </w:tcPr>
          <w:p>
            <w:pPr>
              <w:spacing w:after="0"/>
              <w:rPr>
                <w:sz w:val="1"/>
                <w:szCs w:val="1"/>
                <w:color w:val="auto"/>
              </w:rPr>
            </w:pPr>
          </w:p>
        </w:tc>
      </w:tr>
      <w:tr>
        <w:trPr>
          <w:trHeight w:val="332"/>
        </w:trPr>
        <w:tc>
          <w:tcPr>
            <w:tcW w:w="1980" w:type="dxa"/>
            <w:vAlign w:val="bottom"/>
            <w:gridSpan w:val="2"/>
          </w:tcPr>
          <w:p>
            <w:pPr>
              <w:spacing w:after="0"/>
              <w:rPr>
                <w:sz w:val="20"/>
                <w:szCs w:val="20"/>
                <w:color w:val="auto"/>
              </w:rPr>
            </w:pPr>
            <w:r>
              <w:rPr>
                <w:rFonts w:ascii="Arial" w:cs="Arial" w:eastAsia="Arial" w:hAnsi="Arial"/>
                <w:sz w:val="20"/>
                <w:szCs w:val="20"/>
                <w:color w:val="231F20"/>
              </w:rPr>
              <w:t>Donald C. Wood</w:t>
            </w:r>
          </w:p>
        </w:tc>
        <w:tc>
          <w:tcPr>
            <w:tcW w:w="1920" w:type="dxa"/>
            <w:vAlign w:val="bottom"/>
            <w:shd w:val="clear" w:color="auto" w:fill="E6E7E8"/>
          </w:tcPr>
          <w:p>
            <w:pPr>
              <w:spacing w:after="0"/>
              <w:rPr>
                <w:sz w:val="20"/>
                <w:szCs w:val="20"/>
                <w:color w:val="auto"/>
              </w:rPr>
            </w:pPr>
            <w:r>
              <w:rPr>
                <w:rFonts w:ascii="Calibri" w:cs="Calibri" w:eastAsia="Calibri" w:hAnsi="Calibri"/>
                <w:sz w:val="20"/>
                <w:szCs w:val="20"/>
                <w:color w:val="231F20"/>
                <w:w w:val="98"/>
              </w:rPr>
              <w:t>Cash Benefits (multiple)</w:t>
            </w:r>
          </w:p>
        </w:tc>
        <w:tc>
          <w:tcPr>
            <w:tcW w:w="260" w:type="dxa"/>
            <w:vAlign w:val="bottom"/>
            <w:shd w:val="clear" w:color="auto" w:fill="E6E7E8"/>
          </w:tcPr>
          <w:p>
            <w:pPr>
              <w:spacing w:after="0"/>
              <w:rPr>
                <w:sz w:val="24"/>
                <w:szCs w:val="24"/>
                <w:color w:val="auto"/>
              </w:rPr>
            </w:pPr>
          </w:p>
        </w:tc>
        <w:tc>
          <w:tcPr>
            <w:tcW w:w="920" w:type="dxa"/>
            <w:vAlign w:val="bottom"/>
            <w:shd w:val="clear" w:color="auto" w:fill="E6E7E8"/>
          </w:tcPr>
          <w:p>
            <w:pPr>
              <w:jc w:val="right"/>
              <w:ind w:right="63"/>
              <w:spacing w:after="0"/>
              <w:rPr>
                <w:sz w:val="20"/>
                <w:szCs w:val="20"/>
                <w:color w:val="auto"/>
              </w:rPr>
            </w:pPr>
            <w:r>
              <w:rPr>
                <w:rFonts w:ascii="Calibri" w:cs="Calibri" w:eastAsia="Calibri" w:hAnsi="Calibri"/>
                <w:sz w:val="20"/>
                <w:szCs w:val="20"/>
                <w:color w:val="231F20"/>
                <w:w w:val="96"/>
              </w:rPr>
              <w:t>6 months</w:t>
            </w:r>
          </w:p>
        </w:tc>
        <w:tc>
          <w:tcPr>
            <w:tcW w:w="280" w:type="dxa"/>
            <w:vAlign w:val="bottom"/>
            <w:shd w:val="clear" w:color="auto" w:fill="E6E7E8"/>
          </w:tcPr>
          <w:p>
            <w:pPr>
              <w:spacing w:after="0"/>
              <w:rPr>
                <w:sz w:val="24"/>
                <w:szCs w:val="24"/>
                <w:color w:val="auto"/>
              </w:rPr>
            </w:pPr>
          </w:p>
        </w:tc>
        <w:tc>
          <w:tcPr>
            <w:tcW w:w="1100" w:type="dxa"/>
            <w:vAlign w:val="bottom"/>
            <w:shd w:val="clear" w:color="auto" w:fill="E6E7E8"/>
          </w:tcPr>
          <w:p>
            <w:pPr>
              <w:jc w:val="right"/>
              <w:ind w:right="103"/>
              <w:spacing w:after="0"/>
              <w:rPr>
                <w:sz w:val="20"/>
                <w:szCs w:val="20"/>
                <w:color w:val="auto"/>
              </w:rPr>
            </w:pPr>
            <w:r>
              <w:rPr>
                <w:rFonts w:ascii="Calibri" w:cs="Calibri" w:eastAsia="Calibri" w:hAnsi="Calibri"/>
                <w:sz w:val="20"/>
                <w:szCs w:val="20"/>
                <w:color w:val="231F20"/>
              </w:rPr>
              <w:t>1.5x</w:t>
            </w:r>
          </w:p>
        </w:tc>
        <w:tc>
          <w:tcPr>
            <w:tcW w:w="260" w:type="dxa"/>
            <w:vAlign w:val="bottom"/>
            <w:shd w:val="clear" w:color="auto" w:fill="E6E7E8"/>
          </w:tcPr>
          <w:p>
            <w:pPr>
              <w:spacing w:after="0"/>
              <w:rPr>
                <w:sz w:val="24"/>
                <w:szCs w:val="24"/>
                <w:color w:val="auto"/>
              </w:rPr>
            </w:pPr>
          </w:p>
        </w:tc>
        <w:tc>
          <w:tcPr>
            <w:tcW w:w="1060" w:type="dxa"/>
            <w:vAlign w:val="bottom"/>
            <w:shd w:val="clear" w:color="auto" w:fill="E6E7E8"/>
          </w:tcPr>
          <w:p>
            <w:pPr>
              <w:jc w:val="right"/>
              <w:ind w:right="83"/>
              <w:spacing w:after="0"/>
              <w:rPr>
                <w:sz w:val="20"/>
                <w:szCs w:val="20"/>
                <w:color w:val="auto"/>
              </w:rPr>
            </w:pPr>
            <w:r>
              <w:rPr>
                <w:rFonts w:ascii="Calibri" w:cs="Calibri" w:eastAsia="Calibri" w:hAnsi="Calibri"/>
                <w:sz w:val="20"/>
                <w:szCs w:val="20"/>
                <w:color w:val="231F20"/>
              </w:rPr>
              <w:t>3.0x</w:t>
            </w:r>
          </w:p>
        </w:tc>
        <w:tc>
          <w:tcPr>
            <w:tcW w:w="120" w:type="dxa"/>
            <w:vAlign w:val="bottom"/>
            <w:shd w:val="clear" w:color="auto" w:fill="E6E7E8"/>
          </w:tcPr>
          <w:p>
            <w:pPr>
              <w:spacing w:after="0"/>
              <w:rPr>
                <w:sz w:val="24"/>
                <w:szCs w:val="24"/>
                <w:color w:val="auto"/>
              </w:rPr>
            </w:pPr>
          </w:p>
        </w:tc>
        <w:tc>
          <w:tcPr>
            <w:tcW w:w="980" w:type="dxa"/>
            <w:vAlign w:val="bottom"/>
            <w:shd w:val="clear" w:color="auto" w:fill="E6E7E8"/>
          </w:tcPr>
          <w:p>
            <w:pPr>
              <w:jc w:val="right"/>
              <w:spacing w:after="0"/>
              <w:rPr>
                <w:sz w:val="20"/>
                <w:szCs w:val="20"/>
                <w:color w:val="auto"/>
              </w:rPr>
            </w:pPr>
            <w:r>
              <w:rPr>
                <w:rFonts w:ascii="Calibri" w:cs="Calibri" w:eastAsia="Calibri" w:hAnsi="Calibri"/>
                <w:sz w:val="20"/>
                <w:szCs w:val="20"/>
                <w:color w:val="231F20"/>
              </w:rPr>
              <w:t>N/A</w:t>
            </w:r>
          </w:p>
        </w:tc>
        <w:tc>
          <w:tcPr>
            <w:tcW w:w="200" w:type="dxa"/>
            <w:vAlign w:val="bottom"/>
            <w:shd w:val="clear" w:color="auto" w:fill="E6E7E8"/>
          </w:tcPr>
          <w:p>
            <w:pPr>
              <w:spacing w:after="0"/>
              <w:rPr>
                <w:sz w:val="24"/>
                <w:szCs w:val="24"/>
                <w:color w:val="auto"/>
              </w:rPr>
            </w:pPr>
          </w:p>
        </w:tc>
        <w:tc>
          <w:tcPr>
            <w:tcW w:w="1000" w:type="dxa"/>
            <w:vAlign w:val="bottom"/>
            <w:shd w:val="clear" w:color="auto" w:fill="E6E7E8"/>
          </w:tcPr>
          <w:p>
            <w:pPr>
              <w:jc w:val="right"/>
              <w:ind w:right="23"/>
              <w:spacing w:after="0"/>
              <w:rPr>
                <w:sz w:val="20"/>
                <w:szCs w:val="20"/>
                <w:color w:val="auto"/>
              </w:rPr>
            </w:pPr>
            <w:r>
              <w:rPr>
                <w:rFonts w:ascii="Calibri" w:cs="Calibri" w:eastAsia="Calibri" w:hAnsi="Calibri"/>
                <w:sz w:val="20"/>
                <w:szCs w:val="20"/>
                <w:color w:val="231F20"/>
              </w:rPr>
              <w:t>N/A</w:t>
            </w:r>
          </w:p>
        </w:tc>
        <w:tc>
          <w:tcPr>
            <w:tcW w:w="0" w:type="dxa"/>
            <w:vAlign w:val="bottom"/>
          </w:tcPr>
          <w:p>
            <w:pPr>
              <w:spacing w:after="0"/>
              <w:rPr>
                <w:sz w:val="1"/>
                <w:szCs w:val="1"/>
                <w:color w:val="auto"/>
              </w:rPr>
            </w:pPr>
          </w:p>
        </w:tc>
      </w:tr>
      <w:tr>
        <w:trPr>
          <w:trHeight w:val="271"/>
        </w:trPr>
        <w:tc>
          <w:tcPr>
            <w:tcW w:w="9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920" w:type="dxa"/>
            <w:vAlign w:val="bottom"/>
          </w:tcPr>
          <w:p>
            <w:pPr>
              <w:spacing w:after="0"/>
              <w:rPr>
                <w:sz w:val="20"/>
                <w:szCs w:val="20"/>
                <w:color w:val="auto"/>
              </w:rPr>
            </w:pPr>
            <w:r>
              <w:rPr>
                <w:rFonts w:ascii="Calibri" w:cs="Calibri" w:eastAsia="Calibri" w:hAnsi="Calibri"/>
                <w:sz w:val="20"/>
                <w:szCs w:val="20"/>
                <w:color w:val="231F20"/>
                <w:w w:val="99"/>
              </w:rPr>
              <w:t>Cash Benefits (amount)</w:t>
            </w:r>
          </w:p>
        </w:tc>
        <w:tc>
          <w:tcPr>
            <w:tcW w:w="260" w:type="dxa"/>
            <w:vAlign w:val="bottom"/>
          </w:tcPr>
          <w:p>
            <w:pPr>
              <w:jc w:val="right"/>
              <w:spacing w:after="0"/>
              <w:rPr>
                <w:sz w:val="20"/>
                <w:szCs w:val="20"/>
                <w:color w:val="auto"/>
              </w:rPr>
            </w:pPr>
            <w:r>
              <w:rPr>
                <w:rFonts w:ascii="Calibri" w:cs="Calibri" w:eastAsia="Calibri" w:hAnsi="Calibri"/>
                <w:sz w:val="20"/>
                <w:szCs w:val="20"/>
                <w:color w:val="231F20"/>
              </w:rPr>
              <w:t>$</w:t>
            </w:r>
          </w:p>
        </w:tc>
        <w:tc>
          <w:tcPr>
            <w:tcW w:w="920" w:type="dxa"/>
            <w:vAlign w:val="bottom"/>
          </w:tcPr>
          <w:p>
            <w:pPr>
              <w:jc w:val="right"/>
              <w:ind w:right="63"/>
              <w:spacing w:after="0"/>
              <w:rPr>
                <w:sz w:val="20"/>
                <w:szCs w:val="20"/>
                <w:color w:val="auto"/>
              </w:rPr>
            </w:pPr>
            <w:r>
              <w:rPr>
                <w:rFonts w:ascii="Calibri" w:cs="Calibri" w:eastAsia="Calibri" w:hAnsi="Calibri"/>
                <w:sz w:val="20"/>
                <w:szCs w:val="20"/>
                <w:color w:val="231F20"/>
              </w:rPr>
              <w:t>500,000</w:t>
            </w:r>
          </w:p>
        </w:tc>
        <w:tc>
          <w:tcPr>
            <w:tcW w:w="280" w:type="dxa"/>
            <w:vAlign w:val="bottom"/>
          </w:tcPr>
          <w:p>
            <w:pPr>
              <w:ind w:left="200"/>
              <w:spacing w:after="0"/>
              <w:rPr>
                <w:sz w:val="20"/>
                <w:szCs w:val="20"/>
                <w:color w:val="auto"/>
              </w:rPr>
            </w:pPr>
            <w:r>
              <w:rPr>
                <w:rFonts w:ascii="Calibri" w:cs="Calibri" w:eastAsia="Calibri" w:hAnsi="Calibri"/>
                <w:sz w:val="16"/>
                <w:szCs w:val="16"/>
                <w:color w:val="231F20"/>
                <w:w w:val="73"/>
              </w:rPr>
              <w:t>$</w:t>
            </w:r>
          </w:p>
        </w:tc>
        <w:tc>
          <w:tcPr>
            <w:tcW w:w="1100" w:type="dxa"/>
            <w:vAlign w:val="bottom"/>
          </w:tcPr>
          <w:p>
            <w:pPr>
              <w:jc w:val="right"/>
              <w:ind w:right="103"/>
              <w:spacing w:after="0"/>
              <w:rPr>
                <w:sz w:val="20"/>
                <w:szCs w:val="20"/>
                <w:color w:val="auto"/>
              </w:rPr>
            </w:pPr>
            <w:r>
              <w:rPr>
                <w:rFonts w:ascii="Calibri" w:cs="Calibri" w:eastAsia="Calibri" w:hAnsi="Calibri"/>
                <w:sz w:val="20"/>
                <w:szCs w:val="20"/>
                <w:color w:val="231F20"/>
              </w:rPr>
              <w:t>4,312,500</w:t>
            </w:r>
          </w:p>
        </w:tc>
        <w:tc>
          <w:tcPr>
            <w:tcW w:w="260" w:type="dxa"/>
            <w:vAlign w:val="bottom"/>
          </w:tcPr>
          <w:p>
            <w:pPr>
              <w:jc w:val="right"/>
              <w:spacing w:after="0"/>
              <w:rPr>
                <w:sz w:val="20"/>
                <w:szCs w:val="20"/>
                <w:color w:val="auto"/>
              </w:rPr>
            </w:pPr>
            <w:r>
              <w:rPr>
                <w:rFonts w:ascii="Calibri" w:cs="Calibri" w:eastAsia="Calibri" w:hAnsi="Calibri"/>
                <w:sz w:val="20"/>
                <w:szCs w:val="20"/>
                <w:color w:val="231F20"/>
              </w:rPr>
              <w:t>$</w:t>
            </w:r>
          </w:p>
        </w:tc>
        <w:tc>
          <w:tcPr>
            <w:tcW w:w="1060" w:type="dxa"/>
            <w:vAlign w:val="bottom"/>
          </w:tcPr>
          <w:p>
            <w:pPr>
              <w:jc w:val="right"/>
              <w:ind w:right="83"/>
              <w:spacing w:after="0"/>
              <w:rPr>
                <w:sz w:val="20"/>
                <w:szCs w:val="20"/>
                <w:color w:val="auto"/>
              </w:rPr>
            </w:pPr>
            <w:r>
              <w:rPr>
                <w:rFonts w:ascii="Calibri" w:cs="Calibri" w:eastAsia="Calibri" w:hAnsi="Calibri"/>
                <w:sz w:val="20"/>
                <w:szCs w:val="20"/>
                <w:color w:val="231F20"/>
              </w:rPr>
              <w:t>8,625,000</w:t>
            </w:r>
          </w:p>
        </w:tc>
        <w:tc>
          <w:tcPr>
            <w:tcW w:w="120" w:type="dxa"/>
            <w:vAlign w:val="bottom"/>
          </w:tcPr>
          <w:p>
            <w:pPr>
              <w:ind w:left="20"/>
              <w:spacing w:after="0"/>
              <w:rPr>
                <w:sz w:val="20"/>
                <w:szCs w:val="20"/>
                <w:color w:val="auto"/>
              </w:rPr>
            </w:pPr>
            <w:r>
              <w:rPr>
                <w:rFonts w:ascii="Calibri" w:cs="Calibri" w:eastAsia="Calibri" w:hAnsi="Calibri"/>
                <w:sz w:val="20"/>
                <w:szCs w:val="20"/>
                <w:color w:val="231F20"/>
                <w:w w:val="78"/>
              </w:rPr>
              <w:t>$</w:t>
            </w:r>
          </w:p>
        </w:tc>
        <w:tc>
          <w:tcPr>
            <w:tcW w:w="980" w:type="dxa"/>
            <w:vAlign w:val="bottom"/>
          </w:tcPr>
          <w:p>
            <w:pPr>
              <w:jc w:val="right"/>
              <w:spacing w:after="0"/>
              <w:rPr>
                <w:sz w:val="20"/>
                <w:szCs w:val="20"/>
                <w:color w:val="auto"/>
              </w:rPr>
            </w:pPr>
            <w:r>
              <w:rPr>
                <w:rFonts w:ascii="Calibri" w:cs="Calibri" w:eastAsia="Calibri" w:hAnsi="Calibri"/>
                <w:sz w:val="20"/>
                <w:szCs w:val="20"/>
                <w:color w:val="231F20"/>
              </w:rPr>
              <w:t>-</w:t>
            </w:r>
          </w:p>
        </w:tc>
        <w:tc>
          <w:tcPr>
            <w:tcW w:w="200" w:type="dxa"/>
            <w:vAlign w:val="bottom"/>
          </w:tcPr>
          <w:p>
            <w:pPr>
              <w:jc w:val="right"/>
              <w:spacing w:after="0"/>
              <w:rPr>
                <w:sz w:val="20"/>
                <w:szCs w:val="20"/>
                <w:color w:val="auto"/>
              </w:rPr>
            </w:pPr>
            <w:r>
              <w:rPr>
                <w:rFonts w:ascii="Calibri" w:cs="Calibri" w:eastAsia="Calibri" w:hAnsi="Calibri"/>
                <w:sz w:val="20"/>
                <w:szCs w:val="20"/>
                <w:color w:val="231F20"/>
              </w:rPr>
              <w:t>$</w:t>
            </w:r>
          </w:p>
        </w:tc>
        <w:tc>
          <w:tcPr>
            <w:tcW w:w="1000" w:type="dxa"/>
            <w:vAlign w:val="bottom"/>
          </w:tcPr>
          <w:p>
            <w:pPr>
              <w:jc w:val="right"/>
              <w:ind w:right="23"/>
              <w:spacing w:after="0"/>
              <w:rPr>
                <w:sz w:val="20"/>
                <w:szCs w:val="20"/>
                <w:color w:val="auto"/>
              </w:rPr>
            </w:pPr>
            <w:r>
              <w:rPr>
                <w:rFonts w:ascii="Calibri" w:cs="Calibri" w:eastAsia="Calibri" w:hAnsi="Calibri"/>
                <w:sz w:val="20"/>
                <w:szCs w:val="20"/>
                <w:color w:val="231F20"/>
              </w:rPr>
              <w:t>1,350,633</w:t>
            </w:r>
          </w:p>
        </w:tc>
        <w:tc>
          <w:tcPr>
            <w:tcW w:w="0" w:type="dxa"/>
            <w:vAlign w:val="bottom"/>
          </w:tcPr>
          <w:p>
            <w:pPr>
              <w:spacing w:after="0"/>
              <w:rPr>
                <w:sz w:val="1"/>
                <w:szCs w:val="1"/>
                <w:color w:val="auto"/>
              </w:rPr>
            </w:pPr>
          </w:p>
        </w:tc>
      </w:tr>
      <w:tr>
        <w:trPr>
          <w:trHeight w:val="24"/>
        </w:trPr>
        <w:tc>
          <w:tcPr>
            <w:tcW w:w="9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5"/>
        </w:trPr>
        <w:tc>
          <w:tcPr>
            <w:tcW w:w="9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920" w:type="dxa"/>
            <w:vAlign w:val="bottom"/>
            <w:shd w:val="clear" w:color="auto" w:fill="E6E7E8"/>
          </w:tcPr>
          <w:p>
            <w:pPr>
              <w:spacing w:after="0" w:line="294" w:lineRule="exact"/>
              <w:rPr>
                <w:sz w:val="20"/>
                <w:szCs w:val="20"/>
                <w:color w:val="auto"/>
              </w:rPr>
            </w:pPr>
            <w:r>
              <w:rPr>
                <w:rFonts w:ascii="Calibri" w:cs="Calibri" w:eastAsia="Calibri" w:hAnsi="Calibri"/>
                <w:sz w:val="20"/>
                <w:szCs w:val="20"/>
                <w:color w:val="231F20"/>
              </w:rPr>
              <w:t>Medical Benefits</w:t>
            </w:r>
            <w:r>
              <w:rPr>
                <w:rFonts w:ascii="Calibri" w:cs="Calibri" w:eastAsia="Calibri" w:hAnsi="Calibri"/>
                <w:sz w:val="25"/>
                <w:szCs w:val="25"/>
                <w:color w:val="231F20"/>
                <w:vertAlign w:val="superscript"/>
              </w:rPr>
              <w:t>(2)</w:t>
            </w:r>
          </w:p>
        </w:tc>
        <w:tc>
          <w:tcPr>
            <w:tcW w:w="260" w:type="dxa"/>
            <w:vAlign w:val="bottom"/>
            <w:shd w:val="clear" w:color="auto" w:fill="E6E7E8"/>
          </w:tcPr>
          <w:p>
            <w:pPr>
              <w:jc w:val="right"/>
              <w:spacing w:after="0"/>
              <w:rPr>
                <w:sz w:val="20"/>
                <w:szCs w:val="20"/>
                <w:color w:val="auto"/>
              </w:rPr>
            </w:pPr>
            <w:r>
              <w:rPr>
                <w:rFonts w:ascii="Calibri" w:cs="Calibri" w:eastAsia="Calibri" w:hAnsi="Calibri"/>
                <w:sz w:val="20"/>
                <w:szCs w:val="20"/>
                <w:color w:val="231F20"/>
              </w:rPr>
              <w:t>$</w:t>
            </w:r>
          </w:p>
        </w:tc>
        <w:tc>
          <w:tcPr>
            <w:tcW w:w="920" w:type="dxa"/>
            <w:vAlign w:val="bottom"/>
            <w:shd w:val="clear" w:color="auto" w:fill="E6E7E8"/>
          </w:tcPr>
          <w:p>
            <w:pPr>
              <w:jc w:val="right"/>
              <w:ind w:right="63"/>
              <w:spacing w:after="0"/>
              <w:rPr>
                <w:sz w:val="20"/>
                <w:szCs w:val="20"/>
                <w:color w:val="auto"/>
              </w:rPr>
            </w:pPr>
            <w:r>
              <w:rPr>
                <w:rFonts w:ascii="Calibri" w:cs="Calibri" w:eastAsia="Calibri" w:hAnsi="Calibri"/>
                <w:sz w:val="20"/>
                <w:szCs w:val="20"/>
                <w:color w:val="231F20"/>
              </w:rPr>
              <w:t>20,403</w:t>
            </w:r>
          </w:p>
        </w:tc>
        <w:tc>
          <w:tcPr>
            <w:tcW w:w="280" w:type="dxa"/>
            <w:vAlign w:val="bottom"/>
            <w:shd w:val="clear" w:color="auto" w:fill="E6E7E8"/>
          </w:tcPr>
          <w:p>
            <w:pPr>
              <w:ind w:left="200"/>
              <w:spacing w:after="0"/>
              <w:rPr>
                <w:sz w:val="20"/>
                <w:szCs w:val="20"/>
                <w:color w:val="auto"/>
              </w:rPr>
            </w:pPr>
            <w:r>
              <w:rPr>
                <w:rFonts w:ascii="Calibri" w:cs="Calibri" w:eastAsia="Calibri" w:hAnsi="Calibri"/>
                <w:sz w:val="16"/>
                <w:szCs w:val="16"/>
                <w:color w:val="231F20"/>
                <w:w w:val="73"/>
              </w:rPr>
              <w:t>$</w:t>
            </w:r>
          </w:p>
        </w:tc>
        <w:tc>
          <w:tcPr>
            <w:tcW w:w="1100" w:type="dxa"/>
            <w:vAlign w:val="bottom"/>
            <w:shd w:val="clear" w:color="auto" w:fill="E6E7E8"/>
          </w:tcPr>
          <w:p>
            <w:pPr>
              <w:jc w:val="right"/>
              <w:ind w:right="103"/>
              <w:spacing w:after="0"/>
              <w:rPr>
                <w:sz w:val="20"/>
                <w:szCs w:val="20"/>
                <w:color w:val="auto"/>
              </w:rPr>
            </w:pPr>
            <w:r>
              <w:rPr>
                <w:rFonts w:ascii="Calibri" w:cs="Calibri" w:eastAsia="Calibri" w:hAnsi="Calibri"/>
                <w:sz w:val="20"/>
                <w:szCs w:val="20"/>
                <w:color w:val="231F20"/>
              </w:rPr>
              <w:t>1,764,605</w:t>
            </w:r>
          </w:p>
        </w:tc>
        <w:tc>
          <w:tcPr>
            <w:tcW w:w="260" w:type="dxa"/>
            <w:vAlign w:val="bottom"/>
            <w:shd w:val="clear" w:color="auto" w:fill="E6E7E8"/>
          </w:tcPr>
          <w:p>
            <w:pPr>
              <w:jc w:val="right"/>
              <w:spacing w:after="0"/>
              <w:rPr>
                <w:sz w:val="20"/>
                <w:szCs w:val="20"/>
                <w:color w:val="auto"/>
              </w:rPr>
            </w:pPr>
            <w:r>
              <w:rPr>
                <w:rFonts w:ascii="Calibri" w:cs="Calibri" w:eastAsia="Calibri" w:hAnsi="Calibri"/>
                <w:sz w:val="20"/>
                <w:szCs w:val="20"/>
                <w:color w:val="231F20"/>
              </w:rPr>
              <w:t>$</w:t>
            </w:r>
          </w:p>
        </w:tc>
        <w:tc>
          <w:tcPr>
            <w:tcW w:w="1060" w:type="dxa"/>
            <w:vAlign w:val="bottom"/>
            <w:shd w:val="clear" w:color="auto" w:fill="E6E7E8"/>
          </w:tcPr>
          <w:p>
            <w:pPr>
              <w:jc w:val="right"/>
              <w:ind w:right="83"/>
              <w:spacing w:after="0"/>
              <w:rPr>
                <w:sz w:val="20"/>
                <w:szCs w:val="20"/>
                <w:color w:val="auto"/>
              </w:rPr>
            </w:pPr>
            <w:r>
              <w:rPr>
                <w:rFonts w:ascii="Calibri" w:cs="Calibri" w:eastAsia="Calibri" w:hAnsi="Calibri"/>
                <w:sz w:val="20"/>
                <w:szCs w:val="20"/>
                <w:color w:val="231F20"/>
              </w:rPr>
              <w:t>1,856,418</w:t>
            </w:r>
          </w:p>
        </w:tc>
        <w:tc>
          <w:tcPr>
            <w:tcW w:w="120" w:type="dxa"/>
            <w:vAlign w:val="bottom"/>
            <w:shd w:val="clear" w:color="auto" w:fill="E6E7E8"/>
          </w:tcPr>
          <w:p>
            <w:pPr>
              <w:ind w:left="20"/>
              <w:spacing w:after="0"/>
              <w:rPr>
                <w:sz w:val="20"/>
                <w:szCs w:val="20"/>
                <w:color w:val="auto"/>
              </w:rPr>
            </w:pPr>
            <w:r>
              <w:rPr>
                <w:rFonts w:ascii="Calibri" w:cs="Calibri" w:eastAsia="Calibri" w:hAnsi="Calibri"/>
                <w:sz w:val="20"/>
                <w:szCs w:val="20"/>
                <w:color w:val="231F20"/>
                <w:w w:val="78"/>
              </w:rPr>
              <w:t>$</w:t>
            </w:r>
          </w:p>
        </w:tc>
        <w:tc>
          <w:tcPr>
            <w:tcW w:w="980" w:type="dxa"/>
            <w:vAlign w:val="bottom"/>
            <w:shd w:val="clear" w:color="auto" w:fill="E6E7E8"/>
          </w:tcPr>
          <w:p>
            <w:pPr>
              <w:jc w:val="right"/>
              <w:spacing w:after="0"/>
              <w:rPr>
                <w:sz w:val="20"/>
                <w:szCs w:val="20"/>
                <w:color w:val="auto"/>
              </w:rPr>
            </w:pPr>
            <w:r>
              <w:rPr>
                <w:rFonts w:ascii="Calibri" w:cs="Calibri" w:eastAsia="Calibri" w:hAnsi="Calibri"/>
                <w:sz w:val="20"/>
                <w:szCs w:val="20"/>
                <w:color w:val="231F20"/>
              </w:rPr>
              <w:t>1,485,000</w:t>
            </w:r>
          </w:p>
        </w:tc>
        <w:tc>
          <w:tcPr>
            <w:tcW w:w="200" w:type="dxa"/>
            <w:vAlign w:val="bottom"/>
            <w:shd w:val="clear" w:color="auto" w:fill="E6E7E8"/>
          </w:tcPr>
          <w:p>
            <w:pPr>
              <w:jc w:val="right"/>
              <w:spacing w:after="0"/>
              <w:rPr>
                <w:sz w:val="20"/>
                <w:szCs w:val="20"/>
                <w:color w:val="auto"/>
              </w:rPr>
            </w:pPr>
            <w:r>
              <w:rPr>
                <w:rFonts w:ascii="Calibri" w:cs="Calibri" w:eastAsia="Calibri" w:hAnsi="Calibri"/>
                <w:sz w:val="20"/>
                <w:szCs w:val="20"/>
                <w:color w:val="231F20"/>
              </w:rPr>
              <w:t>$</w:t>
            </w:r>
          </w:p>
        </w:tc>
        <w:tc>
          <w:tcPr>
            <w:tcW w:w="1000" w:type="dxa"/>
            <w:vAlign w:val="bottom"/>
            <w:shd w:val="clear" w:color="auto" w:fill="E6E7E8"/>
          </w:tcPr>
          <w:p>
            <w:pPr>
              <w:jc w:val="right"/>
              <w:ind w:right="23"/>
              <w:spacing w:after="0"/>
              <w:rPr>
                <w:sz w:val="20"/>
                <w:szCs w:val="20"/>
                <w:color w:val="auto"/>
              </w:rPr>
            </w:pPr>
            <w:r>
              <w:rPr>
                <w:rFonts w:ascii="Calibri" w:cs="Calibri" w:eastAsia="Calibri" w:hAnsi="Calibri"/>
                <w:sz w:val="20"/>
                <w:szCs w:val="20"/>
                <w:color w:val="231F20"/>
              </w:rPr>
              <w:t>1,722,806</w:t>
            </w:r>
          </w:p>
        </w:tc>
        <w:tc>
          <w:tcPr>
            <w:tcW w:w="0" w:type="dxa"/>
            <w:vAlign w:val="bottom"/>
          </w:tcPr>
          <w:p>
            <w:pPr>
              <w:spacing w:after="0"/>
              <w:rPr>
                <w:sz w:val="1"/>
                <w:szCs w:val="1"/>
                <w:color w:val="auto"/>
              </w:rPr>
            </w:pPr>
          </w:p>
        </w:tc>
      </w:tr>
      <w:tr>
        <w:trPr>
          <w:trHeight w:val="295"/>
        </w:trPr>
        <w:tc>
          <w:tcPr>
            <w:tcW w:w="9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920" w:type="dxa"/>
            <w:vAlign w:val="bottom"/>
          </w:tcPr>
          <w:p>
            <w:pPr>
              <w:spacing w:after="0" w:line="294" w:lineRule="exact"/>
              <w:rPr>
                <w:sz w:val="20"/>
                <w:szCs w:val="20"/>
                <w:color w:val="auto"/>
              </w:rPr>
            </w:pPr>
            <w:r>
              <w:rPr>
                <w:rFonts w:ascii="Calibri" w:cs="Calibri" w:eastAsia="Calibri" w:hAnsi="Calibri"/>
                <w:sz w:val="20"/>
                <w:szCs w:val="20"/>
                <w:color w:val="231F20"/>
              </w:rPr>
              <w:t>Accelerated Equity</w:t>
            </w:r>
            <w:r>
              <w:rPr>
                <w:rFonts w:ascii="Calibri" w:cs="Calibri" w:eastAsia="Calibri" w:hAnsi="Calibri"/>
                <w:sz w:val="25"/>
                <w:szCs w:val="25"/>
                <w:color w:val="231F20"/>
                <w:vertAlign w:val="superscript"/>
              </w:rPr>
              <w:t>(3)</w:t>
            </w:r>
          </w:p>
        </w:tc>
        <w:tc>
          <w:tcPr>
            <w:tcW w:w="260" w:type="dxa"/>
            <w:vAlign w:val="bottom"/>
          </w:tcPr>
          <w:p>
            <w:pPr>
              <w:jc w:val="right"/>
              <w:spacing w:after="0"/>
              <w:rPr>
                <w:sz w:val="20"/>
                <w:szCs w:val="20"/>
                <w:color w:val="auto"/>
              </w:rPr>
            </w:pPr>
            <w:r>
              <w:rPr>
                <w:rFonts w:ascii="Calibri" w:cs="Calibri" w:eastAsia="Calibri" w:hAnsi="Calibri"/>
                <w:sz w:val="20"/>
                <w:szCs w:val="20"/>
                <w:color w:val="231F20"/>
              </w:rPr>
              <w:t>$</w:t>
            </w:r>
          </w:p>
        </w:tc>
        <w:tc>
          <w:tcPr>
            <w:tcW w:w="920" w:type="dxa"/>
            <w:vAlign w:val="bottom"/>
          </w:tcPr>
          <w:p>
            <w:pPr>
              <w:jc w:val="right"/>
              <w:ind w:right="63"/>
              <w:spacing w:after="0"/>
              <w:rPr>
                <w:sz w:val="20"/>
                <w:szCs w:val="20"/>
                <w:color w:val="auto"/>
              </w:rPr>
            </w:pPr>
            <w:r>
              <w:rPr>
                <w:rFonts w:ascii="Calibri" w:cs="Calibri" w:eastAsia="Calibri" w:hAnsi="Calibri"/>
                <w:sz w:val="20"/>
                <w:szCs w:val="20"/>
                <w:color w:val="231F20"/>
              </w:rPr>
              <w:t>-</w:t>
            </w:r>
          </w:p>
        </w:tc>
        <w:tc>
          <w:tcPr>
            <w:tcW w:w="280" w:type="dxa"/>
            <w:vAlign w:val="bottom"/>
          </w:tcPr>
          <w:p>
            <w:pPr>
              <w:ind w:left="200"/>
              <w:spacing w:after="0"/>
              <w:rPr>
                <w:sz w:val="20"/>
                <w:szCs w:val="20"/>
                <w:color w:val="auto"/>
              </w:rPr>
            </w:pPr>
            <w:r>
              <w:rPr>
                <w:rFonts w:ascii="Calibri" w:cs="Calibri" w:eastAsia="Calibri" w:hAnsi="Calibri"/>
                <w:sz w:val="16"/>
                <w:szCs w:val="16"/>
                <w:color w:val="231F20"/>
                <w:w w:val="73"/>
              </w:rPr>
              <w:t>$</w:t>
            </w:r>
          </w:p>
        </w:tc>
        <w:tc>
          <w:tcPr>
            <w:tcW w:w="1100" w:type="dxa"/>
            <w:vAlign w:val="bottom"/>
          </w:tcPr>
          <w:p>
            <w:pPr>
              <w:jc w:val="right"/>
              <w:ind w:right="103"/>
              <w:spacing w:after="0"/>
              <w:rPr>
                <w:sz w:val="20"/>
                <w:szCs w:val="20"/>
                <w:color w:val="auto"/>
              </w:rPr>
            </w:pPr>
            <w:r>
              <w:rPr>
                <w:rFonts w:ascii="Calibri" w:cs="Calibri" w:eastAsia="Calibri" w:hAnsi="Calibri"/>
                <w:sz w:val="20"/>
                <w:szCs w:val="20"/>
                <w:color w:val="231F20"/>
                <w:w w:val="96"/>
              </w:rPr>
              <w:t>13,465,166</w:t>
            </w:r>
          </w:p>
        </w:tc>
        <w:tc>
          <w:tcPr>
            <w:tcW w:w="260" w:type="dxa"/>
            <w:vAlign w:val="bottom"/>
          </w:tcPr>
          <w:p>
            <w:pPr>
              <w:jc w:val="right"/>
              <w:spacing w:after="0"/>
              <w:rPr>
                <w:sz w:val="20"/>
                <w:szCs w:val="20"/>
                <w:color w:val="auto"/>
              </w:rPr>
            </w:pPr>
            <w:r>
              <w:rPr>
                <w:rFonts w:ascii="Calibri" w:cs="Calibri" w:eastAsia="Calibri" w:hAnsi="Calibri"/>
                <w:sz w:val="20"/>
                <w:szCs w:val="20"/>
                <w:color w:val="231F20"/>
              </w:rPr>
              <w:t>$</w:t>
            </w:r>
          </w:p>
        </w:tc>
        <w:tc>
          <w:tcPr>
            <w:tcW w:w="1060" w:type="dxa"/>
            <w:vAlign w:val="bottom"/>
          </w:tcPr>
          <w:p>
            <w:pPr>
              <w:jc w:val="right"/>
              <w:ind w:right="83"/>
              <w:spacing w:after="0"/>
              <w:rPr>
                <w:sz w:val="20"/>
                <w:szCs w:val="20"/>
                <w:color w:val="auto"/>
              </w:rPr>
            </w:pPr>
            <w:r>
              <w:rPr>
                <w:rFonts w:ascii="Calibri" w:cs="Calibri" w:eastAsia="Calibri" w:hAnsi="Calibri"/>
                <w:sz w:val="20"/>
                <w:szCs w:val="20"/>
                <w:color w:val="231F20"/>
                <w:w w:val="94"/>
              </w:rPr>
              <w:t>13,465,166</w:t>
            </w:r>
          </w:p>
        </w:tc>
        <w:tc>
          <w:tcPr>
            <w:tcW w:w="120" w:type="dxa"/>
            <w:vAlign w:val="bottom"/>
          </w:tcPr>
          <w:p>
            <w:pPr>
              <w:ind w:left="20"/>
              <w:spacing w:after="0"/>
              <w:rPr>
                <w:sz w:val="20"/>
                <w:szCs w:val="20"/>
                <w:color w:val="auto"/>
              </w:rPr>
            </w:pPr>
            <w:r>
              <w:rPr>
                <w:rFonts w:ascii="Calibri" w:cs="Calibri" w:eastAsia="Calibri" w:hAnsi="Calibri"/>
                <w:sz w:val="20"/>
                <w:szCs w:val="20"/>
                <w:color w:val="231F20"/>
                <w:w w:val="78"/>
              </w:rPr>
              <w:t>$</w:t>
            </w:r>
          </w:p>
        </w:tc>
        <w:tc>
          <w:tcPr>
            <w:tcW w:w="980" w:type="dxa"/>
            <w:vAlign w:val="bottom"/>
          </w:tcPr>
          <w:p>
            <w:pPr>
              <w:jc w:val="right"/>
              <w:spacing w:after="0"/>
              <w:rPr>
                <w:sz w:val="20"/>
                <w:szCs w:val="20"/>
                <w:color w:val="auto"/>
              </w:rPr>
            </w:pPr>
            <w:r>
              <w:rPr>
                <w:rFonts w:ascii="Calibri" w:cs="Calibri" w:eastAsia="Calibri" w:hAnsi="Calibri"/>
                <w:sz w:val="20"/>
                <w:szCs w:val="20"/>
                <w:color w:val="231F20"/>
                <w:w w:val="96"/>
              </w:rPr>
              <w:t>13,465,166</w:t>
            </w:r>
          </w:p>
        </w:tc>
        <w:tc>
          <w:tcPr>
            <w:tcW w:w="200" w:type="dxa"/>
            <w:vAlign w:val="bottom"/>
          </w:tcPr>
          <w:p>
            <w:pPr>
              <w:jc w:val="right"/>
              <w:spacing w:after="0"/>
              <w:rPr>
                <w:sz w:val="20"/>
                <w:szCs w:val="20"/>
                <w:color w:val="auto"/>
              </w:rPr>
            </w:pPr>
            <w:r>
              <w:rPr>
                <w:rFonts w:ascii="Calibri" w:cs="Calibri" w:eastAsia="Calibri" w:hAnsi="Calibri"/>
                <w:sz w:val="20"/>
                <w:szCs w:val="20"/>
                <w:color w:val="231F20"/>
              </w:rPr>
              <w:t>$</w:t>
            </w:r>
          </w:p>
        </w:tc>
        <w:tc>
          <w:tcPr>
            <w:tcW w:w="1000" w:type="dxa"/>
            <w:vAlign w:val="bottom"/>
          </w:tcPr>
          <w:p>
            <w:pPr>
              <w:jc w:val="right"/>
              <w:ind w:right="23"/>
              <w:spacing w:after="0"/>
              <w:rPr>
                <w:sz w:val="20"/>
                <w:szCs w:val="20"/>
                <w:color w:val="auto"/>
              </w:rPr>
            </w:pPr>
            <w:r>
              <w:rPr>
                <w:rFonts w:ascii="Calibri" w:cs="Calibri" w:eastAsia="Calibri" w:hAnsi="Calibri"/>
                <w:sz w:val="20"/>
                <w:szCs w:val="20"/>
                <w:color w:val="231F20"/>
                <w:w w:val="94"/>
              </w:rPr>
              <w:t>13,465,166</w:t>
            </w:r>
          </w:p>
        </w:tc>
        <w:tc>
          <w:tcPr>
            <w:tcW w:w="0" w:type="dxa"/>
            <w:vAlign w:val="bottom"/>
          </w:tcPr>
          <w:p>
            <w:pPr>
              <w:spacing w:after="0"/>
              <w:rPr>
                <w:sz w:val="1"/>
                <w:szCs w:val="1"/>
                <w:color w:val="auto"/>
              </w:rPr>
            </w:pPr>
          </w:p>
        </w:tc>
      </w:tr>
      <w:tr>
        <w:trPr>
          <w:trHeight w:val="295"/>
        </w:trPr>
        <w:tc>
          <w:tcPr>
            <w:tcW w:w="9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920" w:type="dxa"/>
            <w:vAlign w:val="bottom"/>
            <w:shd w:val="clear" w:color="auto" w:fill="E6E7E8"/>
          </w:tcPr>
          <w:p>
            <w:pPr>
              <w:spacing w:after="0" w:line="294" w:lineRule="exact"/>
              <w:rPr>
                <w:sz w:val="20"/>
                <w:szCs w:val="20"/>
                <w:color w:val="auto"/>
              </w:rPr>
            </w:pPr>
            <w:r>
              <w:rPr>
                <w:rFonts w:ascii="Calibri" w:cs="Calibri" w:eastAsia="Calibri" w:hAnsi="Calibri"/>
                <w:sz w:val="20"/>
                <w:szCs w:val="20"/>
                <w:color w:val="231F20"/>
              </w:rPr>
              <w:t>Other Benefits</w:t>
            </w:r>
            <w:r>
              <w:rPr>
                <w:rFonts w:ascii="Calibri" w:cs="Calibri" w:eastAsia="Calibri" w:hAnsi="Calibri"/>
                <w:sz w:val="25"/>
                <w:szCs w:val="25"/>
                <w:color w:val="231F20"/>
                <w:vertAlign w:val="superscript"/>
              </w:rPr>
              <w:t>(4)</w:t>
            </w:r>
          </w:p>
        </w:tc>
        <w:tc>
          <w:tcPr>
            <w:tcW w:w="260" w:type="dxa"/>
            <w:vAlign w:val="bottom"/>
            <w:shd w:val="clear" w:color="auto" w:fill="E6E7E8"/>
          </w:tcPr>
          <w:p>
            <w:pPr>
              <w:jc w:val="right"/>
              <w:spacing w:after="0"/>
              <w:rPr>
                <w:sz w:val="20"/>
                <w:szCs w:val="20"/>
                <w:color w:val="auto"/>
              </w:rPr>
            </w:pPr>
            <w:r>
              <w:rPr>
                <w:rFonts w:ascii="Calibri" w:cs="Calibri" w:eastAsia="Calibri" w:hAnsi="Calibri"/>
                <w:sz w:val="20"/>
                <w:szCs w:val="20"/>
                <w:color w:val="231F20"/>
              </w:rPr>
              <w:t>$</w:t>
            </w:r>
          </w:p>
        </w:tc>
        <w:tc>
          <w:tcPr>
            <w:tcW w:w="920" w:type="dxa"/>
            <w:vAlign w:val="bottom"/>
            <w:shd w:val="clear" w:color="auto" w:fill="E6E7E8"/>
          </w:tcPr>
          <w:p>
            <w:pPr>
              <w:jc w:val="right"/>
              <w:ind w:right="63"/>
              <w:spacing w:after="0"/>
              <w:rPr>
                <w:sz w:val="20"/>
                <w:szCs w:val="20"/>
                <w:color w:val="auto"/>
              </w:rPr>
            </w:pPr>
            <w:r>
              <w:rPr>
                <w:rFonts w:ascii="Calibri" w:cs="Calibri" w:eastAsia="Calibri" w:hAnsi="Calibri"/>
                <w:sz w:val="20"/>
                <w:szCs w:val="20"/>
                <w:color w:val="231F20"/>
              </w:rPr>
              <w:t>-</w:t>
            </w:r>
          </w:p>
        </w:tc>
        <w:tc>
          <w:tcPr>
            <w:tcW w:w="280" w:type="dxa"/>
            <w:vAlign w:val="bottom"/>
            <w:shd w:val="clear" w:color="auto" w:fill="E6E7E8"/>
          </w:tcPr>
          <w:p>
            <w:pPr>
              <w:ind w:left="200"/>
              <w:spacing w:after="0"/>
              <w:rPr>
                <w:sz w:val="20"/>
                <w:szCs w:val="20"/>
                <w:color w:val="auto"/>
              </w:rPr>
            </w:pPr>
            <w:r>
              <w:rPr>
                <w:rFonts w:ascii="Calibri" w:cs="Calibri" w:eastAsia="Calibri" w:hAnsi="Calibri"/>
                <w:sz w:val="16"/>
                <w:szCs w:val="16"/>
                <w:color w:val="231F20"/>
                <w:w w:val="73"/>
              </w:rPr>
              <w:t>$</w:t>
            </w:r>
          </w:p>
        </w:tc>
        <w:tc>
          <w:tcPr>
            <w:tcW w:w="1100" w:type="dxa"/>
            <w:vAlign w:val="bottom"/>
            <w:shd w:val="clear" w:color="auto" w:fill="E6E7E8"/>
          </w:tcPr>
          <w:p>
            <w:pPr>
              <w:jc w:val="right"/>
              <w:ind w:right="103"/>
              <w:spacing w:after="0"/>
              <w:rPr>
                <w:sz w:val="20"/>
                <w:szCs w:val="20"/>
                <w:color w:val="auto"/>
              </w:rPr>
            </w:pPr>
            <w:r>
              <w:rPr>
                <w:rFonts w:ascii="Calibri" w:cs="Calibri" w:eastAsia="Calibri" w:hAnsi="Calibri"/>
                <w:sz w:val="20"/>
                <w:szCs w:val="20"/>
                <w:color w:val="231F20"/>
              </w:rPr>
              <w:t>60,000</w:t>
            </w:r>
          </w:p>
        </w:tc>
        <w:tc>
          <w:tcPr>
            <w:tcW w:w="260" w:type="dxa"/>
            <w:vAlign w:val="bottom"/>
            <w:shd w:val="clear" w:color="auto" w:fill="E6E7E8"/>
          </w:tcPr>
          <w:p>
            <w:pPr>
              <w:jc w:val="right"/>
              <w:spacing w:after="0"/>
              <w:rPr>
                <w:sz w:val="20"/>
                <w:szCs w:val="20"/>
                <w:color w:val="auto"/>
              </w:rPr>
            </w:pPr>
            <w:r>
              <w:rPr>
                <w:rFonts w:ascii="Calibri" w:cs="Calibri" w:eastAsia="Calibri" w:hAnsi="Calibri"/>
                <w:sz w:val="20"/>
                <w:szCs w:val="20"/>
                <w:color w:val="231F20"/>
              </w:rPr>
              <w:t>$</w:t>
            </w:r>
          </w:p>
        </w:tc>
        <w:tc>
          <w:tcPr>
            <w:tcW w:w="1060" w:type="dxa"/>
            <w:vAlign w:val="bottom"/>
            <w:shd w:val="clear" w:color="auto" w:fill="E6E7E8"/>
          </w:tcPr>
          <w:p>
            <w:pPr>
              <w:jc w:val="right"/>
              <w:ind w:right="83"/>
              <w:spacing w:after="0"/>
              <w:rPr>
                <w:sz w:val="20"/>
                <w:szCs w:val="20"/>
                <w:color w:val="auto"/>
              </w:rPr>
            </w:pPr>
            <w:r>
              <w:rPr>
                <w:rFonts w:ascii="Calibri" w:cs="Calibri" w:eastAsia="Calibri" w:hAnsi="Calibri"/>
                <w:sz w:val="20"/>
                <w:szCs w:val="20"/>
                <w:color w:val="231F20"/>
              </w:rPr>
              <w:t>166,665</w:t>
            </w:r>
          </w:p>
        </w:tc>
        <w:tc>
          <w:tcPr>
            <w:tcW w:w="120" w:type="dxa"/>
            <w:vAlign w:val="bottom"/>
            <w:shd w:val="clear" w:color="auto" w:fill="E6E7E8"/>
          </w:tcPr>
          <w:p>
            <w:pPr>
              <w:ind w:left="20"/>
              <w:spacing w:after="0"/>
              <w:rPr>
                <w:sz w:val="20"/>
                <w:szCs w:val="20"/>
                <w:color w:val="auto"/>
              </w:rPr>
            </w:pPr>
            <w:r>
              <w:rPr>
                <w:rFonts w:ascii="Calibri" w:cs="Calibri" w:eastAsia="Calibri" w:hAnsi="Calibri"/>
                <w:sz w:val="20"/>
                <w:szCs w:val="20"/>
                <w:color w:val="231F20"/>
                <w:w w:val="78"/>
              </w:rPr>
              <w:t>$</w:t>
            </w:r>
          </w:p>
        </w:tc>
        <w:tc>
          <w:tcPr>
            <w:tcW w:w="980" w:type="dxa"/>
            <w:vAlign w:val="bottom"/>
            <w:shd w:val="clear" w:color="auto" w:fill="E6E7E8"/>
          </w:tcPr>
          <w:p>
            <w:pPr>
              <w:jc w:val="right"/>
              <w:spacing w:after="0"/>
              <w:rPr>
                <w:sz w:val="20"/>
                <w:szCs w:val="20"/>
                <w:color w:val="auto"/>
              </w:rPr>
            </w:pPr>
            <w:r>
              <w:rPr>
                <w:rFonts w:ascii="Calibri" w:cs="Calibri" w:eastAsia="Calibri" w:hAnsi="Calibri"/>
                <w:sz w:val="20"/>
                <w:szCs w:val="20"/>
                <w:color w:val="231F20"/>
              </w:rPr>
              <w:t>-</w:t>
            </w:r>
          </w:p>
        </w:tc>
        <w:tc>
          <w:tcPr>
            <w:tcW w:w="200" w:type="dxa"/>
            <w:vAlign w:val="bottom"/>
            <w:shd w:val="clear" w:color="auto" w:fill="E6E7E8"/>
          </w:tcPr>
          <w:p>
            <w:pPr>
              <w:jc w:val="right"/>
              <w:spacing w:after="0"/>
              <w:rPr>
                <w:sz w:val="20"/>
                <w:szCs w:val="20"/>
                <w:color w:val="auto"/>
              </w:rPr>
            </w:pPr>
            <w:r>
              <w:rPr>
                <w:rFonts w:ascii="Calibri" w:cs="Calibri" w:eastAsia="Calibri" w:hAnsi="Calibri"/>
                <w:sz w:val="20"/>
                <w:szCs w:val="20"/>
                <w:color w:val="231F20"/>
              </w:rPr>
              <w:t>$</w:t>
            </w:r>
          </w:p>
        </w:tc>
        <w:tc>
          <w:tcPr>
            <w:tcW w:w="1000" w:type="dxa"/>
            <w:vAlign w:val="bottom"/>
            <w:shd w:val="clear" w:color="auto" w:fill="E6E7E8"/>
          </w:tcPr>
          <w:p>
            <w:pPr>
              <w:jc w:val="right"/>
              <w:ind w:right="23"/>
              <w:spacing w:after="0"/>
              <w:rPr>
                <w:sz w:val="20"/>
                <w:szCs w:val="20"/>
                <w:color w:val="auto"/>
              </w:rPr>
            </w:pPr>
            <w:r>
              <w:rPr>
                <w:rFonts w:ascii="Calibri" w:cs="Calibri" w:eastAsia="Calibri" w:hAnsi="Calibri"/>
                <w:sz w:val="20"/>
                <w:szCs w:val="20"/>
                <w:color w:val="231F20"/>
              </w:rPr>
              <w:t>-</w:t>
            </w:r>
          </w:p>
        </w:tc>
        <w:tc>
          <w:tcPr>
            <w:tcW w:w="0" w:type="dxa"/>
            <w:vAlign w:val="bottom"/>
          </w:tcPr>
          <w:p>
            <w:pPr>
              <w:spacing w:after="0"/>
              <w:rPr>
                <w:sz w:val="1"/>
                <w:szCs w:val="1"/>
                <w:color w:val="auto"/>
              </w:rPr>
            </w:pPr>
          </w:p>
        </w:tc>
      </w:tr>
      <w:tr>
        <w:trPr>
          <w:trHeight w:val="271"/>
        </w:trPr>
        <w:tc>
          <w:tcPr>
            <w:tcW w:w="9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920" w:type="dxa"/>
            <w:vAlign w:val="bottom"/>
          </w:tcPr>
          <w:p>
            <w:pPr>
              <w:spacing w:after="0"/>
              <w:rPr>
                <w:sz w:val="20"/>
                <w:szCs w:val="20"/>
                <w:color w:val="auto"/>
              </w:rPr>
            </w:pPr>
            <w:r>
              <w:rPr>
                <w:rFonts w:ascii="Calibri" w:cs="Calibri" w:eastAsia="Calibri" w:hAnsi="Calibri"/>
                <w:sz w:val="20"/>
                <w:szCs w:val="20"/>
                <w:color w:val="231F20"/>
              </w:rPr>
              <w:t>Excise Tax Gross-Up</w:t>
            </w:r>
          </w:p>
        </w:tc>
        <w:tc>
          <w:tcPr>
            <w:tcW w:w="260" w:type="dxa"/>
            <w:vAlign w:val="bottom"/>
          </w:tcPr>
          <w:p>
            <w:pPr>
              <w:spacing w:after="0"/>
              <w:rPr>
                <w:sz w:val="23"/>
                <w:szCs w:val="23"/>
                <w:color w:val="auto"/>
              </w:rPr>
            </w:pPr>
          </w:p>
        </w:tc>
        <w:tc>
          <w:tcPr>
            <w:tcW w:w="920" w:type="dxa"/>
            <w:vAlign w:val="bottom"/>
          </w:tcPr>
          <w:p>
            <w:pPr>
              <w:jc w:val="right"/>
              <w:ind w:right="63"/>
              <w:spacing w:after="0"/>
              <w:rPr>
                <w:sz w:val="20"/>
                <w:szCs w:val="20"/>
                <w:color w:val="auto"/>
              </w:rPr>
            </w:pPr>
            <w:r>
              <w:rPr>
                <w:rFonts w:ascii="Calibri" w:cs="Calibri" w:eastAsia="Calibri" w:hAnsi="Calibri"/>
                <w:sz w:val="20"/>
                <w:szCs w:val="20"/>
                <w:color w:val="231F20"/>
              </w:rPr>
              <w:t>N/A</w:t>
            </w:r>
          </w:p>
        </w:tc>
        <w:tc>
          <w:tcPr>
            <w:tcW w:w="280" w:type="dxa"/>
            <w:vAlign w:val="bottom"/>
          </w:tcPr>
          <w:p>
            <w:pPr>
              <w:spacing w:after="0"/>
              <w:rPr>
                <w:sz w:val="23"/>
                <w:szCs w:val="23"/>
                <w:color w:val="auto"/>
              </w:rPr>
            </w:pPr>
          </w:p>
        </w:tc>
        <w:tc>
          <w:tcPr>
            <w:tcW w:w="1100" w:type="dxa"/>
            <w:vAlign w:val="bottom"/>
          </w:tcPr>
          <w:p>
            <w:pPr>
              <w:jc w:val="right"/>
              <w:ind w:right="103"/>
              <w:spacing w:after="0"/>
              <w:rPr>
                <w:sz w:val="20"/>
                <w:szCs w:val="20"/>
                <w:color w:val="auto"/>
              </w:rPr>
            </w:pPr>
            <w:r>
              <w:rPr>
                <w:rFonts w:ascii="Calibri" w:cs="Calibri" w:eastAsia="Calibri" w:hAnsi="Calibri"/>
                <w:sz w:val="20"/>
                <w:szCs w:val="20"/>
                <w:color w:val="231F20"/>
              </w:rPr>
              <w:t>N/A</w:t>
            </w:r>
          </w:p>
        </w:tc>
        <w:tc>
          <w:tcPr>
            <w:tcW w:w="260" w:type="dxa"/>
            <w:vAlign w:val="bottom"/>
          </w:tcPr>
          <w:p>
            <w:pPr>
              <w:jc w:val="right"/>
              <w:spacing w:after="0"/>
              <w:rPr>
                <w:sz w:val="20"/>
                <w:szCs w:val="20"/>
                <w:color w:val="auto"/>
              </w:rPr>
            </w:pPr>
            <w:r>
              <w:rPr>
                <w:rFonts w:ascii="Calibri" w:cs="Calibri" w:eastAsia="Calibri" w:hAnsi="Calibri"/>
                <w:sz w:val="20"/>
                <w:szCs w:val="20"/>
                <w:color w:val="231F20"/>
              </w:rPr>
              <w:t>$</w:t>
            </w:r>
          </w:p>
        </w:tc>
        <w:tc>
          <w:tcPr>
            <w:tcW w:w="1060" w:type="dxa"/>
            <w:vAlign w:val="bottom"/>
          </w:tcPr>
          <w:p>
            <w:pPr>
              <w:jc w:val="right"/>
              <w:ind w:right="83"/>
              <w:spacing w:after="0"/>
              <w:rPr>
                <w:sz w:val="20"/>
                <w:szCs w:val="20"/>
                <w:color w:val="auto"/>
              </w:rPr>
            </w:pPr>
            <w:r>
              <w:rPr>
                <w:rFonts w:ascii="Calibri" w:cs="Calibri" w:eastAsia="Calibri" w:hAnsi="Calibri"/>
                <w:sz w:val="20"/>
                <w:szCs w:val="20"/>
                <w:color w:val="231F20"/>
              </w:rPr>
              <w:t>-</w:t>
            </w:r>
          </w:p>
        </w:tc>
        <w:tc>
          <w:tcPr>
            <w:tcW w:w="1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Calibri" w:cs="Calibri" w:eastAsia="Calibri" w:hAnsi="Calibri"/>
                <w:sz w:val="20"/>
                <w:szCs w:val="20"/>
                <w:color w:val="231F20"/>
              </w:rPr>
              <w:t>N/A</w:t>
            </w:r>
          </w:p>
        </w:tc>
        <w:tc>
          <w:tcPr>
            <w:tcW w:w="20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Calibri" w:cs="Calibri" w:eastAsia="Calibri" w:hAnsi="Calibri"/>
                <w:sz w:val="20"/>
                <w:szCs w:val="20"/>
                <w:color w:val="231F20"/>
              </w:rPr>
              <w:t>N/A</w:t>
            </w:r>
          </w:p>
        </w:tc>
        <w:tc>
          <w:tcPr>
            <w:tcW w:w="0" w:type="dxa"/>
            <w:vAlign w:val="bottom"/>
          </w:tcPr>
          <w:p>
            <w:pPr>
              <w:spacing w:after="0"/>
              <w:rPr>
                <w:sz w:val="1"/>
                <w:szCs w:val="1"/>
                <w:color w:val="auto"/>
              </w:rPr>
            </w:pPr>
          </w:p>
        </w:tc>
      </w:tr>
      <w:tr>
        <w:trPr>
          <w:trHeight w:val="24"/>
        </w:trPr>
        <w:tc>
          <w:tcPr>
            <w:tcW w:w="9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1980" w:type="dxa"/>
            <w:vAlign w:val="bottom"/>
            <w:tcBorders>
              <w:bottom w:val="single" w:sz="8" w:color="EF3E2A"/>
            </w:tcBorders>
            <w:gridSpan w:val="2"/>
            <w:shd w:val="clear" w:color="auto" w:fill="EF3E2A"/>
          </w:tcPr>
          <w:p>
            <w:pPr>
              <w:spacing w:after="0"/>
              <w:rPr>
                <w:sz w:val="20"/>
                <w:szCs w:val="20"/>
                <w:color w:val="auto"/>
              </w:rPr>
            </w:pPr>
            <w:r>
              <w:rPr>
                <w:rFonts w:ascii="Calibri" w:cs="Calibri" w:eastAsia="Calibri" w:hAnsi="Calibri"/>
                <w:sz w:val="20"/>
                <w:szCs w:val="20"/>
                <w:b w:val="1"/>
                <w:bCs w:val="1"/>
                <w:color w:val="FFFFFF"/>
              </w:rPr>
              <w:t>Total</w:t>
            </w:r>
          </w:p>
        </w:tc>
        <w:tc>
          <w:tcPr>
            <w:tcW w:w="1920" w:type="dxa"/>
            <w:vAlign w:val="bottom"/>
            <w:tcBorders>
              <w:bottom w:val="single" w:sz="8" w:color="EF3E2A"/>
            </w:tcBorders>
            <w:shd w:val="clear" w:color="auto" w:fill="EF3E2A"/>
          </w:tcPr>
          <w:p>
            <w:pPr>
              <w:spacing w:after="0"/>
              <w:rPr>
                <w:sz w:val="23"/>
                <w:szCs w:val="23"/>
                <w:color w:val="auto"/>
              </w:rPr>
            </w:pPr>
          </w:p>
        </w:tc>
        <w:tc>
          <w:tcPr>
            <w:tcW w:w="260" w:type="dxa"/>
            <w:vAlign w:val="bottom"/>
            <w:tcBorders>
              <w:bottom w:val="single" w:sz="8" w:color="EF3E2A"/>
            </w:tcBorders>
            <w:shd w:val="clear" w:color="auto" w:fill="EF3E2A"/>
          </w:tcPr>
          <w:p>
            <w:pPr>
              <w:jc w:val="right"/>
              <w:spacing w:after="0"/>
              <w:rPr>
                <w:sz w:val="20"/>
                <w:szCs w:val="20"/>
                <w:color w:val="auto"/>
              </w:rPr>
            </w:pPr>
            <w:r>
              <w:rPr>
                <w:rFonts w:ascii="Calibri" w:cs="Calibri" w:eastAsia="Calibri" w:hAnsi="Calibri"/>
                <w:sz w:val="20"/>
                <w:szCs w:val="20"/>
                <w:b w:val="1"/>
                <w:bCs w:val="1"/>
                <w:color w:val="FFFFFF"/>
              </w:rPr>
              <w:t>$</w:t>
            </w:r>
          </w:p>
        </w:tc>
        <w:tc>
          <w:tcPr>
            <w:tcW w:w="920" w:type="dxa"/>
            <w:vAlign w:val="bottom"/>
            <w:tcBorders>
              <w:bottom w:val="single" w:sz="8" w:color="EF3E2A"/>
            </w:tcBorders>
            <w:shd w:val="clear" w:color="auto" w:fill="EF3E2A"/>
          </w:tcPr>
          <w:p>
            <w:pPr>
              <w:jc w:val="right"/>
              <w:ind w:right="63"/>
              <w:spacing w:after="0"/>
              <w:rPr>
                <w:sz w:val="20"/>
                <w:szCs w:val="20"/>
                <w:color w:val="auto"/>
              </w:rPr>
            </w:pPr>
            <w:r>
              <w:rPr>
                <w:rFonts w:ascii="Calibri" w:cs="Calibri" w:eastAsia="Calibri" w:hAnsi="Calibri"/>
                <w:sz w:val="20"/>
                <w:szCs w:val="20"/>
                <w:b w:val="1"/>
                <w:bCs w:val="1"/>
                <w:color w:val="FFFFFF"/>
              </w:rPr>
              <w:t>520,403</w:t>
            </w:r>
          </w:p>
        </w:tc>
        <w:tc>
          <w:tcPr>
            <w:tcW w:w="280" w:type="dxa"/>
            <w:vAlign w:val="bottom"/>
            <w:tcBorders>
              <w:bottom w:val="single" w:sz="8" w:color="EF3E2A"/>
            </w:tcBorders>
            <w:shd w:val="clear" w:color="auto" w:fill="EF3E2A"/>
          </w:tcPr>
          <w:p>
            <w:pPr>
              <w:ind w:left="200"/>
              <w:spacing w:after="0"/>
              <w:rPr>
                <w:sz w:val="20"/>
                <w:szCs w:val="20"/>
                <w:color w:val="auto"/>
              </w:rPr>
            </w:pPr>
            <w:r>
              <w:rPr>
                <w:rFonts w:ascii="Calibri" w:cs="Calibri" w:eastAsia="Calibri" w:hAnsi="Calibri"/>
                <w:sz w:val="16"/>
                <w:szCs w:val="16"/>
                <w:b w:val="1"/>
                <w:bCs w:val="1"/>
                <w:color w:val="FFFFFF"/>
                <w:w w:val="73"/>
              </w:rPr>
              <w:t>$</w:t>
            </w:r>
          </w:p>
        </w:tc>
        <w:tc>
          <w:tcPr>
            <w:tcW w:w="1100" w:type="dxa"/>
            <w:vAlign w:val="bottom"/>
            <w:tcBorders>
              <w:bottom w:val="single" w:sz="8" w:color="EF3E2A"/>
            </w:tcBorders>
            <w:shd w:val="clear" w:color="auto" w:fill="EF3E2A"/>
          </w:tcPr>
          <w:p>
            <w:pPr>
              <w:jc w:val="right"/>
              <w:ind w:right="103"/>
              <w:spacing w:after="0"/>
              <w:rPr>
                <w:sz w:val="20"/>
                <w:szCs w:val="20"/>
                <w:color w:val="auto"/>
              </w:rPr>
            </w:pPr>
            <w:r>
              <w:rPr>
                <w:rFonts w:ascii="Calibri" w:cs="Calibri" w:eastAsia="Calibri" w:hAnsi="Calibri"/>
                <w:sz w:val="20"/>
                <w:szCs w:val="20"/>
                <w:b w:val="1"/>
                <w:bCs w:val="1"/>
                <w:color w:val="FFFFFF"/>
                <w:w w:val="96"/>
              </w:rPr>
              <w:t>19,602,271</w:t>
            </w:r>
          </w:p>
        </w:tc>
        <w:tc>
          <w:tcPr>
            <w:tcW w:w="260" w:type="dxa"/>
            <w:vAlign w:val="bottom"/>
            <w:tcBorders>
              <w:bottom w:val="single" w:sz="8" w:color="EF3E2A"/>
            </w:tcBorders>
            <w:shd w:val="clear" w:color="auto" w:fill="EF3E2A"/>
          </w:tcPr>
          <w:p>
            <w:pPr>
              <w:jc w:val="right"/>
              <w:spacing w:after="0"/>
              <w:rPr>
                <w:sz w:val="20"/>
                <w:szCs w:val="20"/>
                <w:color w:val="auto"/>
              </w:rPr>
            </w:pPr>
            <w:r>
              <w:rPr>
                <w:rFonts w:ascii="Calibri" w:cs="Calibri" w:eastAsia="Calibri" w:hAnsi="Calibri"/>
                <w:sz w:val="20"/>
                <w:szCs w:val="20"/>
                <w:b w:val="1"/>
                <w:bCs w:val="1"/>
                <w:color w:val="FFFFFF"/>
              </w:rPr>
              <w:t>$</w:t>
            </w:r>
          </w:p>
        </w:tc>
        <w:tc>
          <w:tcPr>
            <w:tcW w:w="1060" w:type="dxa"/>
            <w:vAlign w:val="bottom"/>
            <w:tcBorders>
              <w:bottom w:val="single" w:sz="8" w:color="EF3E2A"/>
            </w:tcBorders>
            <w:shd w:val="clear" w:color="auto" w:fill="EF3E2A"/>
          </w:tcPr>
          <w:p>
            <w:pPr>
              <w:jc w:val="right"/>
              <w:ind w:right="83"/>
              <w:spacing w:after="0"/>
              <w:rPr>
                <w:sz w:val="20"/>
                <w:szCs w:val="20"/>
                <w:color w:val="auto"/>
              </w:rPr>
            </w:pPr>
            <w:r>
              <w:rPr>
                <w:rFonts w:ascii="Calibri" w:cs="Calibri" w:eastAsia="Calibri" w:hAnsi="Calibri"/>
                <w:sz w:val="20"/>
                <w:szCs w:val="20"/>
                <w:b w:val="1"/>
                <w:bCs w:val="1"/>
                <w:color w:val="FFFFFF"/>
                <w:w w:val="93"/>
              </w:rPr>
              <w:t>24,113,250</w:t>
            </w:r>
          </w:p>
        </w:tc>
        <w:tc>
          <w:tcPr>
            <w:tcW w:w="120" w:type="dxa"/>
            <w:vAlign w:val="bottom"/>
            <w:tcBorders>
              <w:bottom w:val="single" w:sz="8" w:color="EF3E2A"/>
            </w:tcBorders>
            <w:shd w:val="clear" w:color="auto" w:fill="EF3E2A"/>
          </w:tcPr>
          <w:p>
            <w:pPr>
              <w:ind w:left="20"/>
              <w:spacing w:after="0"/>
              <w:rPr>
                <w:sz w:val="20"/>
                <w:szCs w:val="20"/>
                <w:color w:val="auto"/>
              </w:rPr>
            </w:pPr>
            <w:r>
              <w:rPr>
                <w:rFonts w:ascii="Calibri" w:cs="Calibri" w:eastAsia="Calibri" w:hAnsi="Calibri"/>
                <w:sz w:val="20"/>
                <w:szCs w:val="20"/>
                <w:b w:val="1"/>
                <w:bCs w:val="1"/>
                <w:color w:val="FFFFFF"/>
                <w:w w:val="78"/>
              </w:rPr>
              <w:t>$</w:t>
            </w:r>
          </w:p>
        </w:tc>
        <w:tc>
          <w:tcPr>
            <w:tcW w:w="980" w:type="dxa"/>
            <w:vAlign w:val="bottom"/>
            <w:tcBorders>
              <w:bottom w:val="single" w:sz="8" w:color="EF3E2A"/>
            </w:tcBorders>
            <w:shd w:val="clear" w:color="auto" w:fill="EF3E2A"/>
          </w:tcPr>
          <w:p>
            <w:pPr>
              <w:jc w:val="right"/>
              <w:spacing w:after="0"/>
              <w:rPr>
                <w:sz w:val="20"/>
                <w:szCs w:val="20"/>
                <w:color w:val="auto"/>
              </w:rPr>
            </w:pPr>
            <w:r>
              <w:rPr>
                <w:rFonts w:ascii="Calibri" w:cs="Calibri" w:eastAsia="Calibri" w:hAnsi="Calibri"/>
                <w:sz w:val="20"/>
                <w:szCs w:val="20"/>
                <w:b w:val="1"/>
                <w:bCs w:val="1"/>
                <w:color w:val="FFFFFF"/>
                <w:w w:val="96"/>
              </w:rPr>
              <w:t>14,950,166</w:t>
            </w:r>
          </w:p>
        </w:tc>
        <w:tc>
          <w:tcPr>
            <w:tcW w:w="200" w:type="dxa"/>
            <w:vAlign w:val="bottom"/>
            <w:tcBorders>
              <w:bottom w:val="single" w:sz="8" w:color="EF3E2A"/>
            </w:tcBorders>
            <w:shd w:val="clear" w:color="auto" w:fill="EF3E2A"/>
          </w:tcPr>
          <w:p>
            <w:pPr>
              <w:jc w:val="right"/>
              <w:spacing w:after="0"/>
              <w:rPr>
                <w:sz w:val="20"/>
                <w:szCs w:val="20"/>
                <w:color w:val="auto"/>
              </w:rPr>
            </w:pPr>
            <w:r>
              <w:rPr>
                <w:rFonts w:ascii="Calibri" w:cs="Calibri" w:eastAsia="Calibri" w:hAnsi="Calibri"/>
                <w:sz w:val="20"/>
                <w:szCs w:val="20"/>
                <w:b w:val="1"/>
                <w:bCs w:val="1"/>
                <w:color w:val="FFFFFF"/>
              </w:rPr>
              <w:t>$</w:t>
            </w:r>
          </w:p>
        </w:tc>
        <w:tc>
          <w:tcPr>
            <w:tcW w:w="1000" w:type="dxa"/>
            <w:vAlign w:val="bottom"/>
            <w:tcBorders>
              <w:bottom w:val="single" w:sz="8" w:color="EF3E2A"/>
            </w:tcBorders>
            <w:shd w:val="clear" w:color="auto" w:fill="EF3E2A"/>
          </w:tcPr>
          <w:p>
            <w:pPr>
              <w:jc w:val="right"/>
              <w:ind w:right="23"/>
              <w:spacing w:after="0"/>
              <w:rPr>
                <w:sz w:val="20"/>
                <w:szCs w:val="20"/>
                <w:color w:val="auto"/>
              </w:rPr>
            </w:pPr>
            <w:r>
              <w:rPr>
                <w:rFonts w:ascii="Calibri" w:cs="Calibri" w:eastAsia="Calibri" w:hAnsi="Calibri"/>
                <w:sz w:val="20"/>
                <w:szCs w:val="20"/>
                <w:b w:val="1"/>
                <w:bCs w:val="1"/>
                <w:color w:val="FFFFFF"/>
                <w:w w:val="93"/>
              </w:rPr>
              <w:t>16,538,606</w:t>
            </w:r>
          </w:p>
        </w:tc>
        <w:tc>
          <w:tcPr>
            <w:tcW w:w="0" w:type="dxa"/>
            <w:vAlign w:val="bottom"/>
          </w:tcPr>
          <w:p>
            <w:pPr>
              <w:spacing w:after="0"/>
              <w:rPr>
                <w:sz w:val="1"/>
                <w:szCs w:val="1"/>
                <w:color w:val="auto"/>
              </w:rPr>
            </w:pPr>
          </w:p>
        </w:tc>
      </w:tr>
      <w:tr>
        <w:trPr>
          <w:trHeight w:val="312"/>
        </w:trPr>
        <w:tc>
          <w:tcPr>
            <w:tcW w:w="1980" w:type="dxa"/>
            <w:vAlign w:val="bottom"/>
            <w:gridSpan w:val="2"/>
          </w:tcPr>
          <w:p>
            <w:pPr>
              <w:spacing w:after="0"/>
              <w:rPr>
                <w:sz w:val="20"/>
                <w:szCs w:val="20"/>
                <w:color w:val="auto"/>
              </w:rPr>
            </w:pPr>
            <w:r>
              <w:rPr>
                <w:rFonts w:ascii="Arial" w:cs="Arial" w:eastAsia="Arial" w:hAnsi="Arial"/>
                <w:sz w:val="20"/>
                <w:szCs w:val="20"/>
                <w:color w:val="231F20"/>
              </w:rPr>
              <w:t>Daniel Guglielmone</w:t>
            </w:r>
          </w:p>
        </w:tc>
        <w:tc>
          <w:tcPr>
            <w:tcW w:w="1920" w:type="dxa"/>
            <w:vAlign w:val="bottom"/>
            <w:tcBorders>
              <w:bottom w:val="single" w:sz="8" w:color="E6E7E8"/>
            </w:tcBorders>
            <w:shd w:val="clear" w:color="auto" w:fill="E6E7E8"/>
          </w:tcPr>
          <w:p>
            <w:pPr>
              <w:spacing w:after="0"/>
              <w:rPr>
                <w:sz w:val="20"/>
                <w:szCs w:val="20"/>
                <w:color w:val="auto"/>
              </w:rPr>
            </w:pPr>
            <w:r>
              <w:rPr>
                <w:rFonts w:ascii="Calibri" w:cs="Calibri" w:eastAsia="Calibri" w:hAnsi="Calibri"/>
                <w:sz w:val="20"/>
                <w:szCs w:val="20"/>
                <w:color w:val="231F20"/>
                <w:w w:val="98"/>
              </w:rPr>
              <w:t>Cash Benefits (multiple)</w:t>
            </w:r>
          </w:p>
        </w:tc>
        <w:tc>
          <w:tcPr>
            <w:tcW w:w="260" w:type="dxa"/>
            <w:vAlign w:val="bottom"/>
            <w:tcBorders>
              <w:bottom w:val="single" w:sz="8" w:color="E6E7E8"/>
            </w:tcBorders>
            <w:shd w:val="clear" w:color="auto" w:fill="E6E7E8"/>
          </w:tcPr>
          <w:p>
            <w:pPr>
              <w:spacing w:after="0"/>
              <w:rPr>
                <w:sz w:val="24"/>
                <w:szCs w:val="24"/>
                <w:color w:val="auto"/>
              </w:rPr>
            </w:pPr>
          </w:p>
        </w:tc>
        <w:tc>
          <w:tcPr>
            <w:tcW w:w="920" w:type="dxa"/>
            <w:vAlign w:val="bottom"/>
            <w:tcBorders>
              <w:bottom w:val="single" w:sz="8" w:color="E6E7E8"/>
            </w:tcBorders>
            <w:shd w:val="clear" w:color="auto" w:fill="E6E7E8"/>
          </w:tcPr>
          <w:p>
            <w:pPr>
              <w:jc w:val="right"/>
              <w:ind w:right="63"/>
              <w:spacing w:after="0"/>
              <w:rPr>
                <w:sz w:val="20"/>
                <w:szCs w:val="20"/>
                <w:color w:val="auto"/>
              </w:rPr>
            </w:pPr>
            <w:r>
              <w:rPr>
                <w:rFonts w:ascii="Calibri" w:cs="Calibri" w:eastAsia="Calibri" w:hAnsi="Calibri"/>
                <w:sz w:val="20"/>
                <w:szCs w:val="20"/>
                <w:color w:val="231F20"/>
                <w:w w:val="96"/>
              </w:rPr>
              <w:t>4 months</w:t>
            </w:r>
          </w:p>
        </w:tc>
        <w:tc>
          <w:tcPr>
            <w:tcW w:w="280" w:type="dxa"/>
            <w:vAlign w:val="bottom"/>
            <w:tcBorders>
              <w:bottom w:val="single" w:sz="8" w:color="E6E7E8"/>
            </w:tcBorders>
            <w:shd w:val="clear" w:color="auto" w:fill="E6E7E8"/>
          </w:tcPr>
          <w:p>
            <w:pPr>
              <w:spacing w:after="0"/>
              <w:rPr>
                <w:sz w:val="24"/>
                <w:szCs w:val="24"/>
                <w:color w:val="auto"/>
              </w:rPr>
            </w:pPr>
          </w:p>
        </w:tc>
        <w:tc>
          <w:tcPr>
            <w:tcW w:w="1100" w:type="dxa"/>
            <w:vAlign w:val="bottom"/>
            <w:tcBorders>
              <w:bottom w:val="single" w:sz="8" w:color="E6E7E8"/>
            </w:tcBorders>
            <w:shd w:val="clear" w:color="auto" w:fill="E6E7E8"/>
          </w:tcPr>
          <w:p>
            <w:pPr>
              <w:jc w:val="right"/>
              <w:ind w:right="103"/>
              <w:spacing w:after="0"/>
              <w:rPr>
                <w:sz w:val="20"/>
                <w:szCs w:val="20"/>
                <w:color w:val="auto"/>
              </w:rPr>
            </w:pPr>
            <w:r>
              <w:rPr>
                <w:rFonts w:ascii="Calibri" w:cs="Calibri" w:eastAsia="Calibri" w:hAnsi="Calibri"/>
                <w:sz w:val="20"/>
                <w:szCs w:val="20"/>
                <w:color w:val="231F20"/>
              </w:rPr>
              <w:t>1.0x</w:t>
            </w:r>
          </w:p>
        </w:tc>
        <w:tc>
          <w:tcPr>
            <w:tcW w:w="260" w:type="dxa"/>
            <w:vAlign w:val="bottom"/>
            <w:tcBorders>
              <w:bottom w:val="single" w:sz="8" w:color="E6E7E8"/>
            </w:tcBorders>
            <w:shd w:val="clear" w:color="auto" w:fill="E6E7E8"/>
          </w:tcPr>
          <w:p>
            <w:pPr>
              <w:spacing w:after="0"/>
              <w:rPr>
                <w:sz w:val="24"/>
                <w:szCs w:val="24"/>
                <w:color w:val="auto"/>
              </w:rPr>
            </w:pPr>
          </w:p>
        </w:tc>
        <w:tc>
          <w:tcPr>
            <w:tcW w:w="1060" w:type="dxa"/>
            <w:vAlign w:val="bottom"/>
            <w:tcBorders>
              <w:bottom w:val="single" w:sz="8" w:color="E6E7E8"/>
            </w:tcBorders>
            <w:shd w:val="clear" w:color="auto" w:fill="E6E7E8"/>
          </w:tcPr>
          <w:p>
            <w:pPr>
              <w:jc w:val="right"/>
              <w:ind w:right="83"/>
              <w:spacing w:after="0"/>
              <w:rPr>
                <w:sz w:val="20"/>
                <w:szCs w:val="20"/>
                <w:color w:val="auto"/>
              </w:rPr>
            </w:pPr>
            <w:r>
              <w:rPr>
                <w:rFonts w:ascii="Calibri" w:cs="Calibri" w:eastAsia="Calibri" w:hAnsi="Calibri"/>
                <w:sz w:val="20"/>
                <w:szCs w:val="20"/>
                <w:color w:val="231F20"/>
              </w:rPr>
              <w:t>2.0x</w:t>
            </w:r>
          </w:p>
        </w:tc>
        <w:tc>
          <w:tcPr>
            <w:tcW w:w="120" w:type="dxa"/>
            <w:vAlign w:val="bottom"/>
            <w:tcBorders>
              <w:bottom w:val="single" w:sz="8" w:color="E6E7E8"/>
            </w:tcBorders>
            <w:shd w:val="clear" w:color="auto" w:fill="E6E7E8"/>
          </w:tcPr>
          <w:p>
            <w:pPr>
              <w:spacing w:after="0"/>
              <w:rPr>
                <w:sz w:val="24"/>
                <w:szCs w:val="24"/>
                <w:color w:val="auto"/>
              </w:rPr>
            </w:pPr>
          </w:p>
        </w:tc>
        <w:tc>
          <w:tcPr>
            <w:tcW w:w="980" w:type="dxa"/>
            <w:vAlign w:val="bottom"/>
            <w:tcBorders>
              <w:bottom w:val="single" w:sz="8" w:color="E6E7E8"/>
            </w:tcBorders>
            <w:shd w:val="clear" w:color="auto" w:fill="E6E7E8"/>
          </w:tcPr>
          <w:p>
            <w:pPr>
              <w:jc w:val="right"/>
              <w:spacing w:after="0"/>
              <w:rPr>
                <w:sz w:val="20"/>
                <w:szCs w:val="20"/>
                <w:color w:val="auto"/>
              </w:rPr>
            </w:pPr>
            <w:r>
              <w:rPr>
                <w:rFonts w:ascii="Calibri" w:cs="Calibri" w:eastAsia="Calibri" w:hAnsi="Calibri"/>
                <w:sz w:val="20"/>
                <w:szCs w:val="20"/>
                <w:color w:val="231F20"/>
              </w:rPr>
              <w:t>N/A</w:t>
            </w:r>
          </w:p>
        </w:tc>
        <w:tc>
          <w:tcPr>
            <w:tcW w:w="200" w:type="dxa"/>
            <w:vAlign w:val="bottom"/>
            <w:tcBorders>
              <w:bottom w:val="single" w:sz="8" w:color="E6E7E8"/>
            </w:tcBorders>
            <w:shd w:val="clear" w:color="auto" w:fill="E6E7E8"/>
          </w:tcPr>
          <w:p>
            <w:pPr>
              <w:spacing w:after="0"/>
              <w:rPr>
                <w:sz w:val="24"/>
                <w:szCs w:val="24"/>
                <w:color w:val="auto"/>
              </w:rPr>
            </w:pPr>
          </w:p>
        </w:tc>
        <w:tc>
          <w:tcPr>
            <w:tcW w:w="1000" w:type="dxa"/>
            <w:vAlign w:val="bottom"/>
            <w:tcBorders>
              <w:bottom w:val="single" w:sz="8" w:color="E6E7E8"/>
            </w:tcBorders>
            <w:shd w:val="clear" w:color="auto" w:fill="E6E7E8"/>
          </w:tcPr>
          <w:p>
            <w:pPr>
              <w:jc w:val="right"/>
              <w:ind w:right="23"/>
              <w:spacing w:after="0"/>
              <w:rPr>
                <w:sz w:val="20"/>
                <w:szCs w:val="20"/>
                <w:color w:val="auto"/>
              </w:rPr>
            </w:pPr>
            <w:r>
              <w:rPr>
                <w:rFonts w:ascii="Calibri" w:cs="Calibri" w:eastAsia="Calibri" w:hAnsi="Calibri"/>
                <w:sz w:val="20"/>
                <w:szCs w:val="20"/>
                <w:color w:val="231F20"/>
              </w:rPr>
              <w:t>N/A</w:t>
            </w:r>
          </w:p>
        </w:tc>
        <w:tc>
          <w:tcPr>
            <w:tcW w:w="0" w:type="dxa"/>
            <w:vAlign w:val="bottom"/>
          </w:tcPr>
          <w:p>
            <w:pPr>
              <w:spacing w:after="0"/>
              <w:rPr>
                <w:sz w:val="1"/>
                <w:szCs w:val="1"/>
                <w:color w:val="auto"/>
              </w:rPr>
            </w:pPr>
          </w:p>
        </w:tc>
      </w:tr>
      <w:tr>
        <w:trPr>
          <w:trHeight w:val="271"/>
        </w:trPr>
        <w:tc>
          <w:tcPr>
            <w:tcW w:w="9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920" w:type="dxa"/>
            <w:vAlign w:val="bottom"/>
          </w:tcPr>
          <w:p>
            <w:pPr>
              <w:spacing w:after="0"/>
              <w:rPr>
                <w:sz w:val="20"/>
                <w:szCs w:val="20"/>
                <w:color w:val="auto"/>
              </w:rPr>
            </w:pPr>
            <w:r>
              <w:rPr>
                <w:rFonts w:ascii="Calibri" w:cs="Calibri" w:eastAsia="Calibri" w:hAnsi="Calibri"/>
                <w:sz w:val="20"/>
                <w:szCs w:val="20"/>
                <w:color w:val="231F20"/>
                <w:w w:val="99"/>
              </w:rPr>
              <w:t>Cash Benefits (amount)</w:t>
            </w:r>
          </w:p>
        </w:tc>
        <w:tc>
          <w:tcPr>
            <w:tcW w:w="260" w:type="dxa"/>
            <w:vAlign w:val="bottom"/>
          </w:tcPr>
          <w:p>
            <w:pPr>
              <w:jc w:val="right"/>
              <w:spacing w:after="0"/>
              <w:rPr>
                <w:sz w:val="20"/>
                <w:szCs w:val="20"/>
                <w:color w:val="auto"/>
              </w:rPr>
            </w:pPr>
            <w:r>
              <w:rPr>
                <w:rFonts w:ascii="Calibri" w:cs="Calibri" w:eastAsia="Calibri" w:hAnsi="Calibri"/>
                <w:sz w:val="20"/>
                <w:szCs w:val="20"/>
                <w:color w:val="231F20"/>
              </w:rPr>
              <w:t>$</w:t>
            </w:r>
          </w:p>
        </w:tc>
        <w:tc>
          <w:tcPr>
            <w:tcW w:w="920" w:type="dxa"/>
            <w:vAlign w:val="bottom"/>
          </w:tcPr>
          <w:p>
            <w:pPr>
              <w:jc w:val="right"/>
              <w:ind w:right="63"/>
              <w:spacing w:after="0"/>
              <w:rPr>
                <w:sz w:val="20"/>
                <w:szCs w:val="20"/>
                <w:color w:val="auto"/>
              </w:rPr>
            </w:pPr>
            <w:r>
              <w:rPr>
                <w:rFonts w:ascii="Calibri" w:cs="Calibri" w:eastAsia="Calibri" w:hAnsi="Calibri"/>
                <w:sz w:val="20"/>
                <w:szCs w:val="20"/>
                <w:color w:val="231F20"/>
              </w:rPr>
              <w:t>216,667</w:t>
            </w:r>
          </w:p>
        </w:tc>
        <w:tc>
          <w:tcPr>
            <w:tcW w:w="280" w:type="dxa"/>
            <w:vAlign w:val="bottom"/>
          </w:tcPr>
          <w:p>
            <w:pPr>
              <w:ind w:left="200"/>
              <w:spacing w:after="0"/>
              <w:rPr>
                <w:sz w:val="20"/>
                <w:szCs w:val="20"/>
                <w:color w:val="auto"/>
              </w:rPr>
            </w:pPr>
            <w:r>
              <w:rPr>
                <w:rFonts w:ascii="Calibri" w:cs="Calibri" w:eastAsia="Calibri" w:hAnsi="Calibri"/>
                <w:sz w:val="16"/>
                <w:szCs w:val="16"/>
                <w:color w:val="231F20"/>
                <w:w w:val="73"/>
              </w:rPr>
              <w:t>$</w:t>
            </w:r>
          </w:p>
        </w:tc>
        <w:tc>
          <w:tcPr>
            <w:tcW w:w="1100" w:type="dxa"/>
            <w:vAlign w:val="bottom"/>
          </w:tcPr>
          <w:p>
            <w:pPr>
              <w:jc w:val="right"/>
              <w:ind w:right="103"/>
              <w:spacing w:after="0"/>
              <w:rPr>
                <w:sz w:val="20"/>
                <w:szCs w:val="20"/>
                <w:color w:val="auto"/>
              </w:rPr>
            </w:pPr>
            <w:r>
              <w:rPr>
                <w:rFonts w:ascii="Calibri" w:cs="Calibri" w:eastAsia="Calibri" w:hAnsi="Calibri"/>
                <w:sz w:val="20"/>
                <w:szCs w:val="20"/>
                <w:color w:val="231F20"/>
              </w:rPr>
              <w:t>1,368,750</w:t>
            </w:r>
          </w:p>
        </w:tc>
        <w:tc>
          <w:tcPr>
            <w:tcW w:w="260" w:type="dxa"/>
            <w:vAlign w:val="bottom"/>
          </w:tcPr>
          <w:p>
            <w:pPr>
              <w:jc w:val="right"/>
              <w:spacing w:after="0"/>
              <w:rPr>
                <w:sz w:val="20"/>
                <w:szCs w:val="20"/>
                <w:color w:val="auto"/>
              </w:rPr>
            </w:pPr>
            <w:r>
              <w:rPr>
                <w:rFonts w:ascii="Calibri" w:cs="Calibri" w:eastAsia="Calibri" w:hAnsi="Calibri"/>
                <w:sz w:val="20"/>
                <w:szCs w:val="20"/>
                <w:color w:val="231F20"/>
              </w:rPr>
              <w:t>$</w:t>
            </w:r>
          </w:p>
        </w:tc>
        <w:tc>
          <w:tcPr>
            <w:tcW w:w="1060" w:type="dxa"/>
            <w:vAlign w:val="bottom"/>
          </w:tcPr>
          <w:p>
            <w:pPr>
              <w:jc w:val="right"/>
              <w:ind w:right="83"/>
              <w:spacing w:after="0"/>
              <w:rPr>
                <w:sz w:val="20"/>
                <w:szCs w:val="20"/>
                <w:color w:val="auto"/>
              </w:rPr>
            </w:pPr>
            <w:r>
              <w:rPr>
                <w:rFonts w:ascii="Calibri" w:cs="Calibri" w:eastAsia="Calibri" w:hAnsi="Calibri"/>
                <w:sz w:val="20"/>
                <w:szCs w:val="20"/>
                <w:color w:val="231F20"/>
              </w:rPr>
              <w:t>2,737,500</w:t>
            </w:r>
          </w:p>
        </w:tc>
        <w:tc>
          <w:tcPr>
            <w:tcW w:w="120" w:type="dxa"/>
            <w:vAlign w:val="bottom"/>
          </w:tcPr>
          <w:p>
            <w:pPr>
              <w:ind w:left="20"/>
              <w:spacing w:after="0"/>
              <w:rPr>
                <w:sz w:val="20"/>
                <w:szCs w:val="20"/>
                <w:color w:val="auto"/>
              </w:rPr>
            </w:pPr>
            <w:r>
              <w:rPr>
                <w:rFonts w:ascii="Calibri" w:cs="Calibri" w:eastAsia="Calibri" w:hAnsi="Calibri"/>
                <w:sz w:val="20"/>
                <w:szCs w:val="20"/>
                <w:color w:val="231F20"/>
                <w:w w:val="78"/>
              </w:rPr>
              <w:t>$</w:t>
            </w:r>
          </w:p>
        </w:tc>
        <w:tc>
          <w:tcPr>
            <w:tcW w:w="980" w:type="dxa"/>
            <w:vAlign w:val="bottom"/>
          </w:tcPr>
          <w:p>
            <w:pPr>
              <w:jc w:val="right"/>
              <w:spacing w:after="0"/>
              <w:rPr>
                <w:sz w:val="20"/>
                <w:szCs w:val="20"/>
                <w:color w:val="auto"/>
              </w:rPr>
            </w:pPr>
            <w:r>
              <w:rPr>
                <w:rFonts w:ascii="Calibri" w:cs="Calibri" w:eastAsia="Calibri" w:hAnsi="Calibri"/>
                <w:sz w:val="20"/>
                <w:szCs w:val="20"/>
                <w:color w:val="231F20"/>
              </w:rPr>
              <w:t>-</w:t>
            </w:r>
          </w:p>
        </w:tc>
        <w:tc>
          <w:tcPr>
            <w:tcW w:w="200" w:type="dxa"/>
            <w:vAlign w:val="bottom"/>
          </w:tcPr>
          <w:p>
            <w:pPr>
              <w:jc w:val="right"/>
              <w:spacing w:after="0"/>
              <w:rPr>
                <w:sz w:val="20"/>
                <w:szCs w:val="20"/>
                <w:color w:val="auto"/>
              </w:rPr>
            </w:pPr>
            <w:r>
              <w:rPr>
                <w:rFonts w:ascii="Calibri" w:cs="Calibri" w:eastAsia="Calibri" w:hAnsi="Calibri"/>
                <w:sz w:val="20"/>
                <w:szCs w:val="20"/>
                <w:color w:val="231F20"/>
              </w:rPr>
              <w:t>$</w:t>
            </w:r>
          </w:p>
        </w:tc>
        <w:tc>
          <w:tcPr>
            <w:tcW w:w="1000" w:type="dxa"/>
            <w:vAlign w:val="bottom"/>
          </w:tcPr>
          <w:p>
            <w:pPr>
              <w:jc w:val="right"/>
              <w:ind w:right="23"/>
              <w:spacing w:after="0"/>
              <w:rPr>
                <w:sz w:val="20"/>
                <w:szCs w:val="20"/>
                <w:color w:val="auto"/>
              </w:rPr>
            </w:pPr>
            <w:r>
              <w:rPr>
                <w:rFonts w:ascii="Calibri" w:cs="Calibri" w:eastAsia="Calibri" w:hAnsi="Calibri"/>
                <w:sz w:val="20"/>
                <w:szCs w:val="20"/>
                <w:color w:val="231F20"/>
              </w:rPr>
              <w:t>778,812</w:t>
            </w:r>
          </w:p>
        </w:tc>
        <w:tc>
          <w:tcPr>
            <w:tcW w:w="0" w:type="dxa"/>
            <w:vAlign w:val="bottom"/>
          </w:tcPr>
          <w:p>
            <w:pPr>
              <w:spacing w:after="0"/>
              <w:rPr>
                <w:sz w:val="1"/>
                <w:szCs w:val="1"/>
                <w:color w:val="auto"/>
              </w:rPr>
            </w:pPr>
          </w:p>
        </w:tc>
      </w:tr>
      <w:tr>
        <w:trPr>
          <w:trHeight w:val="24"/>
        </w:trPr>
        <w:tc>
          <w:tcPr>
            <w:tcW w:w="9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5"/>
        </w:trPr>
        <w:tc>
          <w:tcPr>
            <w:tcW w:w="9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920" w:type="dxa"/>
            <w:vAlign w:val="bottom"/>
            <w:shd w:val="clear" w:color="auto" w:fill="E6E7E8"/>
          </w:tcPr>
          <w:p>
            <w:pPr>
              <w:spacing w:after="0" w:line="294" w:lineRule="exact"/>
              <w:rPr>
                <w:sz w:val="20"/>
                <w:szCs w:val="20"/>
                <w:color w:val="auto"/>
              </w:rPr>
            </w:pPr>
            <w:r>
              <w:rPr>
                <w:rFonts w:ascii="Calibri" w:cs="Calibri" w:eastAsia="Calibri" w:hAnsi="Calibri"/>
                <w:sz w:val="20"/>
                <w:szCs w:val="20"/>
                <w:color w:val="231F20"/>
              </w:rPr>
              <w:t>Medical Benefits</w:t>
            </w:r>
            <w:r>
              <w:rPr>
                <w:rFonts w:ascii="Calibri" w:cs="Calibri" w:eastAsia="Calibri" w:hAnsi="Calibri"/>
                <w:sz w:val="25"/>
                <w:szCs w:val="25"/>
                <w:color w:val="231F20"/>
                <w:vertAlign w:val="superscript"/>
              </w:rPr>
              <w:t>(2)</w:t>
            </w:r>
          </w:p>
        </w:tc>
        <w:tc>
          <w:tcPr>
            <w:tcW w:w="260" w:type="dxa"/>
            <w:vAlign w:val="bottom"/>
            <w:shd w:val="clear" w:color="auto" w:fill="E6E7E8"/>
          </w:tcPr>
          <w:p>
            <w:pPr>
              <w:jc w:val="right"/>
              <w:spacing w:after="0"/>
              <w:rPr>
                <w:sz w:val="20"/>
                <w:szCs w:val="20"/>
                <w:color w:val="auto"/>
              </w:rPr>
            </w:pPr>
            <w:r>
              <w:rPr>
                <w:rFonts w:ascii="Calibri" w:cs="Calibri" w:eastAsia="Calibri" w:hAnsi="Calibri"/>
                <w:sz w:val="20"/>
                <w:szCs w:val="20"/>
                <w:color w:val="231F20"/>
              </w:rPr>
              <w:t>$</w:t>
            </w:r>
          </w:p>
        </w:tc>
        <w:tc>
          <w:tcPr>
            <w:tcW w:w="920" w:type="dxa"/>
            <w:vAlign w:val="bottom"/>
            <w:shd w:val="clear" w:color="auto" w:fill="E6E7E8"/>
          </w:tcPr>
          <w:p>
            <w:pPr>
              <w:jc w:val="right"/>
              <w:ind w:right="63"/>
              <w:spacing w:after="0"/>
              <w:rPr>
                <w:sz w:val="20"/>
                <w:szCs w:val="20"/>
                <w:color w:val="auto"/>
              </w:rPr>
            </w:pPr>
            <w:r>
              <w:rPr>
                <w:rFonts w:ascii="Calibri" w:cs="Calibri" w:eastAsia="Calibri" w:hAnsi="Calibri"/>
                <w:sz w:val="20"/>
                <w:szCs w:val="20"/>
                <w:color w:val="231F20"/>
              </w:rPr>
              <w:t>16,222</w:t>
            </w:r>
          </w:p>
        </w:tc>
        <w:tc>
          <w:tcPr>
            <w:tcW w:w="280" w:type="dxa"/>
            <w:vAlign w:val="bottom"/>
            <w:shd w:val="clear" w:color="auto" w:fill="E6E7E8"/>
          </w:tcPr>
          <w:p>
            <w:pPr>
              <w:ind w:left="200"/>
              <w:spacing w:after="0"/>
              <w:rPr>
                <w:sz w:val="20"/>
                <w:szCs w:val="20"/>
                <w:color w:val="auto"/>
              </w:rPr>
            </w:pPr>
            <w:r>
              <w:rPr>
                <w:rFonts w:ascii="Calibri" w:cs="Calibri" w:eastAsia="Calibri" w:hAnsi="Calibri"/>
                <w:sz w:val="16"/>
                <w:szCs w:val="16"/>
                <w:color w:val="231F20"/>
                <w:w w:val="73"/>
              </w:rPr>
              <w:t>$</w:t>
            </w:r>
          </w:p>
        </w:tc>
        <w:tc>
          <w:tcPr>
            <w:tcW w:w="1100" w:type="dxa"/>
            <w:vAlign w:val="bottom"/>
            <w:shd w:val="clear" w:color="auto" w:fill="E6E7E8"/>
          </w:tcPr>
          <w:p>
            <w:pPr>
              <w:jc w:val="right"/>
              <w:ind w:right="103"/>
              <w:spacing w:after="0"/>
              <w:rPr>
                <w:sz w:val="20"/>
                <w:szCs w:val="20"/>
                <w:color w:val="auto"/>
              </w:rPr>
            </w:pPr>
            <w:r>
              <w:rPr>
                <w:rFonts w:ascii="Calibri" w:cs="Calibri" w:eastAsia="Calibri" w:hAnsi="Calibri"/>
                <w:sz w:val="20"/>
                <w:szCs w:val="20"/>
                <w:color w:val="231F20"/>
              </w:rPr>
              <w:t>48,666</w:t>
            </w:r>
          </w:p>
        </w:tc>
        <w:tc>
          <w:tcPr>
            <w:tcW w:w="260" w:type="dxa"/>
            <w:vAlign w:val="bottom"/>
            <w:shd w:val="clear" w:color="auto" w:fill="E6E7E8"/>
          </w:tcPr>
          <w:p>
            <w:pPr>
              <w:jc w:val="right"/>
              <w:spacing w:after="0"/>
              <w:rPr>
                <w:sz w:val="20"/>
                <w:szCs w:val="20"/>
                <w:color w:val="auto"/>
              </w:rPr>
            </w:pPr>
            <w:r>
              <w:rPr>
                <w:rFonts w:ascii="Calibri" w:cs="Calibri" w:eastAsia="Calibri" w:hAnsi="Calibri"/>
                <w:sz w:val="20"/>
                <w:szCs w:val="20"/>
                <w:color w:val="231F20"/>
              </w:rPr>
              <w:t>$</w:t>
            </w:r>
          </w:p>
        </w:tc>
        <w:tc>
          <w:tcPr>
            <w:tcW w:w="1060" w:type="dxa"/>
            <w:vAlign w:val="bottom"/>
            <w:shd w:val="clear" w:color="auto" w:fill="E6E7E8"/>
          </w:tcPr>
          <w:p>
            <w:pPr>
              <w:jc w:val="right"/>
              <w:ind w:right="83"/>
              <w:spacing w:after="0"/>
              <w:rPr>
                <w:sz w:val="20"/>
                <w:szCs w:val="20"/>
                <w:color w:val="auto"/>
              </w:rPr>
            </w:pPr>
            <w:r>
              <w:rPr>
                <w:rFonts w:ascii="Calibri" w:cs="Calibri" w:eastAsia="Calibri" w:hAnsi="Calibri"/>
                <w:sz w:val="20"/>
                <w:szCs w:val="20"/>
                <w:color w:val="231F20"/>
              </w:rPr>
              <w:t>97,332</w:t>
            </w:r>
          </w:p>
        </w:tc>
        <w:tc>
          <w:tcPr>
            <w:tcW w:w="120" w:type="dxa"/>
            <w:vAlign w:val="bottom"/>
            <w:shd w:val="clear" w:color="auto" w:fill="E6E7E8"/>
          </w:tcPr>
          <w:p>
            <w:pPr>
              <w:ind w:left="20"/>
              <w:spacing w:after="0"/>
              <w:rPr>
                <w:sz w:val="20"/>
                <w:szCs w:val="20"/>
                <w:color w:val="auto"/>
              </w:rPr>
            </w:pPr>
            <w:r>
              <w:rPr>
                <w:rFonts w:ascii="Calibri" w:cs="Calibri" w:eastAsia="Calibri" w:hAnsi="Calibri"/>
                <w:sz w:val="20"/>
                <w:szCs w:val="20"/>
                <w:color w:val="231F20"/>
                <w:w w:val="78"/>
              </w:rPr>
              <w:t>$</w:t>
            </w:r>
          </w:p>
        </w:tc>
        <w:tc>
          <w:tcPr>
            <w:tcW w:w="980" w:type="dxa"/>
            <w:vAlign w:val="bottom"/>
            <w:shd w:val="clear" w:color="auto" w:fill="E6E7E8"/>
          </w:tcPr>
          <w:p>
            <w:pPr>
              <w:jc w:val="right"/>
              <w:spacing w:after="0"/>
              <w:rPr>
                <w:sz w:val="20"/>
                <w:szCs w:val="20"/>
                <w:color w:val="auto"/>
              </w:rPr>
            </w:pPr>
            <w:r>
              <w:rPr>
                <w:rFonts w:ascii="Calibri" w:cs="Calibri" w:eastAsia="Calibri" w:hAnsi="Calibri"/>
                <w:sz w:val="20"/>
                <w:szCs w:val="20"/>
                <w:color w:val="231F20"/>
              </w:rPr>
              <w:t>-</w:t>
            </w:r>
          </w:p>
        </w:tc>
        <w:tc>
          <w:tcPr>
            <w:tcW w:w="200" w:type="dxa"/>
            <w:vAlign w:val="bottom"/>
            <w:shd w:val="clear" w:color="auto" w:fill="E6E7E8"/>
          </w:tcPr>
          <w:p>
            <w:pPr>
              <w:jc w:val="right"/>
              <w:spacing w:after="0"/>
              <w:rPr>
                <w:sz w:val="20"/>
                <w:szCs w:val="20"/>
                <w:color w:val="auto"/>
              </w:rPr>
            </w:pPr>
            <w:r>
              <w:rPr>
                <w:rFonts w:ascii="Calibri" w:cs="Calibri" w:eastAsia="Calibri" w:hAnsi="Calibri"/>
                <w:sz w:val="20"/>
                <w:szCs w:val="20"/>
                <w:color w:val="231F20"/>
              </w:rPr>
              <w:t>$</w:t>
            </w:r>
          </w:p>
        </w:tc>
        <w:tc>
          <w:tcPr>
            <w:tcW w:w="1000" w:type="dxa"/>
            <w:vAlign w:val="bottom"/>
            <w:shd w:val="clear" w:color="auto" w:fill="E6E7E8"/>
          </w:tcPr>
          <w:p>
            <w:pPr>
              <w:jc w:val="right"/>
              <w:ind w:right="23"/>
              <w:spacing w:after="0"/>
              <w:rPr>
                <w:sz w:val="20"/>
                <w:szCs w:val="20"/>
                <w:color w:val="auto"/>
              </w:rPr>
            </w:pPr>
            <w:r>
              <w:rPr>
                <w:rFonts w:ascii="Calibri" w:cs="Calibri" w:eastAsia="Calibri" w:hAnsi="Calibri"/>
                <w:sz w:val="20"/>
                <w:szCs w:val="20"/>
                <w:color w:val="231F20"/>
              </w:rPr>
              <w:t>48,666</w:t>
            </w:r>
          </w:p>
        </w:tc>
        <w:tc>
          <w:tcPr>
            <w:tcW w:w="0" w:type="dxa"/>
            <w:vAlign w:val="bottom"/>
          </w:tcPr>
          <w:p>
            <w:pPr>
              <w:spacing w:after="0"/>
              <w:rPr>
                <w:sz w:val="1"/>
                <w:szCs w:val="1"/>
                <w:color w:val="auto"/>
              </w:rPr>
            </w:pPr>
          </w:p>
        </w:tc>
      </w:tr>
      <w:tr>
        <w:trPr>
          <w:trHeight w:val="295"/>
        </w:trPr>
        <w:tc>
          <w:tcPr>
            <w:tcW w:w="9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920" w:type="dxa"/>
            <w:vAlign w:val="bottom"/>
          </w:tcPr>
          <w:p>
            <w:pPr>
              <w:spacing w:after="0" w:line="294" w:lineRule="exact"/>
              <w:rPr>
                <w:sz w:val="20"/>
                <w:szCs w:val="20"/>
                <w:color w:val="auto"/>
              </w:rPr>
            </w:pPr>
            <w:r>
              <w:rPr>
                <w:rFonts w:ascii="Calibri" w:cs="Calibri" w:eastAsia="Calibri" w:hAnsi="Calibri"/>
                <w:sz w:val="20"/>
                <w:szCs w:val="20"/>
                <w:color w:val="231F20"/>
              </w:rPr>
              <w:t>Accelerated Equity</w:t>
            </w:r>
            <w:r>
              <w:rPr>
                <w:rFonts w:ascii="Calibri" w:cs="Calibri" w:eastAsia="Calibri" w:hAnsi="Calibri"/>
                <w:sz w:val="25"/>
                <w:szCs w:val="25"/>
                <w:color w:val="231F20"/>
                <w:vertAlign w:val="superscript"/>
              </w:rPr>
              <w:t>(3)</w:t>
            </w:r>
          </w:p>
        </w:tc>
        <w:tc>
          <w:tcPr>
            <w:tcW w:w="260" w:type="dxa"/>
            <w:vAlign w:val="bottom"/>
          </w:tcPr>
          <w:p>
            <w:pPr>
              <w:jc w:val="right"/>
              <w:spacing w:after="0"/>
              <w:rPr>
                <w:sz w:val="20"/>
                <w:szCs w:val="20"/>
                <w:color w:val="auto"/>
              </w:rPr>
            </w:pPr>
            <w:r>
              <w:rPr>
                <w:rFonts w:ascii="Calibri" w:cs="Calibri" w:eastAsia="Calibri" w:hAnsi="Calibri"/>
                <w:sz w:val="20"/>
                <w:szCs w:val="20"/>
                <w:color w:val="231F20"/>
              </w:rPr>
              <w:t>$</w:t>
            </w:r>
          </w:p>
        </w:tc>
        <w:tc>
          <w:tcPr>
            <w:tcW w:w="920" w:type="dxa"/>
            <w:vAlign w:val="bottom"/>
          </w:tcPr>
          <w:p>
            <w:pPr>
              <w:jc w:val="right"/>
              <w:ind w:right="63"/>
              <w:spacing w:after="0"/>
              <w:rPr>
                <w:sz w:val="20"/>
                <w:szCs w:val="20"/>
                <w:color w:val="auto"/>
              </w:rPr>
            </w:pPr>
            <w:r>
              <w:rPr>
                <w:rFonts w:ascii="Calibri" w:cs="Calibri" w:eastAsia="Calibri" w:hAnsi="Calibri"/>
                <w:sz w:val="20"/>
                <w:szCs w:val="20"/>
                <w:color w:val="231F20"/>
              </w:rPr>
              <w:t>-</w:t>
            </w:r>
          </w:p>
        </w:tc>
        <w:tc>
          <w:tcPr>
            <w:tcW w:w="280" w:type="dxa"/>
            <w:vAlign w:val="bottom"/>
          </w:tcPr>
          <w:p>
            <w:pPr>
              <w:ind w:left="200"/>
              <w:spacing w:after="0"/>
              <w:rPr>
                <w:sz w:val="20"/>
                <w:szCs w:val="20"/>
                <w:color w:val="auto"/>
              </w:rPr>
            </w:pPr>
            <w:r>
              <w:rPr>
                <w:rFonts w:ascii="Calibri" w:cs="Calibri" w:eastAsia="Calibri" w:hAnsi="Calibri"/>
                <w:sz w:val="16"/>
                <w:szCs w:val="16"/>
                <w:color w:val="231F20"/>
                <w:w w:val="73"/>
              </w:rPr>
              <w:t>$</w:t>
            </w:r>
          </w:p>
        </w:tc>
        <w:tc>
          <w:tcPr>
            <w:tcW w:w="1100" w:type="dxa"/>
            <w:vAlign w:val="bottom"/>
          </w:tcPr>
          <w:p>
            <w:pPr>
              <w:jc w:val="right"/>
              <w:ind w:right="103"/>
              <w:spacing w:after="0"/>
              <w:rPr>
                <w:sz w:val="20"/>
                <w:szCs w:val="20"/>
                <w:color w:val="auto"/>
              </w:rPr>
            </w:pPr>
            <w:r>
              <w:rPr>
                <w:rFonts w:ascii="Calibri" w:cs="Calibri" w:eastAsia="Calibri" w:hAnsi="Calibri"/>
                <w:sz w:val="20"/>
                <w:szCs w:val="20"/>
                <w:color w:val="231F20"/>
              </w:rPr>
              <w:t>2,784,902</w:t>
            </w:r>
          </w:p>
        </w:tc>
        <w:tc>
          <w:tcPr>
            <w:tcW w:w="260" w:type="dxa"/>
            <w:vAlign w:val="bottom"/>
          </w:tcPr>
          <w:p>
            <w:pPr>
              <w:jc w:val="right"/>
              <w:spacing w:after="0"/>
              <w:rPr>
                <w:sz w:val="20"/>
                <w:szCs w:val="20"/>
                <w:color w:val="auto"/>
              </w:rPr>
            </w:pPr>
            <w:r>
              <w:rPr>
                <w:rFonts w:ascii="Calibri" w:cs="Calibri" w:eastAsia="Calibri" w:hAnsi="Calibri"/>
                <w:sz w:val="20"/>
                <w:szCs w:val="20"/>
                <w:color w:val="231F20"/>
              </w:rPr>
              <w:t>$</w:t>
            </w:r>
          </w:p>
        </w:tc>
        <w:tc>
          <w:tcPr>
            <w:tcW w:w="1060" w:type="dxa"/>
            <w:vAlign w:val="bottom"/>
          </w:tcPr>
          <w:p>
            <w:pPr>
              <w:jc w:val="right"/>
              <w:ind w:right="83"/>
              <w:spacing w:after="0"/>
              <w:rPr>
                <w:sz w:val="20"/>
                <w:szCs w:val="20"/>
                <w:color w:val="auto"/>
              </w:rPr>
            </w:pPr>
            <w:r>
              <w:rPr>
                <w:rFonts w:ascii="Calibri" w:cs="Calibri" w:eastAsia="Calibri" w:hAnsi="Calibri"/>
                <w:sz w:val="20"/>
                <w:szCs w:val="20"/>
                <w:color w:val="231F20"/>
              </w:rPr>
              <w:t>2,784,902</w:t>
            </w:r>
          </w:p>
        </w:tc>
        <w:tc>
          <w:tcPr>
            <w:tcW w:w="120" w:type="dxa"/>
            <w:vAlign w:val="bottom"/>
          </w:tcPr>
          <w:p>
            <w:pPr>
              <w:ind w:left="20"/>
              <w:spacing w:after="0"/>
              <w:rPr>
                <w:sz w:val="20"/>
                <w:szCs w:val="20"/>
                <w:color w:val="auto"/>
              </w:rPr>
            </w:pPr>
            <w:r>
              <w:rPr>
                <w:rFonts w:ascii="Calibri" w:cs="Calibri" w:eastAsia="Calibri" w:hAnsi="Calibri"/>
                <w:sz w:val="20"/>
                <w:szCs w:val="20"/>
                <w:color w:val="231F20"/>
                <w:w w:val="78"/>
              </w:rPr>
              <w:t>$</w:t>
            </w:r>
          </w:p>
        </w:tc>
        <w:tc>
          <w:tcPr>
            <w:tcW w:w="980" w:type="dxa"/>
            <w:vAlign w:val="bottom"/>
          </w:tcPr>
          <w:p>
            <w:pPr>
              <w:jc w:val="right"/>
              <w:spacing w:after="0"/>
              <w:rPr>
                <w:sz w:val="20"/>
                <w:szCs w:val="20"/>
                <w:color w:val="auto"/>
              </w:rPr>
            </w:pPr>
            <w:r>
              <w:rPr>
                <w:rFonts w:ascii="Calibri" w:cs="Calibri" w:eastAsia="Calibri" w:hAnsi="Calibri"/>
                <w:sz w:val="20"/>
                <w:szCs w:val="20"/>
                <w:color w:val="231F20"/>
              </w:rPr>
              <w:t>2,784,902</w:t>
            </w:r>
          </w:p>
        </w:tc>
        <w:tc>
          <w:tcPr>
            <w:tcW w:w="200" w:type="dxa"/>
            <w:vAlign w:val="bottom"/>
          </w:tcPr>
          <w:p>
            <w:pPr>
              <w:jc w:val="right"/>
              <w:spacing w:after="0"/>
              <w:rPr>
                <w:sz w:val="20"/>
                <w:szCs w:val="20"/>
                <w:color w:val="auto"/>
              </w:rPr>
            </w:pPr>
            <w:r>
              <w:rPr>
                <w:rFonts w:ascii="Calibri" w:cs="Calibri" w:eastAsia="Calibri" w:hAnsi="Calibri"/>
                <w:sz w:val="20"/>
                <w:szCs w:val="20"/>
                <w:color w:val="231F20"/>
              </w:rPr>
              <w:t>$</w:t>
            </w:r>
          </w:p>
        </w:tc>
        <w:tc>
          <w:tcPr>
            <w:tcW w:w="1000" w:type="dxa"/>
            <w:vAlign w:val="bottom"/>
          </w:tcPr>
          <w:p>
            <w:pPr>
              <w:jc w:val="right"/>
              <w:ind w:right="23"/>
              <w:spacing w:after="0"/>
              <w:rPr>
                <w:sz w:val="20"/>
                <w:szCs w:val="20"/>
                <w:color w:val="auto"/>
              </w:rPr>
            </w:pPr>
            <w:r>
              <w:rPr>
                <w:rFonts w:ascii="Calibri" w:cs="Calibri" w:eastAsia="Calibri" w:hAnsi="Calibri"/>
                <w:sz w:val="20"/>
                <w:szCs w:val="20"/>
                <w:color w:val="231F20"/>
              </w:rPr>
              <w:t>2,784,902</w:t>
            </w:r>
          </w:p>
        </w:tc>
        <w:tc>
          <w:tcPr>
            <w:tcW w:w="0" w:type="dxa"/>
            <w:vAlign w:val="bottom"/>
          </w:tcPr>
          <w:p>
            <w:pPr>
              <w:spacing w:after="0"/>
              <w:rPr>
                <w:sz w:val="1"/>
                <w:szCs w:val="1"/>
                <w:color w:val="auto"/>
              </w:rPr>
            </w:pPr>
          </w:p>
        </w:tc>
      </w:tr>
      <w:tr>
        <w:trPr>
          <w:trHeight w:val="295"/>
        </w:trPr>
        <w:tc>
          <w:tcPr>
            <w:tcW w:w="9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920" w:type="dxa"/>
            <w:vAlign w:val="bottom"/>
            <w:shd w:val="clear" w:color="auto" w:fill="E6E7E8"/>
          </w:tcPr>
          <w:p>
            <w:pPr>
              <w:spacing w:after="0" w:line="294" w:lineRule="exact"/>
              <w:rPr>
                <w:sz w:val="20"/>
                <w:szCs w:val="20"/>
                <w:color w:val="auto"/>
              </w:rPr>
            </w:pPr>
            <w:r>
              <w:rPr>
                <w:rFonts w:ascii="Calibri" w:cs="Calibri" w:eastAsia="Calibri" w:hAnsi="Calibri"/>
                <w:sz w:val="20"/>
                <w:szCs w:val="20"/>
                <w:color w:val="231F20"/>
              </w:rPr>
              <w:t>Other Benefits</w:t>
            </w:r>
            <w:r>
              <w:rPr>
                <w:rFonts w:ascii="Calibri" w:cs="Calibri" w:eastAsia="Calibri" w:hAnsi="Calibri"/>
                <w:sz w:val="25"/>
                <w:szCs w:val="25"/>
                <w:color w:val="231F20"/>
                <w:vertAlign w:val="superscript"/>
              </w:rPr>
              <w:t>(4)</w:t>
            </w:r>
          </w:p>
        </w:tc>
        <w:tc>
          <w:tcPr>
            <w:tcW w:w="260" w:type="dxa"/>
            <w:vAlign w:val="bottom"/>
            <w:shd w:val="clear" w:color="auto" w:fill="E6E7E8"/>
          </w:tcPr>
          <w:p>
            <w:pPr>
              <w:jc w:val="right"/>
              <w:spacing w:after="0"/>
              <w:rPr>
                <w:sz w:val="20"/>
                <w:szCs w:val="20"/>
                <w:color w:val="auto"/>
              </w:rPr>
            </w:pPr>
            <w:r>
              <w:rPr>
                <w:rFonts w:ascii="Calibri" w:cs="Calibri" w:eastAsia="Calibri" w:hAnsi="Calibri"/>
                <w:sz w:val="20"/>
                <w:szCs w:val="20"/>
                <w:color w:val="231F20"/>
              </w:rPr>
              <w:t>$</w:t>
            </w:r>
          </w:p>
        </w:tc>
        <w:tc>
          <w:tcPr>
            <w:tcW w:w="920" w:type="dxa"/>
            <w:vAlign w:val="bottom"/>
            <w:shd w:val="clear" w:color="auto" w:fill="E6E7E8"/>
          </w:tcPr>
          <w:p>
            <w:pPr>
              <w:jc w:val="right"/>
              <w:ind w:right="63"/>
              <w:spacing w:after="0"/>
              <w:rPr>
                <w:sz w:val="20"/>
                <w:szCs w:val="20"/>
                <w:color w:val="auto"/>
              </w:rPr>
            </w:pPr>
            <w:r>
              <w:rPr>
                <w:rFonts w:ascii="Calibri" w:cs="Calibri" w:eastAsia="Calibri" w:hAnsi="Calibri"/>
                <w:sz w:val="20"/>
                <w:szCs w:val="20"/>
                <w:color w:val="231F20"/>
              </w:rPr>
              <w:t>-</w:t>
            </w:r>
          </w:p>
        </w:tc>
        <w:tc>
          <w:tcPr>
            <w:tcW w:w="280" w:type="dxa"/>
            <w:vAlign w:val="bottom"/>
            <w:shd w:val="clear" w:color="auto" w:fill="E6E7E8"/>
          </w:tcPr>
          <w:p>
            <w:pPr>
              <w:ind w:left="200"/>
              <w:spacing w:after="0"/>
              <w:rPr>
                <w:sz w:val="20"/>
                <w:szCs w:val="20"/>
                <w:color w:val="auto"/>
              </w:rPr>
            </w:pPr>
            <w:r>
              <w:rPr>
                <w:rFonts w:ascii="Calibri" w:cs="Calibri" w:eastAsia="Calibri" w:hAnsi="Calibri"/>
                <w:sz w:val="16"/>
                <w:szCs w:val="16"/>
                <w:color w:val="231F20"/>
                <w:w w:val="73"/>
              </w:rPr>
              <w:t>$</w:t>
            </w:r>
          </w:p>
        </w:tc>
        <w:tc>
          <w:tcPr>
            <w:tcW w:w="1100" w:type="dxa"/>
            <w:vAlign w:val="bottom"/>
            <w:shd w:val="clear" w:color="auto" w:fill="E6E7E8"/>
          </w:tcPr>
          <w:p>
            <w:pPr>
              <w:jc w:val="right"/>
              <w:ind w:right="103"/>
              <w:spacing w:after="0"/>
              <w:rPr>
                <w:sz w:val="20"/>
                <w:szCs w:val="20"/>
                <w:color w:val="auto"/>
              </w:rPr>
            </w:pPr>
            <w:r>
              <w:rPr>
                <w:rFonts w:ascii="Calibri" w:cs="Calibri" w:eastAsia="Calibri" w:hAnsi="Calibri"/>
                <w:sz w:val="20"/>
                <w:szCs w:val="20"/>
                <w:color w:val="231F20"/>
              </w:rPr>
              <w:t>60,000</w:t>
            </w:r>
          </w:p>
        </w:tc>
        <w:tc>
          <w:tcPr>
            <w:tcW w:w="260" w:type="dxa"/>
            <w:vAlign w:val="bottom"/>
            <w:shd w:val="clear" w:color="auto" w:fill="E6E7E8"/>
          </w:tcPr>
          <w:p>
            <w:pPr>
              <w:jc w:val="right"/>
              <w:spacing w:after="0"/>
              <w:rPr>
                <w:sz w:val="20"/>
                <w:szCs w:val="20"/>
                <w:color w:val="auto"/>
              </w:rPr>
            </w:pPr>
            <w:r>
              <w:rPr>
                <w:rFonts w:ascii="Calibri" w:cs="Calibri" w:eastAsia="Calibri" w:hAnsi="Calibri"/>
                <w:sz w:val="20"/>
                <w:szCs w:val="20"/>
                <w:color w:val="231F20"/>
              </w:rPr>
              <w:t>$</w:t>
            </w:r>
          </w:p>
        </w:tc>
        <w:tc>
          <w:tcPr>
            <w:tcW w:w="1060" w:type="dxa"/>
            <w:vAlign w:val="bottom"/>
            <w:shd w:val="clear" w:color="auto" w:fill="E6E7E8"/>
          </w:tcPr>
          <w:p>
            <w:pPr>
              <w:jc w:val="right"/>
              <w:ind w:right="83"/>
              <w:spacing w:after="0"/>
              <w:rPr>
                <w:sz w:val="20"/>
                <w:szCs w:val="20"/>
                <w:color w:val="auto"/>
              </w:rPr>
            </w:pPr>
            <w:r>
              <w:rPr>
                <w:rFonts w:ascii="Calibri" w:cs="Calibri" w:eastAsia="Calibri" w:hAnsi="Calibri"/>
                <w:sz w:val="20"/>
                <w:szCs w:val="20"/>
                <w:color w:val="231F20"/>
              </w:rPr>
              <w:t>90,000</w:t>
            </w:r>
          </w:p>
        </w:tc>
        <w:tc>
          <w:tcPr>
            <w:tcW w:w="120" w:type="dxa"/>
            <w:vAlign w:val="bottom"/>
            <w:shd w:val="clear" w:color="auto" w:fill="E6E7E8"/>
          </w:tcPr>
          <w:p>
            <w:pPr>
              <w:ind w:left="20"/>
              <w:spacing w:after="0"/>
              <w:rPr>
                <w:sz w:val="20"/>
                <w:szCs w:val="20"/>
                <w:color w:val="auto"/>
              </w:rPr>
            </w:pPr>
            <w:r>
              <w:rPr>
                <w:rFonts w:ascii="Calibri" w:cs="Calibri" w:eastAsia="Calibri" w:hAnsi="Calibri"/>
                <w:sz w:val="20"/>
                <w:szCs w:val="20"/>
                <w:color w:val="231F20"/>
                <w:w w:val="78"/>
              </w:rPr>
              <w:t>$</w:t>
            </w:r>
          </w:p>
        </w:tc>
        <w:tc>
          <w:tcPr>
            <w:tcW w:w="980" w:type="dxa"/>
            <w:vAlign w:val="bottom"/>
            <w:shd w:val="clear" w:color="auto" w:fill="E6E7E8"/>
          </w:tcPr>
          <w:p>
            <w:pPr>
              <w:jc w:val="right"/>
              <w:spacing w:after="0"/>
              <w:rPr>
                <w:sz w:val="20"/>
                <w:szCs w:val="20"/>
                <w:color w:val="auto"/>
              </w:rPr>
            </w:pPr>
            <w:r>
              <w:rPr>
                <w:rFonts w:ascii="Calibri" w:cs="Calibri" w:eastAsia="Calibri" w:hAnsi="Calibri"/>
                <w:sz w:val="20"/>
                <w:szCs w:val="20"/>
                <w:color w:val="231F20"/>
              </w:rPr>
              <w:t>-</w:t>
            </w:r>
          </w:p>
        </w:tc>
        <w:tc>
          <w:tcPr>
            <w:tcW w:w="200" w:type="dxa"/>
            <w:vAlign w:val="bottom"/>
            <w:shd w:val="clear" w:color="auto" w:fill="E6E7E8"/>
          </w:tcPr>
          <w:p>
            <w:pPr>
              <w:jc w:val="right"/>
              <w:spacing w:after="0"/>
              <w:rPr>
                <w:sz w:val="20"/>
                <w:szCs w:val="20"/>
                <w:color w:val="auto"/>
              </w:rPr>
            </w:pPr>
            <w:r>
              <w:rPr>
                <w:rFonts w:ascii="Calibri" w:cs="Calibri" w:eastAsia="Calibri" w:hAnsi="Calibri"/>
                <w:sz w:val="20"/>
                <w:szCs w:val="20"/>
                <w:color w:val="231F20"/>
              </w:rPr>
              <w:t>$</w:t>
            </w:r>
          </w:p>
        </w:tc>
        <w:tc>
          <w:tcPr>
            <w:tcW w:w="1000" w:type="dxa"/>
            <w:vAlign w:val="bottom"/>
            <w:shd w:val="clear" w:color="auto" w:fill="E6E7E8"/>
          </w:tcPr>
          <w:p>
            <w:pPr>
              <w:jc w:val="right"/>
              <w:ind w:right="23"/>
              <w:spacing w:after="0"/>
              <w:rPr>
                <w:sz w:val="20"/>
                <w:szCs w:val="20"/>
                <w:color w:val="auto"/>
              </w:rPr>
            </w:pPr>
            <w:r>
              <w:rPr>
                <w:rFonts w:ascii="Calibri" w:cs="Calibri" w:eastAsia="Calibri" w:hAnsi="Calibri"/>
                <w:sz w:val="20"/>
                <w:szCs w:val="20"/>
                <w:color w:val="231F20"/>
              </w:rPr>
              <w:t>-</w:t>
            </w:r>
          </w:p>
        </w:tc>
        <w:tc>
          <w:tcPr>
            <w:tcW w:w="0" w:type="dxa"/>
            <w:vAlign w:val="bottom"/>
          </w:tcPr>
          <w:p>
            <w:pPr>
              <w:spacing w:after="0"/>
              <w:rPr>
                <w:sz w:val="1"/>
                <w:szCs w:val="1"/>
                <w:color w:val="auto"/>
              </w:rPr>
            </w:pPr>
          </w:p>
        </w:tc>
      </w:tr>
      <w:tr>
        <w:trPr>
          <w:trHeight w:val="271"/>
        </w:trPr>
        <w:tc>
          <w:tcPr>
            <w:tcW w:w="9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920" w:type="dxa"/>
            <w:vAlign w:val="bottom"/>
          </w:tcPr>
          <w:p>
            <w:pPr>
              <w:spacing w:after="0"/>
              <w:rPr>
                <w:sz w:val="20"/>
                <w:szCs w:val="20"/>
                <w:color w:val="auto"/>
              </w:rPr>
            </w:pPr>
            <w:r>
              <w:rPr>
                <w:rFonts w:ascii="Calibri" w:cs="Calibri" w:eastAsia="Calibri" w:hAnsi="Calibri"/>
                <w:sz w:val="20"/>
                <w:szCs w:val="20"/>
                <w:color w:val="231F20"/>
              </w:rPr>
              <w:t>Excise Tax Gross-Up</w:t>
            </w:r>
          </w:p>
        </w:tc>
        <w:tc>
          <w:tcPr>
            <w:tcW w:w="260" w:type="dxa"/>
            <w:vAlign w:val="bottom"/>
          </w:tcPr>
          <w:p>
            <w:pPr>
              <w:spacing w:after="0"/>
              <w:rPr>
                <w:sz w:val="23"/>
                <w:szCs w:val="23"/>
                <w:color w:val="auto"/>
              </w:rPr>
            </w:pPr>
          </w:p>
        </w:tc>
        <w:tc>
          <w:tcPr>
            <w:tcW w:w="920" w:type="dxa"/>
            <w:vAlign w:val="bottom"/>
          </w:tcPr>
          <w:p>
            <w:pPr>
              <w:jc w:val="right"/>
              <w:ind w:right="63"/>
              <w:spacing w:after="0"/>
              <w:rPr>
                <w:sz w:val="20"/>
                <w:szCs w:val="20"/>
                <w:color w:val="auto"/>
              </w:rPr>
            </w:pPr>
            <w:r>
              <w:rPr>
                <w:rFonts w:ascii="Calibri" w:cs="Calibri" w:eastAsia="Calibri" w:hAnsi="Calibri"/>
                <w:sz w:val="20"/>
                <w:szCs w:val="20"/>
                <w:color w:val="231F20"/>
              </w:rPr>
              <w:t>N/A</w:t>
            </w:r>
          </w:p>
        </w:tc>
        <w:tc>
          <w:tcPr>
            <w:tcW w:w="280" w:type="dxa"/>
            <w:vAlign w:val="bottom"/>
          </w:tcPr>
          <w:p>
            <w:pPr>
              <w:spacing w:after="0"/>
              <w:rPr>
                <w:sz w:val="23"/>
                <w:szCs w:val="23"/>
                <w:color w:val="auto"/>
              </w:rPr>
            </w:pPr>
          </w:p>
        </w:tc>
        <w:tc>
          <w:tcPr>
            <w:tcW w:w="1100" w:type="dxa"/>
            <w:vAlign w:val="bottom"/>
          </w:tcPr>
          <w:p>
            <w:pPr>
              <w:jc w:val="right"/>
              <w:ind w:right="103"/>
              <w:spacing w:after="0"/>
              <w:rPr>
                <w:sz w:val="20"/>
                <w:szCs w:val="20"/>
                <w:color w:val="auto"/>
              </w:rPr>
            </w:pPr>
            <w:r>
              <w:rPr>
                <w:rFonts w:ascii="Calibri" w:cs="Calibri" w:eastAsia="Calibri" w:hAnsi="Calibri"/>
                <w:sz w:val="20"/>
                <w:szCs w:val="20"/>
                <w:color w:val="231F20"/>
              </w:rPr>
              <w:t>N/A</w:t>
            </w:r>
          </w:p>
        </w:tc>
        <w:tc>
          <w:tcPr>
            <w:tcW w:w="260" w:type="dxa"/>
            <w:vAlign w:val="bottom"/>
          </w:tcPr>
          <w:p>
            <w:pPr>
              <w:spacing w:after="0"/>
              <w:rPr>
                <w:sz w:val="23"/>
                <w:szCs w:val="23"/>
                <w:color w:val="auto"/>
              </w:rPr>
            </w:pPr>
          </w:p>
        </w:tc>
        <w:tc>
          <w:tcPr>
            <w:tcW w:w="1060" w:type="dxa"/>
            <w:vAlign w:val="bottom"/>
          </w:tcPr>
          <w:p>
            <w:pPr>
              <w:jc w:val="right"/>
              <w:ind w:right="83"/>
              <w:spacing w:after="0"/>
              <w:rPr>
                <w:sz w:val="20"/>
                <w:szCs w:val="20"/>
                <w:color w:val="auto"/>
              </w:rPr>
            </w:pPr>
            <w:r>
              <w:rPr>
                <w:rFonts w:ascii="Calibri" w:cs="Calibri" w:eastAsia="Calibri" w:hAnsi="Calibri"/>
                <w:sz w:val="20"/>
                <w:szCs w:val="20"/>
                <w:color w:val="231F20"/>
              </w:rPr>
              <w:t>N/A</w:t>
            </w:r>
          </w:p>
        </w:tc>
        <w:tc>
          <w:tcPr>
            <w:tcW w:w="1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Calibri" w:cs="Calibri" w:eastAsia="Calibri" w:hAnsi="Calibri"/>
                <w:sz w:val="20"/>
                <w:szCs w:val="20"/>
                <w:color w:val="231F20"/>
              </w:rPr>
              <w:t>N/A</w:t>
            </w:r>
          </w:p>
        </w:tc>
        <w:tc>
          <w:tcPr>
            <w:tcW w:w="20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Calibri" w:cs="Calibri" w:eastAsia="Calibri" w:hAnsi="Calibri"/>
                <w:sz w:val="20"/>
                <w:szCs w:val="20"/>
                <w:color w:val="231F20"/>
              </w:rPr>
              <w:t>N/A</w:t>
            </w:r>
          </w:p>
        </w:tc>
        <w:tc>
          <w:tcPr>
            <w:tcW w:w="0" w:type="dxa"/>
            <w:vAlign w:val="bottom"/>
          </w:tcPr>
          <w:p>
            <w:pPr>
              <w:spacing w:after="0"/>
              <w:rPr>
                <w:sz w:val="1"/>
                <w:szCs w:val="1"/>
                <w:color w:val="auto"/>
              </w:rPr>
            </w:pPr>
          </w:p>
        </w:tc>
      </w:tr>
      <w:tr>
        <w:trPr>
          <w:trHeight w:val="24"/>
        </w:trPr>
        <w:tc>
          <w:tcPr>
            <w:tcW w:w="9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1980" w:type="dxa"/>
            <w:vAlign w:val="bottom"/>
            <w:tcBorders>
              <w:bottom w:val="single" w:sz="8" w:color="EF3E2A"/>
            </w:tcBorders>
            <w:gridSpan w:val="2"/>
            <w:shd w:val="clear" w:color="auto" w:fill="EF3E2A"/>
          </w:tcPr>
          <w:p>
            <w:pPr>
              <w:spacing w:after="0"/>
              <w:rPr>
                <w:sz w:val="20"/>
                <w:szCs w:val="20"/>
                <w:color w:val="auto"/>
              </w:rPr>
            </w:pPr>
            <w:r>
              <w:rPr>
                <w:rFonts w:ascii="Calibri" w:cs="Calibri" w:eastAsia="Calibri" w:hAnsi="Calibri"/>
                <w:sz w:val="20"/>
                <w:szCs w:val="20"/>
                <w:b w:val="1"/>
                <w:bCs w:val="1"/>
                <w:color w:val="FFFFFF"/>
              </w:rPr>
              <w:t>Total</w:t>
            </w:r>
          </w:p>
        </w:tc>
        <w:tc>
          <w:tcPr>
            <w:tcW w:w="1920" w:type="dxa"/>
            <w:vAlign w:val="bottom"/>
            <w:tcBorders>
              <w:bottom w:val="single" w:sz="8" w:color="EF3E2A"/>
            </w:tcBorders>
            <w:shd w:val="clear" w:color="auto" w:fill="EF3E2A"/>
          </w:tcPr>
          <w:p>
            <w:pPr>
              <w:spacing w:after="0"/>
              <w:rPr>
                <w:sz w:val="23"/>
                <w:szCs w:val="23"/>
                <w:color w:val="auto"/>
              </w:rPr>
            </w:pPr>
          </w:p>
        </w:tc>
        <w:tc>
          <w:tcPr>
            <w:tcW w:w="260" w:type="dxa"/>
            <w:vAlign w:val="bottom"/>
            <w:tcBorders>
              <w:bottom w:val="single" w:sz="8" w:color="EF3E2A"/>
            </w:tcBorders>
            <w:shd w:val="clear" w:color="auto" w:fill="EF3E2A"/>
          </w:tcPr>
          <w:p>
            <w:pPr>
              <w:jc w:val="right"/>
              <w:spacing w:after="0"/>
              <w:rPr>
                <w:sz w:val="20"/>
                <w:szCs w:val="20"/>
                <w:color w:val="auto"/>
              </w:rPr>
            </w:pPr>
            <w:r>
              <w:rPr>
                <w:rFonts w:ascii="Calibri" w:cs="Calibri" w:eastAsia="Calibri" w:hAnsi="Calibri"/>
                <w:sz w:val="20"/>
                <w:szCs w:val="20"/>
                <w:b w:val="1"/>
                <w:bCs w:val="1"/>
                <w:color w:val="FFFFFF"/>
              </w:rPr>
              <w:t>$</w:t>
            </w:r>
          </w:p>
        </w:tc>
        <w:tc>
          <w:tcPr>
            <w:tcW w:w="920" w:type="dxa"/>
            <w:vAlign w:val="bottom"/>
            <w:tcBorders>
              <w:bottom w:val="single" w:sz="8" w:color="EF3E2A"/>
            </w:tcBorders>
            <w:shd w:val="clear" w:color="auto" w:fill="EF3E2A"/>
          </w:tcPr>
          <w:p>
            <w:pPr>
              <w:jc w:val="right"/>
              <w:ind w:right="63"/>
              <w:spacing w:after="0"/>
              <w:rPr>
                <w:sz w:val="20"/>
                <w:szCs w:val="20"/>
                <w:color w:val="auto"/>
              </w:rPr>
            </w:pPr>
            <w:r>
              <w:rPr>
                <w:rFonts w:ascii="Calibri" w:cs="Calibri" w:eastAsia="Calibri" w:hAnsi="Calibri"/>
                <w:sz w:val="20"/>
                <w:szCs w:val="20"/>
                <w:b w:val="1"/>
                <w:bCs w:val="1"/>
                <w:color w:val="FFFFFF"/>
              </w:rPr>
              <w:t>232,889</w:t>
            </w:r>
          </w:p>
        </w:tc>
        <w:tc>
          <w:tcPr>
            <w:tcW w:w="280" w:type="dxa"/>
            <w:vAlign w:val="bottom"/>
            <w:tcBorders>
              <w:bottom w:val="single" w:sz="8" w:color="EF3E2A"/>
            </w:tcBorders>
            <w:shd w:val="clear" w:color="auto" w:fill="EF3E2A"/>
          </w:tcPr>
          <w:p>
            <w:pPr>
              <w:ind w:left="200"/>
              <w:spacing w:after="0"/>
              <w:rPr>
                <w:sz w:val="20"/>
                <w:szCs w:val="20"/>
                <w:color w:val="auto"/>
              </w:rPr>
            </w:pPr>
            <w:r>
              <w:rPr>
                <w:rFonts w:ascii="Calibri" w:cs="Calibri" w:eastAsia="Calibri" w:hAnsi="Calibri"/>
                <w:sz w:val="16"/>
                <w:szCs w:val="16"/>
                <w:b w:val="1"/>
                <w:bCs w:val="1"/>
                <w:color w:val="FFFFFF"/>
                <w:w w:val="73"/>
              </w:rPr>
              <w:t>$</w:t>
            </w:r>
          </w:p>
        </w:tc>
        <w:tc>
          <w:tcPr>
            <w:tcW w:w="1100" w:type="dxa"/>
            <w:vAlign w:val="bottom"/>
            <w:tcBorders>
              <w:bottom w:val="single" w:sz="8" w:color="EF3E2A"/>
            </w:tcBorders>
            <w:shd w:val="clear" w:color="auto" w:fill="EF3E2A"/>
          </w:tcPr>
          <w:p>
            <w:pPr>
              <w:jc w:val="right"/>
              <w:ind w:right="103"/>
              <w:spacing w:after="0"/>
              <w:rPr>
                <w:sz w:val="20"/>
                <w:szCs w:val="20"/>
                <w:color w:val="auto"/>
              </w:rPr>
            </w:pPr>
            <w:r>
              <w:rPr>
                <w:rFonts w:ascii="Calibri" w:cs="Calibri" w:eastAsia="Calibri" w:hAnsi="Calibri"/>
                <w:sz w:val="20"/>
                <w:szCs w:val="20"/>
                <w:b w:val="1"/>
                <w:bCs w:val="1"/>
                <w:color w:val="FFFFFF"/>
              </w:rPr>
              <w:t>4,262,319</w:t>
            </w:r>
          </w:p>
        </w:tc>
        <w:tc>
          <w:tcPr>
            <w:tcW w:w="260" w:type="dxa"/>
            <w:vAlign w:val="bottom"/>
            <w:tcBorders>
              <w:bottom w:val="single" w:sz="8" w:color="EF3E2A"/>
            </w:tcBorders>
            <w:shd w:val="clear" w:color="auto" w:fill="EF3E2A"/>
          </w:tcPr>
          <w:p>
            <w:pPr>
              <w:jc w:val="right"/>
              <w:spacing w:after="0"/>
              <w:rPr>
                <w:sz w:val="20"/>
                <w:szCs w:val="20"/>
                <w:color w:val="auto"/>
              </w:rPr>
            </w:pPr>
            <w:r>
              <w:rPr>
                <w:rFonts w:ascii="Calibri" w:cs="Calibri" w:eastAsia="Calibri" w:hAnsi="Calibri"/>
                <w:sz w:val="20"/>
                <w:szCs w:val="20"/>
                <w:b w:val="1"/>
                <w:bCs w:val="1"/>
                <w:color w:val="FFFFFF"/>
              </w:rPr>
              <w:t>$</w:t>
            </w:r>
          </w:p>
        </w:tc>
        <w:tc>
          <w:tcPr>
            <w:tcW w:w="1060" w:type="dxa"/>
            <w:vAlign w:val="bottom"/>
            <w:tcBorders>
              <w:bottom w:val="single" w:sz="8" w:color="EF3E2A"/>
            </w:tcBorders>
            <w:shd w:val="clear" w:color="auto" w:fill="EF3E2A"/>
          </w:tcPr>
          <w:p>
            <w:pPr>
              <w:jc w:val="right"/>
              <w:ind w:right="83"/>
              <w:spacing w:after="0"/>
              <w:rPr>
                <w:sz w:val="20"/>
                <w:szCs w:val="20"/>
                <w:color w:val="auto"/>
              </w:rPr>
            </w:pPr>
            <w:r>
              <w:rPr>
                <w:rFonts w:ascii="Calibri" w:cs="Calibri" w:eastAsia="Calibri" w:hAnsi="Calibri"/>
                <w:sz w:val="20"/>
                <w:szCs w:val="20"/>
                <w:b w:val="1"/>
                <w:bCs w:val="1"/>
                <w:color w:val="FFFFFF"/>
              </w:rPr>
              <w:t>5,709,735</w:t>
            </w:r>
          </w:p>
        </w:tc>
        <w:tc>
          <w:tcPr>
            <w:tcW w:w="120" w:type="dxa"/>
            <w:vAlign w:val="bottom"/>
            <w:tcBorders>
              <w:bottom w:val="single" w:sz="8" w:color="EF3E2A"/>
            </w:tcBorders>
            <w:shd w:val="clear" w:color="auto" w:fill="EF3E2A"/>
          </w:tcPr>
          <w:p>
            <w:pPr>
              <w:ind w:left="20"/>
              <w:spacing w:after="0"/>
              <w:rPr>
                <w:sz w:val="20"/>
                <w:szCs w:val="20"/>
                <w:color w:val="auto"/>
              </w:rPr>
            </w:pPr>
            <w:r>
              <w:rPr>
                <w:rFonts w:ascii="Calibri" w:cs="Calibri" w:eastAsia="Calibri" w:hAnsi="Calibri"/>
                <w:sz w:val="20"/>
                <w:szCs w:val="20"/>
                <w:b w:val="1"/>
                <w:bCs w:val="1"/>
                <w:color w:val="FFFFFF"/>
                <w:w w:val="78"/>
              </w:rPr>
              <w:t>$</w:t>
            </w:r>
          </w:p>
        </w:tc>
        <w:tc>
          <w:tcPr>
            <w:tcW w:w="980" w:type="dxa"/>
            <w:vAlign w:val="bottom"/>
            <w:tcBorders>
              <w:bottom w:val="single" w:sz="8" w:color="EF3E2A"/>
            </w:tcBorders>
            <w:shd w:val="clear" w:color="auto" w:fill="EF3E2A"/>
          </w:tcPr>
          <w:p>
            <w:pPr>
              <w:jc w:val="right"/>
              <w:spacing w:after="0"/>
              <w:rPr>
                <w:sz w:val="20"/>
                <w:szCs w:val="20"/>
                <w:color w:val="auto"/>
              </w:rPr>
            </w:pPr>
            <w:r>
              <w:rPr>
                <w:rFonts w:ascii="Calibri" w:cs="Calibri" w:eastAsia="Calibri" w:hAnsi="Calibri"/>
                <w:sz w:val="20"/>
                <w:szCs w:val="20"/>
                <w:b w:val="1"/>
                <w:bCs w:val="1"/>
                <w:color w:val="FFFFFF"/>
              </w:rPr>
              <w:t>2,784,902</w:t>
            </w:r>
          </w:p>
        </w:tc>
        <w:tc>
          <w:tcPr>
            <w:tcW w:w="200" w:type="dxa"/>
            <w:vAlign w:val="bottom"/>
            <w:tcBorders>
              <w:bottom w:val="single" w:sz="8" w:color="EF3E2A"/>
            </w:tcBorders>
            <w:shd w:val="clear" w:color="auto" w:fill="EF3E2A"/>
          </w:tcPr>
          <w:p>
            <w:pPr>
              <w:jc w:val="right"/>
              <w:spacing w:after="0"/>
              <w:rPr>
                <w:sz w:val="20"/>
                <w:szCs w:val="20"/>
                <w:color w:val="auto"/>
              </w:rPr>
            </w:pPr>
            <w:r>
              <w:rPr>
                <w:rFonts w:ascii="Calibri" w:cs="Calibri" w:eastAsia="Calibri" w:hAnsi="Calibri"/>
                <w:sz w:val="20"/>
                <w:szCs w:val="20"/>
                <w:b w:val="1"/>
                <w:bCs w:val="1"/>
                <w:color w:val="FFFFFF"/>
              </w:rPr>
              <w:t>$</w:t>
            </w:r>
          </w:p>
        </w:tc>
        <w:tc>
          <w:tcPr>
            <w:tcW w:w="1000" w:type="dxa"/>
            <w:vAlign w:val="bottom"/>
            <w:tcBorders>
              <w:bottom w:val="single" w:sz="8" w:color="EF3E2A"/>
            </w:tcBorders>
            <w:shd w:val="clear" w:color="auto" w:fill="EF3E2A"/>
          </w:tcPr>
          <w:p>
            <w:pPr>
              <w:jc w:val="right"/>
              <w:ind w:right="23"/>
              <w:spacing w:after="0"/>
              <w:rPr>
                <w:sz w:val="20"/>
                <w:szCs w:val="20"/>
                <w:color w:val="auto"/>
              </w:rPr>
            </w:pPr>
            <w:r>
              <w:rPr>
                <w:rFonts w:ascii="Calibri" w:cs="Calibri" w:eastAsia="Calibri" w:hAnsi="Calibri"/>
                <w:sz w:val="20"/>
                <w:szCs w:val="20"/>
                <w:b w:val="1"/>
                <w:bCs w:val="1"/>
                <w:color w:val="FFFFFF"/>
              </w:rPr>
              <w:t>3,612,380</w:t>
            </w:r>
          </w:p>
        </w:tc>
        <w:tc>
          <w:tcPr>
            <w:tcW w:w="0" w:type="dxa"/>
            <w:vAlign w:val="bottom"/>
          </w:tcPr>
          <w:p>
            <w:pPr>
              <w:spacing w:after="0"/>
              <w:rPr>
                <w:sz w:val="1"/>
                <w:szCs w:val="1"/>
                <w:color w:val="auto"/>
              </w:rPr>
            </w:pPr>
          </w:p>
        </w:tc>
      </w:tr>
      <w:tr>
        <w:trPr>
          <w:trHeight w:val="312"/>
        </w:trPr>
        <w:tc>
          <w:tcPr>
            <w:tcW w:w="1980" w:type="dxa"/>
            <w:vAlign w:val="bottom"/>
            <w:gridSpan w:val="2"/>
          </w:tcPr>
          <w:p>
            <w:pPr>
              <w:spacing w:after="0"/>
              <w:rPr>
                <w:sz w:val="20"/>
                <w:szCs w:val="20"/>
                <w:color w:val="auto"/>
              </w:rPr>
            </w:pPr>
            <w:r>
              <w:rPr>
                <w:rFonts w:ascii="Arial" w:cs="Arial" w:eastAsia="Arial" w:hAnsi="Arial"/>
                <w:sz w:val="20"/>
                <w:szCs w:val="20"/>
                <w:color w:val="231F20"/>
              </w:rPr>
              <w:t>Dawn M. Becker</w:t>
            </w:r>
          </w:p>
        </w:tc>
        <w:tc>
          <w:tcPr>
            <w:tcW w:w="1920" w:type="dxa"/>
            <w:vAlign w:val="bottom"/>
            <w:tcBorders>
              <w:bottom w:val="single" w:sz="8" w:color="E6E7E8"/>
            </w:tcBorders>
            <w:shd w:val="clear" w:color="auto" w:fill="E6E7E8"/>
          </w:tcPr>
          <w:p>
            <w:pPr>
              <w:spacing w:after="0"/>
              <w:rPr>
                <w:sz w:val="20"/>
                <w:szCs w:val="20"/>
                <w:color w:val="auto"/>
              </w:rPr>
            </w:pPr>
            <w:r>
              <w:rPr>
                <w:rFonts w:ascii="Calibri" w:cs="Calibri" w:eastAsia="Calibri" w:hAnsi="Calibri"/>
                <w:sz w:val="20"/>
                <w:szCs w:val="20"/>
                <w:color w:val="231F20"/>
                <w:w w:val="98"/>
              </w:rPr>
              <w:t>Cash Benefits (multiple)</w:t>
            </w:r>
          </w:p>
        </w:tc>
        <w:tc>
          <w:tcPr>
            <w:tcW w:w="260" w:type="dxa"/>
            <w:vAlign w:val="bottom"/>
            <w:tcBorders>
              <w:bottom w:val="single" w:sz="8" w:color="E6E7E8"/>
            </w:tcBorders>
            <w:shd w:val="clear" w:color="auto" w:fill="E6E7E8"/>
          </w:tcPr>
          <w:p>
            <w:pPr>
              <w:spacing w:after="0"/>
              <w:rPr>
                <w:sz w:val="24"/>
                <w:szCs w:val="24"/>
                <w:color w:val="auto"/>
              </w:rPr>
            </w:pPr>
          </w:p>
        </w:tc>
        <w:tc>
          <w:tcPr>
            <w:tcW w:w="920" w:type="dxa"/>
            <w:vAlign w:val="bottom"/>
            <w:tcBorders>
              <w:bottom w:val="single" w:sz="8" w:color="E6E7E8"/>
            </w:tcBorders>
            <w:shd w:val="clear" w:color="auto" w:fill="E6E7E8"/>
          </w:tcPr>
          <w:p>
            <w:pPr>
              <w:jc w:val="right"/>
              <w:ind w:right="63"/>
              <w:spacing w:after="0"/>
              <w:rPr>
                <w:sz w:val="20"/>
                <w:szCs w:val="20"/>
                <w:color w:val="auto"/>
              </w:rPr>
            </w:pPr>
            <w:r>
              <w:rPr>
                <w:rFonts w:ascii="Calibri" w:cs="Calibri" w:eastAsia="Calibri" w:hAnsi="Calibri"/>
                <w:sz w:val="20"/>
                <w:szCs w:val="20"/>
                <w:color w:val="231F20"/>
                <w:w w:val="96"/>
              </w:rPr>
              <w:t>6 months</w:t>
            </w:r>
          </w:p>
        </w:tc>
        <w:tc>
          <w:tcPr>
            <w:tcW w:w="280" w:type="dxa"/>
            <w:vAlign w:val="bottom"/>
            <w:tcBorders>
              <w:bottom w:val="single" w:sz="8" w:color="E6E7E8"/>
            </w:tcBorders>
            <w:shd w:val="clear" w:color="auto" w:fill="E6E7E8"/>
          </w:tcPr>
          <w:p>
            <w:pPr>
              <w:spacing w:after="0"/>
              <w:rPr>
                <w:sz w:val="24"/>
                <w:szCs w:val="24"/>
                <w:color w:val="auto"/>
              </w:rPr>
            </w:pPr>
          </w:p>
        </w:tc>
        <w:tc>
          <w:tcPr>
            <w:tcW w:w="1100" w:type="dxa"/>
            <w:vAlign w:val="bottom"/>
            <w:tcBorders>
              <w:bottom w:val="single" w:sz="8" w:color="E6E7E8"/>
            </w:tcBorders>
            <w:shd w:val="clear" w:color="auto" w:fill="E6E7E8"/>
          </w:tcPr>
          <w:p>
            <w:pPr>
              <w:jc w:val="right"/>
              <w:ind w:right="103"/>
              <w:spacing w:after="0"/>
              <w:rPr>
                <w:sz w:val="20"/>
                <w:szCs w:val="20"/>
                <w:color w:val="auto"/>
              </w:rPr>
            </w:pPr>
            <w:r>
              <w:rPr>
                <w:rFonts w:ascii="Calibri" w:cs="Calibri" w:eastAsia="Calibri" w:hAnsi="Calibri"/>
                <w:sz w:val="20"/>
                <w:szCs w:val="20"/>
                <w:color w:val="231F20"/>
              </w:rPr>
              <w:t>1.0x</w:t>
            </w:r>
          </w:p>
        </w:tc>
        <w:tc>
          <w:tcPr>
            <w:tcW w:w="260" w:type="dxa"/>
            <w:vAlign w:val="bottom"/>
            <w:tcBorders>
              <w:bottom w:val="single" w:sz="8" w:color="E6E7E8"/>
            </w:tcBorders>
            <w:shd w:val="clear" w:color="auto" w:fill="E6E7E8"/>
          </w:tcPr>
          <w:p>
            <w:pPr>
              <w:spacing w:after="0"/>
              <w:rPr>
                <w:sz w:val="24"/>
                <w:szCs w:val="24"/>
                <w:color w:val="auto"/>
              </w:rPr>
            </w:pPr>
          </w:p>
        </w:tc>
        <w:tc>
          <w:tcPr>
            <w:tcW w:w="1060" w:type="dxa"/>
            <w:vAlign w:val="bottom"/>
            <w:tcBorders>
              <w:bottom w:val="single" w:sz="8" w:color="E6E7E8"/>
            </w:tcBorders>
            <w:shd w:val="clear" w:color="auto" w:fill="E6E7E8"/>
          </w:tcPr>
          <w:p>
            <w:pPr>
              <w:jc w:val="right"/>
              <w:ind w:right="83"/>
              <w:spacing w:after="0"/>
              <w:rPr>
                <w:sz w:val="20"/>
                <w:szCs w:val="20"/>
                <w:color w:val="auto"/>
              </w:rPr>
            </w:pPr>
            <w:r>
              <w:rPr>
                <w:rFonts w:ascii="Calibri" w:cs="Calibri" w:eastAsia="Calibri" w:hAnsi="Calibri"/>
                <w:sz w:val="20"/>
                <w:szCs w:val="20"/>
                <w:color w:val="231F20"/>
              </w:rPr>
              <w:t>2.0x</w:t>
            </w:r>
          </w:p>
        </w:tc>
        <w:tc>
          <w:tcPr>
            <w:tcW w:w="120" w:type="dxa"/>
            <w:vAlign w:val="bottom"/>
            <w:tcBorders>
              <w:bottom w:val="single" w:sz="8" w:color="E6E7E8"/>
            </w:tcBorders>
            <w:shd w:val="clear" w:color="auto" w:fill="E6E7E8"/>
          </w:tcPr>
          <w:p>
            <w:pPr>
              <w:spacing w:after="0"/>
              <w:rPr>
                <w:sz w:val="24"/>
                <w:szCs w:val="24"/>
                <w:color w:val="auto"/>
              </w:rPr>
            </w:pPr>
          </w:p>
        </w:tc>
        <w:tc>
          <w:tcPr>
            <w:tcW w:w="980" w:type="dxa"/>
            <w:vAlign w:val="bottom"/>
            <w:tcBorders>
              <w:bottom w:val="single" w:sz="8" w:color="E6E7E8"/>
            </w:tcBorders>
            <w:shd w:val="clear" w:color="auto" w:fill="E6E7E8"/>
          </w:tcPr>
          <w:p>
            <w:pPr>
              <w:jc w:val="right"/>
              <w:spacing w:after="0"/>
              <w:rPr>
                <w:sz w:val="20"/>
                <w:szCs w:val="20"/>
                <w:color w:val="auto"/>
              </w:rPr>
            </w:pPr>
            <w:r>
              <w:rPr>
                <w:rFonts w:ascii="Calibri" w:cs="Calibri" w:eastAsia="Calibri" w:hAnsi="Calibri"/>
                <w:sz w:val="20"/>
                <w:szCs w:val="20"/>
                <w:color w:val="231F20"/>
              </w:rPr>
              <w:t>N/A</w:t>
            </w:r>
          </w:p>
        </w:tc>
        <w:tc>
          <w:tcPr>
            <w:tcW w:w="200" w:type="dxa"/>
            <w:vAlign w:val="bottom"/>
            <w:tcBorders>
              <w:bottom w:val="single" w:sz="8" w:color="E6E7E8"/>
            </w:tcBorders>
            <w:shd w:val="clear" w:color="auto" w:fill="E6E7E8"/>
          </w:tcPr>
          <w:p>
            <w:pPr>
              <w:spacing w:after="0"/>
              <w:rPr>
                <w:sz w:val="24"/>
                <w:szCs w:val="24"/>
                <w:color w:val="auto"/>
              </w:rPr>
            </w:pPr>
          </w:p>
        </w:tc>
        <w:tc>
          <w:tcPr>
            <w:tcW w:w="1000" w:type="dxa"/>
            <w:vAlign w:val="bottom"/>
            <w:tcBorders>
              <w:bottom w:val="single" w:sz="8" w:color="E6E7E8"/>
            </w:tcBorders>
            <w:shd w:val="clear" w:color="auto" w:fill="E6E7E8"/>
          </w:tcPr>
          <w:p>
            <w:pPr>
              <w:jc w:val="right"/>
              <w:ind w:right="23"/>
              <w:spacing w:after="0"/>
              <w:rPr>
                <w:sz w:val="20"/>
                <w:szCs w:val="20"/>
                <w:color w:val="auto"/>
              </w:rPr>
            </w:pPr>
            <w:r>
              <w:rPr>
                <w:rFonts w:ascii="Calibri" w:cs="Calibri" w:eastAsia="Calibri" w:hAnsi="Calibri"/>
                <w:sz w:val="20"/>
                <w:szCs w:val="20"/>
                <w:color w:val="231F20"/>
              </w:rPr>
              <w:t>N/A</w:t>
            </w:r>
          </w:p>
        </w:tc>
        <w:tc>
          <w:tcPr>
            <w:tcW w:w="0" w:type="dxa"/>
            <w:vAlign w:val="bottom"/>
          </w:tcPr>
          <w:p>
            <w:pPr>
              <w:spacing w:after="0"/>
              <w:rPr>
                <w:sz w:val="1"/>
                <w:szCs w:val="1"/>
                <w:color w:val="auto"/>
              </w:rPr>
            </w:pPr>
          </w:p>
        </w:tc>
      </w:tr>
      <w:tr>
        <w:trPr>
          <w:trHeight w:val="271"/>
        </w:trPr>
        <w:tc>
          <w:tcPr>
            <w:tcW w:w="9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920" w:type="dxa"/>
            <w:vAlign w:val="bottom"/>
          </w:tcPr>
          <w:p>
            <w:pPr>
              <w:spacing w:after="0"/>
              <w:rPr>
                <w:sz w:val="20"/>
                <w:szCs w:val="20"/>
                <w:color w:val="auto"/>
              </w:rPr>
            </w:pPr>
            <w:r>
              <w:rPr>
                <w:rFonts w:ascii="Calibri" w:cs="Calibri" w:eastAsia="Calibri" w:hAnsi="Calibri"/>
                <w:sz w:val="20"/>
                <w:szCs w:val="20"/>
                <w:color w:val="231F20"/>
                <w:w w:val="99"/>
              </w:rPr>
              <w:t>Cash Benefits (amount)</w:t>
            </w:r>
          </w:p>
        </w:tc>
        <w:tc>
          <w:tcPr>
            <w:tcW w:w="260" w:type="dxa"/>
            <w:vAlign w:val="bottom"/>
          </w:tcPr>
          <w:p>
            <w:pPr>
              <w:jc w:val="right"/>
              <w:spacing w:after="0"/>
              <w:rPr>
                <w:sz w:val="20"/>
                <w:szCs w:val="20"/>
                <w:color w:val="auto"/>
              </w:rPr>
            </w:pPr>
            <w:r>
              <w:rPr>
                <w:rFonts w:ascii="Calibri" w:cs="Calibri" w:eastAsia="Calibri" w:hAnsi="Calibri"/>
                <w:sz w:val="20"/>
                <w:szCs w:val="20"/>
                <w:color w:val="231F20"/>
              </w:rPr>
              <w:t>$</w:t>
            </w:r>
          </w:p>
        </w:tc>
        <w:tc>
          <w:tcPr>
            <w:tcW w:w="920" w:type="dxa"/>
            <w:vAlign w:val="bottom"/>
          </w:tcPr>
          <w:p>
            <w:pPr>
              <w:jc w:val="right"/>
              <w:ind w:right="63"/>
              <w:spacing w:after="0"/>
              <w:rPr>
                <w:sz w:val="20"/>
                <w:szCs w:val="20"/>
                <w:color w:val="auto"/>
              </w:rPr>
            </w:pPr>
            <w:r>
              <w:rPr>
                <w:rFonts w:ascii="Calibri" w:cs="Calibri" w:eastAsia="Calibri" w:hAnsi="Calibri"/>
                <w:sz w:val="20"/>
                <w:szCs w:val="20"/>
                <w:color w:val="231F20"/>
              </w:rPr>
              <w:t>287,500</w:t>
            </w:r>
          </w:p>
        </w:tc>
        <w:tc>
          <w:tcPr>
            <w:tcW w:w="280" w:type="dxa"/>
            <w:vAlign w:val="bottom"/>
          </w:tcPr>
          <w:p>
            <w:pPr>
              <w:ind w:left="200"/>
              <w:spacing w:after="0"/>
              <w:rPr>
                <w:sz w:val="20"/>
                <w:szCs w:val="20"/>
                <w:color w:val="auto"/>
              </w:rPr>
            </w:pPr>
            <w:r>
              <w:rPr>
                <w:rFonts w:ascii="Calibri" w:cs="Calibri" w:eastAsia="Calibri" w:hAnsi="Calibri"/>
                <w:sz w:val="16"/>
                <w:szCs w:val="16"/>
                <w:color w:val="231F20"/>
                <w:w w:val="73"/>
              </w:rPr>
              <w:t>$</w:t>
            </w:r>
          </w:p>
        </w:tc>
        <w:tc>
          <w:tcPr>
            <w:tcW w:w="1100" w:type="dxa"/>
            <w:vAlign w:val="bottom"/>
          </w:tcPr>
          <w:p>
            <w:pPr>
              <w:jc w:val="right"/>
              <w:ind w:right="103"/>
              <w:spacing w:after="0"/>
              <w:rPr>
                <w:sz w:val="20"/>
                <w:szCs w:val="20"/>
                <w:color w:val="auto"/>
              </w:rPr>
            </w:pPr>
            <w:r>
              <w:rPr>
                <w:rFonts w:ascii="Calibri" w:cs="Calibri" w:eastAsia="Calibri" w:hAnsi="Calibri"/>
                <w:sz w:val="20"/>
                <w:szCs w:val="20"/>
                <w:color w:val="231F20"/>
              </w:rPr>
              <w:t>1,293,750</w:t>
            </w:r>
          </w:p>
        </w:tc>
        <w:tc>
          <w:tcPr>
            <w:tcW w:w="260" w:type="dxa"/>
            <w:vAlign w:val="bottom"/>
          </w:tcPr>
          <w:p>
            <w:pPr>
              <w:jc w:val="right"/>
              <w:spacing w:after="0"/>
              <w:rPr>
                <w:sz w:val="20"/>
                <w:szCs w:val="20"/>
                <w:color w:val="auto"/>
              </w:rPr>
            </w:pPr>
            <w:r>
              <w:rPr>
                <w:rFonts w:ascii="Calibri" w:cs="Calibri" w:eastAsia="Calibri" w:hAnsi="Calibri"/>
                <w:sz w:val="20"/>
                <w:szCs w:val="20"/>
                <w:color w:val="231F20"/>
              </w:rPr>
              <w:t>$</w:t>
            </w:r>
          </w:p>
        </w:tc>
        <w:tc>
          <w:tcPr>
            <w:tcW w:w="1060" w:type="dxa"/>
            <w:vAlign w:val="bottom"/>
          </w:tcPr>
          <w:p>
            <w:pPr>
              <w:jc w:val="right"/>
              <w:ind w:right="83"/>
              <w:spacing w:after="0"/>
              <w:rPr>
                <w:sz w:val="20"/>
                <w:szCs w:val="20"/>
                <w:color w:val="auto"/>
              </w:rPr>
            </w:pPr>
            <w:r>
              <w:rPr>
                <w:rFonts w:ascii="Calibri" w:cs="Calibri" w:eastAsia="Calibri" w:hAnsi="Calibri"/>
                <w:sz w:val="20"/>
                <w:szCs w:val="20"/>
                <w:color w:val="231F20"/>
              </w:rPr>
              <w:t>2,587,500</w:t>
            </w:r>
          </w:p>
        </w:tc>
        <w:tc>
          <w:tcPr>
            <w:tcW w:w="120" w:type="dxa"/>
            <w:vAlign w:val="bottom"/>
          </w:tcPr>
          <w:p>
            <w:pPr>
              <w:ind w:left="20"/>
              <w:spacing w:after="0"/>
              <w:rPr>
                <w:sz w:val="20"/>
                <w:szCs w:val="20"/>
                <w:color w:val="auto"/>
              </w:rPr>
            </w:pPr>
            <w:r>
              <w:rPr>
                <w:rFonts w:ascii="Calibri" w:cs="Calibri" w:eastAsia="Calibri" w:hAnsi="Calibri"/>
                <w:sz w:val="20"/>
                <w:szCs w:val="20"/>
                <w:color w:val="231F20"/>
                <w:w w:val="78"/>
              </w:rPr>
              <w:t>$</w:t>
            </w:r>
          </w:p>
        </w:tc>
        <w:tc>
          <w:tcPr>
            <w:tcW w:w="980" w:type="dxa"/>
            <w:vAlign w:val="bottom"/>
          </w:tcPr>
          <w:p>
            <w:pPr>
              <w:jc w:val="right"/>
              <w:spacing w:after="0"/>
              <w:rPr>
                <w:sz w:val="20"/>
                <w:szCs w:val="20"/>
                <w:color w:val="auto"/>
              </w:rPr>
            </w:pPr>
            <w:r>
              <w:rPr>
                <w:rFonts w:ascii="Calibri" w:cs="Calibri" w:eastAsia="Calibri" w:hAnsi="Calibri"/>
                <w:sz w:val="20"/>
                <w:szCs w:val="20"/>
                <w:color w:val="231F20"/>
              </w:rPr>
              <w:t>-</w:t>
            </w:r>
          </w:p>
        </w:tc>
        <w:tc>
          <w:tcPr>
            <w:tcW w:w="200" w:type="dxa"/>
            <w:vAlign w:val="bottom"/>
          </w:tcPr>
          <w:p>
            <w:pPr>
              <w:jc w:val="right"/>
              <w:spacing w:after="0"/>
              <w:rPr>
                <w:sz w:val="20"/>
                <w:szCs w:val="20"/>
                <w:color w:val="auto"/>
              </w:rPr>
            </w:pPr>
            <w:r>
              <w:rPr>
                <w:rFonts w:ascii="Calibri" w:cs="Calibri" w:eastAsia="Calibri" w:hAnsi="Calibri"/>
                <w:sz w:val="20"/>
                <w:szCs w:val="20"/>
                <w:color w:val="231F20"/>
              </w:rPr>
              <w:t>$</w:t>
            </w:r>
          </w:p>
        </w:tc>
        <w:tc>
          <w:tcPr>
            <w:tcW w:w="1000" w:type="dxa"/>
            <w:vAlign w:val="bottom"/>
          </w:tcPr>
          <w:p>
            <w:pPr>
              <w:jc w:val="right"/>
              <w:ind w:right="23"/>
              <w:spacing w:after="0"/>
              <w:rPr>
                <w:sz w:val="20"/>
                <w:szCs w:val="20"/>
                <w:color w:val="auto"/>
              </w:rPr>
            </w:pPr>
            <w:r>
              <w:rPr>
                <w:rFonts w:ascii="Calibri" w:cs="Calibri" w:eastAsia="Calibri" w:hAnsi="Calibri"/>
                <w:sz w:val="20"/>
                <w:szCs w:val="20"/>
                <w:color w:val="231F20"/>
              </w:rPr>
              <w:t>606,085</w:t>
            </w:r>
          </w:p>
        </w:tc>
        <w:tc>
          <w:tcPr>
            <w:tcW w:w="0" w:type="dxa"/>
            <w:vAlign w:val="bottom"/>
          </w:tcPr>
          <w:p>
            <w:pPr>
              <w:spacing w:after="0"/>
              <w:rPr>
                <w:sz w:val="1"/>
                <w:szCs w:val="1"/>
                <w:color w:val="auto"/>
              </w:rPr>
            </w:pPr>
          </w:p>
        </w:tc>
      </w:tr>
      <w:tr>
        <w:trPr>
          <w:trHeight w:val="24"/>
        </w:trPr>
        <w:tc>
          <w:tcPr>
            <w:tcW w:w="9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5"/>
        </w:trPr>
        <w:tc>
          <w:tcPr>
            <w:tcW w:w="9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920" w:type="dxa"/>
            <w:vAlign w:val="bottom"/>
            <w:shd w:val="clear" w:color="auto" w:fill="E6E7E8"/>
          </w:tcPr>
          <w:p>
            <w:pPr>
              <w:spacing w:after="0" w:line="294" w:lineRule="exact"/>
              <w:rPr>
                <w:sz w:val="20"/>
                <w:szCs w:val="20"/>
                <w:color w:val="auto"/>
              </w:rPr>
            </w:pPr>
            <w:r>
              <w:rPr>
                <w:rFonts w:ascii="Calibri" w:cs="Calibri" w:eastAsia="Calibri" w:hAnsi="Calibri"/>
                <w:sz w:val="20"/>
                <w:szCs w:val="20"/>
                <w:color w:val="231F20"/>
              </w:rPr>
              <w:t>Medical Benefits</w:t>
            </w:r>
            <w:r>
              <w:rPr>
                <w:rFonts w:ascii="Calibri" w:cs="Calibri" w:eastAsia="Calibri" w:hAnsi="Calibri"/>
                <w:sz w:val="25"/>
                <w:szCs w:val="25"/>
                <w:color w:val="231F20"/>
                <w:vertAlign w:val="superscript"/>
              </w:rPr>
              <w:t>(2)</w:t>
            </w:r>
          </w:p>
        </w:tc>
        <w:tc>
          <w:tcPr>
            <w:tcW w:w="260" w:type="dxa"/>
            <w:vAlign w:val="bottom"/>
            <w:shd w:val="clear" w:color="auto" w:fill="E6E7E8"/>
          </w:tcPr>
          <w:p>
            <w:pPr>
              <w:jc w:val="right"/>
              <w:spacing w:after="0"/>
              <w:rPr>
                <w:sz w:val="20"/>
                <w:szCs w:val="20"/>
                <w:color w:val="auto"/>
              </w:rPr>
            </w:pPr>
            <w:r>
              <w:rPr>
                <w:rFonts w:ascii="Calibri" w:cs="Calibri" w:eastAsia="Calibri" w:hAnsi="Calibri"/>
                <w:sz w:val="20"/>
                <w:szCs w:val="20"/>
                <w:color w:val="231F20"/>
              </w:rPr>
              <w:t>$</w:t>
            </w:r>
          </w:p>
        </w:tc>
        <w:tc>
          <w:tcPr>
            <w:tcW w:w="920" w:type="dxa"/>
            <w:vAlign w:val="bottom"/>
            <w:shd w:val="clear" w:color="auto" w:fill="E6E7E8"/>
          </w:tcPr>
          <w:p>
            <w:pPr>
              <w:jc w:val="right"/>
              <w:ind w:right="63"/>
              <w:spacing w:after="0"/>
              <w:rPr>
                <w:sz w:val="20"/>
                <w:szCs w:val="20"/>
                <w:color w:val="auto"/>
              </w:rPr>
            </w:pPr>
            <w:r>
              <w:rPr>
                <w:rFonts w:ascii="Calibri" w:cs="Calibri" w:eastAsia="Calibri" w:hAnsi="Calibri"/>
                <w:sz w:val="20"/>
                <w:szCs w:val="20"/>
                <w:color w:val="231F20"/>
              </w:rPr>
              <w:t>8,970</w:t>
            </w:r>
          </w:p>
        </w:tc>
        <w:tc>
          <w:tcPr>
            <w:tcW w:w="280" w:type="dxa"/>
            <w:vAlign w:val="bottom"/>
            <w:shd w:val="clear" w:color="auto" w:fill="E6E7E8"/>
          </w:tcPr>
          <w:p>
            <w:pPr>
              <w:ind w:left="200"/>
              <w:spacing w:after="0"/>
              <w:rPr>
                <w:sz w:val="20"/>
                <w:szCs w:val="20"/>
                <w:color w:val="auto"/>
              </w:rPr>
            </w:pPr>
            <w:r>
              <w:rPr>
                <w:rFonts w:ascii="Calibri" w:cs="Calibri" w:eastAsia="Calibri" w:hAnsi="Calibri"/>
                <w:sz w:val="16"/>
                <w:szCs w:val="16"/>
                <w:color w:val="231F20"/>
                <w:w w:val="73"/>
              </w:rPr>
              <w:t>$</w:t>
            </w:r>
          </w:p>
        </w:tc>
        <w:tc>
          <w:tcPr>
            <w:tcW w:w="1100" w:type="dxa"/>
            <w:vAlign w:val="bottom"/>
            <w:shd w:val="clear" w:color="auto" w:fill="E6E7E8"/>
          </w:tcPr>
          <w:p>
            <w:pPr>
              <w:jc w:val="right"/>
              <w:ind w:right="103"/>
              <w:spacing w:after="0"/>
              <w:rPr>
                <w:sz w:val="20"/>
                <w:szCs w:val="20"/>
                <w:color w:val="auto"/>
              </w:rPr>
            </w:pPr>
            <w:r>
              <w:rPr>
                <w:rFonts w:ascii="Calibri" w:cs="Calibri" w:eastAsia="Calibri" w:hAnsi="Calibri"/>
                <w:sz w:val="20"/>
                <w:szCs w:val="20"/>
                <w:color w:val="231F20"/>
              </w:rPr>
              <w:t>13,454</w:t>
            </w:r>
          </w:p>
        </w:tc>
        <w:tc>
          <w:tcPr>
            <w:tcW w:w="260" w:type="dxa"/>
            <w:vAlign w:val="bottom"/>
            <w:shd w:val="clear" w:color="auto" w:fill="E6E7E8"/>
          </w:tcPr>
          <w:p>
            <w:pPr>
              <w:jc w:val="right"/>
              <w:spacing w:after="0"/>
              <w:rPr>
                <w:sz w:val="20"/>
                <w:szCs w:val="20"/>
                <w:color w:val="auto"/>
              </w:rPr>
            </w:pPr>
            <w:r>
              <w:rPr>
                <w:rFonts w:ascii="Calibri" w:cs="Calibri" w:eastAsia="Calibri" w:hAnsi="Calibri"/>
                <w:sz w:val="20"/>
                <w:szCs w:val="20"/>
                <w:color w:val="231F20"/>
              </w:rPr>
              <w:t>$</w:t>
            </w:r>
          </w:p>
        </w:tc>
        <w:tc>
          <w:tcPr>
            <w:tcW w:w="1060" w:type="dxa"/>
            <w:vAlign w:val="bottom"/>
            <w:shd w:val="clear" w:color="auto" w:fill="E6E7E8"/>
          </w:tcPr>
          <w:p>
            <w:pPr>
              <w:jc w:val="right"/>
              <w:ind w:right="83"/>
              <w:spacing w:after="0"/>
              <w:rPr>
                <w:sz w:val="20"/>
                <w:szCs w:val="20"/>
                <w:color w:val="auto"/>
              </w:rPr>
            </w:pPr>
            <w:r>
              <w:rPr>
                <w:rFonts w:ascii="Calibri" w:cs="Calibri" w:eastAsia="Calibri" w:hAnsi="Calibri"/>
                <w:sz w:val="20"/>
                <w:szCs w:val="20"/>
                <w:color w:val="231F20"/>
              </w:rPr>
              <w:t>35,878</w:t>
            </w:r>
          </w:p>
        </w:tc>
        <w:tc>
          <w:tcPr>
            <w:tcW w:w="120" w:type="dxa"/>
            <w:vAlign w:val="bottom"/>
            <w:shd w:val="clear" w:color="auto" w:fill="E6E7E8"/>
          </w:tcPr>
          <w:p>
            <w:pPr>
              <w:ind w:left="20"/>
              <w:spacing w:after="0"/>
              <w:rPr>
                <w:sz w:val="20"/>
                <w:szCs w:val="20"/>
                <w:color w:val="auto"/>
              </w:rPr>
            </w:pPr>
            <w:r>
              <w:rPr>
                <w:rFonts w:ascii="Calibri" w:cs="Calibri" w:eastAsia="Calibri" w:hAnsi="Calibri"/>
                <w:sz w:val="20"/>
                <w:szCs w:val="20"/>
                <w:color w:val="231F20"/>
                <w:w w:val="78"/>
              </w:rPr>
              <w:t>$</w:t>
            </w:r>
          </w:p>
        </w:tc>
        <w:tc>
          <w:tcPr>
            <w:tcW w:w="980" w:type="dxa"/>
            <w:vAlign w:val="bottom"/>
            <w:shd w:val="clear" w:color="auto" w:fill="E6E7E8"/>
          </w:tcPr>
          <w:p>
            <w:pPr>
              <w:jc w:val="right"/>
              <w:spacing w:after="0"/>
              <w:rPr>
                <w:sz w:val="20"/>
                <w:szCs w:val="20"/>
                <w:color w:val="auto"/>
              </w:rPr>
            </w:pPr>
            <w:r>
              <w:rPr>
                <w:rFonts w:ascii="Calibri" w:cs="Calibri" w:eastAsia="Calibri" w:hAnsi="Calibri"/>
                <w:sz w:val="20"/>
                <w:szCs w:val="20"/>
                <w:color w:val="231F20"/>
              </w:rPr>
              <w:t>-</w:t>
            </w:r>
          </w:p>
        </w:tc>
        <w:tc>
          <w:tcPr>
            <w:tcW w:w="200" w:type="dxa"/>
            <w:vAlign w:val="bottom"/>
            <w:shd w:val="clear" w:color="auto" w:fill="E6E7E8"/>
          </w:tcPr>
          <w:p>
            <w:pPr>
              <w:jc w:val="right"/>
              <w:spacing w:after="0"/>
              <w:rPr>
                <w:sz w:val="20"/>
                <w:szCs w:val="20"/>
                <w:color w:val="auto"/>
              </w:rPr>
            </w:pPr>
            <w:r>
              <w:rPr>
                <w:rFonts w:ascii="Calibri" w:cs="Calibri" w:eastAsia="Calibri" w:hAnsi="Calibri"/>
                <w:sz w:val="20"/>
                <w:szCs w:val="20"/>
                <w:color w:val="231F20"/>
              </w:rPr>
              <w:t>$</w:t>
            </w:r>
          </w:p>
        </w:tc>
        <w:tc>
          <w:tcPr>
            <w:tcW w:w="1000" w:type="dxa"/>
            <w:vAlign w:val="bottom"/>
            <w:shd w:val="clear" w:color="auto" w:fill="E6E7E8"/>
          </w:tcPr>
          <w:p>
            <w:pPr>
              <w:jc w:val="right"/>
              <w:ind w:right="23"/>
              <w:spacing w:after="0"/>
              <w:rPr>
                <w:sz w:val="20"/>
                <w:szCs w:val="20"/>
                <w:color w:val="auto"/>
              </w:rPr>
            </w:pPr>
            <w:r>
              <w:rPr>
                <w:rFonts w:ascii="Calibri" w:cs="Calibri" w:eastAsia="Calibri" w:hAnsi="Calibri"/>
                <w:sz w:val="20"/>
                <w:szCs w:val="20"/>
                <w:color w:val="231F20"/>
              </w:rPr>
              <w:t>17,939</w:t>
            </w:r>
          </w:p>
        </w:tc>
        <w:tc>
          <w:tcPr>
            <w:tcW w:w="0" w:type="dxa"/>
            <w:vAlign w:val="bottom"/>
          </w:tcPr>
          <w:p>
            <w:pPr>
              <w:spacing w:after="0"/>
              <w:rPr>
                <w:sz w:val="1"/>
                <w:szCs w:val="1"/>
                <w:color w:val="auto"/>
              </w:rPr>
            </w:pPr>
          </w:p>
        </w:tc>
      </w:tr>
      <w:tr>
        <w:trPr>
          <w:trHeight w:val="295"/>
        </w:trPr>
        <w:tc>
          <w:tcPr>
            <w:tcW w:w="9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920" w:type="dxa"/>
            <w:vAlign w:val="bottom"/>
          </w:tcPr>
          <w:p>
            <w:pPr>
              <w:spacing w:after="0" w:line="294" w:lineRule="exact"/>
              <w:rPr>
                <w:sz w:val="20"/>
                <w:szCs w:val="20"/>
                <w:color w:val="auto"/>
              </w:rPr>
            </w:pPr>
            <w:r>
              <w:rPr>
                <w:rFonts w:ascii="Calibri" w:cs="Calibri" w:eastAsia="Calibri" w:hAnsi="Calibri"/>
                <w:sz w:val="20"/>
                <w:szCs w:val="20"/>
                <w:color w:val="231F20"/>
              </w:rPr>
              <w:t>Accelerated Equity</w:t>
            </w:r>
            <w:r>
              <w:rPr>
                <w:rFonts w:ascii="Calibri" w:cs="Calibri" w:eastAsia="Calibri" w:hAnsi="Calibri"/>
                <w:sz w:val="25"/>
                <w:szCs w:val="25"/>
                <w:color w:val="231F20"/>
                <w:vertAlign w:val="superscript"/>
              </w:rPr>
              <w:t>(3)</w:t>
            </w:r>
          </w:p>
        </w:tc>
        <w:tc>
          <w:tcPr>
            <w:tcW w:w="260" w:type="dxa"/>
            <w:vAlign w:val="bottom"/>
          </w:tcPr>
          <w:p>
            <w:pPr>
              <w:jc w:val="right"/>
              <w:spacing w:after="0"/>
              <w:rPr>
                <w:sz w:val="20"/>
                <w:szCs w:val="20"/>
                <w:color w:val="auto"/>
              </w:rPr>
            </w:pPr>
            <w:r>
              <w:rPr>
                <w:rFonts w:ascii="Calibri" w:cs="Calibri" w:eastAsia="Calibri" w:hAnsi="Calibri"/>
                <w:sz w:val="20"/>
                <w:szCs w:val="20"/>
                <w:color w:val="231F20"/>
              </w:rPr>
              <w:t>$</w:t>
            </w:r>
          </w:p>
        </w:tc>
        <w:tc>
          <w:tcPr>
            <w:tcW w:w="920" w:type="dxa"/>
            <w:vAlign w:val="bottom"/>
          </w:tcPr>
          <w:p>
            <w:pPr>
              <w:jc w:val="right"/>
              <w:ind w:right="63"/>
              <w:spacing w:after="0"/>
              <w:rPr>
                <w:sz w:val="20"/>
                <w:szCs w:val="20"/>
                <w:color w:val="auto"/>
              </w:rPr>
            </w:pPr>
            <w:r>
              <w:rPr>
                <w:rFonts w:ascii="Calibri" w:cs="Calibri" w:eastAsia="Calibri" w:hAnsi="Calibri"/>
                <w:sz w:val="20"/>
                <w:szCs w:val="20"/>
                <w:color w:val="231F20"/>
              </w:rPr>
              <w:t>-</w:t>
            </w:r>
          </w:p>
        </w:tc>
        <w:tc>
          <w:tcPr>
            <w:tcW w:w="280" w:type="dxa"/>
            <w:vAlign w:val="bottom"/>
          </w:tcPr>
          <w:p>
            <w:pPr>
              <w:ind w:left="200"/>
              <w:spacing w:after="0"/>
              <w:rPr>
                <w:sz w:val="20"/>
                <w:szCs w:val="20"/>
                <w:color w:val="auto"/>
              </w:rPr>
            </w:pPr>
            <w:r>
              <w:rPr>
                <w:rFonts w:ascii="Calibri" w:cs="Calibri" w:eastAsia="Calibri" w:hAnsi="Calibri"/>
                <w:sz w:val="16"/>
                <w:szCs w:val="16"/>
                <w:color w:val="231F20"/>
                <w:w w:val="73"/>
              </w:rPr>
              <w:t>$</w:t>
            </w:r>
          </w:p>
        </w:tc>
        <w:tc>
          <w:tcPr>
            <w:tcW w:w="1100" w:type="dxa"/>
            <w:vAlign w:val="bottom"/>
          </w:tcPr>
          <w:p>
            <w:pPr>
              <w:jc w:val="right"/>
              <w:ind w:right="103"/>
              <w:spacing w:after="0"/>
              <w:rPr>
                <w:sz w:val="20"/>
                <w:szCs w:val="20"/>
                <w:color w:val="auto"/>
              </w:rPr>
            </w:pPr>
            <w:r>
              <w:rPr>
                <w:rFonts w:ascii="Calibri" w:cs="Calibri" w:eastAsia="Calibri" w:hAnsi="Calibri"/>
                <w:sz w:val="20"/>
                <w:szCs w:val="20"/>
                <w:color w:val="231F20"/>
              </w:rPr>
              <w:t>2,461,838</w:t>
            </w:r>
          </w:p>
        </w:tc>
        <w:tc>
          <w:tcPr>
            <w:tcW w:w="260" w:type="dxa"/>
            <w:vAlign w:val="bottom"/>
          </w:tcPr>
          <w:p>
            <w:pPr>
              <w:jc w:val="right"/>
              <w:spacing w:after="0"/>
              <w:rPr>
                <w:sz w:val="20"/>
                <w:szCs w:val="20"/>
                <w:color w:val="auto"/>
              </w:rPr>
            </w:pPr>
            <w:r>
              <w:rPr>
                <w:rFonts w:ascii="Calibri" w:cs="Calibri" w:eastAsia="Calibri" w:hAnsi="Calibri"/>
                <w:sz w:val="20"/>
                <w:szCs w:val="20"/>
                <w:color w:val="231F20"/>
              </w:rPr>
              <w:t>$</w:t>
            </w:r>
          </w:p>
        </w:tc>
        <w:tc>
          <w:tcPr>
            <w:tcW w:w="1060" w:type="dxa"/>
            <w:vAlign w:val="bottom"/>
          </w:tcPr>
          <w:p>
            <w:pPr>
              <w:jc w:val="right"/>
              <w:ind w:right="83"/>
              <w:spacing w:after="0"/>
              <w:rPr>
                <w:sz w:val="20"/>
                <w:szCs w:val="20"/>
                <w:color w:val="auto"/>
              </w:rPr>
            </w:pPr>
            <w:r>
              <w:rPr>
                <w:rFonts w:ascii="Calibri" w:cs="Calibri" w:eastAsia="Calibri" w:hAnsi="Calibri"/>
                <w:sz w:val="20"/>
                <w:szCs w:val="20"/>
                <w:color w:val="231F20"/>
              </w:rPr>
              <w:t>2,461,838</w:t>
            </w:r>
          </w:p>
        </w:tc>
        <w:tc>
          <w:tcPr>
            <w:tcW w:w="120" w:type="dxa"/>
            <w:vAlign w:val="bottom"/>
          </w:tcPr>
          <w:p>
            <w:pPr>
              <w:ind w:left="20"/>
              <w:spacing w:after="0"/>
              <w:rPr>
                <w:sz w:val="20"/>
                <w:szCs w:val="20"/>
                <w:color w:val="auto"/>
              </w:rPr>
            </w:pPr>
            <w:r>
              <w:rPr>
                <w:rFonts w:ascii="Calibri" w:cs="Calibri" w:eastAsia="Calibri" w:hAnsi="Calibri"/>
                <w:sz w:val="20"/>
                <w:szCs w:val="20"/>
                <w:color w:val="231F20"/>
                <w:w w:val="78"/>
              </w:rPr>
              <w:t>$</w:t>
            </w:r>
          </w:p>
        </w:tc>
        <w:tc>
          <w:tcPr>
            <w:tcW w:w="980" w:type="dxa"/>
            <w:vAlign w:val="bottom"/>
          </w:tcPr>
          <w:p>
            <w:pPr>
              <w:jc w:val="right"/>
              <w:spacing w:after="0"/>
              <w:rPr>
                <w:sz w:val="20"/>
                <w:szCs w:val="20"/>
                <w:color w:val="auto"/>
              </w:rPr>
            </w:pPr>
            <w:r>
              <w:rPr>
                <w:rFonts w:ascii="Calibri" w:cs="Calibri" w:eastAsia="Calibri" w:hAnsi="Calibri"/>
                <w:sz w:val="20"/>
                <w:szCs w:val="20"/>
                <w:color w:val="231F20"/>
              </w:rPr>
              <w:t>2,461,838</w:t>
            </w:r>
          </w:p>
        </w:tc>
        <w:tc>
          <w:tcPr>
            <w:tcW w:w="200" w:type="dxa"/>
            <w:vAlign w:val="bottom"/>
          </w:tcPr>
          <w:p>
            <w:pPr>
              <w:jc w:val="right"/>
              <w:spacing w:after="0"/>
              <w:rPr>
                <w:sz w:val="20"/>
                <w:szCs w:val="20"/>
                <w:color w:val="auto"/>
              </w:rPr>
            </w:pPr>
            <w:r>
              <w:rPr>
                <w:rFonts w:ascii="Calibri" w:cs="Calibri" w:eastAsia="Calibri" w:hAnsi="Calibri"/>
                <w:sz w:val="20"/>
                <w:szCs w:val="20"/>
                <w:color w:val="231F20"/>
              </w:rPr>
              <w:t>$</w:t>
            </w:r>
          </w:p>
        </w:tc>
        <w:tc>
          <w:tcPr>
            <w:tcW w:w="1000" w:type="dxa"/>
            <w:vAlign w:val="bottom"/>
          </w:tcPr>
          <w:p>
            <w:pPr>
              <w:jc w:val="right"/>
              <w:ind w:right="23"/>
              <w:spacing w:after="0"/>
              <w:rPr>
                <w:sz w:val="20"/>
                <w:szCs w:val="20"/>
                <w:color w:val="auto"/>
              </w:rPr>
            </w:pPr>
            <w:r>
              <w:rPr>
                <w:rFonts w:ascii="Calibri" w:cs="Calibri" w:eastAsia="Calibri" w:hAnsi="Calibri"/>
                <w:sz w:val="20"/>
                <w:szCs w:val="20"/>
                <w:color w:val="231F20"/>
              </w:rPr>
              <w:t>2,461,838</w:t>
            </w:r>
          </w:p>
        </w:tc>
        <w:tc>
          <w:tcPr>
            <w:tcW w:w="0" w:type="dxa"/>
            <w:vAlign w:val="bottom"/>
          </w:tcPr>
          <w:p>
            <w:pPr>
              <w:spacing w:after="0"/>
              <w:rPr>
                <w:sz w:val="1"/>
                <w:szCs w:val="1"/>
                <w:color w:val="auto"/>
              </w:rPr>
            </w:pPr>
          </w:p>
        </w:tc>
      </w:tr>
      <w:tr>
        <w:trPr>
          <w:trHeight w:val="295"/>
        </w:trPr>
        <w:tc>
          <w:tcPr>
            <w:tcW w:w="9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920" w:type="dxa"/>
            <w:vAlign w:val="bottom"/>
            <w:shd w:val="clear" w:color="auto" w:fill="E6E7E8"/>
          </w:tcPr>
          <w:p>
            <w:pPr>
              <w:spacing w:after="0" w:line="294" w:lineRule="exact"/>
              <w:rPr>
                <w:sz w:val="20"/>
                <w:szCs w:val="20"/>
                <w:color w:val="auto"/>
              </w:rPr>
            </w:pPr>
            <w:r>
              <w:rPr>
                <w:rFonts w:ascii="Calibri" w:cs="Calibri" w:eastAsia="Calibri" w:hAnsi="Calibri"/>
                <w:sz w:val="20"/>
                <w:szCs w:val="20"/>
                <w:color w:val="231F20"/>
              </w:rPr>
              <w:t>Other Benefits</w:t>
            </w:r>
            <w:r>
              <w:rPr>
                <w:rFonts w:ascii="Calibri" w:cs="Calibri" w:eastAsia="Calibri" w:hAnsi="Calibri"/>
                <w:sz w:val="25"/>
                <w:szCs w:val="25"/>
                <w:color w:val="231F20"/>
                <w:vertAlign w:val="superscript"/>
              </w:rPr>
              <w:t>(4)</w:t>
            </w:r>
          </w:p>
        </w:tc>
        <w:tc>
          <w:tcPr>
            <w:tcW w:w="260" w:type="dxa"/>
            <w:vAlign w:val="bottom"/>
            <w:shd w:val="clear" w:color="auto" w:fill="E6E7E8"/>
          </w:tcPr>
          <w:p>
            <w:pPr>
              <w:jc w:val="right"/>
              <w:spacing w:after="0"/>
              <w:rPr>
                <w:sz w:val="20"/>
                <w:szCs w:val="20"/>
                <w:color w:val="auto"/>
              </w:rPr>
            </w:pPr>
            <w:r>
              <w:rPr>
                <w:rFonts w:ascii="Calibri" w:cs="Calibri" w:eastAsia="Calibri" w:hAnsi="Calibri"/>
                <w:sz w:val="20"/>
                <w:szCs w:val="20"/>
                <w:color w:val="231F20"/>
              </w:rPr>
              <w:t>$</w:t>
            </w:r>
          </w:p>
        </w:tc>
        <w:tc>
          <w:tcPr>
            <w:tcW w:w="920" w:type="dxa"/>
            <w:vAlign w:val="bottom"/>
            <w:shd w:val="clear" w:color="auto" w:fill="E6E7E8"/>
          </w:tcPr>
          <w:p>
            <w:pPr>
              <w:jc w:val="right"/>
              <w:ind w:right="63"/>
              <w:spacing w:after="0"/>
              <w:rPr>
                <w:sz w:val="20"/>
                <w:szCs w:val="20"/>
                <w:color w:val="auto"/>
              </w:rPr>
            </w:pPr>
            <w:r>
              <w:rPr>
                <w:rFonts w:ascii="Calibri" w:cs="Calibri" w:eastAsia="Calibri" w:hAnsi="Calibri"/>
                <w:sz w:val="20"/>
                <w:szCs w:val="20"/>
                <w:color w:val="231F20"/>
              </w:rPr>
              <w:t>-</w:t>
            </w:r>
          </w:p>
        </w:tc>
        <w:tc>
          <w:tcPr>
            <w:tcW w:w="280" w:type="dxa"/>
            <w:vAlign w:val="bottom"/>
            <w:shd w:val="clear" w:color="auto" w:fill="E6E7E8"/>
          </w:tcPr>
          <w:p>
            <w:pPr>
              <w:ind w:left="200"/>
              <w:spacing w:after="0"/>
              <w:rPr>
                <w:sz w:val="20"/>
                <w:szCs w:val="20"/>
                <w:color w:val="auto"/>
              </w:rPr>
            </w:pPr>
            <w:r>
              <w:rPr>
                <w:rFonts w:ascii="Calibri" w:cs="Calibri" w:eastAsia="Calibri" w:hAnsi="Calibri"/>
                <w:sz w:val="16"/>
                <w:szCs w:val="16"/>
                <w:color w:val="231F20"/>
                <w:w w:val="73"/>
              </w:rPr>
              <w:t>$</w:t>
            </w:r>
          </w:p>
        </w:tc>
        <w:tc>
          <w:tcPr>
            <w:tcW w:w="1100" w:type="dxa"/>
            <w:vAlign w:val="bottom"/>
            <w:shd w:val="clear" w:color="auto" w:fill="E6E7E8"/>
          </w:tcPr>
          <w:p>
            <w:pPr>
              <w:jc w:val="right"/>
              <w:ind w:right="103"/>
              <w:spacing w:after="0"/>
              <w:rPr>
                <w:sz w:val="20"/>
                <w:szCs w:val="20"/>
                <w:color w:val="auto"/>
              </w:rPr>
            </w:pPr>
            <w:r>
              <w:rPr>
                <w:rFonts w:ascii="Calibri" w:cs="Calibri" w:eastAsia="Calibri" w:hAnsi="Calibri"/>
                <w:sz w:val="20"/>
                <w:szCs w:val="20"/>
                <w:color w:val="231F20"/>
              </w:rPr>
              <w:t>60,000</w:t>
            </w:r>
          </w:p>
        </w:tc>
        <w:tc>
          <w:tcPr>
            <w:tcW w:w="260" w:type="dxa"/>
            <w:vAlign w:val="bottom"/>
            <w:shd w:val="clear" w:color="auto" w:fill="E6E7E8"/>
          </w:tcPr>
          <w:p>
            <w:pPr>
              <w:jc w:val="right"/>
              <w:spacing w:after="0"/>
              <w:rPr>
                <w:sz w:val="20"/>
                <w:szCs w:val="20"/>
                <w:color w:val="auto"/>
              </w:rPr>
            </w:pPr>
            <w:r>
              <w:rPr>
                <w:rFonts w:ascii="Calibri" w:cs="Calibri" w:eastAsia="Calibri" w:hAnsi="Calibri"/>
                <w:sz w:val="20"/>
                <w:szCs w:val="20"/>
                <w:color w:val="231F20"/>
              </w:rPr>
              <w:t>$</w:t>
            </w:r>
          </w:p>
        </w:tc>
        <w:tc>
          <w:tcPr>
            <w:tcW w:w="1060" w:type="dxa"/>
            <w:vAlign w:val="bottom"/>
            <w:shd w:val="clear" w:color="auto" w:fill="E6E7E8"/>
          </w:tcPr>
          <w:p>
            <w:pPr>
              <w:jc w:val="right"/>
              <w:ind w:right="83"/>
              <w:spacing w:after="0"/>
              <w:rPr>
                <w:sz w:val="20"/>
                <w:szCs w:val="20"/>
                <w:color w:val="auto"/>
              </w:rPr>
            </w:pPr>
            <w:r>
              <w:rPr>
                <w:rFonts w:ascii="Calibri" w:cs="Calibri" w:eastAsia="Calibri" w:hAnsi="Calibri"/>
                <w:sz w:val="20"/>
                <w:szCs w:val="20"/>
                <w:color w:val="231F20"/>
              </w:rPr>
              <w:t>90,000</w:t>
            </w:r>
          </w:p>
        </w:tc>
        <w:tc>
          <w:tcPr>
            <w:tcW w:w="120" w:type="dxa"/>
            <w:vAlign w:val="bottom"/>
            <w:shd w:val="clear" w:color="auto" w:fill="E6E7E8"/>
          </w:tcPr>
          <w:p>
            <w:pPr>
              <w:ind w:left="20"/>
              <w:spacing w:after="0"/>
              <w:rPr>
                <w:sz w:val="20"/>
                <w:szCs w:val="20"/>
                <w:color w:val="auto"/>
              </w:rPr>
            </w:pPr>
            <w:r>
              <w:rPr>
                <w:rFonts w:ascii="Calibri" w:cs="Calibri" w:eastAsia="Calibri" w:hAnsi="Calibri"/>
                <w:sz w:val="20"/>
                <w:szCs w:val="20"/>
                <w:color w:val="231F20"/>
                <w:w w:val="78"/>
              </w:rPr>
              <w:t>$</w:t>
            </w:r>
          </w:p>
        </w:tc>
        <w:tc>
          <w:tcPr>
            <w:tcW w:w="980" w:type="dxa"/>
            <w:vAlign w:val="bottom"/>
            <w:shd w:val="clear" w:color="auto" w:fill="E6E7E8"/>
          </w:tcPr>
          <w:p>
            <w:pPr>
              <w:jc w:val="right"/>
              <w:spacing w:after="0"/>
              <w:rPr>
                <w:sz w:val="20"/>
                <w:szCs w:val="20"/>
                <w:color w:val="auto"/>
              </w:rPr>
            </w:pPr>
            <w:r>
              <w:rPr>
                <w:rFonts w:ascii="Calibri" w:cs="Calibri" w:eastAsia="Calibri" w:hAnsi="Calibri"/>
                <w:sz w:val="20"/>
                <w:szCs w:val="20"/>
                <w:color w:val="231F20"/>
              </w:rPr>
              <w:t>-</w:t>
            </w:r>
          </w:p>
        </w:tc>
        <w:tc>
          <w:tcPr>
            <w:tcW w:w="200" w:type="dxa"/>
            <w:vAlign w:val="bottom"/>
            <w:shd w:val="clear" w:color="auto" w:fill="E6E7E8"/>
          </w:tcPr>
          <w:p>
            <w:pPr>
              <w:jc w:val="right"/>
              <w:spacing w:after="0"/>
              <w:rPr>
                <w:sz w:val="20"/>
                <w:szCs w:val="20"/>
                <w:color w:val="auto"/>
              </w:rPr>
            </w:pPr>
            <w:r>
              <w:rPr>
                <w:rFonts w:ascii="Calibri" w:cs="Calibri" w:eastAsia="Calibri" w:hAnsi="Calibri"/>
                <w:sz w:val="20"/>
                <w:szCs w:val="20"/>
                <w:color w:val="231F20"/>
              </w:rPr>
              <w:t>$</w:t>
            </w:r>
          </w:p>
        </w:tc>
        <w:tc>
          <w:tcPr>
            <w:tcW w:w="1000" w:type="dxa"/>
            <w:vAlign w:val="bottom"/>
            <w:shd w:val="clear" w:color="auto" w:fill="E6E7E8"/>
          </w:tcPr>
          <w:p>
            <w:pPr>
              <w:jc w:val="right"/>
              <w:ind w:right="23"/>
              <w:spacing w:after="0"/>
              <w:rPr>
                <w:sz w:val="20"/>
                <w:szCs w:val="20"/>
                <w:color w:val="auto"/>
              </w:rPr>
            </w:pPr>
            <w:r>
              <w:rPr>
                <w:rFonts w:ascii="Calibri" w:cs="Calibri" w:eastAsia="Calibri" w:hAnsi="Calibri"/>
                <w:sz w:val="20"/>
                <w:szCs w:val="20"/>
                <w:color w:val="231F20"/>
              </w:rPr>
              <w:t>-</w:t>
            </w:r>
          </w:p>
        </w:tc>
        <w:tc>
          <w:tcPr>
            <w:tcW w:w="0" w:type="dxa"/>
            <w:vAlign w:val="bottom"/>
          </w:tcPr>
          <w:p>
            <w:pPr>
              <w:spacing w:after="0"/>
              <w:rPr>
                <w:sz w:val="1"/>
                <w:szCs w:val="1"/>
                <w:color w:val="auto"/>
              </w:rPr>
            </w:pPr>
          </w:p>
        </w:tc>
      </w:tr>
      <w:tr>
        <w:trPr>
          <w:trHeight w:val="271"/>
        </w:trPr>
        <w:tc>
          <w:tcPr>
            <w:tcW w:w="9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920" w:type="dxa"/>
            <w:vAlign w:val="bottom"/>
          </w:tcPr>
          <w:p>
            <w:pPr>
              <w:spacing w:after="0"/>
              <w:rPr>
                <w:sz w:val="20"/>
                <w:szCs w:val="20"/>
                <w:color w:val="auto"/>
              </w:rPr>
            </w:pPr>
            <w:r>
              <w:rPr>
                <w:rFonts w:ascii="Calibri" w:cs="Calibri" w:eastAsia="Calibri" w:hAnsi="Calibri"/>
                <w:sz w:val="20"/>
                <w:szCs w:val="20"/>
                <w:color w:val="231F20"/>
              </w:rPr>
              <w:t>Excise Tax Gross-Up</w:t>
            </w:r>
          </w:p>
        </w:tc>
        <w:tc>
          <w:tcPr>
            <w:tcW w:w="260" w:type="dxa"/>
            <w:vAlign w:val="bottom"/>
          </w:tcPr>
          <w:p>
            <w:pPr>
              <w:spacing w:after="0"/>
              <w:rPr>
                <w:sz w:val="23"/>
                <w:szCs w:val="23"/>
                <w:color w:val="auto"/>
              </w:rPr>
            </w:pPr>
          </w:p>
        </w:tc>
        <w:tc>
          <w:tcPr>
            <w:tcW w:w="920" w:type="dxa"/>
            <w:vAlign w:val="bottom"/>
          </w:tcPr>
          <w:p>
            <w:pPr>
              <w:jc w:val="right"/>
              <w:ind w:right="63"/>
              <w:spacing w:after="0"/>
              <w:rPr>
                <w:sz w:val="20"/>
                <w:szCs w:val="20"/>
                <w:color w:val="auto"/>
              </w:rPr>
            </w:pPr>
            <w:r>
              <w:rPr>
                <w:rFonts w:ascii="Calibri" w:cs="Calibri" w:eastAsia="Calibri" w:hAnsi="Calibri"/>
                <w:sz w:val="20"/>
                <w:szCs w:val="20"/>
                <w:color w:val="231F20"/>
              </w:rPr>
              <w:t>N/A</w:t>
            </w:r>
          </w:p>
        </w:tc>
        <w:tc>
          <w:tcPr>
            <w:tcW w:w="280" w:type="dxa"/>
            <w:vAlign w:val="bottom"/>
          </w:tcPr>
          <w:p>
            <w:pPr>
              <w:spacing w:after="0"/>
              <w:rPr>
                <w:sz w:val="23"/>
                <w:szCs w:val="23"/>
                <w:color w:val="auto"/>
              </w:rPr>
            </w:pPr>
          </w:p>
        </w:tc>
        <w:tc>
          <w:tcPr>
            <w:tcW w:w="1100" w:type="dxa"/>
            <w:vAlign w:val="bottom"/>
          </w:tcPr>
          <w:p>
            <w:pPr>
              <w:jc w:val="right"/>
              <w:ind w:right="103"/>
              <w:spacing w:after="0"/>
              <w:rPr>
                <w:sz w:val="20"/>
                <w:szCs w:val="20"/>
                <w:color w:val="auto"/>
              </w:rPr>
            </w:pPr>
            <w:r>
              <w:rPr>
                <w:rFonts w:ascii="Calibri" w:cs="Calibri" w:eastAsia="Calibri" w:hAnsi="Calibri"/>
                <w:sz w:val="20"/>
                <w:szCs w:val="20"/>
                <w:color w:val="231F20"/>
              </w:rPr>
              <w:t>N/A</w:t>
            </w:r>
          </w:p>
        </w:tc>
        <w:tc>
          <w:tcPr>
            <w:tcW w:w="260" w:type="dxa"/>
            <w:vAlign w:val="bottom"/>
          </w:tcPr>
          <w:p>
            <w:pPr>
              <w:jc w:val="right"/>
              <w:spacing w:after="0"/>
              <w:rPr>
                <w:sz w:val="20"/>
                <w:szCs w:val="20"/>
                <w:color w:val="auto"/>
              </w:rPr>
            </w:pPr>
            <w:r>
              <w:rPr>
                <w:rFonts w:ascii="Calibri" w:cs="Calibri" w:eastAsia="Calibri" w:hAnsi="Calibri"/>
                <w:sz w:val="20"/>
                <w:szCs w:val="20"/>
                <w:color w:val="231F20"/>
              </w:rPr>
              <w:t>$</w:t>
            </w:r>
          </w:p>
        </w:tc>
        <w:tc>
          <w:tcPr>
            <w:tcW w:w="1060" w:type="dxa"/>
            <w:vAlign w:val="bottom"/>
          </w:tcPr>
          <w:p>
            <w:pPr>
              <w:jc w:val="right"/>
              <w:ind w:right="83"/>
              <w:spacing w:after="0"/>
              <w:rPr>
                <w:sz w:val="20"/>
                <w:szCs w:val="20"/>
                <w:color w:val="auto"/>
              </w:rPr>
            </w:pPr>
            <w:r>
              <w:rPr>
                <w:rFonts w:ascii="Calibri" w:cs="Calibri" w:eastAsia="Calibri" w:hAnsi="Calibri"/>
                <w:sz w:val="20"/>
                <w:szCs w:val="20"/>
                <w:color w:val="231F20"/>
              </w:rPr>
              <w:t>-</w:t>
            </w:r>
          </w:p>
        </w:tc>
        <w:tc>
          <w:tcPr>
            <w:tcW w:w="1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Calibri" w:cs="Calibri" w:eastAsia="Calibri" w:hAnsi="Calibri"/>
                <w:sz w:val="20"/>
                <w:szCs w:val="20"/>
                <w:color w:val="231F20"/>
              </w:rPr>
              <w:t>N/A</w:t>
            </w:r>
          </w:p>
        </w:tc>
        <w:tc>
          <w:tcPr>
            <w:tcW w:w="20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Calibri" w:cs="Calibri" w:eastAsia="Calibri" w:hAnsi="Calibri"/>
                <w:sz w:val="20"/>
                <w:szCs w:val="20"/>
                <w:color w:val="231F20"/>
              </w:rPr>
              <w:t>N/A</w:t>
            </w:r>
          </w:p>
        </w:tc>
        <w:tc>
          <w:tcPr>
            <w:tcW w:w="0" w:type="dxa"/>
            <w:vAlign w:val="bottom"/>
          </w:tcPr>
          <w:p>
            <w:pPr>
              <w:spacing w:after="0"/>
              <w:rPr>
                <w:sz w:val="1"/>
                <w:szCs w:val="1"/>
                <w:color w:val="auto"/>
              </w:rPr>
            </w:pPr>
          </w:p>
        </w:tc>
      </w:tr>
      <w:tr>
        <w:trPr>
          <w:trHeight w:val="24"/>
        </w:trPr>
        <w:tc>
          <w:tcPr>
            <w:tcW w:w="9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1980" w:type="dxa"/>
            <w:vAlign w:val="bottom"/>
            <w:tcBorders>
              <w:bottom w:val="single" w:sz="8" w:color="EF3E2A"/>
            </w:tcBorders>
            <w:gridSpan w:val="2"/>
            <w:shd w:val="clear" w:color="auto" w:fill="EF3E2A"/>
          </w:tcPr>
          <w:p>
            <w:pPr>
              <w:spacing w:after="0"/>
              <w:rPr>
                <w:sz w:val="20"/>
                <w:szCs w:val="20"/>
                <w:color w:val="auto"/>
              </w:rPr>
            </w:pPr>
            <w:r>
              <w:rPr>
                <w:rFonts w:ascii="Calibri" w:cs="Calibri" w:eastAsia="Calibri" w:hAnsi="Calibri"/>
                <w:sz w:val="20"/>
                <w:szCs w:val="20"/>
                <w:b w:val="1"/>
                <w:bCs w:val="1"/>
                <w:color w:val="FFFFFF"/>
              </w:rPr>
              <w:t>Total</w:t>
            </w:r>
          </w:p>
        </w:tc>
        <w:tc>
          <w:tcPr>
            <w:tcW w:w="1920" w:type="dxa"/>
            <w:vAlign w:val="bottom"/>
            <w:tcBorders>
              <w:bottom w:val="single" w:sz="8" w:color="EF3E2A"/>
            </w:tcBorders>
            <w:shd w:val="clear" w:color="auto" w:fill="EF3E2A"/>
          </w:tcPr>
          <w:p>
            <w:pPr>
              <w:spacing w:after="0"/>
              <w:rPr>
                <w:sz w:val="23"/>
                <w:szCs w:val="23"/>
                <w:color w:val="auto"/>
              </w:rPr>
            </w:pPr>
          </w:p>
        </w:tc>
        <w:tc>
          <w:tcPr>
            <w:tcW w:w="260" w:type="dxa"/>
            <w:vAlign w:val="bottom"/>
            <w:tcBorders>
              <w:bottom w:val="single" w:sz="8" w:color="EF3E2A"/>
            </w:tcBorders>
            <w:shd w:val="clear" w:color="auto" w:fill="EF3E2A"/>
          </w:tcPr>
          <w:p>
            <w:pPr>
              <w:jc w:val="right"/>
              <w:spacing w:after="0"/>
              <w:rPr>
                <w:sz w:val="20"/>
                <w:szCs w:val="20"/>
                <w:color w:val="auto"/>
              </w:rPr>
            </w:pPr>
            <w:r>
              <w:rPr>
                <w:rFonts w:ascii="Calibri" w:cs="Calibri" w:eastAsia="Calibri" w:hAnsi="Calibri"/>
                <w:sz w:val="20"/>
                <w:szCs w:val="20"/>
                <w:b w:val="1"/>
                <w:bCs w:val="1"/>
                <w:color w:val="FFFFFF"/>
              </w:rPr>
              <w:t>$</w:t>
            </w:r>
          </w:p>
        </w:tc>
        <w:tc>
          <w:tcPr>
            <w:tcW w:w="920" w:type="dxa"/>
            <w:vAlign w:val="bottom"/>
            <w:tcBorders>
              <w:bottom w:val="single" w:sz="8" w:color="EF3E2A"/>
            </w:tcBorders>
            <w:shd w:val="clear" w:color="auto" w:fill="EF3E2A"/>
          </w:tcPr>
          <w:p>
            <w:pPr>
              <w:jc w:val="right"/>
              <w:ind w:right="63"/>
              <w:spacing w:after="0"/>
              <w:rPr>
                <w:sz w:val="20"/>
                <w:szCs w:val="20"/>
                <w:color w:val="auto"/>
              </w:rPr>
            </w:pPr>
            <w:r>
              <w:rPr>
                <w:rFonts w:ascii="Calibri" w:cs="Calibri" w:eastAsia="Calibri" w:hAnsi="Calibri"/>
                <w:sz w:val="20"/>
                <w:szCs w:val="20"/>
                <w:b w:val="1"/>
                <w:bCs w:val="1"/>
                <w:color w:val="FFFFFF"/>
              </w:rPr>
              <w:t>296,470</w:t>
            </w:r>
          </w:p>
        </w:tc>
        <w:tc>
          <w:tcPr>
            <w:tcW w:w="280" w:type="dxa"/>
            <w:vAlign w:val="bottom"/>
            <w:tcBorders>
              <w:bottom w:val="single" w:sz="8" w:color="EF3E2A"/>
            </w:tcBorders>
            <w:shd w:val="clear" w:color="auto" w:fill="EF3E2A"/>
          </w:tcPr>
          <w:p>
            <w:pPr>
              <w:ind w:left="200"/>
              <w:spacing w:after="0"/>
              <w:rPr>
                <w:sz w:val="20"/>
                <w:szCs w:val="20"/>
                <w:color w:val="auto"/>
              </w:rPr>
            </w:pPr>
            <w:r>
              <w:rPr>
                <w:rFonts w:ascii="Calibri" w:cs="Calibri" w:eastAsia="Calibri" w:hAnsi="Calibri"/>
                <w:sz w:val="16"/>
                <w:szCs w:val="16"/>
                <w:b w:val="1"/>
                <w:bCs w:val="1"/>
                <w:color w:val="FFFFFF"/>
                <w:w w:val="73"/>
              </w:rPr>
              <w:t>$</w:t>
            </w:r>
          </w:p>
        </w:tc>
        <w:tc>
          <w:tcPr>
            <w:tcW w:w="1100" w:type="dxa"/>
            <w:vAlign w:val="bottom"/>
            <w:tcBorders>
              <w:bottom w:val="single" w:sz="8" w:color="EF3E2A"/>
            </w:tcBorders>
            <w:shd w:val="clear" w:color="auto" w:fill="EF3E2A"/>
          </w:tcPr>
          <w:p>
            <w:pPr>
              <w:jc w:val="right"/>
              <w:ind w:right="103"/>
              <w:spacing w:after="0"/>
              <w:rPr>
                <w:sz w:val="20"/>
                <w:szCs w:val="20"/>
                <w:color w:val="auto"/>
              </w:rPr>
            </w:pPr>
            <w:r>
              <w:rPr>
                <w:rFonts w:ascii="Calibri" w:cs="Calibri" w:eastAsia="Calibri" w:hAnsi="Calibri"/>
                <w:sz w:val="20"/>
                <w:szCs w:val="20"/>
                <w:b w:val="1"/>
                <w:bCs w:val="1"/>
                <w:color w:val="FFFFFF"/>
              </w:rPr>
              <w:t>3,829,043</w:t>
            </w:r>
          </w:p>
        </w:tc>
        <w:tc>
          <w:tcPr>
            <w:tcW w:w="260" w:type="dxa"/>
            <w:vAlign w:val="bottom"/>
            <w:tcBorders>
              <w:bottom w:val="single" w:sz="8" w:color="EF3E2A"/>
            </w:tcBorders>
            <w:shd w:val="clear" w:color="auto" w:fill="EF3E2A"/>
          </w:tcPr>
          <w:p>
            <w:pPr>
              <w:jc w:val="right"/>
              <w:spacing w:after="0"/>
              <w:rPr>
                <w:sz w:val="20"/>
                <w:szCs w:val="20"/>
                <w:color w:val="auto"/>
              </w:rPr>
            </w:pPr>
            <w:r>
              <w:rPr>
                <w:rFonts w:ascii="Calibri" w:cs="Calibri" w:eastAsia="Calibri" w:hAnsi="Calibri"/>
                <w:sz w:val="20"/>
                <w:szCs w:val="20"/>
                <w:b w:val="1"/>
                <w:bCs w:val="1"/>
                <w:color w:val="FFFFFF"/>
              </w:rPr>
              <w:t>$</w:t>
            </w:r>
          </w:p>
        </w:tc>
        <w:tc>
          <w:tcPr>
            <w:tcW w:w="1060" w:type="dxa"/>
            <w:vAlign w:val="bottom"/>
            <w:tcBorders>
              <w:bottom w:val="single" w:sz="8" w:color="EF3E2A"/>
            </w:tcBorders>
            <w:shd w:val="clear" w:color="auto" w:fill="EF3E2A"/>
          </w:tcPr>
          <w:p>
            <w:pPr>
              <w:jc w:val="right"/>
              <w:ind w:right="83"/>
              <w:spacing w:after="0"/>
              <w:rPr>
                <w:sz w:val="20"/>
                <w:szCs w:val="20"/>
                <w:color w:val="auto"/>
              </w:rPr>
            </w:pPr>
            <w:r>
              <w:rPr>
                <w:rFonts w:ascii="Calibri" w:cs="Calibri" w:eastAsia="Calibri" w:hAnsi="Calibri"/>
                <w:sz w:val="20"/>
                <w:szCs w:val="20"/>
                <w:b w:val="1"/>
                <w:bCs w:val="1"/>
                <w:color w:val="FFFFFF"/>
              </w:rPr>
              <w:t>5,175,216</w:t>
            </w:r>
          </w:p>
        </w:tc>
        <w:tc>
          <w:tcPr>
            <w:tcW w:w="120" w:type="dxa"/>
            <w:vAlign w:val="bottom"/>
            <w:tcBorders>
              <w:bottom w:val="single" w:sz="8" w:color="EF3E2A"/>
            </w:tcBorders>
            <w:shd w:val="clear" w:color="auto" w:fill="EF3E2A"/>
          </w:tcPr>
          <w:p>
            <w:pPr>
              <w:ind w:left="20"/>
              <w:spacing w:after="0"/>
              <w:rPr>
                <w:sz w:val="20"/>
                <w:szCs w:val="20"/>
                <w:color w:val="auto"/>
              </w:rPr>
            </w:pPr>
            <w:r>
              <w:rPr>
                <w:rFonts w:ascii="Calibri" w:cs="Calibri" w:eastAsia="Calibri" w:hAnsi="Calibri"/>
                <w:sz w:val="20"/>
                <w:szCs w:val="20"/>
                <w:b w:val="1"/>
                <w:bCs w:val="1"/>
                <w:color w:val="FFFFFF"/>
                <w:w w:val="78"/>
              </w:rPr>
              <w:t>$</w:t>
            </w:r>
          </w:p>
        </w:tc>
        <w:tc>
          <w:tcPr>
            <w:tcW w:w="980" w:type="dxa"/>
            <w:vAlign w:val="bottom"/>
            <w:tcBorders>
              <w:bottom w:val="single" w:sz="8" w:color="EF3E2A"/>
            </w:tcBorders>
            <w:shd w:val="clear" w:color="auto" w:fill="EF3E2A"/>
          </w:tcPr>
          <w:p>
            <w:pPr>
              <w:jc w:val="right"/>
              <w:spacing w:after="0"/>
              <w:rPr>
                <w:sz w:val="20"/>
                <w:szCs w:val="20"/>
                <w:color w:val="auto"/>
              </w:rPr>
            </w:pPr>
            <w:r>
              <w:rPr>
                <w:rFonts w:ascii="Calibri" w:cs="Calibri" w:eastAsia="Calibri" w:hAnsi="Calibri"/>
                <w:sz w:val="20"/>
                <w:szCs w:val="20"/>
                <w:b w:val="1"/>
                <w:bCs w:val="1"/>
                <w:color w:val="FFFFFF"/>
              </w:rPr>
              <w:t>2,461,838</w:t>
            </w:r>
          </w:p>
        </w:tc>
        <w:tc>
          <w:tcPr>
            <w:tcW w:w="200" w:type="dxa"/>
            <w:vAlign w:val="bottom"/>
            <w:tcBorders>
              <w:bottom w:val="single" w:sz="8" w:color="EF3E2A"/>
            </w:tcBorders>
            <w:shd w:val="clear" w:color="auto" w:fill="EF3E2A"/>
          </w:tcPr>
          <w:p>
            <w:pPr>
              <w:jc w:val="right"/>
              <w:spacing w:after="0"/>
              <w:rPr>
                <w:sz w:val="20"/>
                <w:szCs w:val="20"/>
                <w:color w:val="auto"/>
              </w:rPr>
            </w:pPr>
            <w:r>
              <w:rPr>
                <w:rFonts w:ascii="Calibri" w:cs="Calibri" w:eastAsia="Calibri" w:hAnsi="Calibri"/>
                <w:sz w:val="20"/>
                <w:szCs w:val="20"/>
                <w:b w:val="1"/>
                <w:bCs w:val="1"/>
                <w:color w:val="FFFFFF"/>
              </w:rPr>
              <w:t>$</w:t>
            </w:r>
          </w:p>
        </w:tc>
        <w:tc>
          <w:tcPr>
            <w:tcW w:w="1000" w:type="dxa"/>
            <w:vAlign w:val="bottom"/>
            <w:tcBorders>
              <w:bottom w:val="single" w:sz="8" w:color="EF3E2A"/>
            </w:tcBorders>
            <w:shd w:val="clear" w:color="auto" w:fill="EF3E2A"/>
          </w:tcPr>
          <w:p>
            <w:pPr>
              <w:jc w:val="right"/>
              <w:ind w:right="23"/>
              <w:spacing w:after="0"/>
              <w:rPr>
                <w:sz w:val="20"/>
                <w:szCs w:val="20"/>
                <w:color w:val="auto"/>
              </w:rPr>
            </w:pPr>
            <w:r>
              <w:rPr>
                <w:rFonts w:ascii="Calibri" w:cs="Calibri" w:eastAsia="Calibri" w:hAnsi="Calibri"/>
                <w:sz w:val="20"/>
                <w:szCs w:val="20"/>
                <w:b w:val="1"/>
                <w:bCs w:val="1"/>
                <w:color w:val="FFFFFF"/>
              </w:rPr>
              <w:t>3,085,863</w:t>
            </w:r>
          </w:p>
        </w:tc>
        <w:tc>
          <w:tcPr>
            <w:tcW w:w="0" w:type="dxa"/>
            <w:vAlign w:val="bottom"/>
          </w:tcPr>
          <w:p>
            <w:pPr>
              <w:spacing w:after="0"/>
              <w:rPr>
                <w:sz w:val="1"/>
                <w:szCs w:val="1"/>
                <w:color w:val="auto"/>
              </w:rPr>
            </w:pPr>
          </w:p>
        </w:tc>
      </w:tr>
      <w:tr>
        <w:trPr>
          <w:trHeight w:val="150"/>
        </w:trPr>
        <w:tc>
          <w:tcPr>
            <w:tcW w:w="960" w:type="dxa"/>
            <w:vAlign w:val="bottom"/>
            <w:tcBorders>
              <w:bottom w:val="single" w:sz="8" w:color="231F20"/>
            </w:tcBorders>
          </w:tcPr>
          <w:p>
            <w:pPr>
              <w:spacing w:after="0"/>
              <w:rPr>
                <w:sz w:val="13"/>
                <w:szCs w:val="13"/>
                <w:color w:val="auto"/>
              </w:rPr>
            </w:pPr>
          </w:p>
        </w:tc>
        <w:tc>
          <w:tcPr>
            <w:tcW w:w="102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55" w:lineRule="exact"/>
        <w:rPr>
          <w:sz w:val="20"/>
          <w:szCs w:val="20"/>
          <w:color w:val="auto"/>
        </w:rPr>
      </w:pPr>
    </w:p>
    <w:p>
      <w:pPr>
        <w:jc w:val="both"/>
        <w:ind w:left="360" w:hanging="360"/>
        <w:spacing w:after="0"/>
        <w:tabs>
          <w:tab w:leader="none" w:pos="360" w:val="left"/>
        </w:tabs>
        <w:numPr>
          <w:ilvl w:val="0"/>
          <w:numId w:val="148"/>
        </w:numPr>
        <w:rPr>
          <w:rFonts w:ascii="Arial" w:cs="Arial" w:eastAsia="Arial" w:hAnsi="Arial"/>
          <w:sz w:val="23"/>
          <w:szCs w:val="23"/>
          <w:color w:val="231F20"/>
          <w:vertAlign w:val="superscript"/>
        </w:rPr>
      </w:pPr>
      <w:r>
        <w:rPr>
          <w:rFonts w:ascii="Arial" w:cs="Arial" w:eastAsia="Arial" w:hAnsi="Arial"/>
          <w:sz w:val="18"/>
          <w:szCs w:val="18"/>
          <w:color w:val="231F20"/>
        </w:rPr>
        <w:t>For all NEOs, the cash payments for termination without cause and termination following a change-in-control include base salary plus the highest bonus earned during 2024, 2023 and 2022, the last three completed fiscal years. The cash payments on termination with cause for Mr. Wood, Mr. Guglielmone and Ms. Becker are 1 month of base pay for every year of service above 5 years, capped at 6 months of base pay. The cash payments on disability for Mr. Wood, Mr. Guglielmone and Ms. Becker represent 1 year of base salary less amounts received from disability insurance maintained by the Company, grossed up for taxes on non-tax exempt payments.</w:t>
      </w:r>
    </w:p>
    <w:p>
      <w:pPr>
        <w:spacing w:after="0" w:line="20" w:lineRule="exact"/>
        <w:rPr>
          <w:rFonts w:ascii="Arial" w:cs="Arial" w:eastAsia="Arial" w:hAnsi="Arial"/>
          <w:sz w:val="23"/>
          <w:szCs w:val="23"/>
          <w:color w:val="231F20"/>
          <w:vertAlign w:val="superscript"/>
        </w:rPr>
      </w:pPr>
    </w:p>
    <w:p>
      <w:pPr>
        <w:jc w:val="both"/>
        <w:ind w:left="360" w:hanging="360"/>
        <w:spacing w:after="0" w:line="214" w:lineRule="auto"/>
        <w:tabs>
          <w:tab w:leader="none" w:pos="360" w:val="left"/>
        </w:tabs>
        <w:numPr>
          <w:ilvl w:val="0"/>
          <w:numId w:val="148"/>
        </w:numPr>
        <w:rPr>
          <w:rFonts w:ascii="Arial" w:cs="Arial" w:eastAsia="Arial" w:hAnsi="Arial"/>
          <w:sz w:val="23"/>
          <w:szCs w:val="23"/>
          <w:color w:val="231F20"/>
          <w:vertAlign w:val="superscript"/>
        </w:rPr>
      </w:pPr>
      <w:r>
        <w:rPr>
          <w:rFonts w:ascii="Arial" w:cs="Arial" w:eastAsia="Arial" w:hAnsi="Arial"/>
          <w:sz w:val="18"/>
          <w:szCs w:val="18"/>
          <w:color w:val="231F20"/>
        </w:rPr>
        <w:t>Amounts in this row represent our estimate of the COBRA equivalent rates for health care benefits and current life and long-term disability premiums for all NEOs. The period of time for which these benefits are provided varies as follows:</w:t>
      </w:r>
    </w:p>
    <w:p>
      <w:pPr>
        <w:spacing w:after="0" w:line="13" w:lineRule="exact"/>
        <w:rPr>
          <w:rFonts w:ascii="Arial" w:cs="Arial" w:eastAsia="Arial" w:hAnsi="Arial"/>
          <w:sz w:val="23"/>
          <w:szCs w:val="23"/>
          <w:color w:val="231F20"/>
          <w:vertAlign w:val="superscript"/>
        </w:rPr>
      </w:pPr>
    </w:p>
    <w:p>
      <w:pPr>
        <w:ind w:left="700" w:hanging="340"/>
        <w:spacing w:after="0"/>
        <w:tabs>
          <w:tab w:leader="none" w:pos="700" w:val="left"/>
        </w:tabs>
        <w:numPr>
          <w:ilvl w:val="1"/>
          <w:numId w:val="148"/>
        </w:numPr>
        <w:rPr>
          <w:rFonts w:ascii="Arial" w:cs="Arial" w:eastAsia="Arial" w:hAnsi="Arial"/>
          <w:sz w:val="18"/>
          <w:szCs w:val="18"/>
          <w:color w:val="231F20"/>
        </w:rPr>
      </w:pPr>
      <w:r>
        <w:rPr>
          <w:rFonts w:ascii="Arial" w:cs="Arial" w:eastAsia="Arial" w:hAnsi="Arial"/>
          <w:sz w:val="18"/>
          <w:szCs w:val="18"/>
          <w:color w:val="231F20"/>
        </w:rPr>
        <w:t>termination  without  cause  –  9  months  for  Mr.  Wood  and  Ms.  Becker  and  12  months  for  Mr.  Guglielmone;</w:t>
      </w:r>
    </w:p>
    <w:p>
      <w:pPr>
        <w:spacing w:after="0" w:line="12" w:lineRule="exact"/>
        <w:rPr>
          <w:rFonts w:ascii="Arial" w:cs="Arial" w:eastAsia="Arial" w:hAnsi="Arial"/>
          <w:sz w:val="18"/>
          <w:szCs w:val="18"/>
          <w:color w:val="231F20"/>
        </w:rPr>
      </w:pPr>
    </w:p>
    <w:p>
      <w:pPr>
        <w:ind w:left="660" w:hanging="300"/>
        <w:spacing w:after="0"/>
        <w:tabs>
          <w:tab w:leader="none" w:pos="660" w:val="left"/>
        </w:tabs>
        <w:numPr>
          <w:ilvl w:val="1"/>
          <w:numId w:val="148"/>
        </w:numPr>
        <w:rPr>
          <w:rFonts w:ascii="Arial" w:cs="Arial" w:eastAsia="Arial" w:hAnsi="Arial"/>
          <w:sz w:val="18"/>
          <w:szCs w:val="18"/>
          <w:color w:val="231F20"/>
        </w:rPr>
      </w:pPr>
      <w:r>
        <w:rPr>
          <w:rFonts w:ascii="Arial" w:cs="Arial" w:eastAsia="Arial" w:hAnsi="Arial"/>
          <w:sz w:val="18"/>
          <w:szCs w:val="18"/>
          <w:color w:val="231F20"/>
        </w:rPr>
        <w:t>termination following a change-in-control – 3 years for Mr. Wood and 2 years for Ms. Becker and Mr. Guglielmone;</w:t>
      </w:r>
    </w:p>
    <w:p>
      <w:pPr>
        <w:spacing w:after="0" w:line="13" w:lineRule="exact"/>
        <w:rPr>
          <w:rFonts w:ascii="Arial" w:cs="Arial" w:eastAsia="Arial" w:hAnsi="Arial"/>
          <w:sz w:val="18"/>
          <w:szCs w:val="18"/>
          <w:color w:val="231F20"/>
        </w:rPr>
      </w:pPr>
    </w:p>
    <w:p>
      <w:pPr>
        <w:ind w:left="660" w:hanging="300"/>
        <w:spacing w:after="0"/>
        <w:tabs>
          <w:tab w:leader="none" w:pos="660" w:val="left"/>
        </w:tabs>
        <w:numPr>
          <w:ilvl w:val="1"/>
          <w:numId w:val="148"/>
        </w:numPr>
        <w:rPr>
          <w:rFonts w:ascii="Arial" w:cs="Arial" w:eastAsia="Arial" w:hAnsi="Arial"/>
          <w:sz w:val="18"/>
          <w:szCs w:val="18"/>
          <w:color w:val="231F20"/>
        </w:rPr>
      </w:pPr>
      <w:r>
        <w:rPr>
          <w:rFonts w:ascii="Arial" w:cs="Arial" w:eastAsia="Arial" w:hAnsi="Arial"/>
          <w:sz w:val="18"/>
          <w:szCs w:val="18"/>
          <w:color w:val="231F20"/>
        </w:rPr>
        <w:t>termination for cause – 1 month for every year of service above 5 years, capped at 6 months for all NEOs; and</w:t>
      </w:r>
    </w:p>
    <w:p>
      <w:pPr>
        <w:spacing w:after="0" w:line="19" w:lineRule="exact"/>
        <w:rPr>
          <w:rFonts w:ascii="Arial" w:cs="Arial" w:eastAsia="Arial" w:hAnsi="Arial"/>
          <w:sz w:val="18"/>
          <w:szCs w:val="18"/>
          <w:color w:val="231F20"/>
        </w:rPr>
      </w:pPr>
    </w:p>
    <w:p>
      <w:pPr>
        <w:ind w:left="360"/>
        <w:spacing w:after="0" w:line="248" w:lineRule="auto"/>
        <w:tabs>
          <w:tab w:leader="none" w:pos="672" w:val="left"/>
        </w:tabs>
        <w:numPr>
          <w:ilvl w:val="1"/>
          <w:numId w:val="148"/>
        </w:numPr>
        <w:rPr>
          <w:rFonts w:ascii="Arial" w:cs="Arial" w:eastAsia="Arial" w:hAnsi="Arial"/>
          <w:sz w:val="18"/>
          <w:szCs w:val="18"/>
          <w:color w:val="231F20"/>
        </w:rPr>
      </w:pPr>
      <w:r>
        <w:rPr>
          <w:rFonts w:ascii="Arial" w:cs="Arial" w:eastAsia="Arial" w:hAnsi="Arial"/>
          <w:sz w:val="18"/>
          <w:szCs w:val="18"/>
          <w:color w:val="231F20"/>
        </w:rPr>
        <w:t>disability – 1 year for all NEOs. All amounts shown in this row for Mr. Wood also include the estimated costs (calculated in accordance with GAAP) of satisfying the obligations under his Health Continuation Coverage Agreement.</w:t>
      </w:r>
    </w:p>
    <w:p>
      <w:pPr>
        <w:spacing w:after="0" w:line="12" w:lineRule="exact"/>
        <w:rPr>
          <w:rFonts w:ascii="Arial" w:cs="Arial" w:eastAsia="Arial" w:hAnsi="Arial"/>
          <w:sz w:val="18"/>
          <w:szCs w:val="18"/>
          <w:color w:val="231F20"/>
        </w:rPr>
      </w:pPr>
    </w:p>
    <w:p>
      <w:pPr>
        <w:jc w:val="both"/>
        <w:ind w:left="360" w:hanging="360"/>
        <w:spacing w:after="0" w:line="226" w:lineRule="auto"/>
        <w:tabs>
          <w:tab w:leader="none" w:pos="360" w:val="left"/>
        </w:tabs>
        <w:numPr>
          <w:ilvl w:val="0"/>
          <w:numId w:val="148"/>
        </w:numPr>
        <w:rPr>
          <w:rFonts w:ascii="Arial" w:cs="Arial" w:eastAsia="Arial" w:hAnsi="Arial"/>
          <w:sz w:val="23"/>
          <w:szCs w:val="23"/>
          <w:color w:val="231F20"/>
          <w:vertAlign w:val="superscript"/>
        </w:rPr>
      </w:pPr>
      <w:r>
        <w:rPr>
          <w:rFonts w:ascii="Arial" w:cs="Arial" w:eastAsia="Arial" w:hAnsi="Arial"/>
          <w:sz w:val="18"/>
          <w:szCs w:val="18"/>
          <w:color w:val="231F20"/>
        </w:rPr>
        <w:t>All unvested restricted shares held by our NEOs will vest in the event of termination without cause, termination following a change-in-control, death or disability. Values were calculated by multiplying the number of unvested shares that vest under each termination event using the closing price of the Company’s shares on December 31, 2025.</w:t>
      </w:r>
    </w:p>
    <w:p>
      <w:pPr>
        <w:spacing w:after="0" w:line="21" w:lineRule="exact"/>
        <w:rPr>
          <w:rFonts w:ascii="Arial" w:cs="Arial" w:eastAsia="Arial" w:hAnsi="Arial"/>
          <w:sz w:val="23"/>
          <w:szCs w:val="23"/>
          <w:color w:val="231F20"/>
          <w:vertAlign w:val="superscript"/>
        </w:rPr>
      </w:pPr>
    </w:p>
    <w:p>
      <w:pPr>
        <w:jc w:val="both"/>
        <w:ind w:left="360" w:hanging="360"/>
        <w:spacing w:after="0" w:line="237" w:lineRule="auto"/>
        <w:tabs>
          <w:tab w:leader="none" w:pos="360" w:val="left"/>
        </w:tabs>
        <w:numPr>
          <w:ilvl w:val="0"/>
          <w:numId w:val="148"/>
        </w:numPr>
        <w:rPr>
          <w:rFonts w:ascii="Arial" w:cs="Arial" w:eastAsia="Arial" w:hAnsi="Arial"/>
          <w:sz w:val="23"/>
          <w:szCs w:val="23"/>
          <w:color w:val="231F20"/>
          <w:vertAlign w:val="superscript"/>
        </w:rPr>
      </w:pPr>
      <w:r>
        <w:rPr>
          <w:rFonts w:ascii="Arial" w:cs="Arial" w:eastAsia="Arial" w:hAnsi="Arial"/>
          <w:sz w:val="18"/>
          <w:szCs w:val="18"/>
          <w:color w:val="231F20"/>
        </w:rPr>
        <w:t>Amounts in this row are estimated costs for an administrative assistant and outplacement assistance for a period of 6 months in the event of a termination without cause for all NEOs and for a period of 12 months for Mr. Wood and 9 months for Mr. Guglielmone and Ms. Becker in the event of a termination following a change-in-control. The amount also includes the cost of providing a company vehicle to Mr. Wood for three years in the event of a termination following a change-in-control should he choose to use that benefit.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131445</wp:posOffset>
                </wp:positionV>
                <wp:extent cx="6400800" cy="177800"/>
                <wp:wrapNone/>
                <wp:docPr id="453" name="Shape 4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177800"/>
                        </a:xfrm>
                        <a:prstGeom prst="rect">
                          <a:avLst/>
                        </a:prstGeom>
                        <a:solidFill>
                          <a:srgbClr val="E8E7E5"/>
                        </a:solidFill>
                      </wps:spPr>
                      <wps:bodyPr/>
                    </wps:wsp>
                  </a:graphicData>
                </a:graphic>
              </wp:anchor>
            </w:drawing>
          </mc:Choice>
          <mc:Fallback>
            <w:pict>
              <v:rect id="Shape 453" o:spid="_x0000_s1478" style="position:absolute;margin-left:0pt;margin-top:10.35pt;width:504pt;height:1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8E7E5" stroked="f"/>
            </w:pict>
          </mc:Fallback>
        </mc:AlternateContent>
        <mc:AlternateContent>
          <mc:Choice Requires="wps">
            <w:drawing>
              <wp:anchor simplePos="0" relativeHeight="251657728" behindDoc="1" locked="0" layoutInCell="0" allowOverlap="1">
                <wp:simplePos x="0" y="0"/>
                <wp:positionH relativeFrom="column">
                  <wp:posOffset>6350</wp:posOffset>
                </wp:positionH>
                <wp:positionV relativeFrom="paragraph">
                  <wp:posOffset>131445</wp:posOffset>
                </wp:positionV>
                <wp:extent cx="0" cy="177800"/>
                <wp:wrapNone/>
                <wp:docPr id="454" name="Shape 4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454" o:spid="_x0000_s14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pt,10.35pt" to="0.5pt,24.35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137795</wp:posOffset>
                </wp:positionV>
                <wp:extent cx="6400800" cy="0"/>
                <wp:wrapNone/>
                <wp:docPr id="455" name="Shape 4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455" o:spid="_x0000_s14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0.85pt" to="504pt,10.85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6394450</wp:posOffset>
                </wp:positionH>
                <wp:positionV relativeFrom="paragraph">
                  <wp:posOffset>131445</wp:posOffset>
                </wp:positionV>
                <wp:extent cx="0" cy="177800"/>
                <wp:wrapNone/>
                <wp:docPr id="456" name="Shape 4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456" o:spid="_x0000_s14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3.5pt,10.35pt" to="503.5pt,24.35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302895</wp:posOffset>
                </wp:positionV>
                <wp:extent cx="6400800" cy="0"/>
                <wp:wrapNone/>
                <wp:docPr id="457" name="Shape 4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457" o:spid="_x0000_s14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3.85pt" to="504pt,23.85pt" o:allowincell="f" strokecolor="#231F20" strokeweight="1pt"/>
            </w:pict>
          </mc:Fallback>
        </mc:AlternateContent>
      </w:r>
    </w:p>
    <w:p>
      <w:pPr>
        <w:sectPr>
          <w:pgSz w:w="11880" w:h="15480" w:orient="portrait"/>
          <w:cols w:equalWidth="0" w:num="1">
            <w:col w:w="10080"/>
          </w:cols>
          <w:pgMar w:left="900" w:top="1316" w:right="900" w:bottom="763" w:gutter="0" w:footer="0" w:header="0"/>
        </w:sectPr>
      </w:pPr>
    </w:p>
    <w:p>
      <w:pPr>
        <w:spacing w:after="0" w:line="255" w:lineRule="exact"/>
        <w:rPr>
          <w:sz w:val="20"/>
          <w:szCs w:val="20"/>
          <w:color w:val="auto"/>
        </w:rPr>
      </w:pPr>
    </w:p>
    <w:p>
      <w:pPr>
        <w:ind w:left="6720"/>
        <w:spacing w:after="0"/>
        <w:tabs>
          <w:tab w:leader="none" w:pos="8060" w:val="left"/>
          <w:tab w:leader="none" w:pos="9800" w:val="left"/>
        </w:tabs>
        <w:rPr>
          <w:sz w:val="20"/>
          <w:szCs w:val="20"/>
          <w:color w:val="auto"/>
        </w:rPr>
      </w:pPr>
      <w:r>
        <w:rPr>
          <w:rFonts w:ascii="Arial" w:cs="Arial" w:eastAsia="Arial" w:hAnsi="Arial"/>
          <w:sz w:val="16"/>
          <w:szCs w:val="16"/>
          <w:color w:val="EF3E2A"/>
        </w:rPr>
        <w:t>Federal Realty</w:t>
      </w:r>
      <w:r>
        <w:rPr>
          <w:sz w:val="20"/>
          <w:szCs w:val="20"/>
          <w:color w:val="auto"/>
        </w:rPr>
        <w:tab/>
      </w:r>
      <w:r>
        <w:rPr>
          <w:rFonts w:ascii="Arial" w:cs="Arial" w:eastAsia="Arial" w:hAnsi="Arial"/>
          <w:sz w:val="16"/>
          <w:szCs w:val="16"/>
          <w:color w:val="231F20"/>
        </w:rPr>
        <w:t>2026 Proxy Statement</w:t>
        <w:tab/>
        <w:t>35</w:t>
      </w:r>
    </w:p>
    <w:p>
      <w:pPr>
        <w:sectPr>
          <w:pgSz w:w="11880" w:h="15480" w:orient="portrait"/>
          <w:cols w:equalWidth="0" w:num="1">
            <w:col w:w="10080"/>
          </w:cols>
          <w:pgMar w:left="900" w:top="1316" w:right="900" w:bottom="763" w:gutter="0" w:footer="0" w:header="0"/>
          <w:type w:val="continuous"/>
        </w:sectPr>
      </w:pPr>
    </w:p>
    <w:bookmarkStart w:id="155" w:name="page156"/>
    <w:bookmarkEnd w:id="155"/>
    <w:p>
      <w:pPr>
        <w:jc w:val="both"/>
        <w:ind w:left="360" w:hanging="360"/>
        <w:spacing w:after="0"/>
        <w:tabs>
          <w:tab w:leader="none" w:pos="360" w:val="left"/>
        </w:tabs>
        <w:numPr>
          <w:ilvl w:val="0"/>
          <w:numId w:val="149"/>
        </w:numPr>
        <w:rPr>
          <w:rFonts w:ascii="Arial" w:cs="Arial" w:eastAsia="Arial" w:hAnsi="Arial"/>
          <w:sz w:val="23"/>
          <w:szCs w:val="23"/>
          <w:color w:val="231F20"/>
          <w:vertAlign w:val="superscript"/>
        </w:rPr>
      </w:pPr>
      <w:r>
        <w:rPr>
          <w:rFonts w:ascii="Arial" w:cs="Arial" w:eastAsia="Arial" w:hAnsi="Arial"/>
          <w:sz w:val="18"/>
          <w:szCs w:val="18"/>
          <w:color w:val="231F20"/>
        </w:rPr>
        <w:t>Change-in-control is deemed to have occurred when a person acquires a 20% interest in us, or our current Trustees, or those subsequently approved by our current Trustees, constitute less than 50% of our Board. Upon a change-in-control, each NEO is entitled to receive payments and benefits in the following circumstance: (a) the NEO is terminated from employment by the Company (other than for cause) or leaves for good reason within 2 years after the change-in-control; or (b) Mr. Wood or Ms. Becker voluntarily leaves employment within the 30-day window following the 1-year anniversary of the change-in-control.</w:t>
      </w:r>
    </w:p>
    <w:p>
      <w:pPr>
        <w:spacing w:after="0" w:line="218" w:lineRule="exact"/>
        <w:rPr>
          <w:sz w:val="20"/>
          <w:szCs w:val="20"/>
          <w:color w:val="auto"/>
        </w:rPr>
      </w:pPr>
    </w:p>
    <w:p>
      <w:pPr>
        <w:spacing w:after="0" w:line="268" w:lineRule="exact"/>
        <w:rPr>
          <w:sz w:val="20"/>
          <w:szCs w:val="20"/>
          <w:color w:val="auto"/>
        </w:rPr>
      </w:pPr>
      <w:r>
        <w:rPr>
          <w:rFonts w:ascii="Arial Unicode MS" w:cs="Arial Unicode MS" w:eastAsia="Arial Unicode MS" w:hAnsi="Arial Unicode MS"/>
          <w:sz w:val="20"/>
          <w:szCs w:val="20"/>
          <w:color w:val="EF3E2A"/>
        </w:rPr>
        <w:t>➣</w:t>
      </w:r>
      <w:r>
        <w:rPr>
          <w:rFonts w:ascii="Arial" w:cs="Arial" w:eastAsia="Arial" w:hAnsi="Arial"/>
          <w:sz w:val="20"/>
          <w:szCs w:val="20"/>
          <w:b w:val="1"/>
          <w:bCs w:val="1"/>
          <w:color w:val="231F20"/>
        </w:rPr>
        <w:t xml:space="preserve"> CEO PAY RATIO</w:t>
      </w:r>
    </w:p>
    <w:p>
      <w:pPr>
        <w:spacing w:after="0" w:line="257"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231F20"/>
        </w:rPr>
        <w:t>Our compensation and benefit programs are substantially similar throughout the Company and are designed to reward all employees who contribute to our success with a total compensation package that is competitive in the marketplace for each employee’s position and performance. We are required to calculate and disclose the compensation of our median paid employee as well as the ratio of the total annual compensation paid to our CEO to the annual compensation of our median paid employee. The determination of our median paid employee was used taking our total employee population as of December 31, 2025, excluding our CEO, which included full-time and part-time employees ranging from executive vice presidents to maintenance technicians. For the determination, we used annual base pay plus annual bonus at target levels plus overtime actually paid, the combination of which we believe most closely approximates the total annual direct compensation of our employees. For purposes of the calculation, base pay was annualized for the 43 employees who started with us in 2025. No other adjustments were made.</w:t>
      </w:r>
    </w:p>
    <w:p>
      <w:pPr>
        <w:spacing w:after="0" w:line="255"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231F20"/>
        </w:rPr>
        <w:t>The actual total annual compensation of our Chief Executive Officer and median paid employee for 2025 was calculated in accordance with the requirements of the Summary Compensation Table included in this proxy statement. Based on this methodology, we have determined that the total annual compensation paid to our Chief Executive Officer in 2025 was $9,929,147 and the total annual compensation paid to our median paid employee in 2025 was $130,520 resulting in a ratio of 76:1.</w:t>
      </w:r>
    </w:p>
    <w:p>
      <w:pPr>
        <w:spacing w:after="0" w:line="247"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231F20"/>
        </w:rPr>
        <w:t>We calculated our pay ratio in accordance with SEC rules; however, those rules allow companies discretion in methodologies used to identify the median paid employee and the compensation used to determine the median paid employee. As a result, this ratio is unique to our Company. Other companies may make their determinations differently so that the ratio may not be comparable across companies. We believe our ratio is a reasonable estimate. Our ratio is very heavily influenced by what employees/services we choose to provide through employees as opposed to through third parties who are not taken into account in the calculation of the pay ratio.</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3055620</wp:posOffset>
                </wp:positionV>
                <wp:extent cx="6400800" cy="177800"/>
                <wp:wrapNone/>
                <wp:docPr id="458" name="Shape 4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177800"/>
                        </a:xfrm>
                        <a:prstGeom prst="rect">
                          <a:avLst/>
                        </a:prstGeom>
                        <a:solidFill>
                          <a:srgbClr val="E8E7E5"/>
                        </a:solidFill>
                      </wps:spPr>
                      <wps:bodyPr/>
                    </wps:wsp>
                  </a:graphicData>
                </a:graphic>
              </wp:anchor>
            </w:drawing>
          </mc:Choice>
          <mc:Fallback>
            <w:pict>
              <v:rect id="Shape 458" o:spid="_x0000_s1483" style="position:absolute;margin-left:0pt;margin-top:240.6pt;width:504pt;height:1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8E7E5" stroked="f"/>
            </w:pict>
          </mc:Fallback>
        </mc:AlternateContent>
        <mc:AlternateContent>
          <mc:Choice Requires="wps">
            <w:drawing>
              <wp:anchor simplePos="0" relativeHeight="251657728" behindDoc="1" locked="0" layoutInCell="0" allowOverlap="1">
                <wp:simplePos x="0" y="0"/>
                <wp:positionH relativeFrom="column">
                  <wp:posOffset>6350</wp:posOffset>
                </wp:positionH>
                <wp:positionV relativeFrom="paragraph">
                  <wp:posOffset>3054985</wp:posOffset>
                </wp:positionV>
                <wp:extent cx="0" cy="177800"/>
                <wp:wrapNone/>
                <wp:docPr id="459" name="Shape 4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459" o:spid="_x0000_s14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pt,240.55pt" to="0.5pt,254.55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3061335</wp:posOffset>
                </wp:positionV>
                <wp:extent cx="6400800" cy="0"/>
                <wp:wrapNone/>
                <wp:docPr id="460" name="Shape 4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460" o:spid="_x0000_s14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41.05pt" to="504pt,241.05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6394450</wp:posOffset>
                </wp:positionH>
                <wp:positionV relativeFrom="paragraph">
                  <wp:posOffset>3054985</wp:posOffset>
                </wp:positionV>
                <wp:extent cx="0" cy="177800"/>
                <wp:wrapNone/>
                <wp:docPr id="461" name="Shape 4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461" o:spid="_x0000_s14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3.5pt,240.55pt" to="503.5pt,254.55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3226435</wp:posOffset>
                </wp:positionV>
                <wp:extent cx="6400800" cy="0"/>
                <wp:wrapNone/>
                <wp:docPr id="462" name="Shape 4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462" o:spid="_x0000_s14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54.05pt" to="504pt,254.05pt" o:allowincell="f" strokecolor="#231F20" strokeweight="1pt"/>
            </w:pict>
          </mc:Fallback>
        </mc:AlternateContent>
      </w:r>
    </w:p>
    <w:p>
      <w:pPr>
        <w:sectPr>
          <w:pgSz w:w="11880" w:h="15480" w:orient="portrait"/>
          <w:cols w:equalWidth="0" w:num="1">
            <w:col w:w="10080"/>
          </w:cols>
          <w:pgMar w:left="900" w:top="1315" w:right="900" w:bottom="76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tabs>
          <w:tab w:leader="none" w:pos="1420" w:val="left"/>
          <w:tab w:leader="none" w:pos="3160" w:val="left"/>
        </w:tabs>
        <w:rPr>
          <w:sz w:val="20"/>
          <w:szCs w:val="20"/>
          <w:color w:val="auto"/>
        </w:rPr>
      </w:pPr>
      <w:r>
        <w:rPr>
          <w:rFonts w:ascii="Arial" w:cs="Arial" w:eastAsia="Arial" w:hAnsi="Arial"/>
          <w:sz w:val="16"/>
          <w:szCs w:val="16"/>
          <w:color w:val="EF3E2A"/>
        </w:rPr>
        <w:t>Federal Realty</w:t>
      </w:r>
      <w:r>
        <w:rPr>
          <w:sz w:val="20"/>
          <w:szCs w:val="20"/>
          <w:color w:val="auto"/>
        </w:rPr>
        <w:tab/>
      </w:r>
      <w:r>
        <w:rPr>
          <w:rFonts w:ascii="Arial" w:cs="Arial" w:eastAsia="Arial" w:hAnsi="Arial"/>
          <w:sz w:val="16"/>
          <w:szCs w:val="16"/>
          <w:color w:val="231F20"/>
        </w:rPr>
        <w:t>2026 Proxy Statement</w:t>
        <w:tab/>
        <w:t>36</w:t>
      </w:r>
    </w:p>
    <w:p>
      <w:pPr>
        <w:sectPr>
          <w:pgSz w:w="11880" w:h="15480" w:orient="portrait"/>
          <w:cols w:equalWidth="0" w:num="1">
            <w:col w:w="10080"/>
          </w:cols>
          <w:pgMar w:left="900" w:top="1315" w:right="900" w:bottom="763" w:gutter="0" w:footer="0" w:header="0"/>
          <w:type w:val="continuous"/>
        </w:sectPr>
      </w:pPr>
    </w:p>
    <w:bookmarkStart w:id="156" w:name="page157"/>
    <w:bookmarkEnd w:id="156"/>
    <w:p>
      <w:pPr>
        <w:spacing w:after="0" w:line="268" w:lineRule="exact"/>
        <w:rPr>
          <w:sz w:val="20"/>
          <w:szCs w:val="20"/>
          <w:color w:val="auto"/>
        </w:rPr>
      </w:pPr>
      <w:r>
        <w:rPr>
          <w:rFonts w:ascii="Arial Unicode MS" w:cs="Arial Unicode MS" w:eastAsia="Arial Unicode MS" w:hAnsi="Arial Unicode MS"/>
          <w:sz w:val="20"/>
          <w:szCs w:val="20"/>
          <w:color w:val="EF3E2A"/>
        </w:rPr>
        <w:t>➣</w:t>
      </w:r>
      <w:r>
        <w:rPr>
          <w:rFonts w:ascii="Arial" w:cs="Arial" w:eastAsia="Arial" w:hAnsi="Arial"/>
          <w:sz w:val="20"/>
          <w:szCs w:val="20"/>
          <w:b w:val="1"/>
          <w:bCs w:val="1"/>
          <w:color w:val="231F20"/>
        </w:rPr>
        <w:t xml:space="preserve"> PAY VERSUS PERFORMANCE DISCLOSURE</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060" w:type="dxa"/>
            <w:vAlign w:val="bottom"/>
            <w:shd w:val="clear" w:color="auto" w:fill="EF3E2A"/>
          </w:tcPr>
          <w:p>
            <w:pPr>
              <w:spacing w:after="0"/>
              <w:rPr>
                <w:sz w:val="19"/>
                <w:szCs w:val="19"/>
                <w:color w:val="auto"/>
              </w:rPr>
            </w:pPr>
          </w:p>
        </w:tc>
        <w:tc>
          <w:tcPr>
            <w:tcW w:w="1680" w:type="dxa"/>
            <w:vAlign w:val="bottom"/>
            <w:shd w:val="clear" w:color="auto" w:fill="EF3E2A"/>
          </w:tcPr>
          <w:p>
            <w:pPr>
              <w:spacing w:after="0"/>
              <w:rPr>
                <w:sz w:val="19"/>
                <w:szCs w:val="19"/>
                <w:color w:val="auto"/>
              </w:rPr>
            </w:pPr>
          </w:p>
        </w:tc>
        <w:tc>
          <w:tcPr>
            <w:tcW w:w="260" w:type="dxa"/>
            <w:vAlign w:val="bottom"/>
            <w:shd w:val="clear" w:color="auto" w:fill="EF3E2A"/>
          </w:tcPr>
          <w:p>
            <w:pPr>
              <w:spacing w:after="0"/>
              <w:rPr>
                <w:sz w:val="19"/>
                <w:szCs w:val="19"/>
                <w:color w:val="auto"/>
              </w:rPr>
            </w:pPr>
          </w:p>
        </w:tc>
        <w:tc>
          <w:tcPr>
            <w:tcW w:w="980" w:type="dxa"/>
            <w:vAlign w:val="bottom"/>
            <w:shd w:val="clear" w:color="auto" w:fill="EF3E2A"/>
          </w:tcPr>
          <w:p>
            <w:pPr>
              <w:spacing w:after="0"/>
              <w:rPr>
                <w:sz w:val="19"/>
                <w:szCs w:val="19"/>
                <w:color w:val="auto"/>
              </w:rPr>
            </w:pPr>
          </w:p>
        </w:tc>
        <w:tc>
          <w:tcPr>
            <w:tcW w:w="1300" w:type="dxa"/>
            <w:vAlign w:val="bottom"/>
            <w:shd w:val="clear" w:color="auto" w:fill="EF3E2A"/>
          </w:tcPr>
          <w:p>
            <w:pPr>
              <w:spacing w:after="0"/>
              <w:rPr>
                <w:sz w:val="19"/>
                <w:szCs w:val="19"/>
                <w:color w:val="auto"/>
              </w:rPr>
            </w:pPr>
          </w:p>
        </w:tc>
        <w:tc>
          <w:tcPr>
            <w:tcW w:w="1280" w:type="dxa"/>
            <w:vAlign w:val="bottom"/>
            <w:shd w:val="clear" w:color="auto" w:fill="EF3E2A"/>
          </w:tcPr>
          <w:p>
            <w:pPr>
              <w:spacing w:after="0"/>
              <w:rPr>
                <w:sz w:val="19"/>
                <w:szCs w:val="19"/>
                <w:color w:val="auto"/>
              </w:rPr>
            </w:pPr>
          </w:p>
        </w:tc>
        <w:tc>
          <w:tcPr>
            <w:tcW w:w="2020" w:type="dxa"/>
            <w:vAlign w:val="bottom"/>
            <w:gridSpan w:val="2"/>
            <w:shd w:val="clear" w:color="auto" w:fill="EF3E2A"/>
          </w:tcPr>
          <w:p>
            <w:pPr>
              <w:jc w:val="center"/>
              <w:spacing w:after="0"/>
              <w:rPr>
                <w:sz w:val="20"/>
                <w:szCs w:val="20"/>
                <w:color w:val="auto"/>
              </w:rPr>
            </w:pPr>
            <w:r>
              <w:rPr>
                <w:rFonts w:ascii="Calibri" w:cs="Calibri" w:eastAsia="Calibri" w:hAnsi="Calibri"/>
                <w:sz w:val="16"/>
                <w:szCs w:val="16"/>
                <w:b w:val="1"/>
                <w:bCs w:val="1"/>
                <w:color w:val="FFFFFF"/>
              </w:rPr>
              <w:t>Value of Initial Fixed $100</w:t>
            </w:r>
          </w:p>
        </w:tc>
        <w:tc>
          <w:tcPr>
            <w:tcW w:w="880" w:type="dxa"/>
            <w:vAlign w:val="bottom"/>
            <w:shd w:val="clear" w:color="auto" w:fill="EF3E2A"/>
          </w:tcPr>
          <w:p>
            <w:pPr>
              <w:spacing w:after="0"/>
              <w:rPr>
                <w:sz w:val="19"/>
                <w:szCs w:val="19"/>
                <w:color w:val="auto"/>
              </w:rPr>
            </w:pPr>
          </w:p>
        </w:tc>
        <w:tc>
          <w:tcPr>
            <w:tcW w:w="620" w:type="dxa"/>
            <w:vAlign w:val="bottom"/>
            <w:shd w:val="clear" w:color="auto" w:fill="EF3E2A"/>
          </w:tcPr>
          <w:p>
            <w:pPr>
              <w:spacing w:after="0"/>
              <w:rPr>
                <w:sz w:val="19"/>
                <w:szCs w:val="19"/>
                <w:color w:val="auto"/>
              </w:rPr>
            </w:pPr>
          </w:p>
        </w:tc>
      </w:tr>
      <w:tr>
        <w:trPr>
          <w:trHeight w:val="200"/>
        </w:trPr>
        <w:tc>
          <w:tcPr>
            <w:tcW w:w="1060" w:type="dxa"/>
            <w:vAlign w:val="bottom"/>
            <w:shd w:val="clear" w:color="auto" w:fill="EF3E2A"/>
          </w:tcPr>
          <w:p>
            <w:pPr>
              <w:spacing w:after="0"/>
              <w:rPr>
                <w:sz w:val="17"/>
                <w:szCs w:val="17"/>
                <w:color w:val="auto"/>
              </w:rPr>
            </w:pPr>
          </w:p>
        </w:tc>
        <w:tc>
          <w:tcPr>
            <w:tcW w:w="1680" w:type="dxa"/>
            <w:vAlign w:val="bottom"/>
            <w:shd w:val="clear" w:color="auto" w:fill="EF3E2A"/>
          </w:tcPr>
          <w:p>
            <w:pPr>
              <w:spacing w:after="0"/>
              <w:rPr>
                <w:sz w:val="17"/>
                <w:szCs w:val="17"/>
                <w:color w:val="auto"/>
              </w:rPr>
            </w:pPr>
          </w:p>
        </w:tc>
        <w:tc>
          <w:tcPr>
            <w:tcW w:w="260" w:type="dxa"/>
            <w:vAlign w:val="bottom"/>
            <w:shd w:val="clear" w:color="auto" w:fill="EF3E2A"/>
          </w:tcPr>
          <w:p>
            <w:pPr>
              <w:spacing w:after="0"/>
              <w:rPr>
                <w:sz w:val="17"/>
                <w:szCs w:val="17"/>
                <w:color w:val="auto"/>
              </w:rPr>
            </w:pPr>
          </w:p>
        </w:tc>
        <w:tc>
          <w:tcPr>
            <w:tcW w:w="980" w:type="dxa"/>
            <w:vAlign w:val="bottom"/>
            <w:shd w:val="clear" w:color="auto" w:fill="EF3E2A"/>
          </w:tcPr>
          <w:p>
            <w:pPr>
              <w:spacing w:after="0"/>
              <w:rPr>
                <w:sz w:val="17"/>
                <w:szCs w:val="17"/>
                <w:color w:val="auto"/>
              </w:rPr>
            </w:pPr>
          </w:p>
        </w:tc>
        <w:tc>
          <w:tcPr>
            <w:tcW w:w="1300" w:type="dxa"/>
            <w:vAlign w:val="bottom"/>
            <w:shd w:val="clear" w:color="auto" w:fill="EF3E2A"/>
          </w:tcPr>
          <w:p>
            <w:pPr>
              <w:spacing w:after="0"/>
              <w:rPr>
                <w:sz w:val="17"/>
                <w:szCs w:val="17"/>
                <w:color w:val="auto"/>
              </w:rPr>
            </w:pPr>
          </w:p>
        </w:tc>
        <w:tc>
          <w:tcPr>
            <w:tcW w:w="1280" w:type="dxa"/>
            <w:vAlign w:val="bottom"/>
            <w:shd w:val="clear" w:color="auto" w:fill="EF3E2A"/>
          </w:tcPr>
          <w:p>
            <w:pPr>
              <w:spacing w:after="0"/>
              <w:rPr>
                <w:sz w:val="17"/>
                <w:szCs w:val="17"/>
                <w:color w:val="auto"/>
              </w:rPr>
            </w:pPr>
          </w:p>
        </w:tc>
        <w:tc>
          <w:tcPr>
            <w:tcW w:w="2020" w:type="dxa"/>
            <w:vAlign w:val="bottom"/>
            <w:gridSpan w:val="2"/>
            <w:shd w:val="clear" w:color="auto" w:fill="EF3E2A"/>
          </w:tcPr>
          <w:p>
            <w:pPr>
              <w:jc w:val="center"/>
              <w:spacing w:after="0"/>
              <w:rPr>
                <w:sz w:val="20"/>
                <w:szCs w:val="20"/>
                <w:color w:val="auto"/>
              </w:rPr>
            </w:pPr>
            <w:r>
              <w:rPr>
                <w:rFonts w:ascii="Calibri" w:cs="Calibri" w:eastAsia="Calibri" w:hAnsi="Calibri"/>
                <w:sz w:val="16"/>
                <w:szCs w:val="16"/>
                <w:b w:val="1"/>
                <w:bCs w:val="1"/>
                <w:color w:val="FFFFFF"/>
                <w:w w:val="99"/>
              </w:rPr>
              <w:t>Investment Based On:</w:t>
            </w:r>
          </w:p>
        </w:tc>
        <w:tc>
          <w:tcPr>
            <w:tcW w:w="880" w:type="dxa"/>
            <w:vAlign w:val="bottom"/>
            <w:shd w:val="clear" w:color="auto" w:fill="EF3E2A"/>
          </w:tcPr>
          <w:p>
            <w:pPr>
              <w:spacing w:after="0"/>
              <w:rPr>
                <w:sz w:val="17"/>
                <w:szCs w:val="17"/>
                <w:color w:val="auto"/>
              </w:rPr>
            </w:pPr>
          </w:p>
        </w:tc>
        <w:tc>
          <w:tcPr>
            <w:tcW w:w="620" w:type="dxa"/>
            <w:vAlign w:val="bottom"/>
            <w:shd w:val="clear" w:color="auto" w:fill="EF3E2A"/>
          </w:tcPr>
          <w:p>
            <w:pPr>
              <w:spacing w:after="0"/>
              <w:rPr>
                <w:sz w:val="17"/>
                <w:szCs w:val="17"/>
                <w:color w:val="auto"/>
              </w:rPr>
            </w:pPr>
          </w:p>
        </w:tc>
      </w:tr>
      <w:tr>
        <w:trPr>
          <w:trHeight w:val="260"/>
        </w:trPr>
        <w:tc>
          <w:tcPr>
            <w:tcW w:w="1060" w:type="dxa"/>
            <w:vAlign w:val="bottom"/>
            <w:shd w:val="clear" w:color="auto" w:fill="EF3E2A"/>
          </w:tcPr>
          <w:p>
            <w:pPr>
              <w:spacing w:after="0"/>
              <w:rPr>
                <w:sz w:val="22"/>
                <w:szCs w:val="22"/>
                <w:color w:val="auto"/>
              </w:rPr>
            </w:pPr>
          </w:p>
        </w:tc>
        <w:tc>
          <w:tcPr>
            <w:tcW w:w="1680" w:type="dxa"/>
            <w:vAlign w:val="bottom"/>
            <w:shd w:val="clear" w:color="auto" w:fill="EF3E2A"/>
          </w:tcPr>
          <w:p>
            <w:pPr>
              <w:spacing w:after="0"/>
              <w:rPr>
                <w:sz w:val="22"/>
                <w:szCs w:val="22"/>
                <w:color w:val="auto"/>
              </w:rPr>
            </w:pPr>
          </w:p>
        </w:tc>
        <w:tc>
          <w:tcPr>
            <w:tcW w:w="260" w:type="dxa"/>
            <w:vAlign w:val="bottom"/>
            <w:shd w:val="clear" w:color="auto" w:fill="EF3E2A"/>
          </w:tcPr>
          <w:p>
            <w:pPr>
              <w:spacing w:after="0"/>
              <w:rPr>
                <w:sz w:val="22"/>
                <w:szCs w:val="22"/>
                <w:color w:val="auto"/>
              </w:rPr>
            </w:pPr>
          </w:p>
        </w:tc>
        <w:tc>
          <w:tcPr>
            <w:tcW w:w="980" w:type="dxa"/>
            <w:vAlign w:val="bottom"/>
            <w:shd w:val="clear" w:color="auto" w:fill="EF3E2A"/>
          </w:tcPr>
          <w:p>
            <w:pPr>
              <w:spacing w:after="0"/>
              <w:rPr>
                <w:sz w:val="22"/>
                <w:szCs w:val="22"/>
                <w:color w:val="auto"/>
              </w:rPr>
            </w:pPr>
          </w:p>
        </w:tc>
        <w:tc>
          <w:tcPr>
            <w:tcW w:w="1300" w:type="dxa"/>
            <w:vAlign w:val="bottom"/>
            <w:shd w:val="clear" w:color="auto" w:fill="EF3E2A"/>
          </w:tcPr>
          <w:p>
            <w:pPr>
              <w:jc w:val="center"/>
              <w:spacing w:after="0"/>
              <w:rPr>
                <w:sz w:val="20"/>
                <w:szCs w:val="20"/>
                <w:color w:val="auto"/>
              </w:rPr>
            </w:pPr>
            <w:r>
              <w:rPr>
                <w:rFonts w:ascii="Calibri" w:cs="Calibri" w:eastAsia="Calibri" w:hAnsi="Calibri"/>
                <w:sz w:val="16"/>
                <w:szCs w:val="16"/>
                <w:b w:val="1"/>
                <w:bCs w:val="1"/>
                <w:color w:val="FFFFFF"/>
                <w:w w:val="98"/>
              </w:rPr>
              <w:t>Average</w:t>
            </w:r>
          </w:p>
        </w:tc>
        <w:tc>
          <w:tcPr>
            <w:tcW w:w="1280" w:type="dxa"/>
            <w:vAlign w:val="bottom"/>
            <w:shd w:val="clear" w:color="auto" w:fill="EF3E2A"/>
          </w:tcPr>
          <w:p>
            <w:pPr>
              <w:spacing w:after="0"/>
              <w:rPr>
                <w:sz w:val="22"/>
                <w:szCs w:val="22"/>
                <w:color w:val="auto"/>
              </w:rPr>
            </w:pPr>
          </w:p>
        </w:tc>
        <w:tc>
          <w:tcPr>
            <w:tcW w:w="1020" w:type="dxa"/>
            <w:vAlign w:val="bottom"/>
            <w:shd w:val="clear" w:color="auto" w:fill="EF3E2A"/>
          </w:tcPr>
          <w:p>
            <w:pPr>
              <w:spacing w:after="0"/>
              <w:rPr>
                <w:sz w:val="22"/>
                <w:szCs w:val="22"/>
                <w:color w:val="auto"/>
              </w:rPr>
            </w:pPr>
          </w:p>
        </w:tc>
        <w:tc>
          <w:tcPr>
            <w:tcW w:w="1000" w:type="dxa"/>
            <w:vAlign w:val="bottom"/>
            <w:shd w:val="clear" w:color="auto" w:fill="EF3E2A"/>
          </w:tcPr>
          <w:p>
            <w:pPr>
              <w:spacing w:after="0"/>
              <w:rPr>
                <w:sz w:val="22"/>
                <w:szCs w:val="22"/>
                <w:color w:val="auto"/>
              </w:rPr>
            </w:pPr>
          </w:p>
        </w:tc>
        <w:tc>
          <w:tcPr>
            <w:tcW w:w="880" w:type="dxa"/>
            <w:vAlign w:val="bottom"/>
            <w:shd w:val="clear" w:color="auto" w:fill="EF3E2A"/>
          </w:tcPr>
          <w:p>
            <w:pPr>
              <w:spacing w:after="0"/>
              <w:rPr>
                <w:sz w:val="22"/>
                <w:szCs w:val="22"/>
                <w:color w:val="auto"/>
              </w:rPr>
            </w:pPr>
          </w:p>
        </w:tc>
        <w:tc>
          <w:tcPr>
            <w:tcW w:w="620" w:type="dxa"/>
            <w:vAlign w:val="bottom"/>
            <w:shd w:val="clear" w:color="auto" w:fill="EF3E2A"/>
          </w:tcPr>
          <w:p>
            <w:pPr>
              <w:spacing w:after="0"/>
              <w:rPr>
                <w:sz w:val="22"/>
                <w:szCs w:val="22"/>
                <w:color w:val="auto"/>
              </w:rPr>
            </w:pPr>
          </w:p>
        </w:tc>
      </w:tr>
      <w:tr>
        <w:trPr>
          <w:trHeight w:val="200"/>
        </w:trPr>
        <w:tc>
          <w:tcPr>
            <w:tcW w:w="1060" w:type="dxa"/>
            <w:vAlign w:val="bottom"/>
            <w:shd w:val="clear" w:color="auto" w:fill="EF3E2A"/>
          </w:tcPr>
          <w:p>
            <w:pPr>
              <w:spacing w:after="0"/>
              <w:rPr>
                <w:sz w:val="17"/>
                <w:szCs w:val="17"/>
                <w:color w:val="auto"/>
              </w:rPr>
            </w:pPr>
          </w:p>
        </w:tc>
        <w:tc>
          <w:tcPr>
            <w:tcW w:w="1680" w:type="dxa"/>
            <w:vAlign w:val="bottom"/>
            <w:shd w:val="clear" w:color="auto" w:fill="EF3E2A"/>
          </w:tcPr>
          <w:p>
            <w:pPr>
              <w:jc w:val="center"/>
              <w:ind w:left="434"/>
              <w:spacing w:after="0"/>
              <w:rPr>
                <w:sz w:val="20"/>
                <w:szCs w:val="20"/>
                <w:color w:val="auto"/>
              </w:rPr>
            </w:pPr>
            <w:r>
              <w:rPr>
                <w:rFonts w:ascii="Calibri" w:cs="Calibri" w:eastAsia="Calibri" w:hAnsi="Calibri"/>
                <w:sz w:val="16"/>
                <w:szCs w:val="16"/>
                <w:b w:val="1"/>
                <w:bCs w:val="1"/>
                <w:color w:val="FFFFFF"/>
              </w:rPr>
              <w:t>Summary</w:t>
            </w:r>
          </w:p>
        </w:tc>
        <w:tc>
          <w:tcPr>
            <w:tcW w:w="260" w:type="dxa"/>
            <w:vAlign w:val="bottom"/>
            <w:shd w:val="clear" w:color="auto" w:fill="EF3E2A"/>
          </w:tcPr>
          <w:p>
            <w:pPr>
              <w:spacing w:after="0"/>
              <w:rPr>
                <w:sz w:val="17"/>
                <w:szCs w:val="17"/>
                <w:color w:val="auto"/>
              </w:rPr>
            </w:pPr>
          </w:p>
        </w:tc>
        <w:tc>
          <w:tcPr>
            <w:tcW w:w="980" w:type="dxa"/>
            <w:vAlign w:val="bottom"/>
            <w:shd w:val="clear" w:color="auto" w:fill="EF3E2A"/>
          </w:tcPr>
          <w:p>
            <w:pPr>
              <w:spacing w:after="0"/>
              <w:rPr>
                <w:sz w:val="17"/>
                <w:szCs w:val="17"/>
                <w:color w:val="auto"/>
              </w:rPr>
            </w:pPr>
          </w:p>
        </w:tc>
        <w:tc>
          <w:tcPr>
            <w:tcW w:w="1300" w:type="dxa"/>
            <w:vAlign w:val="bottom"/>
            <w:shd w:val="clear" w:color="auto" w:fill="EF3E2A"/>
          </w:tcPr>
          <w:p>
            <w:pPr>
              <w:jc w:val="center"/>
              <w:spacing w:after="0"/>
              <w:rPr>
                <w:sz w:val="20"/>
                <w:szCs w:val="20"/>
                <w:color w:val="auto"/>
              </w:rPr>
            </w:pPr>
            <w:r>
              <w:rPr>
                <w:rFonts w:ascii="Calibri" w:cs="Calibri" w:eastAsia="Calibri" w:hAnsi="Calibri"/>
                <w:sz w:val="16"/>
                <w:szCs w:val="16"/>
                <w:b w:val="1"/>
                <w:bCs w:val="1"/>
                <w:color w:val="FFFFFF"/>
                <w:w w:val="97"/>
              </w:rPr>
              <w:t>Summary</w:t>
            </w:r>
          </w:p>
        </w:tc>
        <w:tc>
          <w:tcPr>
            <w:tcW w:w="1280" w:type="dxa"/>
            <w:vAlign w:val="bottom"/>
            <w:shd w:val="clear" w:color="auto" w:fill="EF3E2A"/>
          </w:tcPr>
          <w:p>
            <w:pPr>
              <w:jc w:val="center"/>
              <w:spacing w:after="0"/>
              <w:rPr>
                <w:sz w:val="20"/>
                <w:szCs w:val="20"/>
                <w:color w:val="auto"/>
              </w:rPr>
            </w:pPr>
            <w:r>
              <w:rPr>
                <w:rFonts w:ascii="Calibri" w:cs="Calibri" w:eastAsia="Calibri" w:hAnsi="Calibri"/>
                <w:sz w:val="16"/>
                <w:szCs w:val="16"/>
                <w:b w:val="1"/>
                <w:bCs w:val="1"/>
                <w:color w:val="FFFFFF"/>
              </w:rPr>
              <w:t>Average</w:t>
            </w:r>
          </w:p>
        </w:tc>
        <w:tc>
          <w:tcPr>
            <w:tcW w:w="1020" w:type="dxa"/>
            <w:vAlign w:val="bottom"/>
            <w:shd w:val="clear" w:color="auto" w:fill="EF3E2A"/>
          </w:tcPr>
          <w:p>
            <w:pPr>
              <w:spacing w:after="0"/>
              <w:rPr>
                <w:sz w:val="17"/>
                <w:szCs w:val="17"/>
                <w:color w:val="auto"/>
              </w:rPr>
            </w:pPr>
          </w:p>
        </w:tc>
        <w:tc>
          <w:tcPr>
            <w:tcW w:w="1000" w:type="dxa"/>
            <w:vAlign w:val="bottom"/>
            <w:shd w:val="clear" w:color="auto" w:fill="EF3E2A"/>
          </w:tcPr>
          <w:p>
            <w:pPr>
              <w:jc w:val="center"/>
              <w:spacing w:after="0"/>
              <w:rPr>
                <w:sz w:val="20"/>
                <w:szCs w:val="20"/>
                <w:color w:val="auto"/>
              </w:rPr>
            </w:pPr>
            <w:r>
              <w:rPr>
                <w:rFonts w:ascii="Calibri" w:cs="Calibri" w:eastAsia="Calibri" w:hAnsi="Calibri"/>
                <w:sz w:val="16"/>
                <w:szCs w:val="16"/>
                <w:b w:val="1"/>
                <w:bCs w:val="1"/>
                <w:color w:val="FFFFFF"/>
              </w:rPr>
              <w:t>Peer Group</w:t>
            </w:r>
          </w:p>
        </w:tc>
        <w:tc>
          <w:tcPr>
            <w:tcW w:w="880" w:type="dxa"/>
            <w:vAlign w:val="bottom"/>
            <w:shd w:val="clear" w:color="auto" w:fill="EF3E2A"/>
          </w:tcPr>
          <w:p>
            <w:pPr>
              <w:spacing w:after="0"/>
              <w:rPr>
                <w:sz w:val="17"/>
                <w:szCs w:val="17"/>
                <w:color w:val="auto"/>
              </w:rPr>
            </w:pPr>
          </w:p>
        </w:tc>
        <w:tc>
          <w:tcPr>
            <w:tcW w:w="620" w:type="dxa"/>
            <w:vAlign w:val="bottom"/>
            <w:shd w:val="clear" w:color="auto" w:fill="EF3E2A"/>
          </w:tcPr>
          <w:p>
            <w:pPr>
              <w:jc w:val="center"/>
              <w:ind w:left="14"/>
              <w:spacing w:after="0"/>
              <w:rPr>
                <w:sz w:val="20"/>
                <w:szCs w:val="20"/>
                <w:color w:val="auto"/>
              </w:rPr>
            </w:pPr>
            <w:r>
              <w:rPr>
                <w:rFonts w:ascii="Calibri" w:cs="Calibri" w:eastAsia="Calibri" w:hAnsi="Calibri"/>
                <w:sz w:val="16"/>
                <w:szCs w:val="16"/>
                <w:b w:val="1"/>
                <w:bCs w:val="1"/>
                <w:color w:val="FFFFFF"/>
                <w:w w:val="97"/>
              </w:rPr>
              <w:t>NAREIT</w:t>
            </w:r>
          </w:p>
        </w:tc>
      </w:tr>
      <w:tr>
        <w:trPr>
          <w:trHeight w:val="200"/>
        </w:trPr>
        <w:tc>
          <w:tcPr>
            <w:tcW w:w="1060" w:type="dxa"/>
            <w:vAlign w:val="bottom"/>
            <w:shd w:val="clear" w:color="auto" w:fill="EF3E2A"/>
          </w:tcPr>
          <w:p>
            <w:pPr>
              <w:spacing w:after="0"/>
              <w:rPr>
                <w:sz w:val="17"/>
                <w:szCs w:val="17"/>
                <w:color w:val="auto"/>
              </w:rPr>
            </w:pPr>
          </w:p>
        </w:tc>
        <w:tc>
          <w:tcPr>
            <w:tcW w:w="1680" w:type="dxa"/>
            <w:vAlign w:val="bottom"/>
            <w:shd w:val="clear" w:color="auto" w:fill="EF3E2A"/>
          </w:tcPr>
          <w:p>
            <w:pPr>
              <w:jc w:val="center"/>
              <w:ind w:left="434"/>
              <w:spacing w:after="0"/>
              <w:rPr>
                <w:sz w:val="20"/>
                <w:szCs w:val="20"/>
                <w:color w:val="auto"/>
              </w:rPr>
            </w:pPr>
            <w:r>
              <w:rPr>
                <w:rFonts w:ascii="Calibri" w:cs="Calibri" w:eastAsia="Calibri" w:hAnsi="Calibri"/>
                <w:sz w:val="16"/>
                <w:szCs w:val="16"/>
                <w:b w:val="1"/>
                <w:bCs w:val="1"/>
                <w:color w:val="FFFFFF"/>
                <w:w w:val="99"/>
              </w:rPr>
              <w:t>Compensation</w:t>
            </w:r>
          </w:p>
        </w:tc>
        <w:tc>
          <w:tcPr>
            <w:tcW w:w="1240" w:type="dxa"/>
            <w:vAlign w:val="bottom"/>
            <w:gridSpan w:val="2"/>
            <w:shd w:val="clear" w:color="auto" w:fill="EF3E2A"/>
          </w:tcPr>
          <w:p>
            <w:pPr>
              <w:jc w:val="center"/>
              <w:spacing w:after="0"/>
              <w:rPr>
                <w:sz w:val="20"/>
                <w:szCs w:val="20"/>
                <w:color w:val="auto"/>
              </w:rPr>
            </w:pPr>
            <w:r>
              <w:rPr>
                <w:rFonts w:ascii="Calibri" w:cs="Calibri" w:eastAsia="Calibri" w:hAnsi="Calibri"/>
                <w:sz w:val="16"/>
                <w:szCs w:val="16"/>
                <w:b w:val="1"/>
                <w:bCs w:val="1"/>
                <w:color w:val="FFFFFF"/>
                <w:w w:val="99"/>
              </w:rPr>
              <w:t>Compensation</w:t>
            </w:r>
          </w:p>
        </w:tc>
        <w:tc>
          <w:tcPr>
            <w:tcW w:w="1300" w:type="dxa"/>
            <w:vAlign w:val="bottom"/>
            <w:shd w:val="clear" w:color="auto" w:fill="EF3E2A"/>
          </w:tcPr>
          <w:p>
            <w:pPr>
              <w:jc w:val="center"/>
              <w:spacing w:after="0"/>
              <w:rPr>
                <w:sz w:val="20"/>
                <w:szCs w:val="20"/>
                <w:color w:val="auto"/>
              </w:rPr>
            </w:pPr>
            <w:r>
              <w:rPr>
                <w:rFonts w:ascii="Calibri" w:cs="Calibri" w:eastAsia="Calibri" w:hAnsi="Calibri"/>
                <w:sz w:val="16"/>
                <w:szCs w:val="16"/>
                <w:b w:val="1"/>
                <w:bCs w:val="1"/>
                <w:color w:val="FFFFFF"/>
                <w:w w:val="99"/>
              </w:rPr>
              <w:t>Compensation</w:t>
            </w:r>
          </w:p>
        </w:tc>
        <w:tc>
          <w:tcPr>
            <w:tcW w:w="1280" w:type="dxa"/>
            <w:vAlign w:val="bottom"/>
            <w:shd w:val="clear" w:color="auto" w:fill="EF3E2A"/>
          </w:tcPr>
          <w:p>
            <w:pPr>
              <w:jc w:val="center"/>
              <w:spacing w:after="0"/>
              <w:rPr>
                <w:sz w:val="20"/>
                <w:szCs w:val="20"/>
                <w:color w:val="auto"/>
              </w:rPr>
            </w:pPr>
            <w:r>
              <w:rPr>
                <w:rFonts w:ascii="Calibri" w:cs="Calibri" w:eastAsia="Calibri" w:hAnsi="Calibri"/>
                <w:sz w:val="16"/>
                <w:szCs w:val="16"/>
                <w:b w:val="1"/>
                <w:bCs w:val="1"/>
                <w:color w:val="FFFFFF"/>
                <w:w w:val="99"/>
              </w:rPr>
              <w:t>Compensation</w:t>
            </w:r>
          </w:p>
        </w:tc>
        <w:tc>
          <w:tcPr>
            <w:tcW w:w="1020" w:type="dxa"/>
            <w:vAlign w:val="bottom"/>
            <w:shd w:val="clear" w:color="auto" w:fill="EF3E2A"/>
          </w:tcPr>
          <w:p>
            <w:pPr>
              <w:jc w:val="center"/>
              <w:spacing w:after="0"/>
              <w:rPr>
                <w:sz w:val="20"/>
                <w:szCs w:val="20"/>
                <w:color w:val="auto"/>
              </w:rPr>
            </w:pPr>
            <w:r>
              <w:rPr>
                <w:rFonts w:ascii="Calibri" w:cs="Calibri" w:eastAsia="Calibri" w:hAnsi="Calibri"/>
                <w:sz w:val="16"/>
                <w:szCs w:val="16"/>
                <w:b w:val="1"/>
                <w:bCs w:val="1"/>
                <w:color w:val="FFFFFF"/>
              </w:rPr>
              <w:t>Total</w:t>
            </w:r>
          </w:p>
        </w:tc>
        <w:tc>
          <w:tcPr>
            <w:tcW w:w="1000" w:type="dxa"/>
            <w:vAlign w:val="bottom"/>
            <w:shd w:val="clear" w:color="auto" w:fill="EF3E2A"/>
          </w:tcPr>
          <w:p>
            <w:pPr>
              <w:jc w:val="center"/>
              <w:spacing w:after="0"/>
              <w:rPr>
                <w:sz w:val="20"/>
                <w:szCs w:val="20"/>
                <w:color w:val="auto"/>
              </w:rPr>
            </w:pPr>
            <w:r>
              <w:rPr>
                <w:rFonts w:ascii="Calibri" w:cs="Calibri" w:eastAsia="Calibri" w:hAnsi="Calibri"/>
                <w:sz w:val="16"/>
                <w:szCs w:val="16"/>
                <w:b w:val="1"/>
                <w:bCs w:val="1"/>
                <w:color w:val="FFFFFF"/>
              </w:rPr>
              <w:t>Total</w:t>
            </w:r>
          </w:p>
        </w:tc>
        <w:tc>
          <w:tcPr>
            <w:tcW w:w="880" w:type="dxa"/>
            <w:vAlign w:val="bottom"/>
            <w:shd w:val="clear" w:color="auto" w:fill="EF3E2A"/>
          </w:tcPr>
          <w:p>
            <w:pPr>
              <w:jc w:val="center"/>
              <w:spacing w:after="0"/>
              <w:rPr>
                <w:sz w:val="20"/>
                <w:szCs w:val="20"/>
                <w:color w:val="auto"/>
              </w:rPr>
            </w:pPr>
            <w:r>
              <w:rPr>
                <w:rFonts w:ascii="Calibri" w:cs="Calibri" w:eastAsia="Calibri" w:hAnsi="Calibri"/>
                <w:sz w:val="16"/>
                <w:szCs w:val="16"/>
                <w:b w:val="1"/>
                <w:bCs w:val="1"/>
                <w:color w:val="FFFFFF"/>
                <w:w w:val="99"/>
              </w:rPr>
              <w:t>Net</w:t>
            </w:r>
          </w:p>
        </w:tc>
        <w:tc>
          <w:tcPr>
            <w:tcW w:w="620" w:type="dxa"/>
            <w:vAlign w:val="bottom"/>
            <w:shd w:val="clear" w:color="auto" w:fill="EF3E2A"/>
          </w:tcPr>
          <w:p>
            <w:pPr>
              <w:jc w:val="center"/>
              <w:ind w:left="14"/>
              <w:spacing w:after="0"/>
              <w:rPr>
                <w:sz w:val="20"/>
                <w:szCs w:val="20"/>
                <w:color w:val="auto"/>
              </w:rPr>
            </w:pPr>
            <w:r>
              <w:rPr>
                <w:rFonts w:ascii="Calibri" w:cs="Calibri" w:eastAsia="Calibri" w:hAnsi="Calibri"/>
                <w:sz w:val="16"/>
                <w:szCs w:val="16"/>
                <w:b w:val="1"/>
                <w:bCs w:val="1"/>
                <w:color w:val="FFFFFF"/>
              </w:rPr>
              <w:t>FFO per</w:t>
            </w:r>
          </w:p>
        </w:tc>
      </w:tr>
      <w:tr>
        <w:trPr>
          <w:trHeight w:val="200"/>
        </w:trPr>
        <w:tc>
          <w:tcPr>
            <w:tcW w:w="1060" w:type="dxa"/>
            <w:vAlign w:val="bottom"/>
            <w:shd w:val="clear" w:color="auto" w:fill="EF3E2A"/>
          </w:tcPr>
          <w:p>
            <w:pPr>
              <w:spacing w:after="0"/>
              <w:rPr>
                <w:sz w:val="17"/>
                <w:szCs w:val="17"/>
                <w:color w:val="auto"/>
              </w:rPr>
            </w:pPr>
          </w:p>
        </w:tc>
        <w:tc>
          <w:tcPr>
            <w:tcW w:w="1680" w:type="dxa"/>
            <w:vAlign w:val="bottom"/>
            <w:shd w:val="clear" w:color="auto" w:fill="EF3E2A"/>
          </w:tcPr>
          <w:p>
            <w:pPr>
              <w:jc w:val="center"/>
              <w:ind w:left="434"/>
              <w:spacing w:after="0"/>
              <w:rPr>
                <w:sz w:val="20"/>
                <w:szCs w:val="20"/>
                <w:color w:val="auto"/>
              </w:rPr>
            </w:pPr>
            <w:r>
              <w:rPr>
                <w:rFonts w:ascii="Calibri" w:cs="Calibri" w:eastAsia="Calibri" w:hAnsi="Calibri"/>
                <w:sz w:val="16"/>
                <w:szCs w:val="16"/>
                <w:b w:val="1"/>
                <w:bCs w:val="1"/>
                <w:color w:val="FFFFFF"/>
                <w:w w:val="99"/>
              </w:rPr>
              <w:t>Table Total for</w:t>
            </w:r>
          </w:p>
        </w:tc>
        <w:tc>
          <w:tcPr>
            <w:tcW w:w="1240" w:type="dxa"/>
            <w:vAlign w:val="bottom"/>
            <w:gridSpan w:val="2"/>
            <w:shd w:val="clear" w:color="auto" w:fill="EF3E2A"/>
          </w:tcPr>
          <w:p>
            <w:pPr>
              <w:jc w:val="center"/>
              <w:spacing w:after="0"/>
              <w:rPr>
                <w:sz w:val="20"/>
                <w:szCs w:val="20"/>
                <w:color w:val="auto"/>
              </w:rPr>
            </w:pPr>
            <w:r>
              <w:rPr>
                <w:rFonts w:ascii="Calibri" w:cs="Calibri" w:eastAsia="Calibri" w:hAnsi="Calibri"/>
                <w:sz w:val="16"/>
                <w:szCs w:val="16"/>
                <w:b w:val="1"/>
                <w:bCs w:val="1"/>
                <w:color w:val="FFFFFF"/>
                <w:w w:val="99"/>
              </w:rPr>
              <w:t>Actually Paid to</w:t>
            </w:r>
          </w:p>
        </w:tc>
        <w:tc>
          <w:tcPr>
            <w:tcW w:w="1300" w:type="dxa"/>
            <w:vAlign w:val="bottom"/>
            <w:shd w:val="clear" w:color="auto" w:fill="EF3E2A"/>
          </w:tcPr>
          <w:p>
            <w:pPr>
              <w:jc w:val="center"/>
              <w:spacing w:after="0"/>
              <w:rPr>
                <w:sz w:val="20"/>
                <w:szCs w:val="20"/>
                <w:color w:val="auto"/>
              </w:rPr>
            </w:pPr>
            <w:r>
              <w:rPr>
                <w:rFonts w:ascii="Calibri" w:cs="Calibri" w:eastAsia="Calibri" w:hAnsi="Calibri"/>
                <w:sz w:val="16"/>
                <w:szCs w:val="16"/>
                <w:b w:val="1"/>
                <w:bCs w:val="1"/>
                <w:color w:val="FFFFFF"/>
              </w:rPr>
              <w:t>Table Total for</w:t>
            </w:r>
          </w:p>
        </w:tc>
        <w:tc>
          <w:tcPr>
            <w:tcW w:w="1280" w:type="dxa"/>
            <w:vAlign w:val="bottom"/>
            <w:shd w:val="clear" w:color="auto" w:fill="EF3E2A"/>
          </w:tcPr>
          <w:p>
            <w:pPr>
              <w:jc w:val="center"/>
              <w:spacing w:after="0"/>
              <w:rPr>
                <w:sz w:val="20"/>
                <w:szCs w:val="20"/>
                <w:color w:val="auto"/>
              </w:rPr>
            </w:pPr>
            <w:r>
              <w:rPr>
                <w:rFonts w:ascii="Calibri" w:cs="Calibri" w:eastAsia="Calibri" w:hAnsi="Calibri"/>
                <w:sz w:val="16"/>
                <w:szCs w:val="16"/>
                <w:b w:val="1"/>
                <w:bCs w:val="1"/>
                <w:color w:val="FFFFFF"/>
                <w:w w:val="99"/>
              </w:rPr>
              <w:t>Actually Paid to</w:t>
            </w:r>
          </w:p>
        </w:tc>
        <w:tc>
          <w:tcPr>
            <w:tcW w:w="1020" w:type="dxa"/>
            <w:vAlign w:val="bottom"/>
            <w:shd w:val="clear" w:color="auto" w:fill="EF3E2A"/>
          </w:tcPr>
          <w:p>
            <w:pPr>
              <w:jc w:val="center"/>
              <w:spacing w:after="0"/>
              <w:rPr>
                <w:sz w:val="20"/>
                <w:szCs w:val="20"/>
                <w:color w:val="auto"/>
              </w:rPr>
            </w:pPr>
            <w:r>
              <w:rPr>
                <w:rFonts w:ascii="Calibri" w:cs="Calibri" w:eastAsia="Calibri" w:hAnsi="Calibri"/>
                <w:sz w:val="16"/>
                <w:szCs w:val="16"/>
                <w:b w:val="1"/>
                <w:bCs w:val="1"/>
                <w:color w:val="FFFFFF"/>
              </w:rPr>
              <w:t>Shareholder</w:t>
            </w:r>
          </w:p>
        </w:tc>
        <w:tc>
          <w:tcPr>
            <w:tcW w:w="1000" w:type="dxa"/>
            <w:vAlign w:val="bottom"/>
            <w:shd w:val="clear" w:color="auto" w:fill="EF3E2A"/>
          </w:tcPr>
          <w:p>
            <w:pPr>
              <w:jc w:val="center"/>
              <w:spacing w:after="0"/>
              <w:rPr>
                <w:sz w:val="20"/>
                <w:szCs w:val="20"/>
                <w:color w:val="auto"/>
              </w:rPr>
            </w:pPr>
            <w:r>
              <w:rPr>
                <w:rFonts w:ascii="Calibri" w:cs="Calibri" w:eastAsia="Calibri" w:hAnsi="Calibri"/>
                <w:sz w:val="16"/>
                <w:szCs w:val="16"/>
                <w:b w:val="1"/>
                <w:bCs w:val="1"/>
                <w:color w:val="FFFFFF"/>
                <w:w w:val="98"/>
              </w:rPr>
              <w:t>Shareholder</w:t>
            </w:r>
          </w:p>
        </w:tc>
        <w:tc>
          <w:tcPr>
            <w:tcW w:w="880" w:type="dxa"/>
            <w:vAlign w:val="bottom"/>
            <w:shd w:val="clear" w:color="auto" w:fill="EF3E2A"/>
          </w:tcPr>
          <w:p>
            <w:pPr>
              <w:jc w:val="center"/>
              <w:spacing w:after="0"/>
              <w:rPr>
                <w:sz w:val="20"/>
                <w:szCs w:val="20"/>
                <w:color w:val="auto"/>
              </w:rPr>
            </w:pPr>
            <w:r>
              <w:rPr>
                <w:rFonts w:ascii="Calibri" w:cs="Calibri" w:eastAsia="Calibri" w:hAnsi="Calibri"/>
                <w:sz w:val="16"/>
                <w:szCs w:val="16"/>
                <w:b w:val="1"/>
                <w:bCs w:val="1"/>
                <w:color w:val="FFFFFF"/>
              </w:rPr>
              <w:t>Income</w:t>
            </w:r>
          </w:p>
        </w:tc>
        <w:tc>
          <w:tcPr>
            <w:tcW w:w="620" w:type="dxa"/>
            <w:vAlign w:val="bottom"/>
            <w:shd w:val="clear" w:color="auto" w:fill="EF3E2A"/>
          </w:tcPr>
          <w:p>
            <w:pPr>
              <w:jc w:val="center"/>
              <w:ind w:left="14"/>
              <w:spacing w:after="0"/>
              <w:rPr>
                <w:sz w:val="20"/>
                <w:szCs w:val="20"/>
                <w:color w:val="auto"/>
              </w:rPr>
            </w:pPr>
            <w:r>
              <w:rPr>
                <w:rFonts w:ascii="Calibri" w:cs="Calibri" w:eastAsia="Calibri" w:hAnsi="Calibri"/>
                <w:sz w:val="16"/>
                <w:szCs w:val="16"/>
                <w:b w:val="1"/>
                <w:bCs w:val="1"/>
                <w:color w:val="FFFFFF"/>
                <w:w w:val="98"/>
              </w:rPr>
              <w:t>Diluted</w:t>
            </w:r>
          </w:p>
        </w:tc>
      </w:tr>
      <w:tr>
        <w:trPr>
          <w:trHeight w:val="232"/>
        </w:trPr>
        <w:tc>
          <w:tcPr>
            <w:tcW w:w="1060" w:type="dxa"/>
            <w:vAlign w:val="bottom"/>
            <w:shd w:val="clear" w:color="auto" w:fill="EF3E2A"/>
          </w:tcPr>
          <w:p>
            <w:pPr>
              <w:ind w:left="80"/>
              <w:spacing w:after="0"/>
              <w:rPr>
                <w:sz w:val="20"/>
                <w:szCs w:val="20"/>
                <w:color w:val="auto"/>
              </w:rPr>
            </w:pPr>
            <w:r>
              <w:rPr>
                <w:rFonts w:ascii="Calibri" w:cs="Calibri" w:eastAsia="Calibri" w:hAnsi="Calibri"/>
                <w:sz w:val="16"/>
                <w:szCs w:val="16"/>
                <w:b w:val="1"/>
                <w:bCs w:val="1"/>
                <w:color w:val="FFFFFF"/>
              </w:rPr>
              <w:t>Year</w:t>
            </w:r>
          </w:p>
        </w:tc>
        <w:tc>
          <w:tcPr>
            <w:tcW w:w="1680" w:type="dxa"/>
            <w:vAlign w:val="bottom"/>
            <w:shd w:val="clear" w:color="auto" w:fill="EF3E2A"/>
          </w:tcPr>
          <w:p>
            <w:pPr>
              <w:jc w:val="center"/>
              <w:ind w:left="434"/>
              <w:spacing w:after="0" w:line="232" w:lineRule="exact"/>
              <w:rPr>
                <w:sz w:val="20"/>
                <w:szCs w:val="20"/>
                <w:color w:val="auto"/>
              </w:rPr>
            </w:pPr>
            <w:r>
              <w:rPr>
                <w:rFonts w:ascii="Calibri" w:cs="Calibri" w:eastAsia="Calibri" w:hAnsi="Calibri"/>
                <w:sz w:val="16"/>
                <w:szCs w:val="16"/>
                <w:b w:val="1"/>
                <w:bCs w:val="1"/>
                <w:color w:val="FFFFFF"/>
                <w:w w:val="94"/>
              </w:rPr>
              <w:t>PEO</w:t>
            </w:r>
            <w:r>
              <w:rPr>
                <w:rFonts w:ascii="Calibri" w:cs="Calibri" w:eastAsia="Calibri" w:hAnsi="Calibri"/>
                <w:sz w:val="20"/>
                <w:szCs w:val="20"/>
                <w:b w:val="1"/>
                <w:bCs w:val="1"/>
                <w:color w:val="FFFFFF"/>
                <w:w w:val="94"/>
                <w:vertAlign w:val="superscript"/>
              </w:rPr>
              <w:t>(1)</w:t>
            </w:r>
          </w:p>
        </w:tc>
        <w:tc>
          <w:tcPr>
            <w:tcW w:w="260" w:type="dxa"/>
            <w:vAlign w:val="bottom"/>
            <w:shd w:val="clear" w:color="auto" w:fill="EF3E2A"/>
          </w:tcPr>
          <w:p>
            <w:pPr>
              <w:spacing w:after="0"/>
              <w:rPr>
                <w:sz w:val="20"/>
                <w:szCs w:val="20"/>
                <w:color w:val="auto"/>
              </w:rPr>
            </w:pPr>
          </w:p>
        </w:tc>
        <w:tc>
          <w:tcPr>
            <w:tcW w:w="980" w:type="dxa"/>
            <w:vAlign w:val="bottom"/>
            <w:shd w:val="clear" w:color="auto" w:fill="EF3E2A"/>
          </w:tcPr>
          <w:p>
            <w:pPr>
              <w:jc w:val="center"/>
              <w:ind w:right="152"/>
              <w:spacing w:after="0" w:line="232" w:lineRule="exact"/>
              <w:rPr>
                <w:sz w:val="20"/>
                <w:szCs w:val="20"/>
                <w:color w:val="auto"/>
              </w:rPr>
            </w:pPr>
            <w:r>
              <w:rPr>
                <w:rFonts w:ascii="Calibri" w:cs="Calibri" w:eastAsia="Calibri" w:hAnsi="Calibri"/>
                <w:sz w:val="16"/>
                <w:szCs w:val="16"/>
                <w:b w:val="1"/>
                <w:bCs w:val="1"/>
                <w:color w:val="FFFFFF"/>
                <w:w w:val="89"/>
              </w:rPr>
              <w:t>PEO</w:t>
            </w:r>
            <w:r>
              <w:rPr>
                <w:rFonts w:ascii="Calibri" w:cs="Calibri" w:eastAsia="Calibri" w:hAnsi="Calibri"/>
                <w:sz w:val="20"/>
                <w:szCs w:val="20"/>
                <w:b w:val="1"/>
                <w:bCs w:val="1"/>
                <w:color w:val="FFFFFF"/>
                <w:w w:val="89"/>
                <w:vertAlign w:val="superscript"/>
              </w:rPr>
              <w:t>(1)</w:t>
            </w:r>
          </w:p>
        </w:tc>
        <w:tc>
          <w:tcPr>
            <w:tcW w:w="1300" w:type="dxa"/>
            <w:vAlign w:val="bottom"/>
            <w:shd w:val="clear" w:color="auto" w:fill="EF3E2A"/>
          </w:tcPr>
          <w:p>
            <w:pPr>
              <w:jc w:val="center"/>
              <w:spacing w:after="0" w:line="232" w:lineRule="exact"/>
              <w:rPr>
                <w:sz w:val="20"/>
                <w:szCs w:val="20"/>
                <w:color w:val="auto"/>
              </w:rPr>
            </w:pPr>
            <w:r>
              <w:rPr>
                <w:rFonts w:ascii="Calibri" w:cs="Calibri" w:eastAsia="Calibri" w:hAnsi="Calibri"/>
                <w:sz w:val="16"/>
                <w:szCs w:val="16"/>
                <w:b w:val="1"/>
                <w:bCs w:val="1"/>
                <w:color w:val="FFFFFF"/>
                <w:w w:val="98"/>
              </w:rPr>
              <w:t>non-PEO NEOs</w:t>
            </w:r>
            <w:r>
              <w:rPr>
                <w:rFonts w:ascii="Calibri" w:cs="Calibri" w:eastAsia="Calibri" w:hAnsi="Calibri"/>
                <w:sz w:val="20"/>
                <w:szCs w:val="20"/>
                <w:b w:val="1"/>
                <w:bCs w:val="1"/>
                <w:color w:val="FFFFFF"/>
                <w:w w:val="98"/>
                <w:vertAlign w:val="superscript"/>
              </w:rPr>
              <w:t>(2)</w:t>
            </w:r>
          </w:p>
        </w:tc>
        <w:tc>
          <w:tcPr>
            <w:tcW w:w="1280" w:type="dxa"/>
            <w:vAlign w:val="bottom"/>
            <w:shd w:val="clear" w:color="auto" w:fill="EF3E2A"/>
          </w:tcPr>
          <w:p>
            <w:pPr>
              <w:jc w:val="center"/>
              <w:spacing w:after="0" w:line="232" w:lineRule="exact"/>
              <w:rPr>
                <w:sz w:val="20"/>
                <w:szCs w:val="20"/>
                <w:color w:val="auto"/>
              </w:rPr>
            </w:pPr>
            <w:r>
              <w:rPr>
                <w:rFonts w:ascii="Calibri" w:cs="Calibri" w:eastAsia="Calibri" w:hAnsi="Calibri"/>
                <w:sz w:val="16"/>
                <w:szCs w:val="16"/>
                <w:b w:val="1"/>
                <w:bCs w:val="1"/>
                <w:color w:val="FFFFFF"/>
                <w:w w:val="96"/>
              </w:rPr>
              <w:t>non-PEO NEOs</w:t>
            </w:r>
            <w:r>
              <w:rPr>
                <w:rFonts w:ascii="Calibri" w:cs="Calibri" w:eastAsia="Calibri" w:hAnsi="Calibri"/>
                <w:sz w:val="20"/>
                <w:szCs w:val="20"/>
                <w:b w:val="1"/>
                <w:bCs w:val="1"/>
                <w:color w:val="FFFFFF"/>
                <w:w w:val="96"/>
                <w:vertAlign w:val="superscript"/>
              </w:rPr>
              <w:t>(2)</w:t>
            </w:r>
          </w:p>
        </w:tc>
        <w:tc>
          <w:tcPr>
            <w:tcW w:w="1020" w:type="dxa"/>
            <w:vAlign w:val="bottom"/>
            <w:shd w:val="clear" w:color="auto" w:fill="EF3E2A"/>
          </w:tcPr>
          <w:p>
            <w:pPr>
              <w:jc w:val="center"/>
              <w:spacing w:after="0" w:line="232" w:lineRule="exact"/>
              <w:rPr>
                <w:sz w:val="20"/>
                <w:szCs w:val="20"/>
                <w:color w:val="auto"/>
              </w:rPr>
            </w:pPr>
            <w:r>
              <w:rPr>
                <w:rFonts w:ascii="Calibri" w:cs="Calibri" w:eastAsia="Calibri" w:hAnsi="Calibri"/>
                <w:sz w:val="16"/>
                <w:szCs w:val="16"/>
                <w:b w:val="1"/>
                <w:bCs w:val="1"/>
                <w:color w:val="FFFFFF"/>
                <w:w w:val="95"/>
              </w:rPr>
              <w:t>Return</w:t>
            </w:r>
            <w:r>
              <w:rPr>
                <w:rFonts w:ascii="Calibri" w:cs="Calibri" w:eastAsia="Calibri" w:hAnsi="Calibri"/>
                <w:sz w:val="20"/>
                <w:szCs w:val="20"/>
                <w:b w:val="1"/>
                <w:bCs w:val="1"/>
                <w:color w:val="FFFFFF"/>
                <w:w w:val="95"/>
                <w:vertAlign w:val="superscript"/>
              </w:rPr>
              <w:t>(3)</w:t>
            </w:r>
          </w:p>
        </w:tc>
        <w:tc>
          <w:tcPr>
            <w:tcW w:w="1000" w:type="dxa"/>
            <w:vAlign w:val="bottom"/>
            <w:shd w:val="clear" w:color="auto" w:fill="EF3E2A"/>
          </w:tcPr>
          <w:p>
            <w:pPr>
              <w:jc w:val="center"/>
              <w:spacing w:after="0" w:line="232" w:lineRule="exact"/>
              <w:rPr>
                <w:sz w:val="20"/>
                <w:szCs w:val="20"/>
                <w:color w:val="auto"/>
              </w:rPr>
            </w:pPr>
            <w:r>
              <w:rPr>
                <w:rFonts w:ascii="Calibri" w:cs="Calibri" w:eastAsia="Calibri" w:hAnsi="Calibri"/>
                <w:sz w:val="16"/>
                <w:szCs w:val="16"/>
                <w:b w:val="1"/>
                <w:bCs w:val="1"/>
                <w:color w:val="FFFFFF"/>
                <w:w w:val="92"/>
              </w:rPr>
              <w:t>Return</w:t>
            </w:r>
            <w:r>
              <w:rPr>
                <w:rFonts w:ascii="Calibri" w:cs="Calibri" w:eastAsia="Calibri" w:hAnsi="Calibri"/>
                <w:sz w:val="20"/>
                <w:szCs w:val="20"/>
                <w:b w:val="1"/>
                <w:bCs w:val="1"/>
                <w:color w:val="FFFFFF"/>
                <w:w w:val="92"/>
                <w:vertAlign w:val="superscript"/>
              </w:rPr>
              <w:t>(3)</w:t>
            </w:r>
          </w:p>
        </w:tc>
        <w:tc>
          <w:tcPr>
            <w:tcW w:w="880" w:type="dxa"/>
            <w:vAlign w:val="bottom"/>
            <w:shd w:val="clear" w:color="auto" w:fill="EF3E2A"/>
          </w:tcPr>
          <w:p>
            <w:pPr>
              <w:jc w:val="center"/>
              <w:spacing w:after="0"/>
              <w:rPr>
                <w:sz w:val="20"/>
                <w:szCs w:val="20"/>
                <w:color w:val="auto"/>
              </w:rPr>
            </w:pPr>
            <w:r>
              <w:rPr>
                <w:rFonts w:ascii="Calibri" w:cs="Calibri" w:eastAsia="Calibri" w:hAnsi="Calibri"/>
                <w:sz w:val="16"/>
                <w:szCs w:val="16"/>
                <w:b w:val="1"/>
                <w:bCs w:val="1"/>
                <w:color w:val="FFFFFF"/>
              </w:rPr>
              <w:t>(in 000s)</w:t>
            </w:r>
          </w:p>
        </w:tc>
        <w:tc>
          <w:tcPr>
            <w:tcW w:w="620" w:type="dxa"/>
            <w:vAlign w:val="bottom"/>
            <w:shd w:val="clear" w:color="auto" w:fill="EF3E2A"/>
          </w:tcPr>
          <w:p>
            <w:pPr>
              <w:jc w:val="center"/>
              <w:ind w:left="34"/>
              <w:spacing w:after="0" w:line="232" w:lineRule="exact"/>
              <w:rPr>
                <w:sz w:val="20"/>
                <w:szCs w:val="20"/>
                <w:color w:val="auto"/>
              </w:rPr>
            </w:pPr>
            <w:r>
              <w:rPr>
                <w:rFonts w:ascii="Calibri" w:cs="Calibri" w:eastAsia="Calibri" w:hAnsi="Calibri"/>
                <w:sz w:val="16"/>
                <w:szCs w:val="16"/>
                <w:b w:val="1"/>
                <w:bCs w:val="1"/>
                <w:color w:val="FFFFFF"/>
                <w:w w:val="94"/>
              </w:rPr>
              <w:t>Share</w:t>
            </w:r>
            <w:r>
              <w:rPr>
                <w:rFonts w:ascii="Calibri" w:cs="Calibri" w:eastAsia="Calibri" w:hAnsi="Calibri"/>
                <w:sz w:val="20"/>
                <w:szCs w:val="20"/>
                <w:b w:val="1"/>
                <w:bCs w:val="1"/>
                <w:color w:val="FFFFFF"/>
                <w:w w:val="94"/>
                <w:vertAlign w:val="superscript"/>
              </w:rPr>
              <w:t>(4)</w:t>
            </w:r>
          </w:p>
        </w:tc>
      </w:tr>
      <w:tr>
        <w:trPr>
          <w:trHeight w:val="254"/>
        </w:trPr>
        <w:tc>
          <w:tcPr>
            <w:tcW w:w="1060" w:type="dxa"/>
            <w:vAlign w:val="bottom"/>
          </w:tcPr>
          <w:p>
            <w:pPr>
              <w:ind w:left="100"/>
              <w:spacing w:after="0"/>
              <w:rPr>
                <w:sz w:val="20"/>
                <w:szCs w:val="20"/>
                <w:color w:val="auto"/>
              </w:rPr>
            </w:pPr>
            <w:r>
              <w:rPr>
                <w:rFonts w:ascii="Calibri" w:cs="Calibri" w:eastAsia="Calibri" w:hAnsi="Calibri"/>
                <w:sz w:val="18"/>
                <w:szCs w:val="18"/>
                <w:color w:val="231F20"/>
              </w:rPr>
              <w:t>2025</w:t>
            </w:r>
          </w:p>
        </w:tc>
        <w:tc>
          <w:tcPr>
            <w:tcW w:w="1680" w:type="dxa"/>
            <w:vAlign w:val="bottom"/>
          </w:tcPr>
          <w:p>
            <w:pPr>
              <w:jc w:val="center"/>
              <w:ind w:left="454"/>
              <w:spacing w:after="0"/>
              <w:rPr>
                <w:sz w:val="20"/>
                <w:szCs w:val="20"/>
                <w:color w:val="auto"/>
              </w:rPr>
            </w:pPr>
            <w:r>
              <w:rPr>
                <w:rFonts w:ascii="Calibri" w:cs="Calibri" w:eastAsia="Calibri" w:hAnsi="Calibri"/>
                <w:sz w:val="18"/>
                <w:szCs w:val="18"/>
                <w:color w:val="231F20"/>
                <w:w w:val="99"/>
              </w:rPr>
              <w:t>$9,929,147</w:t>
            </w:r>
          </w:p>
        </w:tc>
        <w:tc>
          <w:tcPr>
            <w:tcW w:w="260" w:type="dxa"/>
            <w:vAlign w:val="bottom"/>
          </w:tcPr>
          <w:p>
            <w:pPr>
              <w:jc w:val="right"/>
              <w:spacing w:after="0"/>
              <w:rPr>
                <w:sz w:val="20"/>
                <w:szCs w:val="20"/>
                <w:color w:val="auto"/>
              </w:rPr>
            </w:pPr>
            <w:r>
              <w:rPr>
                <w:rFonts w:ascii="Calibri" w:cs="Calibri" w:eastAsia="Calibri" w:hAnsi="Calibri"/>
                <w:sz w:val="18"/>
                <w:szCs w:val="18"/>
                <w:color w:val="231F20"/>
              </w:rPr>
              <w:t>$</w:t>
            </w:r>
          </w:p>
        </w:tc>
        <w:tc>
          <w:tcPr>
            <w:tcW w:w="980" w:type="dxa"/>
            <w:vAlign w:val="bottom"/>
          </w:tcPr>
          <w:p>
            <w:pPr>
              <w:jc w:val="right"/>
              <w:ind w:right="72"/>
              <w:spacing w:after="0"/>
              <w:rPr>
                <w:sz w:val="20"/>
                <w:szCs w:val="20"/>
                <w:color w:val="auto"/>
              </w:rPr>
            </w:pPr>
            <w:r>
              <w:rPr>
                <w:rFonts w:ascii="Calibri" w:cs="Calibri" w:eastAsia="Calibri" w:hAnsi="Calibri"/>
                <w:sz w:val="18"/>
                <w:szCs w:val="18"/>
                <w:color w:val="231F20"/>
              </w:rPr>
              <w:t>8,370,328</w:t>
            </w:r>
          </w:p>
        </w:tc>
        <w:tc>
          <w:tcPr>
            <w:tcW w:w="1300" w:type="dxa"/>
            <w:vAlign w:val="bottom"/>
          </w:tcPr>
          <w:p>
            <w:pPr>
              <w:jc w:val="center"/>
              <w:spacing w:after="0"/>
              <w:rPr>
                <w:sz w:val="20"/>
                <w:szCs w:val="20"/>
                <w:color w:val="auto"/>
              </w:rPr>
            </w:pPr>
            <w:r>
              <w:rPr>
                <w:rFonts w:ascii="Calibri" w:cs="Calibri" w:eastAsia="Calibri" w:hAnsi="Calibri"/>
                <w:sz w:val="18"/>
                <w:szCs w:val="18"/>
                <w:color w:val="231F20"/>
                <w:w w:val="99"/>
              </w:rPr>
              <w:t>$2,889,143</w:t>
            </w:r>
          </w:p>
        </w:tc>
        <w:tc>
          <w:tcPr>
            <w:tcW w:w="1280" w:type="dxa"/>
            <w:vAlign w:val="bottom"/>
          </w:tcPr>
          <w:p>
            <w:pPr>
              <w:jc w:val="center"/>
              <w:spacing w:after="0"/>
              <w:rPr>
                <w:sz w:val="20"/>
                <w:szCs w:val="20"/>
                <w:color w:val="auto"/>
              </w:rPr>
            </w:pPr>
            <w:r>
              <w:rPr>
                <w:rFonts w:ascii="Calibri" w:cs="Calibri" w:eastAsia="Calibri" w:hAnsi="Calibri"/>
                <w:sz w:val="18"/>
                <w:szCs w:val="18"/>
                <w:color w:val="231F20"/>
                <w:w w:val="99"/>
              </w:rPr>
              <w:t>$2,588,140</w:t>
            </w:r>
          </w:p>
        </w:tc>
        <w:tc>
          <w:tcPr>
            <w:tcW w:w="1020" w:type="dxa"/>
            <w:vAlign w:val="bottom"/>
          </w:tcPr>
          <w:p>
            <w:pPr>
              <w:jc w:val="center"/>
              <w:spacing w:after="0"/>
              <w:rPr>
                <w:sz w:val="20"/>
                <w:szCs w:val="20"/>
                <w:color w:val="auto"/>
              </w:rPr>
            </w:pPr>
            <w:r>
              <w:rPr>
                <w:rFonts w:ascii="Calibri" w:cs="Calibri" w:eastAsia="Calibri" w:hAnsi="Calibri"/>
                <w:sz w:val="18"/>
                <w:szCs w:val="18"/>
                <w:color w:val="231F20"/>
                <w:w w:val="97"/>
              </w:rPr>
              <w:t>$134.06</w:t>
            </w:r>
          </w:p>
        </w:tc>
        <w:tc>
          <w:tcPr>
            <w:tcW w:w="1000" w:type="dxa"/>
            <w:vAlign w:val="bottom"/>
          </w:tcPr>
          <w:p>
            <w:pPr>
              <w:jc w:val="center"/>
              <w:spacing w:after="0"/>
              <w:rPr>
                <w:sz w:val="20"/>
                <w:szCs w:val="20"/>
                <w:color w:val="auto"/>
              </w:rPr>
            </w:pPr>
            <w:r>
              <w:rPr>
                <w:rFonts w:ascii="Calibri" w:cs="Calibri" w:eastAsia="Calibri" w:hAnsi="Calibri"/>
                <w:sz w:val="18"/>
                <w:szCs w:val="18"/>
                <w:color w:val="231F20"/>
              </w:rPr>
              <w:t>$154.56</w:t>
            </w:r>
          </w:p>
        </w:tc>
        <w:tc>
          <w:tcPr>
            <w:tcW w:w="880" w:type="dxa"/>
            <w:vAlign w:val="bottom"/>
          </w:tcPr>
          <w:p>
            <w:pPr>
              <w:jc w:val="center"/>
              <w:spacing w:after="0"/>
              <w:rPr>
                <w:sz w:val="20"/>
                <w:szCs w:val="20"/>
                <w:color w:val="auto"/>
              </w:rPr>
            </w:pPr>
            <w:r>
              <w:rPr>
                <w:rFonts w:ascii="Calibri" w:cs="Calibri" w:eastAsia="Calibri" w:hAnsi="Calibri"/>
                <w:sz w:val="18"/>
                <w:szCs w:val="18"/>
                <w:color w:val="231F20"/>
                <w:w w:val="99"/>
              </w:rPr>
              <w:t>$423,648</w:t>
            </w:r>
          </w:p>
        </w:tc>
        <w:tc>
          <w:tcPr>
            <w:tcW w:w="620" w:type="dxa"/>
            <w:vAlign w:val="bottom"/>
          </w:tcPr>
          <w:p>
            <w:pPr>
              <w:jc w:val="center"/>
              <w:ind w:left="14"/>
              <w:spacing w:after="0"/>
              <w:rPr>
                <w:sz w:val="20"/>
                <w:szCs w:val="20"/>
                <w:color w:val="auto"/>
              </w:rPr>
            </w:pPr>
            <w:r>
              <w:rPr>
                <w:rFonts w:ascii="Calibri" w:cs="Calibri" w:eastAsia="Calibri" w:hAnsi="Calibri"/>
                <w:sz w:val="18"/>
                <w:szCs w:val="18"/>
                <w:color w:val="231F20"/>
                <w:w w:val="97"/>
              </w:rPr>
              <w:t>$7.22</w:t>
            </w:r>
          </w:p>
        </w:tc>
      </w:tr>
      <w:tr>
        <w:trPr>
          <w:trHeight w:val="280"/>
        </w:trPr>
        <w:tc>
          <w:tcPr>
            <w:tcW w:w="1060" w:type="dxa"/>
            <w:vAlign w:val="bottom"/>
          </w:tcPr>
          <w:p>
            <w:pPr>
              <w:ind w:left="100"/>
              <w:spacing w:after="0"/>
              <w:rPr>
                <w:sz w:val="20"/>
                <w:szCs w:val="20"/>
                <w:color w:val="auto"/>
              </w:rPr>
            </w:pPr>
            <w:r>
              <w:rPr>
                <w:rFonts w:ascii="Calibri" w:cs="Calibri" w:eastAsia="Calibri" w:hAnsi="Calibri"/>
                <w:sz w:val="18"/>
                <w:szCs w:val="18"/>
                <w:color w:val="231F20"/>
              </w:rPr>
              <w:t>2024</w:t>
            </w:r>
          </w:p>
        </w:tc>
        <w:tc>
          <w:tcPr>
            <w:tcW w:w="1680" w:type="dxa"/>
            <w:vAlign w:val="bottom"/>
          </w:tcPr>
          <w:p>
            <w:pPr>
              <w:jc w:val="center"/>
              <w:ind w:left="454"/>
              <w:spacing w:after="0"/>
              <w:rPr>
                <w:sz w:val="20"/>
                <w:szCs w:val="20"/>
                <w:color w:val="auto"/>
              </w:rPr>
            </w:pPr>
            <w:r>
              <w:rPr>
                <w:rFonts w:ascii="Calibri" w:cs="Calibri" w:eastAsia="Calibri" w:hAnsi="Calibri"/>
                <w:sz w:val="18"/>
                <w:szCs w:val="18"/>
                <w:color w:val="231F20"/>
                <w:w w:val="99"/>
              </w:rPr>
              <w:t>$9,240,530</w:t>
            </w:r>
          </w:p>
        </w:tc>
        <w:tc>
          <w:tcPr>
            <w:tcW w:w="260" w:type="dxa"/>
            <w:vAlign w:val="bottom"/>
          </w:tcPr>
          <w:p>
            <w:pPr>
              <w:jc w:val="right"/>
              <w:spacing w:after="0"/>
              <w:rPr>
                <w:sz w:val="20"/>
                <w:szCs w:val="20"/>
                <w:color w:val="auto"/>
              </w:rPr>
            </w:pPr>
            <w:r>
              <w:rPr>
                <w:rFonts w:ascii="Calibri" w:cs="Calibri" w:eastAsia="Calibri" w:hAnsi="Calibri"/>
                <w:sz w:val="18"/>
                <w:szCs w:val="18"/>
                <w:color w:val="231F20"/>
              </w:rPr>
              <w:t>$</w:t>
            </w:r>
          </w:p>
        </w:tc>
        <w:tc>
          <w:tcPr>
            <w:tcW w:w="980" w:type="dxa"/>
            <w:vAlign w:val="bottom"/>
          </w:tcPr>
          <w:p>
            <w:pPr>
              <w:jc w:val="right"/>
              <w:ind w:right="72"/>
              <w:spacing w:after="0"/>
              <w:rPr>
                <w:sz w:val="20"/>
                <w:szCs w:val="20"/>
                <w:color w:val="auto"/>
              </w:rPr>
            </w:pPr>
            <w:r>
              <w:rPr>
                <w:rFonts w:ascii="Calibri" w:cs="Calibri" w:eastAsia="Calibri" w:hAnsi="Calibri"/>
                <w:sz w:val="18"/>
                <w:szCs w:val="18"/>
                <w:color w:val="231F20"/>
                <w:w w:val="97"/>
              </w:rPr>
              <w:t>11,336,876</w:t>
            </w:r>
          </w:p>
        </w:tc>
        <w:tc>
          <w:tcPr>
            <w:tcW w:w="1300" w:type="dxa"/>
            <w:vAlign w:val="bottom"/>
          </w:tcPr>
          <w:p>
            <w:pPr>
              <w:jc w:val="center"/>
              <w:spacing w:after="0"/>
              <w:rPr>
                <w:sz w:val="20"/>
                <w:szCs w:val="20"/>
                <w:color w:val="auto"/>
              </w:rPr>
            </w:pPr>
            <w:r>
              <w:rPr>
                <w:rFonts w:ascii="Calibri" w:cs="Calibri" w:eastAsia="Calibri" w:hAnsi="Calibri"/>
                <w:sz w:val="18"/>
                <w:szCs w:val="18"/>
                <w:color w:val="231F20"/>
                <w:w w:val="99"/>
              </w:rPr>
              <w:t>$2,328,903</w:t>
            </w:r>
          </w:p>
        </w:tc>
        <w:tc>
          <w:tcPr>
            <w:tcW w:w="1280" w:type="dxa"/>
            <w:vAlign w:val="bottom"/>
          </w:tcPr>
          <w:p>
            <w:pPr>
              <w:jc w:val="center"/>
              <w:spacing w:after="0"/>
              <w:rPr>
                <w:sz w:val="20"/>
                <w:szCs w:val="20"/>
                <w:color w:val="auto"/>
              </w:rPr>
            </w:pPr>
            <w:r>
              <w:rPr>
                <w:rFonts w:ascii="Calibri" w:cs="Calibri" w:eastAsia="Calibri" w:hAnsi="Calibri"/>
                <w:sz w:val="18"/>
                <w:szCs w:val="18"/>
                <w:color w:val="231F20"/>
                <w:w w:val="99"/>
              </w:rPr>
              <w:t>$2,705,899</w:t>
            </w:r>
          </w:p>
        </w:tc>
        <w:tc>
          <w:tcPr>
            <w:tcW w:w="1020" w:type="dxa"/>
            <w:vAlign w:val="bottom"/>
          </w:tcPr>
          <w:p>
            <w:pPr>
              <w:jc w:val="center"/>
              <w:spacing w:after="0"/>
              <w:rPr>
                <w:sz w:val="20"/>
                <w:szCs w:val="20"/>
                <w:color w:val="auto"/>
              </w:rPr>
            </w:pPr>
            <w:r>
              <w:rPr>
                <w:rFonts w:ascii="Calibri" w:cs="Calibri" w:eastAsia="Calibri" w:hAnsi="Calibri"/>
                <w:sz w:val="18"/>
                <w:szCs w:val="18"/>
                <w:color w:val="231F20"/>
                <w:w w:val="97"/>
              </w:rPr>
              <w:t>$153.40</w:t>
            </w:r>
          </w:p>
        </w:tc>
        <w:tc>
          <w:tcPr>
            <w:tcW w:w="1000" w:type="dxa"/>
            <w:vAlign w:val="bottom"/>
          </w:tcPr>
          <w:p>
            <w:pPr>
              <w:jc w:val="center"/>
              <w:spacing w:after="0"/>
              <w:rPr>
                <w:sz w:val="20"/>
                <w:szCs w:val="20"/>
                <w:color w:val="auto"/>
              </w:rPr>
            </w:pPr>
            <w:r>
              <w:rPr>
                <w:rFonts w:ascii="Calibri" w:cs="Calibri" w:eastAsia="Calibri" w:hAnsi="Calibri"/>
                <w:sz w:val="18"/>
                <w:szCs w:val="18"/>
                <w:color w:val="231F20"/>
              </w:rPr>
              <w:t>$171.23</w:t>
            </w:r>
          </w:p>
        </w:tc>
        <w:tc>
          <w:tcPr>
            <w:tcW w:w="880" w:type="dxa"/>
            <w:vAlign w:val="bottom"/>
          </w:tcPr>
          <w:p>
            <w:pPr>
              <w:jc w:val="center"/>
              <w:spacing w:after="0"/>
              <w:rPr>
                <w:sz w:val="20"/>
                <w:szCs w:val="20"/>
                <w:color w:val="auto"/>
              </w:rPr>
            </w:pPr>
            <w:r>
              <w:rPr>
                <w:rFonts w:ascii="Calibri" w:cs="Calibri" w:eastAsia="Calibri" w:hAnsi="Calibri"/>
                <w:sz w:val="18"/>
                <w:szCs w:val="18"/>
                <w:color w:val="231F20"/>
                <w:w w:val="99"/>
              </w:rPr>
              <w:t>$304,334</w:t>
            </w:r>
          </w:p>
        </w:tc>
        <w:tc>
          <w:tcPr>
            <w:tcW w:w="620" w:type="dxa"/>
            <w:vAlign w:val="bottom"/>
          </w:tcPr>
          <w:p>
            <w:pPr>
              <w:jc w:val="center"/>
              <w:ind w:left="14"/>
              <w:spacing w:after="0"/>
              <w:rPr>
                <w:sz w:val="20"/>
                <w:szCs w:val="20"/>
                <w:color w:val="auto"/>
              </w:rPr>
            </w:pPr>
            <w:r>
              <w:rPr>
                <w:rFonts w:ascii="Calibri" w:cs="Calibri" w:eastAsia="Calibri" w:hAnsi="Calibri"/>
                <w:sz w:val="18"/>
                <w:szCs w:val="18"/>
                <w:color w:val="231F20"/>
                <w:w w:val="97"/>
              </w:rPr>
              <w:t>$6.77</w:t>
            </w:r>
          </w:p>
        </w:tc>
      </w:tr>
      <w:tr>
        <w:trPr>
          <w:trHeight w:val="280"/>
        </w:trPr>
        <w:tc>
          <w:tcPr>
            <w:tcW w:w="1060" w:type="dxa"/>
            <w:vAlign w:val="bottom"/>
          </w:tcPr>
          <w:p>
            <w:pPr>
              <w:ind w:left="100"/>
              <w:spacing w:after="0"/>
              <w:rPr>
                <w:sz w:val="20"/>
                <w:szCs w:val="20"/>
                <w:color w:val="auto"/>
              </w:rPr>
            </w:pPr>
            <w:r>
              <w:rPr>
                <w:rFonts w:ascii="Calibri" w:cs="Calibri" w:eastAsia="Calibri" w:hAnsi="Calibri"/>
                <w:sz w:val="18"/>
                <w:szCs w:val="18"/>
                <w:color w:val="231F20"/>
              </w:rPr>
              <w:t>2023</w:t>
            </w:r>
          </w:p>
        </w:tc>
        <w:tc>
          <w:tcPr>
            <w:tcW w:w="1680" w:type="dxa"/>
            <w:vAlign w:val="bottom"/>
          </w:tcPr>
          <w:p>
            <w:pPr>
              <w:jc w:val="center"/>
              <w:ind w:left="454"/>
              <w:spacing w:after="0"/>
              <w:rPr>
                <w:sz w:val="20"/>
                <w:szCs w:val="20"/>
                <w:color w:val="auto"/>
              </w:rPr>
            </w:pPr>
            <w:r>
              <w:rPr>
                <w:rFonts w:ascii="Calibri" w:cs="Calibri" w:eastAsia="Calibri" w:hAnsi="Calibri"/>
                <w:sz w:val="18"/>
                <w:szCs w:val="18"/>
                <w:color w:val="231F20"/>
                <w:w w:val="99"/>
              </w:rPr>
              <w:t>$8,941,820</w:t>
            </w:r>
          </w:p>
        </w:tc>
        <w:tc>
          <w:tcPr>
            <w:tcW w:w="260" w:type="dxa"/>
            <w:vAlign w:val="bottom"/>
          </w:tcPr>
          <w:p>
            <w:pPr>
              <w:jc w:val="right"/>
              <w:spacing w:after="0"/>
              <w:rPr>
                <w:sz w:val="20"/>
                <w:szCs w:val="20"/>
                <w:color w:val="auto"/>
              </w:rPr>
            </w:pPr>
            <w:r>
              <w:rPr>
                <w:rFonts w:ascii="Calibri" w:cs="Calibri" w:eastAsia="Calibri" w:hAnsi="Calibri"/>
                <w:sz w:val="18"/>
                <w:szCs w:val="18"/>
                <w:color w:val="231F20"/>
              </w:rPr>
              <w:t>$</w:t>
            </w:r>
          </w:p>
        </w:tc>
        <w:tc>
          <w:tcPr>
            <w:tcW w:w="980" w:type="dxa"/>
            <w:vAlign w:val="bottom"/>
          </w:tcPr>
          <w:p>
            <w:pPr>
              <w:jc w:val="right"/>
              <w:ind w:right="72"/>
              <w:spacing w:after="0"/>
              <w:rPr>
                <w:sz w:val="20"/>
                <w:szCs w:val="20"/>
                <w:color w:val="auto"/>
              </w:rPr>
            </w:pPr>
            <w:r>
              <w:rPr>
                <w:rFonts w:ascii="Calibri" w:cs="Calibri" w:eastAsia="Calibri" w:hAnsi="Calibri"/>
                <w:sz w:val="18"/>
                <w:szCs w:val="18"/>
                <w:color w:val="231F20"/>
              </w:rPr>
              <w:t>9,972,582</w:t>
            </w:r>
          </w:p>
        </w:tc>
        <w:tc>
          <w:tcPr>
            <w:tcW w:w="1300" w:type="dxa"/>
            <w:vAlign w:val="bottom"/>
          </w:tcPr>
          <w:p>
            <w:pPr>
              <w:jc w:val="center"/>
              <w:spacing w:after="0"/>
              <w:rPr>
                <w:sz w:val="20"/>
                <w:szCs w:val="20"/>
                <w:color w:val="auto"/>
              </w:rPr>
            </w:pPr>
            <w:r>
              <w:rPr>
                <w:rFonts w:ascii="Calibri" w:cs="Calibri" w:eastAsia="Calibri" w:hAnsi="Calibri"/>
                <w:sz w:val="18"/>
                <w:szCs w:val="18"/>
                <w:color w:val="231F20"/>
                <w:w w:val="99"/>
              </w:rPr>
              <w:t>$2,416,716</w:t>
            </w:r>
          </w:p>
        </w:tc>
        <w:tc>
          <w:tcPr>
            <w:tcW w:w="1280" w:type="dxa"/>
            <w:vAlign w:val="bottom"/>
          </w:tcPr>
          <w:p>
            <w:pPr>
              <w:jc w:val="center"/>
              <w:spacing w:after="0"/>
              <w:rPr>
                <w:sz w:val="20"/>
                <w:szCs w:val="20"/>
                <w:color w:val="auto"/>
              </w:rPr>
            </w:pPr>
            <w:r>
              <w:rPr>
                <w:rFonts w:ascii="Calibri" w:cs="Calibri" w:eastAsia="Calibri" w:hAnsi="Calibri"/>
                <w:sz w:val="18"/>
                <w:szCs w:val="18"/>
                <w:color w:val="231F20"/>
                <w:w w:val="99"/>
              </w:rPr>
              <w:t>$2,590,452</w:t>
            </w:r>
          </w:p>
        </w:tc>
        <w:tc>
          <w:tcPr>
            <w:tcW w:w="1020" w:type="dxa"/>
            <w:vAlign w:val="bottom"/>
          </w:tcPr>
          <w:p>
            <w:pPr>
              <w:jc w:val="center"/>
              <w:spacing w:after="0"/>
              <w:rPr>
                <w:sz w:val="20"/>
                <w:szCs w:val="20"/>
                <w:color w:val="auto"/>
              </w:rPr>
            </w:pPr>
            <w:r>
              <w:rPr>
                <w:rFonts w:ascii="Calibri" w:cs="Calibri" w:eastAsia="Calibri" w:hAnsi="Calibri"/>
                <w:sz w:val="18"/>
                <w:szCs w:val="18"/>
                <w:color w:val="231F20"/>
                <w:w w:val="97"/>
              </w:rPr>
              <w:t>$136.87</w:t>
            </w:r>
          </w:p>
        </w:tc>
        <w:tc>
          <w:tcPr>
            <w:tcW w:w="1000" w:type="dxa"/>
            <w:vAlign w:val="bottom"/>
          </w:tcPr>
          <w:p>
            <w:pPr>
              <w:jc w:val="center"/>
              <w:spacing w:after="0"/>
              <w:rPr>
                <w:sz w:val="20"/>
                <w:szCs w:val="20"/>
                <w:color w:val="auto"/>
              </w:rPr>
            </w:pPr>
            <w:r>
              <w:rPr>
                <w:rFonts w:ascii="Calibri" w:cs="Calibri" w:eastAsia="Calibri" w:hAnsi="Calibri"/>
                <w:sz w:val="18"/>
                <w:szCs w:val="18"/>
                <w:color w:val="231F20"/>
              </w:rPr>
              <w:t>$155.04</w:t>
            </w:r>
          </w:p>
        </w:tc>
        <w:tc>
          <w:tcPr>
            <w:tcW w:w="880" w:type="dxa"/>
            <w:vAlign w:val="bottom"/>
          </w:tcPr>
          <w:p>
            <w:pPr>
              <w:jc w:val="center"/>
              <w:spacing w:after="0"/>
              <w:rPr>
                <w:sz w:val="20"/>
                <w:szCs w:val="20"/>
                <w:color w:val="auto"/>
              </w:rPr>
            </w:pPr>
            <w:r>
              <w:rPr>
                <w:rFonts w:ascii="Calibri" w:cs="Calibri" w:eastAsia="Calibri" w:hAnsi="Calibri"/>
                <w:sz w:val="18"/>
                <w:szCs w:val="18"/>
                <w:color w:val="231F20"/>
                <w:w w:val="99"/>
              </w:rPr>
              <w:t>$247,217</w:t>
            </w:r>
          </w:p>
        </w:tc>
        <w:tc>
          <w:tcPr>
            <w:tcW w:w="620" w:type="dxa"/>
            <w:vAlign w:val="bottom"/>
          </w:tcPr>
          <w:p>
            <w:pPr>
              <w:jc w:val="center"/>
              <w:ind w:left="14"/>
              <w:spacing w:after="0"/>
              <w:rPr>
                <w:sz w:val="20"/>
                <w:szCs w:val="20"/>
                <w:color w:val="auto"/>
              </w:rPr>
            </w:pPr>
            <w:r>
              <w:rPr>
                <w:rFonts w:ascii="Calibri" w:cs="Calibri" w:eastAsia="Calibri" w:hAnsi="Calibri"/>
                <w:sz w:val="18"/>
                <w:szCs w:val="18"/>
                <w:color w:val="231F20"/>
                <w:w w:val="97"/>
              </w:rPr>
              <w:t>$6.55</w:t>
            </w:r>
          </w:p>
        </w:tc>
      </w:tr>
      <w:tr>
        <w:trPr>
          <w:trHeight w:val="280"/>
        </w:trPr>
        <w:tc>
          <w:tcPr>
            <w:tcW w:w="1060" w:type="dxa"/>
            <w:vAlign w:val="bottom"/>
          </w:tcPr>
          <w:p>
            <w:pPr>
              <w:ind w:left="100"/>
              <w:spacing w:after="0"/>
              <w:rPr>
                <w:sz w:val="20"/>
                <w:szCs w:val="20"/>
                <w:color w:val="auto"/>
              </w:rPr>
            </w:pPr>
            <w:r>
              <w:rPr>
                <w:rFonts w:ascii="Calibri" w:cs="Calibri" w:eastAsia="Calibri" w:hAnsi="Calibri"/>
                <w:sz w:val="18"/>
                <w:szCs w:val="18"/>
                <w:color w:val="231F20"/>
              </w:rPr>
              <w:t>2022</w:t>
            </w:r>
          </w:p>
        </w:tc>
        <w:tc>
          <w:tcPr>
            <w:tcW w:w="1680" w:type="dxa"/>
            <w:vAlign w:val="bottom"/>
          </w:tcPr>
          <w:p>
            <w:pPr>
              <w:jc w:val="center"/>
              <w:ind w:left="454"/>
              <w:spacing w:after="0"/>
              <w:rPr>
                <w:sz w:val="20"/>
                <w:szCs w:val="20"/>
                <w:color w:val="auto"/>
              </w:rPr>
            </w:pPr>
            <w:r>
              <w:rPr>
                <w:rFonts w:ascii="Calibri" w:cs="Calibri" w:eastAsia="Calibri" w:hAnsi="Calibri"/>
                <w:sz w:val="18"/>
                <w:szCs w:val="18"/>
                <w:color w:val="231F20"/>
                <w:w w:val="99"/>
              </w:rPr>
              <w:t>$8,916,031</w:t>
            </w:r>
          </w:p>
        </w:tc>
        <w:tc>
          <w:tcPr>
            <w:tcW w:w="260" w:type="dxa"/>
            <w:vAlign w:val="bottom"/>
          </w:tcPr>
          <w:p>
            <w:pPr>
              <w:jc w:val="right"/>
              <w:spacing w:after="0"/>
              <w:rPr>
                <w:sz w:val="20"/>
                <w:szCs w:val="20"/>
                <w:color w:val="auto"/>
              </w:rPr>
            </w:pPr>
            <w:r>
              <w:rPr>
                <w:rFonts w:ascii="Calibri" w:cs="Calibri" w:eastAsia="Calibri" w:hAnsi="Calibri"/>
                <w:sz w:val="18"/>
                <w:szCs w:val="18"/>
                <w:color w:val="231F20"/>
              </w:rPr>
              <w:t>$</w:t>
            </w:r>
          </w:p>
        </w:tc>
        <w:tc>
          <w:tcPr>
            <w:tcW w:w="980" w:type="dxa"/>
            <w:vAlign w:val="bottom"/>
          </w:tcPr>
          <w:p>
            <w:pPr>
              <w:jc w:val="right"/>
              <w:ind w:right="72"/>
              <w:spacing w:after="0"/>
              <w:rPr>
                <w:sz w:val="20"/>
                <w:szCs w:val="20"/>
                <w:color w:val="auto"/>
              </w:rPr>
            </w:pPr>
            <w:r>
              <w:rPr>
                <w:rFonts w:ascii="Calibri" w:cs="Calibri" w:eastAsia="Calibri" w:hAnsi="Calibri"/>
                <w:sz w:val="18"/>
                <w:szCs w:val="18"/>
                <w:color w:val="231F20"/>
              </w:rPr>
              <w:t>6,570,796</w:t>
            </w:r>
          </w:p>
        </w:tc>
        <w:tc>
          <w:tcPr>
            <w:tcW w:w="1300" w:type="dxa"/>
            <w:vAlign w:val="bottom"/>
          </w:tcPr>
          <w:p>
            <w:pPr>
              <w:jc w:val="center"/>
              <w:spacing w:after="0"/>
              <w:rPr>
                <w:sz w:val="20"/>
                <w:szCs w:val="20"/>
                <w:color w:val="auto"/>
              </w:rPr>
            </w:pPr>
            <w:r>
              <w:rPr>
                <w:rFonts w:ascii="Calibri" w:cs="Calibri" w:eastAsia="Calibri" w:hAnsi="Calibri"/>
                <w:sz w:val="18"/>
                <w:szCs w:val="18"/>
                <w:color w:val="231F20"/>
                <w:w w:val="99"/>
              </w:rPr>
              <w:t>$2,026,318</w:t>
            </w:r>
          </w:p>
        </w:tc>
        <w:tc>
          <w:tcPr>
            <w:tcW w:w="1280" w:type="dxa"/>
            <w:vAlign w:val="bottom"/>
          </w:tcPr>
          <w:p>
            <w:pPr>
              <w:jc w:val="center"/>
              <w:spacing w:after="0"/>
              <w:rPr>
                <w:sz w:val="20"/>
                <w:szCs w:val="20"/>
                <w:color w:val="auto"/>
              </w:rPr>
            </w:pPr>
            <w:r>
              <w:rPr>
                <w:rFonts w:ascii="Calibri" w:cs="Calibri" w:eastAsia="Calibri" w:hAnsi="Calibri"/>
                <w:sz w:val="18"/>
                <w:szCs w:val="18"/>
                <w:color w:val="231F20"/>
                <w:w w:val="99"/>
              </w:rPr>
              <w:t>$1,623,013</w:t>
            </w:r>
          </w:p>
        </w:tc>
        <w:tc>
          <w:tcPr>
            <w:tcW w:w="1020" w:type="dxa"/>
            <w:vAlign w:val="bottom"/>
          </w:tcPr>
          <w:p>
            <w:pPr>
              <w:jc w:val="center"/>
              <w:spacing w:after="0"/>
              <w:rPr>
                <w:sz w:val="20"/>
                <w:szCs w:val="20"/>
                <w:color w:val="auto"/>
              </w:rPr>
            </w:pPr>
            <w:r>
              <w:rPr>
                <w:rFonts w:ascii="Calibri" w:cs="Calibri" w:eastAsia="Calibri" w:hAnsi="Calibri"/>
                <w:sz w:val="18"/>
                <w:szCs w:val="18"/>
                <w:color w:val="231F20"/>
                <w:w w:val="97"/>
              </w:rPr>
              <w:t>$128.32</w:t>
            </w:r>
          </w:p>
        </w:tc>
        <w:tc>
          <w:tcPr>
            <w:tcW w:w="1000" w:type="dxa"/>
            <w:vAlign w:val="bottom"/>
          </w:tcPr>
          <w:p>
            <w:pPr>
              <w:jc w:val="center"/>
              <w:spacing w:after="0"/>
              <w:rPr>
                <w:sz w:val="20"/>
                <w:szCs w:val="20"/>
                <w:color w:val="auto"/>
              </w:rPr>
            </w:pPr>
            <w:r>
              <w:rPr>
                <w:rFonts w:ascii="Calibri" w:cs="Calibri" w:eastAsia="Calibri" w:hAnsi="Calibri"/>
                <w:sz w:val="18"/>
                <w:szCs w:val="18"/>
                <w:color w:val="231F20"/>
              </w:rPr>
              <w:t>$141.90</w:t>
            </w:r>
          </w:p>
        </w:tc>
        <w:tc>
          <w:tcPr>
            <w:tcW w:w="880" w:type="dxa"/>
            <w:vAlign w:val="bottom"/>
          </w:tcPr>
          <w:p>
            <w:pPr>
              <w:jc w:val="center"/>
              <w:spacing w:after="0"/>
              <w:rPr>
                <w:sz w:val="20"/>
                <w:szCs w:val="20"/>
                <w:color w:val="auto"/>
              </w:rPr>
            </w:pPr>
            <w:r>
              <w:rPr>
                <w:rFonts w:ascii="Calibri" w:cs="Calibri" w:eastAsia="Calibri" w:hAnsi="Calibri"/>
                <w:sz w:val="18"/>
                <w:szCs w:val="18"/>
                <w:color w:val="231F20"/>
                <w:w w:val="99"/>
              </w:rPr>
              <w:t>$395,661</w:t>
            </w:r>
          </w:p>
        </w:tc>
        <w:tc>
          <w:tcPr>
            <w:tcW w:w="620" w:type="dxa"/>
            <w:vAlign w:val="bottom"/>
          </w:tcPr>
          <w:p>
            <w:pPr>
              <w:jc w:val="center"/>
              <w:ind w:left="14"/>
              <w:spacing w:after="0"/>
              <w:rPr>
                <w:sz w:val="20"/>
                <w:szCs w:val="20"/>
                <w:color w:val="auto"/>
              </w:rPr>
            </w:pPr>
            <w:r>
              <w:rPr>
                <w:rFonts w:ascii="Calibri" w:cs="Calibri" w:eastAsia="Calibri" w:hAnsi="Calibri"/>
                <w:sz w:val="18"/>
                <w:szCs w:val="18"/>
                <w:color w:val="231F20"/>
                <w:w w:val="97"/>
              </w:rPr>
              <w:t>$6.32</w:t>
            </w:r>
          </w:p>
        </w:tc>
      </w:tr>
      <w:tr>
        <w:trPr>
          <w:trHeight w:val="280"/>
        </w:trPr>
        <w:tc>
          <w:tcPr>
            <w:tcW w:w="1060" w:type="dxa"/>
            <w:vAlign w:val="bottom"/>
          </w:tcPr>
          <w:p>
            <w:pPr>
              <w:ind w:left="100"/>
              <w:spacing w:after="0"/>
              <w:rPr>
                <w:sz w:val="20"/>
                <w:szCs w:val="20"/>
                <w:color w:val="auto"/>
              </w:rPr>
            </w:pPr>
            <w:r>
              <w:rPr>
                <w:rFonts w:ascii="Calibri" w:cs="Calibri" w:eastAsia="Calibri" w:hAnsi="Calibri"/>
                <w:sz w:val="18"/>
                <w:szCs w:val="18"/>
                <w:color w:val="231F20"/>
              </w:rPr>
              <w:t>2021</w:t>
            </w:r>
          </w:p>
        </w:tc>
        <w:tc>
          <w:tcPr>
            <w:tcW w:w="1680" w:type="dxa"/>
            <w:vAlign w:val="bottom"/>
          </w:tcPr>
          <w:p>
            <w:pPr>
              <w:jc w:val="center"/>
              <w:ind w:left="454"/>
              <w:spacing w:after="0"/>
              <w:rPr>
                <w:sz w:val="20"/>
                <w:szCs w:val="20"/>
                <w:color w:val="auto"/>
              </w:rPr>
            </w:pPr>
            <w:r>
              <w:rPr>
                <w:rFonts w:ascii="Calibri" w:cs="Calibri" w:eastAsia="Calibri" w:hAnsi="Calibri"/>
                <w:sz w:val="18"/>
                <w:szCs w:val="18"/>
                <w:color w:val="231F20"/>
                <w:w w:val="99"/>
              </w:rPr>
              <w:t>$7,520,917</w:t>
            </w:r>
          </w:p>
        </w:tc>
        <w:tc>
          <w:tcPr>
            <w:tcW w:w="260" w:type="dxa"/>
            <w:vAlign w:val="bottom"/>
          </w:tcPr>
          <w:p>
            <w:pPr>
              <w:jc w:val="right"/>
              <w:spacing w:after="0"/>
              <w:rPr>
                <w:sz w:val="20"/>
                <w:szCs w:val="20"/>
                <w:color w:val="auto"/>
              </w:rPr>
            </w:pPr>
            <w:r>
              <w:rPr>
                <w:rFonts w:ascii="Calibri" w:cs="Calibri" w:eastAsia="Calibri" w:hAnsi="Calibri"/>
                <w:sz w:val="18"/>
                <w:szCs w:val="18"/>
                <w:color w:val="231F20"/>
              </w:rPr>
              <w:t>$</w:t>
            </w:r>
          </w:p>
        </w:tc>
        <w:tc>
          <w:tcPr>
            <w:tcW w:w="980" w:type="dxa"/>
            <w:vAlign w:val="bottom"/>
          </w:tcPr>
          <w:p>
            <w:pPr>
              <w:jc w:val="right"/>
              <w:ind w:right="72"/>
              <w:spacing w:after="0"/>
              <w:rPr>
                <w:sz w:val="20"/>
                <w:szCs w:val="20"/>
                <w:color w:val="auto"/>
              </w:rPr>
            </w:pPr>
            <w:r>
              <w:rPr>
                <w:rFonts w:ascii="Calibri" w:cs="Calibri" w:eastAsia="Calibri" w:hAnsi="Calibri"/>
                <w:sz w:val="18"/>
                <w:szCs w:val="18"/>
                <w:color w:val="231F20"/>
                <w:w w:val="97"/>
              </w:rPr>
              <w:t>15,446,709</w:t>
            </w:r>
          </w:p>
        </w:tc>
        <w:tc>
          <w:tcPr>
            <w:tcW w:w="1300" w:type="dxa"/>
            <w:vAlign w:val="bottom"/>
          </w:tcPr>
          <w:p>
            <w:pPr>
              <w:jc w:val="center"/>
              <w:spacing w:after="0"/>
              <w:rPr>
                <w:sz w:val="20"/>
                <w:szCs w:val="20"/>
                <w:color w:val="auto"/>
              </w:rPr>
            </w:pPr>
            <w:r>
              <w:rPr>
                <w:rFonts w:ascii="Calibri" w:cs="Calibri" w:eastAsia="Calibri" w:hAnsi="Calibri"/>
                <w:sz w:val="18"/>
                <w:szCs w:val="18"/>
                <w:color w:val="231F20"/>
                <w:w w:val="99"/>
              </w:rPr>
              <w:t>$2,266,502</w:t>
            </w:r>
          </w:p>
        </w:tc>
        <w:tc>
          <w:tcPr>
            <w:tcW w:w="1280" w:type="dxa"/>
            <w:vAlign w:val="bottom"/>
          </w:tcPr>
          <w:p>
            <w:pPr>
              <w:jc w:val="center"/>
              <w:spacing w:after="0"/>
              <w:rPr>
                <w:sz w:val="20"/>
                <w:szCs w:val="20"/>
                <w:color w:val="auto"/>
              </w:rPr>
            </w:pPr>
            <w:r>
              <w:rPr>
                <w:rFonts w:ascii="Calibri" w:cs="Calibri" w:eastAsia="Calibri" w:hAnsi="Calibri"/>
                <w:sz w:val="18"/>
                <w:szCs w:val="18"/>
                <w:color w:val="231F20"/>
                <w:w w:val="99"/>
              </w:rPr>
              <w:t>$3,606,101</w:t>
            </w:r>
          </w:p>
        </w:tc>
        <w:tc>
          <w:tcPr>
            <w:tcW w:w="1020" w:type="dxa"/>
            <w:vAlign w:val="bottom"/>
          </w:tcPr>
          <w:p>
            <w:pPr>
              <w:jc w:val="center"/>
              <w:spacing w:after="0"/>
              <w:rPr>
                <w:sz w:val="20"/>
                <w:szCs w:val="20"/>
                <w:color w:val="auto"/>
              </w:rPr>
            </w:pPr>
            <w:r>
              <w:rPr>
                <w:rFonts w:ascii="Calibri" w:cs="Calibri" w:eastAsia="Calibri" w:hAnsi="Calibri"/>
                <w:sz w:val="18"/>
                <w:szCs w:val="18"/>
                <w:color w:val="231F20"/>
                <w:w w:val="97"/>
              </w:rPr>
              <w:t>$165.92</w:t>
            </w:r>
          </w:p>
        </w:tc>
        <w:tc>
          <w:tcPr>
            <w:tcW w:w="1000" w:type="dxa"/>
            <w:vAlign w:val="bottom"/>
          </w:tcPr>
          <w:p>
            <w:pPr>
              <w:jc w:val="center"/>
              <w:spacing w:after="0"/>
              <w:rPr>
                <w:sz w:val="20"/>
                <w:szCs w:val="20"/>
                <w:color w:val="auto"/>
              </w:rPr>
            </w:pPr>
            <w:r>
              <w:rPr>
                <w:rFonts w:ascii="Calibri" w:cs="Calibri" w:eastAsia="Calibri" w:hAnsi="Calibri"/>
                <w:sz w:val="18"/>
                <w:szCs w:val="18"/>
                <w:color w:val="231F20"/>
              </w:rPr>
              <w:t>$163.52</w:t>
            </w:r>
          </w:p>
        </w:tc>
        <w:tc>
          <w:tcPr>
            <w:tcW w:w="880" w:type="dxa"/>
            <w:vAlign w:val="bottom"/>
          </w:tcPr>
          <w:p>
            <w:pPr>
              <w:jc w:val="center"/>
              <w:spacing w:after="0"/>
              <w:rPr>
                <w:sz w:val="20"/>
                <w:szCs w:val="20"/>
                <w:color w:val="auto"/>
              </w:rPr>
            </w:pPr>
            <w:r>
              <w:rPr>
                <w:rFonts w:ascii="Calibri" w:cs="Calibri" w:eastAsia="Calibri" w:hAnsi="Calibri"/>
                <w:sz w:val="18"/>
                <w:szCs w:val="18"/>
                <w:color w:val="231F20"/>
                <w:w w:val="99"/>
              </w:rPr>
              <w:t>$269,081</w:t>
            </w:r>
          </w:p>
        </w:tc>
        <w:tc>
          <w:tcPr>
            <w:tcW w:w="620" w:type="dxa"/>
            <w:vAlign w:val="bottom"/>
          </w:tcPr>
          <w:p>
            <w:pPr>
              <w:jc w:val="center"/>
              <w:ind w:left="14"/>
              <w:spacing w:after="0"/>
              <w:rPr>
                <w:sz w:val="20"/>
                <w:szCs w:val="20"/>
                <w:color w:val="auto"/>
              </w:rPr>
            </w:pPr>
            <w:r>
              <w:rPr>
                <w:rFonts w:ascii="Calibri" w:cs="Calibri" w:eastAsia="Calibri" w:hAnsi="Calibri"/>
                <w:sz w:val="18"/>
                <w:szCs w:val="18"/>
                <w:color w:val="231F20"/>
                <w:w w:val="97"/>
              </w:rPr>
              <w:t>$5.57</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4109085</wp:posOffset>
                </wp:positionH>
                <wp:positionV relativeFrom="paragraph">
                  <wp:posOffset>-1544955</wp:posOffset>
                </wp:positionV>
                <wp:extent cx="1272540" cy="0"/>
                <wp:wrapNone/>
                <wp:docPr id="463" name="Shape 4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72540" cy="4763"/>
                        </a:xfrm>
                        <a:prstGeom prst="line">
                          <a:avLst/>
                        </a:prstGeom>
                        <a:solidFill>
                          <a:srgbClr val="FFFFFF"/>
                        </a:solidFill>
                        <a:ln w="12700">
                          <a:solidFill>
                            <a:srgbClr val="FFFFFF"/>
                          </a:solidFill>
                          <a:miter lim="800000"/>
                          <a:headEnd/>
                          <a:tailEnd/>
                        </a:ln>
                      </wps:spPr>
                      <wps:bodyPr/>
                    </wps:wsp>
                  </a:graphicData>
                </a:graphic>
              </wp:anchor>
            </w:drawing>
          </mc:Choice>
          <mc:Fallback>
            <w:pict>
              <v:line id="Shape 463" o:spid="_x0000_s14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3.55pt,-121.6499pt" to="423.75pt,-121.6499pt" o:allowincell="f" strokecolor="#FFFFFF" strokeweight="1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114935</wp:posOffset>
                </wp:positionV>
                <wp:extent cx="609600" cy="0"/>
                <wp:wrapNone/>
                <wp:docPr id="464" name="Shape 4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9600"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464" o:spid="_x0000_s14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9.05pt" to="48pt,9.05pt" o:allowincell="f" strokecolor="#231F20" strokeweight="0.5pt"/>
            </w:pict>
          </mc:Fallback>
        </mc:AlternateContent>
      </w:r>
    </w:p>
    <w:p>
      <w:pPr>
        <w:spacing w:after="0" w:line="221" w:lineRule="exact"/>
        <w:rPr>
          <w:sz w:val="20"/>
          <w:szCs w:val="20"/>
          <w:color w:val="auto"/>
        </w:rPr>
      </w:pPr>
    </w:p>
    <w:p>
      <w:pPr>
        <w:ind w:left="360" w:right="60" w:hanging="360"/>
        <w:spacing w:after="0" w:line="214" w:lineRule="auto"/>
        <w:tabs>
          <w:tab w:leader="none" w:pos="360" w:val="left"/>
        </w:tabs>
        <w:numPr>
          <w:ilvl w:val="0"/>
          <w:numId w:val="152"/>
        </w:numPr>
        <w:rPr>
          <w:rFonts w:ascii="Arial" w:cs="Arial" w:eastAsia="Arial" w:hAnsi="Arial"/>
          <w:sz w:val="23"/>
          <w:szCs w:val="23"/>
          <w:color w:val="231F20"/>
          <w:vertAlign w:val="superscript"/>
        </w:rPr>
      </w:pPr>
      <w:r>
        <w:rPr>
          <w:rFonts w:ascii="Arial" w:cs="Arial" w:eastAsia="Arial" w:hAnsi="Arial"/>
          <w:sz w:val="18"/>
          <w:szCs w:val="18"/>
          <w:color w:val="231F20"/>
        </w:rPr>
        <w:t>Mr. Wood was our principal executive officer for all years shown. Following are the adjustments made during each year shown to arrive at compensation actually paid to our principal executive officer during each year.</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60" w:type="dxa"/>
            <w:vAlign w:val="bottom"/>
            <w:shd w:val="clear" w:color="auto" w:fill="EF3E2A"/>
          </w:tcPr>
          <w:p>
            <w:pPr>
              <w:spacing w:after="0"/>
              <w:rPr>
                <w:sz w:val="19"/>
                <w:szCs w:val="19"/>
                <w:color w:val="auto"/>
              </w:rPr>
            </w:pPr>
          </w:p>
        </w:tc>
        <w:tc>
          <w:tcPr>
            <w:tcW w:w="3020" w:type="dxa"/>
            <w:vAlign w:val="bottom"/>
            <w:shd w:val="clear" w:color="auto" w:fill="EF3E2A"/>
          </w:tcPr>
          <w:p>
            <w:pPr>
              <w:spacing w:after="0"/>
              <w:rPr>
                <w:sz w:val="19"/>
                <w:szCs w:val="19"/>
                <w:color w:val="auto"/>
              </w:rPr>
            </w:pPr>
          </w:p>
        </w:tc>
        <w:tc>
          <w:tcPr>
            <w:tcW w:w="260" w:type="dxa"/>
            <w:vAlign w:val="bottom"/>
            <w:shd w:val="clear" w:color="auto" w:fill="EF3E2A"/>
          </w:tcPr>
          <w:p>
            <w:pPr>
              <w:spacing w:after="0"/>
              <w:rPr>
                <w:sz w:val="19"/>
                <w:szCs w:val="19"/>
                <w:color w:val="auto"/>
              </w:rPr>
            </w:pPr>
          </w:p>
        </w:tc>
        <w:tc>
          <w:tcPr>
            <w:tcW w:w="1000" w:type="dxa"/>
            <w:vAlign w:val="bottom"/>
            <w:shd w:val="clear" w:color="auto" w:fill="EF3E2A"/>
          </w:tcPr>
          <w:p>
            <w:pPr>
              <w:spacing w:after="0"/>
              <w:rPr>
                <w:sz w:val="19"/>
                <w:szCs w:val="19"/>
                <w:color w:val="auto"/>
              </w:rPr>
            </w:pPr>
          </w:p>
        </w:tc>
        <w:tc>
          <w:tcPr>
            <w:tcW w:w="240" w:type="dxa"/>
            <w:vAlign w:val="bottom"/>
            <w:shd w:val="clear" w:color="auto" w:fill="EF3E2A"/>
          </w:tcPr>
          <w:p>
            <w:pPr>
              <w:spacing w:after="0"/>
              <w:rPr>
                <w:sz w:val="19"/>
                <w:szCs w:val="19"/>
                <w:color w:val="auto"/>
              </w:rPr>
            </w:pPr>
          </w:p>
        </w:tc>
        <w:tc>
          <w:tcPr>
            <w:tcW w:w="1000" w:type="dxa"/>
            <w:vAlign w:val="bottom"/>
            <w:shd w:val="clear" w:color="auto" w:fill="EF3E2A"/>
          </w:tcPr>
          <w:p>
            <w:pPr>
              <w:spacing w:after="0"/>
              <w:rPr>
                <w:sz w:val="19"/>
                <w:szCs w:val="19"/>
                <w:color w:val="auto"/>
              </w:rPr>
            </w:pPr>
          </w:p>
        </w:tc>
        <w:tc>
          <w:tcPr>
            <w:tcW w:w="240" w:type="dxa"/>
            <w:vAlign w:val="bottom"/>
            <w:shd w:val="clear" w:color="auto" w:fill="EF3E2A"/>
          </w:tcPr>
          <w:p>
            <w:pPr>
              <w:spacing w:after="0"/>
              <w:rPr>
                <w:sz w:val="19"/>
                <w:szCs w:val="19"/>
                <w:color w:val="auto"/>
              </w:rPr>
            </w:pPr>
          </w:p>
        </w:tc>
        <w:tc>
          <w:tcPr>
            <w:tcW w:w="1000" w:type="dxa"/>
            <w:vAlign w:val="bottom"/>
            <w:shd w:val="clear" w:color="auto" w:fill="EF3E2A"/>
          </w:tcPr>
          <w:p>
            <w:pPr>
              <w:jc w:val="right"/>
              <w:ind w:right="473"/>
              <w:spacing w:after="0"/>
              <w:rPr>
                <w:sz w:val="20"/>
                <w:szCs w:val="20"/>
                <w:color w:val="auto"/>
              </w:rPr>
            </w:pPr>
            <w:r>
              <w:rPr>
                <w:rFonts w:ascii="Calibri" w:cs="Calibri" w:eastAsia="Calibri" w:hAnsi="Calibri"/>
                <w:sz w:val="16"/>
                <w:szCs w:val="16"/>
                <w:b w:val="1"/>
                <w:bCs w:val="1"/>
                <w:color w:val="FFFFFF"/>
              </w:rPr>
              <w:t>PEO</w:t>
            </w:r>
          </w:p>
        </w:tc>
        <w:tc>
          <w:tcPr>
            <w:tcW w:w="260" w:type="dxa"/>
            <w:vAlign w:val="bottom"/>
            <w:shd w:val="clear" w:color="auto" w:fill="EF3E2A"/>
          </w:tcPr>
          <w:p>
            <w:pPr>
              <w:spacing w:after="0"/>
              <w:rPr>
                <w:sz w:val="19"/>
                <w:szCs w:val="19"/>
                <w:color w:val="auto"/>
              </w:rPr>
            </w:pPr>
          </w:p>
        </w:tc>
        <w:tc>
          <w:tcPr>
            <w:tcW w:w="980" w:type="dxa"/>
            <w:vAlign w:val="bottom"/>
            <w:shd w:val="clear" w:color="auto" w:fill="EF3E2A"/>
          </w:tcPr>
          <w:p>
            <w:pPr>
              <w:spacing w:after="0"/>
              <w:rPr>
                <w:sz w:val="19"/>
                <w:szCs w:val="19"/>
                <w:color w:val="auto"/>
              </w:rPr>
            </w:pPr>
          </w:p>
        </w:tc>
        <w:tc>
          <w:tcPr>
            <w:tcW w:w="260" w:type="dxa"/>
            <w:vAlign w:val="bottom"/>
            <w:shd w:val="clear" w:color="auto" w:fill="EF3E2A"/>
          </w:tcPr>
          <w:p>
            <w:pPr>
              <w:spacing w:after="0"/>
              <w:rPr>
                <w:sz w:val="19"/>
                <w:szCs w:val="19"/>
                <w:color w:val="auto"/>
              </w:rPr>
            </w:pPr>
          </w:p>
        </w:tc>
        <w:tc>
          <w:tcPr>
            <w:tcW w:w="860" w:type="dxa"/>
            <w:vAlign w:val="bottom"/>
            <w:shd w:val="clear" w:color="auto" w:fill="EF3E2A"/>
          </w:tcPr>
          <w:p>
            <w:pPr>
              <w:spacing w:after="0"/>
              <w:rPr>
                <w:sz w:val="19"/>
                <w:szCs w:val="19"/>
                <w:color w:val="auto"/>
              </w:rPr>
            </w:pPr>
          </w:p>
        </w:tc>
        <w:tc>
          <w:tcPr>
            <w:tcW w:w="60" w:type="dxa"/>
            <w:vAlign w:val="bottom"/>
          </w:tcPr>
          <w:p>
            <w:pPr>
              <w:spacing w:after="0"/>
              <w:rPr>
                <w:sz w:val="19"/>
                <w:szCs w:val="19"/>
                <w:color w:val="auto"/>
              </w:rPr>
            </w:pPr>
          </w:p>
        </w:tc>
      </w:tr>
      <w:tr>
        <w:trPr>
          <w:trHeight w:val="272"/>
        </w:trPr>
        <w:tc>
          <w:tcPr>
            <w:tcW w:w="3980" w:type="dxa"/>
            <w:vAlign w:val="bottom"/>
            <w:tcBorders>
              <w:bottom w:val="single" w:sz="8" w:color="EF3E2A"/>
            </w:tcBorders>
            <w:gridSpan w:val="2"/>
            <w:shd w:val="clear" w:color="auto" w:fill="EF3E2A"/>
          </w:tcPr>
          <w:p>
            <w:pPr>
              <w:ind w:left="80"/>
              <w:spacing w:after="0"/>
              <w:rPr>
                <w:sz w:val="20"/>
                <w:szCs w:val="20"/>
                <w:color w:val="auto"/>
              </w:rPr>
            </w:pPr>
            <w:r>
              <w:rPr>
                <w:rFonts w:ascii="Calibri" w:cs="Calibri" w:eastAsia="Calibri" w:hAnsi="Calibri"/>
                <w:sz w:val="16"/>
                <w:szCs w:val="16"/>
                <w:b w:val="1"/>
                <w:bCs w:val="1"/>
                <w:color w:val="FFFFFF"/>
              </w:rPr>
              <w:t>Adjustments</w:t>
            </w:r>
          </w:p>
        </w:tc>
        <w:tc>
          <w:tcPr>
            <w:tcW w:w="260" w:type="dxa"/>
            <w:vAlign w:val="bottom"/>
            <w:tcBorders>
              <w:bottom w:val="single" w:sz="8" w:color="EF3E2A"/>
            </w:tcBorders>
            <w:shd w:val="clear" w:color="auto" w:fill="EF3E2A"/>
          </w:tcPr>
          <w:p>
            <w:pPr>
              <w:spacing w:after="0"/>
              <w:rPr>
                <w:sz w:val="23"/>
                <w:szCs w:val="23"/>
                <w:color w:val="auto"/>
              </w:rPr>
            </w:pPr>
          </w:p>
        </w:tc>
        <w:tc>
          <w:tcPr>
            <w:tcW w:w="1000" w:type="dxa"/>
            <w:vAlign w:val="bottom"/>
            <w:tcBorders>
              <w:bottom w:val="single" w:sz="8" w:color="EF3E2A"/>
            </w:tcBorders>
            <w:shd w:val="clear" w:color="auto" w:fill="EF3E2A"/>
          </w:tcPr>
          <w:p>
            <w:pPr>
              <w:jc w:val="right"/>
              <w:ind w:right="451"/>
              <w:spacing w:after="0"/>
              <w:rPr>
                <w:sz w:val="20"/>
                <w:szCs w:val="20"/>
                <w:color w:val="auto"/>
              </w:rPr>
            </w:pPr>
            <w:r>
              <w:rPr>
                <w:rFonts w:ascii="Calibri" w:cs="Calibri" w:eastAsia="Calibri" w:hAnsi="Calibri"/>
                <w:sz w:val="16"/>
                <w:szCs w:val="16"/>
                <w:b w:val="1"/>
                <w:bCs w:val="1"/>
                <w:color w:val="FFFFFF"/>
              </w:rPr>
              <w:t>2025</w:t>
            </w:r>
          </w:p>
        </w:tc>
        <w:tc>
          <w:tcPr>
            <w:tcW w:w="240" w:type="dxa"/>
            <w:vAlign w:val="bottom"/>
            <w:tcBorders>
              <w:bottom w:val="single" w:sz="8" w:color="EF3E2A"/>
            </w:tcBorders>
            <w:shd w:val="clear" w:color="auto" w:fill="EF3E2A"/>
          </w:tcPr>
          <w:p>
            <w:pPr>
              <w:spacing w:after="0"/>
              <w:rPr>
                <w:sz w:val="23"/>
                <w:szCs w:val="23"/>
                <w:color w:val="auto"/>
              </w:rPr>
            </w:pPr>
          </w:p>
        </w:tc>
        <w:tc>
          <w:tcPr>
            <w:tcW w:w="1000" w:type="dxa"/>
            <w:vAlign w:val="bottom"/>
            <w:tcBorders>
              <w:bottom w:val="single" w:sz="8" w:color="EF3E2A"/>
            </w:tcBorders>
            <w:shd w:val="clear" w:color="auto" w:fill="EF3E2A"/>
          </w:tcPr>
          <w:p>
            <w:pPr>
              <w:jc w:val="right"/>
              <w:ind w:right="391"/>
              <w:spacing w:after="0"/>
              <w:rPr>
                <w:sz w:val="20"/>
                <w:szCs w:val="20"/>
                <w:color w:val="auto"/>
              </w:rPr>
            </w:pPr>
            <w:r>
              <w:rPr>
                <w:rFonts w:ascii="Calibri" w:cs="Calibri" w:eastAsia="Calibri" w:hAnsi="Calibri"/>
                <w:sz w:val="16"/>
                <w:szCs w:val="16"/>
                <w:b w:val="1"/>
                <w:bCs w:val="1"/>
                <w:color w:val="FFFFFF"/>
              </w:rPr>
              <w:t>2024</w:t>
            </w:r>
          </w:p>
        </w:tc>
        <w:tc>
          <w:tcPr>
            <w:tcW w:w="240" w:type="dxa"/>
            <w:vAlign w:val="bottom"/>
            <w:tcBorders>
              <w:bottom w:val="single" w:sz="8" w:color="EF3E2A"/>
            </w:tcBorders>
            <w:shd w:val="clear" w:color="auto" w:fill="EF3E2A"/>
          </w:tcPr>
          <w:p>
            <w:pPr>
              <w:spacing w:after="0"/>
              <w:rPr>
                <w:sz w:val="23"/>
                <w:szCs w:val="23"/>
                <w:color w:val="auto"/>
              </w:rPr>
            </w:pPr>
          </w:p>
        </w:tc>
        <w:tc>
          <w:tcPr>
            <w:tcW w:w="1000" w:type="dxa"/>
            <w:vAlign w:val="bottom"/>
            <w:tcBorders>
              <w:bottom w:val="single" w:sz="8" w:color="EF3E2A"/>
            </w:tcBorders>
            <w:shd w:val="clear" w:color="auto" w:fill="EF3E2A"/>
          </w:tcPr>
          <w:p>
            <w:pPr>
              <w:jc w:val="right"/>
              <w:ind w:right="393"/>
              <w:spacing w:after="0"/>
              <w:rPr>
                <w:sz w:val="20"/>
                <w:szCs w:val="20"/>
                <w:color w:val="auto"/>
              </w:rPr>
            </w:pPr>
            <w:r>
              <w:rPr>
                <w:rFonts w:ascii="Calibri" w:cs="Calibri" w:eastAsia="Calibri" w:hAnsi="Calibri"/>
                <w:sz w:val="16"/>
                <w:szCs w:val="16"/>
                <w:b w:val="1"/>
                <w:bCs w:val="1"/>
                <w:color w:val="FFFFFF"/>
              </w:rPr>
              <w:t>2023</w:t>
            </w:r>
          </w:p>
        </w:tc>
        <w:tc>
          <w:tcPr>
            <w:tcW w:w="260" w:type="dxa"/>
            <w:vAlign w:val="bottom"/>
            <w:tcBorders>
              <w:bottom w:val="single" w:sz="8" w:color="EF3E2A"/>
            </w:tcBorders>
            <w:shd w:val="clear" w:color="auto" w:fill="EF3E2A"/>
          </w:tcPr>
          <w:p>
            <w:pPr>
              <w:spacing w:after="0"/>
              <w:rPr>
                <w:sz w:val="23"/>
                <w:szCs w:val="23"/>
                <w:color w:val="auto"/>
              </w:rPr>
            </w:pPr>
          </w:p>
        </w:tc>
        <w:tc>
          <w:tcPr>
            <w:tcW w:w="980" w:type="dxa"/>
            <w:vAlign w:val="bottom"/>
            <w:tcBorders>
              <w:bottom w:val="single" w:sz="8" w:color="EF3E2A"/>
            </w:tcBorders>
            <w:shd w:val="clear" w:color="auto" w:fill="EF3E2A"/>
          </w:tcPr>
          <w:p>
            <w:pPr>
              <w:jc w:val="right"/>
              <w:ind w:right="391"/>
              <w:spacing w:after="0"/>
              <w:rPr>
                <w:sz w:val="20"/>
                <w:szCs w:val="20"/>
                <w:color w:val="auto"/>
              </w:rPr>
            </w:pPr>
            <w:r>
              <w:rPr>
                <w:rFonts w:ascii="Calibri" w:cs="Calibri" w:eastAsia="Calibri" w:hAnsi="Calibri"/>
                <w:sz w:val="16"/>
                <w:szCs w:val="16"/>
                <w:b w:val="1"/>
                <w:bCs w:val="1"/>
                <w:color w:val="FFFFFF"/>
              </w:rPr>
              <w:t>2022</w:t>
            </w:r>
          </w:p>
        </w:tc>
        <w:tc>
          <w:tcPr>
            <w:tcW w:w="260" w:type="dxa"/>
            <w:vAlign w:val="bottom"/>
            <w:tcBorders>
              <w:bottom w:val="single" w:sz="8" w:color="EF3E2A"/>
            </w:tcBorders>
            <w:shd w:val="clear" w:color="auto" w:fill="EF3E2A"/>
          </w:tcPr>
          <w:p>
            <w:pPr>
              <w:spacing w:after="0"/>
              <w:rPr>
                <w:sz w:val="23"/>
                <w:szCs w:val="23"/>
                <w:color w:val="auto"/>
              </w:rPr>
            </w:pPr>
          </w:p>
        </w:tc>
        <w:tc>
          <w:tcPr>
            <w:tcW w:w="860" w:type="dxa"/>
            <w:vAlign w:val="bottom"/>
            <w:tcBorders>
              <w:bottom w:val="single" w:sz="8" w:color="EF3E2A"/>
            </w:tcBorders>
            <w:shd w:val="clear" w:color="auto" w:fill="EF3E2A"/>
          </w:tcPr>
          <w:p>
            <w:pPr>
              <w:jc w:val="right"/>
              <w:ind w:right="271"/>
              <w:spacing w:after="0"/>
              <w:rPr>
                <w:sz w:val="20"/>
                <w:szCs w:val="20"/>
                <w:color w:val="auto"/>
              </w:rPr>
            </w:pPr>
            <w:r>
              <w:rPr>
                <w:rFonts w:ascii="Calibri" w:cs="Calibri" w:eastAsia="Calibri" w:hAnsi="Calibri"/>
                <w:sz w:val="16"/>
                <w:szCs w:val="16"/>
                <w:b w:val="1"/>
                <w:bCs w:val="1"/>
                <w:color w:val="FFFFFF"/>
              </w:rPr>
              <w:t>2021</w:t>
            </w:r>
          </w:p>
        </w:tc>
        <w:tc>
          <w:tcPr>
            <w:tcW w:w="60" w:type="dxa"/>
            <w:vAlign w:val="bottom"/>
          </w:tcPr>
          <w:p>
            <w:pPr>
              <w:spacing w:after="0"/>
              <w:rPr>
                <w:sz w:val="23"/>
                <w:szCs w:val="23"/>
                <w:color w:val="auto"/>
              </w:rPr>
            </w:pPr>
          </w:p>
        </w:tc>
      </w:tr>
      <w:tr>
        <w:trPr>
          <w:trHeight w:val="314"/>
        </w:trPr>
        <w:tc>
          <w:tcPr>
            <w:tcW w:w="3980" w:type="dxa"/>
            <w:vAlign w:val="bottom"/>
            <w:gridSpan w:val="2"/>
          </w:tcPr>
          <w:p>
            <w:pPr>
              <w:ind w:left="100"/>
              <w:spacing w:after="0"/>
              <w:rPr>
                <w:sz w:val="20"/>
                <w:szCs w:val="20"/>
                <w:color w:val="auto"/>
              </w:rPr>
            </w:pPr>
            <w:r>
              <w:rPr>
                <w:rFonts w:ascii="Calibri" w:cs="Calibri" w:eastAsia="Calibri" w:hAnsi="Calibri"/>
                <w:sz w:val="18"/>
                <w:szCs w:val="18"/>
                <w:color w:val="231F20"/>
              </w:rPr>
              <w:t>Amounts reported under “Stock Awards” in SCT</w:t>
            </w:r>
          </w:p>
        </w:tc>
        <w:tc>
          <w:tcPr>
            <w:tcW w:w="260" w:type="dxa"/>
            <w:vAlign w:val="bottom"/>
          </w:tcPr>
          <w:p>
            <w:pPr>
              <w:jc w:val="right"/>
              <w:spacing w:after="0"/>
              <w:rPr>
                <w:sz w:val="20"/>
                <w:szCs w:val="20"/>
                <w:color w:val="auto"/>
              </w:rPr>
            </w:pPr>
            <w:r>
              <w:rPr>
                <w:rFonts w:ascii="Calibri" w:cs="Calibri" w:eastAsia="Calibri" w:hAnsi="Calibri"/>
                <w:sz w:val="18"/>
                <w:szCs w:val="18"/>
                <w:color w:val="231F20"/>
              </w:rPr>
              <w:t>$</w:t>
            </w:r>
          </w:p>
        </w:tc>
        <w:tc>
          <w:tcPr>
            <w:tcW w:w="1000" w:type="dxa"/>
            <w:vAlign w:val="bottom"/>
          </w:tcPr>
          <w:p>
            <w:pPr>
              <w:jc w:val="right"/>
              <w:spacing w:after="0"/>
              <w:rPr>
                <w:sz w:val="20"/>
                <w:szCs w:val="20"/>
                <w:color w:val="auto"/>
              </w:rPr>
            </w:pPr>
            <w:r>
              <w:rPr>
                <w:rFonts w:ascii="Calibri" w:cs="Calibri" w:eastAsia="Calibri" w:hAnsi="Calibri"/>
                <w:sz w:val="18"/>
                <w:szCs w:val="18"/>
                <w:color w:val="231F20"/>
              </w:rPr>
              <w:t>(7,554,434)</w:t>
            </w:r>
          </w:p>
        </w:tc>
        <w:tc>
          <w:tcPr>
            <w:tcW w:w="240" w:type="dxa"/>
            <w:vAlign w:val="bottom"/>
          </w:tcPr>
          <w:p>
            <w:pPr>
              <w:jc w:val="right"/>
              <w:spacing w:after="0"/>
              <w:rPr>
                <w:sz w:val="20"/>
                <w:szCs w:val="20"/>
                <w:color w:val="auto"/>
              </w:rPr>
            </w:pPr>
            <w:r>
              <w:rPr>
                <w:rFonts w:ascii="Calibri" w:cs="Calibri" w:eastAsia="Calibri" w:hAnsi="Calibri"/>
                <w:sz w:val="18"/>
                <w:szCs w:val="18"/>
                <w:color w:val="231F20"/>
              </w:rPr>
              <w:t>$</w:t>
            </w:r>
          </w:p>
        </w:tc>
        <w:tc>
          <w:tcPr>
            <w:tcW w:w="1000" w:type="dxa"/>
            <w:vAlign w:val="bottom"/>
          </w:tcPr>
          <w:p>
            <w:pPr>
              <w:jc w:val="right"/>
              <w:spacing w:after="0"/>
              <w:rPr>
                <w:sz w:val="20"/>
                <w:szCs w:val="20"/>
                <w:color w:val="auto"/>
              </w:rPr>
            </w:pPr>
            <w:r>
              <w:rPr>
                <w:rFonts w:ascii="Calibri" w:cs="Calibri" w:eastAsia="Calibri" w:hAnsi="Calibri"/>
                <w:sz w:val="18"/>
                <w:szCs w:val="18"/>
                <w:color w:val="231F20"/>
              </w:rPr>
              <w:t>(6,946,529)</w:t>
            </w:r>
          </w:p>
        </w:tc>
        <w:tc>
          <w:tcPr>
            <w:tcW w:w="240" w:type="dxa"/>
            <w:vAlign w:val="bottom"/>
          </w:tcPr>
          <w:p>
            <w:pPr>
              <w:jc w:val="right"/>
              <w:spacing w:after="0"/>
              <w:rPr>
                <w:sz w:val="20"/>
                <w:szCs w:val="20"/>
                <w:color w:val="auto"/>
              </w:rPr>
            </w:pPr>
            <w:r>
              <w:rPr>
                <w:rFonts w:ascii="Calibri" w:cs="Calibri" w:eastAsia="Calibri" w:hAnsi="Calibri"/>
                <w:sz w:val="18"/>
                <w:szCs w:val="18"/>
                <w:color w:val="231F20"/>
              </w:rPr>
              <w:t>$</w:t>
            </w:r>
          </w:p>
        </w:tc>
        <w:tc>
          <w:tcPr>
            <w:tcW w:w="1000" w:type="dxa"/>
            <w:vAlign w:val="bottom"/>
          </w:tcPr>
          <w:p>
            <w:pPr>
              <w:jc w:val="right"/>
              <w:spacing w:after="0"/>
              <w:rPr>
                <w:sz w:val="20"/>
                <w:szCs w:val="20"/>
                <w:color w:val="auto"/>
              </w:rPr>
            </w:pPr>
            <w:r>
              <w:rPr>
                <w:rFonts w:ascii="Calibri" w:cs="Calibri" w:eastAsia="Calibri" w:hAnsi="Calibri"/>
                <w:sz w:val="18"/>
                <w:szCs w:val="18"/>
                <w:color w:val="231F20"/>
              </w:rPr>
              <w:t>(6,502,565)</w:t>
            </w:r>
          </w:p>
        </w:tc>
        <w:tc>
          <w:tcPr>
            <w:tcW w:w="260" w:type="dxa"/>
            <w:vAlign w:val="bottom"/>
          </w:tcPr>
          <w:p>
            <w:pPr>
              <w:jc w:val="right"/>
              <w:ind w:right="10"/>
              <w:spacing w:after="0"/>
              <w:rPr>
                <w:sz w:val="20"/>
                <w:szCs w:val="20"/>
                <w:color w:val="auto"/>
              </w:rPr>
            </w:pPr>
            <w:r>
              <w:rPr>
                <w:rFonts w:ascii="Calibri" w:cs="Calibri" w:eastAsia="Calibri" w:hAnsi="Calibri"/>
                <w:sz w:val="18"/>
                <w:szCs w:val="18"/>
                <w:color w:val="231F20"/>
              </w:rPr>
              <w:t>$</w:t>
            </w:r>
          </w:p>
        </w:tc>
        <w:tc>
          <w:tcPr>
            <w:tcW w:w="980" w:type="dxa"/>
            <w:vAlign w:val="bottom"/>
          </w:tcPr>
          <w:p>
            <w:pPr>
              <w:jc w:val="right"/>
              <w:spacing w:after="0"/>
              <w:rPr>
                <w:sz w:val="20"/>
                <w:szCs w:val="20"/>
                <w:color w:val="auto"/>
              </w:rPr>
            </w:pPr>
            <w:r>
              <w:rPr>
                <w:rFonts w:ascii="Calibri" w:cs="Calibri" w:eastAsia="Calibri" w:hAnsi="Calibri"/>
                <w:sz w:val="18"/>
                <w:szCs w:val="18"/>
                <w:color w:val="231F20"/>
              </w:rPr>
              <w:t>(6,474,391)</w:t>
            </w:r>
          </w:p>
        </w:tc>
        <w:tc>
          <w:tcPr>
            <w:tcW w:w="260" w:type="dxa"/>
            <w:vAlign w:val="bottom"/>
          </w:tcPr>
          <w:p>
            <w:pPr>
              <w:jc w:val="right"/>
              <w:ind w:right="10"/>
              <w:spacing w:after="0"/>
              <w:rPr>
                <w:sz w:val="20"/>
                <w:szCs w:val="20"/>
                <w:color w:val="auto"/>
              </w:rPr>
            </w:pPr>
            <w:r>
              <w:rPr>
                <w:rFonts w:ascii="Calibri" w:cs="Calibri" w:eastAsia="Calibri" w:hAnsi="Calibri"/>
                <w:sz w:val="18"/>
                <w:szCs w:val="18"/>
                <w:color w:val="231F20"/>
              </w:rPr>
              <w:t>$</w:t>
            </w:r>
          </w:p>
        </w:tc>
        <w:tc>
          <w:tcPr>
            <w:tcW w:w="920" w:type="dxa"/>
            <w:vAlign w:val="bottom"/>
            <w:gridSpan w:val="2"/>
          </w:tcPr>
          <w:p>
            <w:pPr>
              <w:jc w:val="right"/>
              <w:spacing w:after="0"/>
              <w:rPr>
                <w:sz w:val="20"/>
                <w:szCs w:val="20"/>
                <w:color w:val="auto"/>
              </w:rPr>
            </w:pPr>
            <w:r>
              <w:rPr>
                <w:rFonts w:ascii="Calibri" w:cs="Calibri" w:eastAsia="Calibri" w:hAnsi="Calibri"/>
                <w:sz w:val="18"/>
                <w:szCs w:val="18"/>
                <w:color w:val="231F20"/>
              </w:rPr>
              <w:t>(5,213,719)</w:t>
            </w:r>
          </w:p>
        </w:tc>
      </w:tr>
      <w:tr>
        <w:trPr>
          <w:trHeight w:val="26"/>
        </w:trPr>
        <w:tc>
          <w:tcPr>
            <w:tcW w:w="96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314"/>
        </w:trPr>
        <w:tc>
          <w:tcPr>
            <w:tcW w:w="3980" w:type="dxa"/>
            <w:vAlign w:val="bottom"/>
            <w:gridSpan w:val="2"/>
            <w:shd w:val="clear" w:color="auto" w:fill="DCDDDE"/>
          </w:tcPr>
          <w:p>
            <w:pPr>
              <w:ind w:left="100"/>
              <w:spacing w:after="0"/>
              <w:rPr>
                <w:sz w:val="20"/>
                <w:szCs w:val="20"/>
                <w:color w:val="auto"/>
              </w:rPr>
            </w:pPr>
            <w:r>
              <w:rPr>
                <w:rFonts w:ascii="Calibri" w:cs="Calibri" w:eastAsia="Calibri" w:hAnsi="Calibri"/>
                <w:sz w:val="18"/>
                <w:szCs w:val="18"/>
                <w:color w:val="231F20"/>
              </w:rPr>
              <w:t>Change Fair Value of Awards Granted in Year and</w:t>
            </w:r>
          </w:p>
        </w:tc>
        <w:tc>
          <w:tcPr>
            <w:tcW w:w="260" w:type="dxa"/>
            <w:vAlign w:val="bottom"/>
            <w:shd w:val="clear" w:color="auto" w:fill="DCDDDE"/>
          </w:tcPr>
          <w:p>
            <w:pPr>
              <w:spacing w:after="0"/>
              <w:rPr>
                <w:sz w:val="24"/>
                <w:szCs w:val="24"/>
                <w:color w:val="auto"/>
              </w:rPr>
            </w:pPr>
          </w:p>
        </w:tc>
        <w:tc>
          <w:tcPr>
            <w:tcW w:w="1000" w:type="dxa"/>
            <w:vAlign w:val="bottom"/>
            <w:shd w:val="clear" w:color="auto" w:fill="DCDDDE"/>
          </w:tcPr>
          <w:p>
            <w:pPr>
              <w:spacing w:after="0"/>
              <w:rPr>
                <w:sz w:val="24"/>
                <w:szCs w:val="24"/>
                <w:color w:val="auto"/>
              </w:rPr>
            </w:pPr>
          </w:p>
        </w:tc>
        <w:tc>
          <w:tcPr>
            <w:tcW w:w="240" w:type="dxa"/>
            <w:vAlign w:val="bottom"/>
            <w:shd w:val="clear" w:color="auto" w:fill="DCDDDE"/>
          </w:tcPr>
          <w:p>
            <w:pPr>
              <w:spacing w:after="0"/>
              <w:rPr>
                <w:sz w:val="24"/>
                <w:szCs w:val="24"/>
                <w:color w:val="auto"/>
              </w:rPr>
            </w:pPr>
          </w:p>
        </w:tc>
        <w:tc>
          <w:tcPr>
            <w:tcW w:w="1000" w:type="dxa"/>
            <w:vAlign w:val="bottom"/>
            <w:shd w:val="clear" w:color="auto" w:fill="DCDDDE"/>
          </w:tcPr>
          <w:p>
            <w:pPr>
              <w:spacing w:after="0"/>
              <w:rPr>
                <w:sz w:val="24"/>
                <w:szCs w:val="24"/>
                <w:color w:val="auto"/>
              </w:rPr>
            </w:pPr>
          </w:p>
        </w:tc>
        <w:tc>
          <w:tcPr>
            <w:tcW w:w="240" w:type="dxa"/>
            <w:vAlign w:val="bottom"/>
            <w:shd w:val="clear" w:color="auto" w:fill="DCDDDE"/>
          </w:tcPr>
          <w:p>
            <w:pPr>
              <w:spacing w:after="0"/>
              <w:rPr>
                <w:sz w:val="24"/>
                <w:szCs w:val="24"/>
                <w:color w:val="auto"/>
              </w:rPr>
            </w:pPr>
          </w:p>
        </w:tc>
        <w:tc>
          <w:tcPr>
            <w:tcW w:w="1000" w:type="dxa"/>
            <w:vAlign w:val="bottom"/>
            <w:shd w:val="clear" w:color="auto" w:fill="DCDDDE"/>
          </w:tcPr>
          <w:p>
            <w:pPr>
              <w:spacing w:after="0"/>
              <w:rPr>
                <w:sz w:val="24"/>
                <w:szCs w:val="24"/>
                <w:color w:val="auto"/>
              </w:rPr>
            </w:pPr>
          </w:p>
        </w:tc>
        <w:tc>
          <w:tcPr>
            <w:tcW w:w="260" w:type="dxa"/>
            <w:vAlign w:val="bottom"/>
            <w:shd w:val="clear" w:color="auto" w:fill="DCDDDE"/>
          </w:tcPr>
          <w:p>
            <w:pPr>
              <w:spacing w:after="0"/>
              <w:rPr>
                <w:sz w:val="24"/>
                <w:szCs w:val="24"/>
                <w:color w:val="auto"/>
              </w:rPr>
            </w:pPr>
          </w:p>
        </w:tc>
        <w:tc>
          <w:tcPr>
            <w:tcW w:w="980" w:type="dxa"/>
            <w:vAlign w:val="bottom"/>
            <w:shd w:val="clear" w:color="auto" w:fill="DCDDDE"/>
          </w:tcPr>
          <w:p>
            <w:pPr>
              <w:spacing w:after="0"/>
              <w:rPr>
                <w:sz w:val="24"/>
                <w:szCs w:val="24"/>
                <w:color w:val="auto"/>
              </w:rPr>
            </w:pPr>
          </w:p>
        </w:tc>
        <w:tc>
          <w:tcPr>
            <w:tcW w:w="260" w:type="dxa"/>
            <w:vAlign w:val="bottom"/>
            <w:shd w:val="clear" w:color="auto" w:fill="DCDDDE"/>
          </w:tcPr>
          <w:p>
            <w:pPr>
              <w:spacing w:after="0"/>
              <w:rPr>
                <w:sz w:val="24"/>
                <w:szCs w:val="24"/>
                <w:color w:val="auto"/>
              </w:rPr>
            </w:pPr>
          </w:p>
        </w:tc>
        <w:tc>
          <w:tcPr>
            <w:tcW w:w="860" w:type="dxa"/>
            <w:vAlign w:val="bottom"/>
            <w:shd w:val="clear" w:color="auto" w:fill="DCDDDE"/>
          </w:tcPr>
          <w:p>
            <w:pPr>
              <w:spacing w:after="0"/>
              <w:rPr>
                <w:sz w:val="24"/>
                <w:szCs w:val="24"/>
                <w:color w:val="auto"/>
              </w:rPr>
            </w:pPr>
          </w:p>
        </w:tc>
        <w:tc>
          <w:tcPr>
            <w:tcW w:w="60" w:type="dxa"/>
            <w:vAlign w:val="bottom"/>
          </w:tcPr>
          <w:p>
            <w:pPr>
              <w:spacing w:after="0"/>
              <w:rPr>
                <w:sz w:val="24"/>
                <w:szCs w:val="24"/>
                <w:color w:val="auto"/>
              </w:rPr>
            </w:pPr>
          </w:p>
        </w:tc>
      </w:tr>
      <w:tr>
        <w:trPr>
          <w:trHeight w:val="226"/>
        </w:trPr>
        <w:tc>
          <w:tcPr>
            <w:tcW w:w="3980" w:type="dxa"/>
            <w:vAlign w:val="bottom"/>
            <w:tcBorders>
              <w:bottom w:val="single" w:sz="8" w:color="DCDDDE"/>
            </w:tcBorders>
            <w:gridSpan w:val="2"/>
            <w:shd w:val="clear" w:color="auto" w:fill="DCDDDE"/>
          </w:tcPr>
          <w:p>
            <w:pPr>
              <w:ind w:left="180"/>
              <w:spacing w:after="0"/>
              <w:rPr>
                <w:sz w:val="20"/>
                <w:szCs w:val="20"/>
                <w:color w:val="auto"/>
              </w:rPr>
            </w:pPr>
            <w:r>
              <w:rPr>
                <w:rFonts w:ascii="Calibri" w:cs="Calibri" w:eastAsia="Calibri" w:hAnsi="Calibri"/>
                <w:sz w:val="18"/>
                <w:szCs w:val="18"/>
                <w:color w:val="231F20"/>
              </w:rPr>
              <w:t>Unvested as of Year-End</w:t>
            </w:r>
          </w:p>
        </w:tc>
        <w:tc>
          <w:tcPr>
            <w:tcW w:w="260" w:type="dxa"/>
            <w:vAlign w:val="bottom"/>
            <w:tcBorders>
              <w:bottom w:val="single" w:sz="8" w:color="DCDDDE"/>
            </w:tcBorders>
            <w:shd w:val="clear" w:color="auto" w:fill="DCDDDE"/>
          </w:tcPr>
          <w:p>
            <w:pPr>
              <w:jc w:val="right"/>
              <w:spacing w:after="0"/>
              <w:rPr>
                <w:sz w:val="20"/>
                <w:szCs w:val="20"/>
                <w:color w:val="auto"/>
              </w:rPr>
            </w:pPr>
            <w:r>
              <w:rPr>
                <w:rFonts w:ascii="Calibri" w:cs="Calibri" w:eastAsia="Calibri" w:hAnsi="Calibri"/>
                <w:sz w:val="18"/>
                <w:szCs w:val="18"/>
                <w:color w:val="231F20"/>
              </w:rPr>
              <w:t>$</w:t>
            </w:r>
          </w:p>
        </w:tc>
        <w:tc>
          <w:tcPr>
            <w:tcW w:w="1000" w:type="dxa"/>
            <w:vAlign w:val="bottom"/>
            <w:tcBorders>
              <w:bottom w:val="single" w:sz="8" w:color="DCDDDE"/>
            </w:tcBorders>
            <w:shd w:val="clear" w:color="auto" w:fill="DCDDDE"/>
          </w:tcPr>
          <w:p>
            <w:pPr>
              <w:jc w:val="right"/>
              <w:ind w:right="31"/>
              <w:spacing w:after="0"/>
              <w:rPr>
                <w:sz w:val="20"/>
                <w:szCs w:val="20"/>
                <w:color w:val="auto"/>
              </w:rPr>
            </w:pPr>
            <w:r>
              <w:rPr>
                <w:rFonts w:ascii="Calibri" w:cs="Calibri" w:eastAsia="Calibri" w:hAnsi="Calibri"/>
                <w:sz w:val="18"/>
                <w:szCs w:val="18"/>
                <w:color w:val="231F20"/>
              </w:rPr>
              <w:t>6,888,168</w:t>
            </w:r>
          </w:p>
        </w:tc>
        <w:tc>
          <w:tcPr>
            <w:tcW w:w="240" w:type="dxa"/>
            <w:vAlign w:val="bottom"/>
            <w:tcBorders>
              <w:bottom w:val="single" w:sz="8" w:color="DCDDDE"/>
            </w:tcBorders>
            <w:shd w:val="clear" w:color="auto" w:fill="DCDDDE"/>
          </w:tcPr>
          <w:p>
            <w:pPr>
              <w:jc w:val="right"/>
              <w:spacing w:after="0"/>
              <w:rPr>
                <w:sz w:val="20"/>
                <w:szCs w:val="20"/>
                <w:color w:val="auto"/>
              </w:rPr>
            </w:pPr>
            <w:r>
              <w:rPr>
                <w:rFonts w:ascii="Calibri" w:cs="Calibri" w:eastAsia="Calibri" w:hAnsi="Calibri"/>
                <w:sz w:val="18"/>
                <w:szCs w:val="18"/>
                <w:color w:val="231F20"/>
              </w:rPr>
              <w:t>$</w:t>
            </w:r>
          </w:p>
        </w:tc>
        <w:tc>
          <w:tcPr>
            <w:tcW w:w="1000" w:type="dxa"/>
            <w:vAlign w:val="bottom"/>
            <w:tcBorders>
              <w:bottom w:val="single" w:sz="8" w:color="DCDDDE"/>
            </w:tcBorders>
            <w:shd w:val="clear" w:color="auto" w:fill="DCDDDE"/>
          </w:tcPr>
          <w:p>
            <w:pPr>
              <w:jc w:val="right"/>
              <w:ind w:right="31"/>
              <w:spacing w:after="0"/>
              <w:rPr>
                <w:sz w:val="20"/>
                <w:szCs w:val="20"/>
                <w:color w:val="auto"/>
              </w:rPr>
            </w:pPr>
            <w:r>
              <w:rPr>
                <w:rFonts w:ascii="Calibri" w:cs="Calibri" w:eastAsia="Calibri" w:hAnsi="Calibri"/>
                <w:sz w:val="18"/>
                <w:szCs w:val="18"/>
                <w:color w:val="231F20"/>
              </w:rPr>
              <w:t>7,649,655</w:t>
            </w:r>
          </w:p>
        </w:tc>
        <w:tc>
          <w:tcPr>
            <w:tcW w:w="240" w:type="dxa"/>
            <w:vAlign w:val="bottom"/>
            <w:tcBorders>
              <w:bottom w:val="single" w:sz="8" w:color="DCDDDE"/>
            </w:tcBorders>
            <w:shd w:val="clear" w:color="auto" w:fill="DCDDDE"/>
          </w:tcPr>
          <w:p>
            <w:pPr>
              <w:jc w:val="right"/>
              <w:spacing w:after="0"/>
              <w:rPr>
                <w:sz w:val="20"/>
                <w:szCs w:val="20"/>
                <w:color w:val="auto"/>
              </w:rPr>
            </w:pPr>
            <w:r>
              <w:rPr>
                <w:rFonts w:ascii="Calibri" w:cs="Calibri" w:eastAsia="Calibri" w:hAnsi="Calibri"/>
                <w:sz w:val="18"/>
                <w:szCs w:val="18"/>
                <w:color w:val="231F20"/>
              </w:rPr>
              <w:t>$</w:t>
            </w:r>
          </w:p>
        </w:tc>
        <w:tc>
          <w:tcPr>
            <w:tcW w:w="1000" w:type="dxa"/>
            <w:vAlign w:val="bottom"/>
            <w:tcBorders>
              <w:bottom w:val="single" w:sz="8" w:color="DCDDDE"/>
            </w:tcBorders>
            <w:shd w:val="clear" w:color="auto" w:fill="DCDDDE"/>
          </w:tcPr>
          <w:p>
            <w:pPr>
              <w:jc w:val="right"/>
              <w:ind w:right="33"/>
              <w:spacing w:after="0"/>
              <w:rPr>
                <w:sz w:val="20"/>
                <w:szCs w:val="20"/>
                <w:color w:val="auto"/>
              </w:rPr>
            </w:pPr>
            <w:r>
              <w:rPr>
                <w:rFonts w:ascii="Calibri" w:cs="Calibri" w:eastAsia="Calibri" w:hAnsi="Calibri"/>
                <w:sz w:val="18"/>
                <w:szCs w:val="18"/>
                <w:color w:val="231F20"/>
              </w:rPr>
              <w:t>6,203,610</w:t>
            </w:r>
          </w:p>
        </w:tc>
        <w:tc>
          <w:tcPr>
            <w:tcW w:w="260" w:type="dxa"/>
            <w:vAlign w:val="bottom"/>
            <w:tcBorders>
              <w:bottom w:val="single" w:sz="8" w:color="DCDDDE"/>
            </w:tcBorders>
            <w:shd w:val="clear" w:color="auto" w:fill="DCDDDE"/>
          </w:tcPr>
          <w:p>
            <w:pPr>
              <w:jc w:val="right"/>
              <w:ind w:right="10"/>
              <w:spacing w:after="0"/>
              <w:rPr>
                <w:sz w:val="20"/>
                <w:szCs w:val="20"/>
                <w:color w:val="auto"/>
              </w:rPr>
            </w:pPr>
            <w:r>
              <w:rPr>
                <w:rFonts w:ascii="Calibri" w:cs="Calibri" w:eastAsia="Calibri" w:hAnsi="Calibri"/>
                <w:sz w:val="18"/>
                <w:szCs w:val="18"/>
                <w:color w:val="231F20"/>
              </w:rPr>
              <w:t>$</w:t>
            </w:r>
          </w:p>
        </w:tc>
        <w:tc>
          <w:tcPr>
            <w:tcW w:w="980" w:type="dxa"/>
            <w:vAlign w:val="bottom"/>
            <w:tcBorders>
              <w:bottom w:val="single" w:sz="8" w:color="DCDDDE"/>
            </w:tcBorders>
            <w:shd w:val="clear" w:color="auto" w:fill="DCDDDE"/>
          </w:tcPr>
          <w:p>
            <w:pPr>
              <w:jc w:val="right"/>
              <w:ind w:right="31"/>
              <w:spacing w:after="0"/>
              <w:rPr>
                <w:sz w:val="20"/>
                <w:szCs w:val="20"/>
                <w:color w:val="auto"/>
              </w:rPr>
            </w:pPr>
            <w:r>
              <w:rPr>
                <w:rFonts w:ascii="Calibri" w:cs="Calibri" w:eastAsia="Calibri" w:hAnsi="Calibri"/>
                <w:sz w:val="18"/>
                <w:szCs w:val="18"/>
                <w:color w:val="231F20"/>
              </w:rPr>
              <w:t>5,171,732</w:t>
            </w:r>
          </w:p>
        </w:tc>
        <w:tc>
          <w:tcPr>
            <w:tcW w:w="260" w:type="dxa"/>
            <w:vAlign w:val="bottom"/>
            <w:tcBorders>
              <w:bottom w:val="single" w:sz="8" w:color="DCDDDE"/>
            </w:tcBorders>
            <w:shd w:val="clear" w:color="auto" w:fill="DCDDDE"/>
          </w:tcPr>
          <w:p>
            <w:pPr>
              <w:jc w:val="right"/>
              <w:ind w:right="10"/>
              <w:spacing w:after="0"/>
              <w:rPr>
                <w:sz w:val="20"/>
                <w:szCs w:val="20"/>
                <w:color w:val="auto"/>
              </w:rPr>
            </w:pPr>
            <w:r>
              <w:rPr>
                <w:rFonts w:ascii="Calibri" w:cs="Calibri" w:eastAsia="Calibri" w:hAnsi="Calibri"/>
                <w:sz w:val="18"/>
                <w:szCs w:val="18"/>
                <w:color w:val="231F20"/>
              </w:rPr>
              <w:t>$</w:t>
            </w:r>
          </w:p>
        </w:tc>
        <w:tc>
          <w:tcPr>
            <w:tcW w:w="860" w:type="dxa"/>
            <w:vAlign w:val="bottom"/>
            <w:tcBorders>
              <w:bottom w:val="single" w:sz="8" w:color="DCDDDE"/>
            </w:tcBorders>
            <w:shd w:val="clear" w:color="auto" w:fill="DCDDDE"/>
          </w:tcPr>
          <w:p>
            <w:pPr>
              <w:jc w:val="right"/>
              <w:spacing w:after="0"/>
              <w:rPr>
                <w:sz w:val="20"/>
                <w:szCs w:val="20"/>
                <w:color w:val="auto"/>
              </w:rPr>
            </w:pPr>
            <w:r>
              <w:rPr>
                <w:rFonts w:ascii="Calibri" w:cs="Calibri" w:eastAsia="Calibri" w:hAnsi="Calibri"/>
                <w:sz w:val="18"/>
                <w:szCs w:val="18"/>
                <w:color w:val="231F20"/>
              </w:rPr>
              <w:t>7,421,261</w:t>
            </w:r>
          </w:p>
        </w:tc>
        <w:tc>
          <w:tcPr>
            <w:tcW w:w="60" w:type="dxa"/>
            <w:vAlign w:val="bottom"/>
          </w:tcPr>
          <w:p>
            <w:pPr>
              <w:spacing w:after="0"/>
              <w:rPr>
                <w:sz w:val="19"/>
                <w:szCs w:val="19"/>
                <w:color w:val="auto"/>
              </w:rPr>
            </w:pPr>
          </w:p>
        </w:tc>
      </w:tr>
      <w:tr>
        <w:trPr>
          <w:trHeight w:val="314"/>
        </w:trPr>
        <w:tc>
          <w:tcPr>
            <w:tcW w:w="3980" w:type="dxa"/>
            <w:vAlign w:val="bottom"/>
            <w:gridSpan w:val="2"/>
          </w:tcPr>
          <w:p>
            <w:pPr>
              <w:ind w:left="100"/>
              <w:spacing w:after="0"/>
              <w:rPr>
                <w:sz w:val="20"/>
                <w:szCs w:val="20"/>
                <w:color w:val="auto"/>
              </w:rPr>
            </w:pPr>
            <w:r>
              <w:rPr>
                <w:rFonts w:ascii="Calibri" w:cs="Calibri" w:eastAsia="Calibri" w:hAnsi="Calibri"/>
                <w:sz w:val="18"/>
                <w:szCs w:val="18"/>
                <w:color w:val="231F20"/>
              </w:rPr>
              <w:t>Change in Fair Value from Prior Year-End to</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20"/>
        </w:trPr>
        <w:tc>
          <w:tcPr>
            <w:tcW w:w="3980" w:type="dxa"/>
            <w:vAlign w:val="bottom"/>
            <w:gridSpan w:val="2"/>
          </w:tcPr>
          <w:p>
            <w:pPr>
              <w:ind w:left="180"/>
              <w:spacing w:after="0"/>
              <w:rPr>
                <w:sz w:val="20"/>
                <w:szCs w:val="20"/>
                <w:color w:val="auto"/>
              </w:rPr>
            </w:pPr>
            <w:r>
              <w:rPr>
                <w:rFonts w:ascii="Calibri" w:cs="Calibri" w:eastAsia="Calibri" w:hAnsi="Calibri"/>
                <w:sz w:val="18"/>
                <w:szCs w:val="18"/>
                <w:color w:val="231F20"/>
              </w:rPr>
              <w:t>Current Year-End of Awards Granted Prior to</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0"/>
        </w:trPr>
        <w:tc>
          <w:tcPr>
            <w:tcW w:w="3980" w:type="dxa"/>
            <w:vAlign w:val="bottom"/>
            <w:gridSpan w:val="2"/>
          </w:tcPr>
          <w:p>
            <w:pPr>
              <w:ind w:left="180"/>
              <w:spacing w:after="0"/>
              <w:rPr>
                <w:sz w:val="20"/>
                <w:szCs w:val="20"/>
                <w:color w:val="auto"/>
              </w:rPr>
            </w:pPr>
            <w:r>
              <w:rPr>
                <w:rFonts w:ascii="Calibri" w:cs="Calibri" w:eastAsia="Calibri" w:hAnsi="Calibri"/>
                <w:sz w:val="18"/>
                <w:szCs w:val="18"/>
                <w:color w:val="231F20"/>
              </w:rPr>
              <w:t>Year that w ere Outstanding and Unvested as of</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0"/>
        </w:trPr>
        <w:tc>
          <w:tcPr>
            <w:tcW w:w="3980" w:type="dxa"/>
            <w:vAlign w:val="bottom"/>
            <w:gridSpan w:val="2"/>
          </w:tcPr>
          <w:p>
            <w:pPr>
              <w:ind w:left="180"/>
              <w:spacing w:after="0"/>
              <w:rPr>
                <w:sz w:val="20"/>
                <w:szCs w:val="20"/>
                <w:color w:val="auto"/>
              </w:rPr>
            </w:pPr>
            <w:r>
              <w:rPr>
                <w:rFonts w:ascii="Calibri" w:cs="Calibri" w:eastAsia="Calibri" w:hAnsi="Calibri"/>
                <w:sz w:val="18"/>
                <w:szCs w:val="18"/>
                <w:color w:val="231F20"/>
              </w:rPr>
              <w:t>Year-End</w:t>
            </w:r>
          </w:p>
        </w:tc>
        <w:tc>
          <w:tcPr>
            <w:tcW w:w="260" w:type="dxa"/>
            <w:vAlign w:val="bottom"/>
          </w:tcPr>
          <w:p>
            <w:pPr>
              <w:jc w:val="right"/>
              <w:spacing w:after="0"/>
              <w:rPr>
                <w:sz w:val="20"/>
                <w:szCs w:val="20"/>
                <w:color w:val="auto"/>
              </w:rPr>
            </w:pPr>
            <w:r>
              <w:rPr>
                <w:rFonts w:ascii="Calibri" w:cs="Calibri" w:eastAsia="Calibri" w:hAnsi="Calibri"/>
                <w:sz w:val="18"/>
                <w:szCs w:val="18"/>
                <w:color w:val="231F20"/>
              </w:rPr>
              <w:t>$</w:t>
            </w:r>
          </w:p>
        </w:tc>
        <w:tc>
          <w:tcPr>
            <w:tcW w:w="1000" w:type="dxa"/>
            <w:vAlign w:val="bottom"/>
          </w:tcPr>
          <w:p>
            <w:pPr>
              <w:jc w:val="right"/>
              <w:spacing w:after="0"/>
              <w:rPr>
                <w:sz w:val="20"/>
                <w:szCs w:val="20"/>
                <w:color w:val="auto"/>
              </w:rPr>
            </w:pPr>
            <w:r>
              <w:rPr>
                <w:rFonts w:ascii="Calibri" w:cs="Calibri" w:eastAsia="Calibri" w:hAnsi="Calibri"/>
                <w:sz w:val="18"/>
                <w:szCs w:val="18"/>
                <w:color w:val="231F20"/>
              </w:rPr>
              <w:t>(1,391,297)</w:t>
            </w:r>
          </w:p>
        </w:tc>
        <w:tc>
          <w:tcPr>
            <w:tcW w:w="240" w:type="dxa"/>
            <w:vAlign w:val="bottom"/>
          </w:tcPr>
          <w:p>
            <w:pPr>
              <w:jc w:val="right"/>
              <w:spacing w:after="0"/>
              <w:rPr>
                <w:sz w:val="20"/>
                <w:szCs w:val="20"/>
                <w:color w:val="auto"/>
              </w:rPr>
            </w:pPr>
            <w:r>
              <w:rPr>
                <w:rFonts w:ascii="Calibri" w:cs="Calibri" w:eastAsia="Calibri" w:hAnsi="Calibri"/>
                <w:sz w:val="18"/>
                <w:szCs w:val="18"/>
                <w:color w:val="231F20"/>
              </w:rPr>
              <w:t>$</w:t>
            </w:r>
          </w:p>
        </w:tc>
        <w:tc>
          <w:tcPr>
            <w:tcW w:w="1000" w:type="dxa"/>
            <w:vAlign w:val="bottom"/>
          </w:tcPr>
          <w:p>
            <w:pPr>
              <w:jc w:val="right"/>
              <w:ind w:right="31"/>
              <w:spacing w:after="0"/>
              <w:rPr>
                <w:sz w:val="20"/>
                <w:szCs w:val="20"/>
                <w:color w:val="auto"/>
              </w:rPr>
            </w:pPr>
            <w:r>
              <w:rPr>
                <w:rFonts w:ascii="Calibri" w:cs="Calibri" w:eastAsia="Calibri" w:hAnsi="Calibri"/>
                <w:sz w:val="18"/>
                <w:szCs w:val="18"/>
                <w:color w:val="231F20"/>
              </w:rPr>
              <w:t>991,042</w:t>
            </w:r>
          </w:p>
        </w:tc>
        <w:tc>
          <w:tcPr>
            <w:tcW w:w="240" w:type="dxa"/>
            <w:vAlign w:val="bottom"/>
          </w:tcPr>
          <w:p>
            <w:pPr>
              <w:jc w:val="right"/>
              <w:spacing w:after="0"/>
              <w:rPr>
                <w:sz w:val="20"/>
                <w:szCs w:val="20"/>
                <w:color w:val="auto"/>
              </w:rPr>
            </w:pPr>
            <w:r>
              <w:rPr>
                <w:rFonts w:ascii="Calibri" w:cs="Calibri" w:eastAsia="Calibri" w:hAnsi="Calibri"/>
                <w:sz w:val="18"/>
                <w:szCs w:val="18"/>
                <w:color w:val="231F20"/>
              </w:rPr>
              <w:t>$</w:t>
            </w:r>
          </w:p>
        </w:tc>
        <w:tc>
          <w:tcPr>
            <w:tcW w:w="1000" w:type="dxa"/>
            <w:vAlign w:val="bottom"/>
          </w:tcPr>
          <w:p>
            <w:pPr>
              <w:jc w:val="right"/>
              <w:ind w:right="33"/>
              <w:spacing w:after="0"/>
              <w:rPr>
                <w:sz w:val="20"/>
                <w:szCs w:val="20"/>
                <w:color w:val="auto"/>
              </w:rPr>
            </w:pPr>
            <w:r>
              <w:rPr>
                <w:rFonts w:ascii="Calibri" w:cs="Calibri" w:eastAsia="Calibri" w:hAnsi="Calibri"/>
                <w:sz w:val="18"/>
                <w:szCs w:val="18"/>
                <w:color w:val="231F20"/>
              </w:rPr>
              <w:t>406,886</w:t>
            </w:r>
          </w:p>
        </w:tc>
        <w:tc>
          <w:tcPr>
            <w:tcW w:w="260" w:type="dxa"/>
            <w:vAlign w:val="bottom"/>
          </w:tcPr>
          <w:p>
            <w:pPr>
              <w:jc w:val="right"/>
              <w:ind w:right="10"/>
              <w:spacing w:after="0"/>
              <w:rPr>
                <w:sz w:val="20"/>
                <w:szCs w:val="20"/>
                <w:color w:val="auto"/>
              </w:rPr>
            </w:pPr>
            <w:r>
              <w:rPr>
                <w:rFonts w:ascii="Calibri" w:cs="Calibri" w:eastAsia="Calibri" w:hAnsi="Calibri"/>
                <w:sz w:val="18"/>
                <w:szCs w:val="18"/>
                <w:color w:val="231F20"/>
              </w:rPr>
              <w:t>$</w:t>
            </w:r>
          </w:p>
        </w:tc>
        <w:tc>
          <w:tcPr>
            <w:tcW w:w="980" w:type="dxa"/>
            <w:vAlign w:val="bottom"/>
          </w:tcPr>
          <w:p>
            <w:pPr>
              <w:jc w:val="right"/>
              <w:spacing w:after="0"/>
              <w:rPr>
                <w:sz w:val="20"/>
                <w:szCs w:val="20"/>
                <w:color w:val="auto"/>
              </w:rPr>
            </w:pPr>
            <w:r>
              <w:rPr>
                <w:rFonts w:ascii="Calibri" w:cs="Calibri" w:eastAsia="Calibri" w:hAnsi="Calibri"/>
                <w:sz w:val="18"/>
                <w:szCs w:val="18"/>
                <w:color w:val="231F20"/>
              </w:rPr>
              <w:t>(1,546,034)</w:t>
            </w:r>
          </w:p>
        </w:tc>
        <w:tc>
          <w:tcPr>
            <w:tcW w:w="260" w:type="dxa"/>
            <w:vAlign w:val="bottom"/>
          </w:tcPr>
          <w:p>
            <w:pPr>
              <w:jc w:val="right"/>
              <w:ind w:right="10"/>
              <w:spacing w:after="0"/>
              <w:rPr>
                <w:sz w:val="20"/>
                <w:szCs w:val="20"/>
                <w:color w:val="auto"/>
              </w:rPr>
            </w:pPr>
            <w:r>
              <w:rPr>
                <w:rFonts w:ascii="Calibri" w:cs="Calibri" w:eastAsia="Calibri" w:hAnsi="Calibri"/>
                <w:sz w:val="18"/>
                <w:szCs w:val="18"/>
                <w:color w:val="231F20"/>
              </w:rPr>
              <w:t>$</w:t>
            </w:r>
          </w:p>
        </w:tc>
        <w:tc>
          <w:tcPr>
            <w:tcW w:w="920" w:type="dxa"/>
            <w:vAlign w:val="bottom"/>
            <w:gridSpan w:val="2"/>
          </w:tcPr>
          <w:p>
            <w:pPr>
              <w:jc w:val="right"/>
              <w:ind w:right="60"/>
              <w:spacing w:after="0"/>
              <w:rPr>
                <w:sz w:val="20"/>
                <w:szCs w:val="20"/>
                <w:color w:val="auto"/>
              </w:rPr>
            </w:pPr>
            <w:r>
              <w:rPr>
                <w:rFonts w:ascii="Calibri" w:cs="Calibri" w:eastAsia="Calibri" w:hAnsi="Calibri"/>
                <w:sz w:val="18"/>
                <w:szCs w:val="18"/>
                <w:color w:val="231F20"/>
              </w:rPr>
              <w:t>4,544,000</w:t>
            </w:r>
          </w:p>
        </w:tc>
      </w:tr>
      <w:tr>
        <w:trPr>
          <w:trHeight w:val="26"/>
        </w:trPr>
        <w:tc>
          <w:tcPr>
            <w:tcW w:w="96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314"/>
        </w:trPr>
        <w:tc>
          <w:tcPr>
            <w:tcW w:w="3980" w:type="dxa"/>
            <w:vAlign w:val="bottom"/>
            <w:gridSpan w:val="2"/>
            <w:shd w:val="clear" w:color="auto" w:fill="DCDDDE"/>
          </w:tcPr>
          <w:p>
            <w:pPr>
              <w:ind w:left="100"/>
              <w:spacing w:after="0"/>
              <w:rPr>
                <w:sz w:val="20"/>
                <w:szCs w:val="20"/>
                <w:color w:val="auto"/>
              </w:rPr>
            </w:pPr>
            <w:r>
              <w:rPr>
                <w:rFonts w:ascii="Calibri" w:cs="Calibri" w:eastAsia="Calibri" w:hAnsi="Calibri"/>
                <w:sz w:val="18"/>
                <w:szCs w:val="18"/>
                <w:color w:val="231F20"/>
              </w:rPr>
              <w:t>Change in Fair Value from Prior Year-End to</w:t>
            </w:r>
          </w:p>
        </w:tc>
        <w:tc>
          <w:tcPr>
            <w:tcW w:w="260" w:type="dxa"/>
            <w:vAlign w:val="bottom"/>
            <w:shd w:val="clear" w:color="auto" w:fill="DCDDDE"/>
          </w:tcPr>
          <w:p>
            <w:pPr>
              <w:spacing w:after="0"/>
              <w:rPr>
                <w:sz w:val="24"/>
                <w:szCs w:val="24"/>
                <w:color w:val="auto"/>
              </w:rPr>
            </w:pPr>
          </w:p>
        </w:tc>
        <w:tc>
          <w:tcPr>
            <w:tcW w:w="1000" w:type="dxa"/>
            <w:vAlign w:val="bottom"/>
            <w:shd w:val="clear" w:color="auto" w:fill="DCDDDE"/>
          </w:tcPr>
          <w:p>
            <w:pPr>
              <w:spacing w:after="0"/>
              <w:rPr>
                <w:sz w:val="24"/>
                <w:szCs w:val="24"/>
                <w:color w:val="auto"/>
              </w:rPr>
            </w:pPr>
          </w:p>
        </w:tc>
        <w:tc>
          <w:tcPr>
            <w:tcW w:w="240" w:type="dxa"/>
            <w:vAlign w:val="bottom"/>
            <w:shd w:val="clear" w:color="auto" w:fill="DCDDDE"/>
          </w:tcPr>
          <w:p>
            <w:pPr>
              <w:spacing w:after="0"/>
              <w:rPr>
                <w:sz w:val="24"/>
                <w:szCs w:val="24"/>
                <w:color w:val="auto"/>
              </w:rPr>
            </w:pPr>
          </w:p>
        </w:tc>
        <w:tc>
          <w:tcPr>
            <w:tcW w:w="1000" w:type="dxa"/>
            <w:vAlign w:val="bottom"/>
            <w:shd w:val="clear" w:color="auto" w:fill="DCDDDE"/>
          </w:tcPr>
          <w:p>
            <w:pPr>
              <w:spacing w:after="0"/>
              <w:rPr>
                <w:sz w:val="24"/>
                <w:szCs w:val="24"/>
                <w:color w:val="auto"/>
              </w:rPr>
            </w:pPr>
          </w:p>
        </w:tc>
        <w:tc>
          <w:tcPr>
            <w:tcW w:w="240" w:type="dxa"/>
            <w:vAlign w:val="bottom"/>
            <w:shd w:val="clear" w:color="auto" w:fill="DCDDDE"/>
          </w:tcPr>
          <w:p>
            <w:pPr>
              <w:spacing w:after="0"/>
              <w:rPr>
                <w:sz w:val="24"/>
                <w:szCs w:val="24"/>
                <w:color w:val="auto"/>
              </w:rPr>
            </w:pPr>
          </w:p>
        </w:tc>
        <w:tc>
          <w:tcPr>
            <w:tcW w:w="1000" w:type="dxa"/>
            <w:vAlign w:val="bottom"/>
            <w:shd w:val="clear" w:color="auto" w:fill="DCDDDE"/>
          </w:tcPr>
          <w:p>
            <w:pPr>
              <w:spacing w:after="0"/>
              <w:rPr>
                <w:sz w:val="24"/>
                <w:szCs w:val="24"/>
                <w:color w:val="auto"/>
              </w:rPr>
            </w:pPr>
          </w:p>
        </w:tc>
        <w:tc>
          <w:tcPr>
            <w:tcW w:w="260" w:type="dxa"/>
            <w:vAlign w:val="bottom"/>
            <w:shd w:val="clear" w:color="auto" w:fill="DCDDDE"/>
          </w:tcPr>
          <w:p>
            <w:pPr>
              <w:spacing w:after="0"/>
              <w:rPr>
                <w:sz w:val="24"/>
                <w:szCs w:val="24"/>
                <w:color w:val="auto"/>
              </w:rPr>
            </w:pPr>
          </w:p>
        </w:tc>
        <w:tc>
          <w:tcPr>
            <w:tcW w:w="980" w:type="dxa"/>
            <w:vAlign w:val="bottom"/>
            <w:shd w:val="clear" w:color="auto" w:fill="DCDDDE"/>
          </w:tcPr>
          <w:p>
            <w:pPr>
              <w:spacing w:after="0"/>
              <w:rPr>
                <w:sz w:val="24"/>
                <w:szCs w:val="24"/>
                <w:color w:val="auto"/>
              </w:rPr>
            </w:pPr>
          </w:p>
        </w:tc>
        <w:tc>
          <w:tcPr>
            <w:tcW w:w="260" w:type="dxa"/>
            <w:vAlign w:val="bottom"/>
            <w:shd w:val="clear" w:color="auto" w:fill="DCDDDE"/>
          </w:tcPr>
          <w:p>
            <w:pPr>
              <w:spacing w:after="0"/>
              <w:rPr>
                <w:sz w:val="24"/>
                <w:szCs w:val="24"/>
                <w:color w:val="auto"/>
              </w:rPr>
            </w:pPr>
          </w:p>
        </w:tc>
        <w:tc>
          <w:tcPr>
            <w:tcW w:w="860" w:type="dxa"/>
            <w:vAlign w:val="bottom"/>
            <w:shd w:val="clear" w:color="auto" w:fill="DCDDDE"/>
          </w:tcPr>
          <w:p>
            <w:pPr>
              <w:spacing w:after="0"/>
              <w:rPr>
                <w:sz w:val="24"/>
                <w:szCs w:val="24"/>
                <w:color w:val="auto"/>
              </w:rPr>
            </w:pPr>
          </w:p>
        </w:tc>
        <w:tc>
          <w:tcPr>
            <w:tcW w:w="60" w:type="dxa"/>
            <w:vAlign w:val="bottom"/>
          </w:tcPr>
          <w:p>
            <w:pPr>
              <w:spacing w:after="0"/>
              <w:rPr>
                <w:sz w:val="24"/>
                <w:szCs w:val="24"/>
                <w:color w:val="auto"/>
              </w:rPr>
            </w:pPr>
          </w:p>
        </w:tc>
      </w:tr>
      <w:tr>
        <w:trPr>
          <w:trHeight w:val="220"/>
        </w:trPr>
        <w:tc>
          <w:tcPr>
            <w:tcW w:w="3980" w:type="dxa"/>
            <w:vAlign w:val="bottom"/>
            <w:gridSpan w:val="2"/>
            <w:shd w:val="clear" w:color="auto" w:fill="DCDDDE"/>
          </w:tcPr>
          <w:p>
            <w:pPr>
              <w:ind w:left="180"/>
              <w:spacing w:after="0"/>
              <w:rPr>
                <w:sz w:val="20"/>
                <w:szCs w:val="20"/>
                <w:color w:val="auto"/>
              </w:rPr>
            </w:pPr>
            <w:r>
              <w:rPr>
                <w:rFonts w:ascii="Calibri" w:cs="Calibri" w:eastAsia="Calibri" w:hAnsi="Calibri"/>
                <w:sz w:val="18"/>
                <w:szCs w:val="18"/>
                <w:color w:val="231F20"/>
              </w:rPr>
              <w:t>Vesting Date of Awards Granted Prior to Year</w:t>
            </w:r>
          </w:p>
        </w:tc>
        <w:tc>
          <w:tcPr>
            <w:tcW w:w="260" w:type="dxa"/>
            <w:vAlign w:val="bottom"/>
            <w:shd w:val="clear" w:color="auto" w:fill="DCDDDE"/>
          </w:tcPr>
          <w:p>
            <w:pPr>
              <w:spacing w:after="0"/>
              <w:rPr>
                <w:sz w:val="19"/>
                <w:szCs w:val="19"/>
                <w:color w:val="auto"/>
              </w:rPr>
            </w:pPr>
          </w:p>
        </w:tc>
        <w:tc>
          <w:tcPr>
            <w:tcW w:w="1000" w:type="dxa"/>
            <w:vAlign w:val="bottom"/>
            <w:shd w:val="clear" w:color="auto" w:fill="DCDDDE"/>
          </w:tcPr>
          <w:p>
            <w:pPr>
              <w:spacing w:after="0"/>
              <w:rPr>
                <w:sz w:val="19"/>
                <w:szCs w:val="19"/>
                <w:color w:val="auto"/>
              </w:rPr>
            </w:pPr>
          </w:p>
        </w:tc>
        <w:tc>
          <w:tcPr>
            <w:tcW w:w="240" w:type="dxa"/>
            <w:vAlign w:val="bottom"/>
            <w:shd w:val="clear" w:color="auto" w:fill="DCDDDE"/>
          </w:tcPr>
          <w:p>
            <w:pPr>
              <w:spacing w:after="0"/>
              <w:rPr>
                <w:sz w:val="19"/>
                <w:szCs w:val="19"/>
                <w:color w:val="auto"/>
              </w:rPr>
            </w:pPr>
          </w:p>
        </w:tc>
        <w:tc>
          <w:tcPr>
            <w:tcW w:w="1000" w:type="dxa"/>
            <w:vAlign w:val="bottom"/>
            <w:shd w:val="clear" w:color="auto" w:fill="DCDDDE"/>
          </w:tcPr>
          <w:p>
            <w:pPr>
              <w:spacing w:after="0"/>
              <w:rPr>
                <w:sz w:val="19"/>
                <w:szCs w:val="19"/>
                <w:color w:val="auto"/>
              </w:rPr>
            </w:pPr>
          </w:p>
        </w:tc>
        <w:tc>
          <w:tcPr>
            <w:tcW w:w="240" w:type="dxa"/>
            <w:vAlign w:val="bottom"/>
            <w:shd w:val="clear" w:color="auto" w:fill="DCDDDE"/>
          </w:tcPr>
          <w:p>
            <w:pPr>
              <w:spacing w:after="0"/>
              <w:rPr>
                <w:sz w:val="19"/>
                <w:szCs w:val="19"/>
                <w:color w:val="auto"/>
              </w:rPr>
            </w:pPr>
          </w:p>
        </w:tc>
        <w:tc>
          <w:tcPr>
            <w:tcW w:w="1000" w:type="dxa"/>
            <w:vAlign w:val="bottom"/>
            <w:shd w:val="clear" w:color="auto" w:fill="DCDDDE"/>
          </w:tcPr>
          <w:p>
            <w:pPr>
              <w:spacing w:after="0"/>
              <w:rPr>
                <w:sz w:val="19"/>
                <w:szCs w:val="19"/>
                <w:color w:val="auto"/>
              </w:rPr>
            </w:pPr>
          </w:p>
        </w:tc>
        <w:tc>
          <w:tcPr>
            <w:tcW w:w="260" w:type="dxa"/>
            <w:vAlign w:val="bottom"/>
            <w:shd w:val="clear" w:color="auto" w:fill="DCDDDE"/>
          </w:tcPr>
          <w:p>
            <w:pPr>
              <w:spacing w:after="0"/>
              <w:rPr>
                <w:sz w:val="19"/>
                <w:szCs w:val="19"/>
                <w:color w:val="auto"/>
              </w:rPr>
            </w:pPr>
          </w:p>
        </w:tc>
        <w:tc>
          <w:tcPr>
            <w:tcW w:w="980" w:type="dxa"/>
            <w:vAlign w:val="bottom"/>
            <w:shd w:val="clear" w:color="auto" w:fill="DCDDDE"/>
          </w:tcPr>
          <w:p>
            <w:pPr>
              <w:spacing w:after="0"/>
              <w:rPr>
                <w:sz w:val="19"/>
                <w:szCs w:val="19"/>
                <w:color w:val="auto"/>
              </w:rPr>
            </w:pPr>
          </w:p>
        </w:tc>
        <w:tc>
          <w:tcPr>
            <w:tcW w:w="260" w:type="dxa"/>
            <w:vAlign w:val="bottom"/>
            <w:shd w:val="clear" w:color="auto" w:fill="DCDDDE"/>
          </w:tcPr>
          <w:p>
            <w:pPr>
              <w:spacing w:after="0"/>
              <w:rPr>
                <w:sz w:val="19"/>
                <w:szCs w:val="19"/>
                <w:color w:val="auto"/>
              </w:rPr>
            </w:pPr>
          </w:p>
        </w:tc>
        <w:tc>
          <w:tcPr>
            <w:tcW w:w="860" w:type="dxa"/>
            <w:vAlign w:val="bottom"/>
            <w:shd w:val="clear" w:color="auto" w:fill="DCDDDE"/>
          </w:tcPr>
          <w:p>
            <w:pPr>
              <w:spacing w:after="0"/>
              <w:rPr>
                <w:sz w:val="19"/>
                <w:szCs w:val="19"/>
                <w:color w:val="auto"/>
              </w:rPr>
            </w:pPr>
          </w:p>
        </w:tc>
        <w:tc>
          <w:tcPr>
            <w:tcW w:w="60" w:type="dxa"/>
            <w:vAlign w:val="bottom"/>
          </w:tcPr>
          <w:p>
            <w:pPr>
              <w:spacing w:after="0"/>
              <w:rPr>
                <w:sz w:val="19"/>
                <w:szCs w:val="19"/>
                <w:color w:val="auto"/>
              </w:rPr>
            </w:pPr>
          </w:p>
        </w:tc>
      </w:tr>
      <w:tr>
        <w:trPr>
          <w:trHeight w:val="226"/>
        </w:trPr>
        <w:tc>
          <w:tcPr>
            <w:tcW w:w="3980" w:type="dxa"/>
            <w:vAlign w:val="bottom"/>
            <w:tcBorders>
              <w:bottom w:val="single" w:sz="8" w:color="DCDDDE"/>
            </w:tcBorders>
            <w:gridSpan w:val="2"/>
            <w:shd w:val="clear" w:color="auto" w:fill="DCDDDE"/>
          </w:tcPr>
          <w:p>
            <w:pPr>
              <w:ind w:left="180"/>
              <w:spacing w:after="0"/>
              <w:rPr>
                <w:sz w:val="20"/>
                <w:szCs w:val="20"/>
                <w:color w:val="auto"/>
              </w:rPr>
            </w:pPr>
            <w:r>
              <w:rPr>
                <w:rFonts w:ascii="Calibri" w:cs="Calibri" w:eastAsia="Calibri" w:hAnsi="Calibri"/>
                <w:sz w:val="18"/>
                <w:szCs w:val="18"/>
                <w:color w:val="231F20"/>
              </w:rPr>
              <w:t>that Vested During Year</w:t>
            </w:r>
          </w:p>
        </w:tc>
        <w:tc>
          <w:tcPr>
            <w:tcW w:w="260" w:type="dxa"/>
            <w:vAlign w:val="bottom"/>
            <w:tcBorders>
              <w:bottom w:val="single" w:sz="8" w:color="DCDDDE"/>
            </w:tcBorders>
            <w:shd w:val="clear" w:color="auto" w:fill="DCDDDE"/>
          </w:tcPr>
          <w:p>
            <w:pPr>
              <w:jc w:val="right"/>
              <w:spacing w:after="0"/>
              <w:rPr>
                <w:sz w:val="20"/>
                <w:szCs w:val="20"/>
                <w:color w:val="auto"/>
              </w:rPr>
            </w:pPr>
            <w:r>
              <w:rPr>
                <w:rFonts w:ascii="Calibri" w:cs="Calibri" w:eastAsia="Calibri" w:hAnsi="Calibri"/>
                <w:sz w:val="18"/>
                <w:szCs w:val="18"/>
                <w:color w:val="231F20"/>
              </w:rPr>
              <w:t>$</w:t>
            </w:r>
          </w:p>
        </w:tc>
        <w:tc>
          <w:tcPr>
            <w:tcW w:w="1000" w:type="dxa"/>
            <w:vAlign w:val="bottom"/>
            <w:tcBorders>
              <w:bottom w:val="single" w:sz="8" w:color="DCDDDE"/>
            </w:tcBorders>
            <w:shd w:val="clear" w:color="auto" w:fill="DCDDDE"/>
          </w:tcPr>
          <w:p>
            <w:pPr>
              <w:jc w:val="right"/>
              <w:spacing w:after="0"/>
              <w:rPr>
                <w:sz w:val="20"/>
                <w:szCs w:val="20"/>
                <w:color w:val="auto"/>
              </w:rPr>
            </w:pPr>
            <w:r>
              <w:rPr>
                <w:rFonts w:ascii="Calibri" w:cs="Calibri" w:eastAsia="Calibri" w:hAnsi="Calibri"/>
                <w:sz w:val="18"/>
                <w:szCs w:val="18"/>
                <w:color w:val="231F20"/>
              </w:rPr>
              <w:t>(83,345)</w:t>
            </w:r>
          </w:p>
        </w:tc>
        <w:tc>
          <w:tcPr>
            <w:tcW w:w="240" w:type="dxa"/>
            <w:vAlign w:val="bottom"/>
            <w:tcBorders>
              <w:bottom w:val="single" w:sz="8" w:color="DCDDDE"/>
            </w:tcBorders>
            <w:shd w:val="clear" w:color="auto" w:fill="DCDDDE"/>
          </w:tcPr>
          <w:p>
            <w:pPr>
              <w:jc w:val="right"/>
              <w:spacing w:after="0"/>
              <w:rPr>
                <w:sz w:val="20"/>
                <w:szCs w:val="20"/>
                <w:color w:val="auto"/>
              </w:rPr>
            </w:pPr>
            <w:r>
              <w:rPr>
                <w:rFonts w:ascii="Calibri" w:cs="Calibri" w:eastAsia="Calibri" w:hAnsi="Calibri"/>
                <w:sz w:val="18"/>
                <w:szCs w:val="18"/>
                <w:color w:val="231F20"/>
              </w:rPr>
              <w:t>$</w:t>
            </w:r>
          </w:p>
        </w:tc>
        <w:tc>
          <w:tcPr>
            <w:tcW w:w="1000" w:type="dxa"/>
            <w:vAlign w:val="bottom"/>
            <w:tcBorders>
              <w:bottom w:val="single" w:sz="8" w:color="DCDDDE"/>
            </w:tcBorders>
            <w:shd w:val="clear" w:color="auto" w:fill="DCDDDE"/>
          </w:tcPr>
          <w:p>
            <w:pPr>
              <w:jc w:val="right"/>
              <w:spacing w:after="0"/>
              <w:rPr>
                <w:sz w:val="20"/>
                <w:szCs w:val="20"/>
                <w:color w:val="auto"/>
              </w:rPr>
            </w:pPr>
            <w:r>
              <w:rPr>
                <w:rFonts w:ascii="Calibri" w:cs="Calibri" w:eastAsia="Calibri" w:hAnsi="Calibri"/>
                <w:sz w:val="18"/>
                <w:szCs w:val="18"/>
                <w:color w:val="231F20"/>
              </w:rPr>
              <w:t>(128,475)</w:t>
            </w:r>
          </w:p>
        </w:tc>
        <w:tc>
          <w:tcPr>
            <w:tcW w:w="240" w:type="dxa"/>
            <w:vAlign w:val="bottom"/>
            <w:tcBorders>
              <w:bottom w:val="single" w:sz="8" w:color="DCDDDE"/>
            </w:tcBorders>
            <w:shd w:val="clear" w:color="auto" w:fill="DCDDDE"/>
          </w:tcPr>
          <w:p>
            <w:pPr>
              <w:jc w:val="right"/>
              <w:spacing w:after="0"/>
              <w:rPr>
                <w:sz w:val="20"/>
                <w:szCs w:val="20"/>
                <w:color w:val="auto"/>
              </w:rPr>
            </w:pPr>
            <w:r>
              <w:rPr>
                <w:rFonts w:ascii="Calibri" w:cs="Calibri" w:eastAsia="Calibri" w:hAnsi="Calibri"/>
                <w:sz w:val="18"/>
                <w:szCs w:val="18"/>
                <w:color w:val="231F20"/>
              </w:rPr>
              <w:t>$</w:t>
            </w:r>
          </w:p>
        </w:tc>
        <w:tc>
          <w:tcPr>
            <w:tcW w:w="1000" w:type="dxa"/>
            <w:vAlign w:val="bottom"/>
            <w:tcBorders>
              <w:bottom w:val="single" w:sz="8" w:color="DCDDDE"/>
            </w:tcBorders>
            <w:shd w:val="clear" w:color="auto" w:fill="DCDDDE"/>
          </w:tcPr>
          <w:p>
            <w:pPr>
              <w:jc w:val="right"/>
              <w:ind w:right="33"/>
              <w:spacing w:after="0"/>
              <w:rPr>
                <w:sz w:val="20"/>
                <w:szCs w:val="20"/>
                <w:color w:val="auto"/>
              </w:rPr>
            </w:pPr>
            <w:r>
              <w:rPr>
                <w:rFonts w:ascii="Calibri" w:cs="Calibri" w:eastAsia="Calibri" w:hAnsi="Calibri"/>
                <w:sz w:val="18"/>
                <w:szCs w:val="18"/>
                <w:color w:val="231F20"/>
              </w:rPr>
              <w:t>449,965</w:t>
            </w:r>
          </w:p>
        </w:tc>
        <w:tc>
          <w:tcPr>
            <w:tcW w:w="260" w:type="dxa"/>
            <w:vAlign w:val="bottom"/>
            <w:tcBorders>
              <w:bottom w:val="single" w:sz="8" w:color="DCDDDE"/>
            </w:tcBorders>
            <w:shd w:val="clear" w:color="auto" w:fill="DCDDDE"/>
          </w:tcPr>
          <w:p>
            <w:pPr>
              <w:jc w:val="right"/>
              <w:ind w:right="10"/>
              <w:spacing w:after="0"/>
              <w:rPr>
                <w:sz w:val="20"/>
                <w:szCs w:val="20"/>
                <w:color w:val="auto"/>
              </w:rPr>
            </w:pPr>
            <w:r>
              <w:rPr>
                <w:rFonts w:ascii="Calibri" w:cs="Calibri" w:eastAsia="Calibri" w:hAnsi="Calibri"/>
                <w:sz w:val="18"/>
                <w:szCs w:val="18"/>
                <w:color w:val="231F20"/>
              </w:rPr>
              <w:t>$</w:t>
            </w:r>
          </w:p>
        </w:tc>
        <w:tc>
          <w:tcPr>
            <w:tcW w:w="980" w:type="dxa"/>
            <w:vAlign w:val="bottom"/>
            <w:tcBorders>
              <w:bottom w:val="single" w:sz="8" w:color="DCDDDE"/>
            </w:tcBorders>
            <w:shd w:val="clear" w:color="auto" w:fill="DCDDDE"/>
          </w:tcPr>
          <w:p>
            <w:pPr>
              <w:jc w:val="right"/>
              <w:ind w:right="31"/>
              <w:spacing w:after="0"/>
              <w:rPr>
                <w:sz w:val="20"/>
                <w:szCs w:val="20"/>
                <w:color w:val="auto"/>
              </w:rPr>
            </w:pPr>
            <w:r>
              <w:rPr>
                <w:rFonts w:ascii="Calibri" w:cs="Calibri" w:eastAsia="Calibri" w:hAnsi="Calibri"/>
                <w:sz w:val="18"/>
                <w:szCs w:val="18"/>
                <w:color w:val="231F20"/>
              </w:rPr>
              <w:t>66,969</w:t>
            </w:r>
          </w:p>
        </w:tc>
        <w:tc>
          <w:tcPr>
            <w:tcW w:w="260" w:type="dxa"/>
            <w:vAlign w:val="bottom"/>
            <w:tcBorders>
              <w:bottom w:val="single" w:sz="8" w:color="DCDDDE"/>
            </w:tcBorders>
            <w:shd w:val="clear" w:color="auto" w:fill="DCDDDE"/>
          </w:tcPr>
          <w:p>
            <w:pPr>
              <w:jc w:val="right"/>
              <w:ind w:right="10"/>
              <w:spacing w:after="0"/>
              <w:rPr>
                <w:sz w:val="20"/>
                <w:szCs w:val="20"/>
                <w:color w:val="auto"/>
              </w:rPr>
            </w:pPr>
            <w:r>
              <w:rPr>
                <w:rFonts w:ascii="Calibri" w:cs="Calibri" w:eastAsia="Calibri" w:hAnsi="Calibri"/>
                <w:sz w:val="18"/>
                <w:szCs w:val="18"/>
                <w:color w:val="231F20"/>
              </w:rPr>
              <w:t>$</w:t>
            </w:r>
          </w:p>
        </w:tc>
        <w:tc>
          <w:tcPr>
            <w:tcW w:w="860" w:type="dxa"/>
            <w:vAlign w:val="bottom"/>
            <w:tcBorders>
              <w:bottom w:val="single" w:sz="8" w:color="DCDDDE"/>
            </w:tcBorders>
            <w:shd w:val="clear" w:color="auto" w:fill="DCDDDE"/>
          </w:tcPr>
          <w:p>
            <w:pPr>
              <w:jc w:val="right"/>
              <w:spacing w:after="0"/>
              <w:rPr>
                <w:sz w:val="20"/>
                <w:szCs w:val="20"/>
                <w:color w:val="auto"/>
              </w:rPr>
            </w:pPr>
            <w:r>
              <w:rPr>
                <w:rFonts w:ascii="Calibri" w:cs="Calibri" w:eastAsia="Calibri" w:hAnsi="Calibri"/>
                <w:sz w:val="18"/>
                <w:szCs w:val="18"/>
                <w:color w:val="231F20"/>
              </w:rPr>
              <w:t>765,243</w:t>
            </w:r>
          </w:p>
        </w:tc>
        <w:tc>
          <w:tcPr>
            <w:tcW w:w="60" w:type="dxa"/>
            <w:vAlign w:val="bottom"/>
          </w:tcPr>
          <w:p>
            <w:pPr>
              <w:spacing w:after="0"/>
              <w:rPr>
                <w:sz w:val="19"/>
                <w:szCs w:val="19"/>
                <w:color w:val="auto"/>
              </w:rPr>
            </w:pPr>
          </w:p>
        </w:tc>
      </w:tr>
      <w:tr>
        <w:trPr>
          <w:trHeight w:val="314"/>
        </w:trPr>
        <w:tc>
          <w:tcPr>
            <w:tcW w:w="3980" w:type="dxa"/>
            <w:vAlign w:val="bottom"/>
            <w:gridSpan w:val="2"/>
          </w:tcPr>
          <w:p>
            <w:pPr>
              <w:ind w:left="100"/>
              <w:spacing w:after="0"/>
              <w:rPr>
                <w:sz w:val="20"/>
                <w:szCs w:val="20"/>
                <w:color w:val="auto"/>
              </w:rPr>
            </w:pPr>
            <w:r>
              <w:rPr>
                <w:rFonts w:ascii="Calibri" w:cs="Calibri" w:eastAsia="Calibri" w:hAnsi="Calibri"/>
                <w:sz w:val="18"/>
                <w:szCs w:val="18"/>
                <w:color w:val="231F20"/>
              </w:rPr>
              <w:t>Increase based on Dividends or Other Earnings</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20"/>
        </w:trPr>
        <w:tc>
          <w:tcPr>
            <w:tcW w:w="3980" w:type="dxa"/>
            <w:vAlign w:val="bottom"/>
            <w:gridSpan w:val="2"/>
          </w:tcPr>
          <w:p>
            <w:pPr>
              <w:ind w:left="180"/>
              <w:spacing w:after="0"/>
              <w:rPr>
                <w:sz w:val="20"/>
                <w:szCs w:val="20"/>
                <w:color w:val="auto"/>
              </w:rPr>
            </w:pPr>
            <w:r>
              <w:rPr>
                <w:rFonts w:ascii="Calibri" w:cs="Calibri" w:eastAsia="Calibri" w:hAnsi="Calibri"/>
                <w:sz w:val="18"/>
                <w:szCs w:val="18"/>
                <w:color w:val="231F20"/>
              </w:rPr>
              <w:t>Paid During Year prior to Vesting Date of Award</w:t>
            </w:r>
          </w:p>
        </w:tc>
        <w:tc>
          <w:tcPr>
            <w:tcW w:w="260" w:type="dxa"/>
            <w:vAlign w:val="bottom"/>
          </w:tcPr>
          <w:p>
            <w:pPr>
              <w:jc w:val="right"/>
              <w:spacing w:after="0"/>
              <w:rPr>
                <w:sz w:val="20"/>
                <w:szCs w:val="20"/>
                <w:color w:val="auto"/>
              </w:rPr>
            </w:pPr>
            <w:r>
              <w:rPr>
                <w:rFonts w:ascii="Calibri" w:cs="Calibri" w:eastAsia="Calibri" w:hAnsi="Calibri"/>
                <w:sz w:val="18"/>
                <w:szCs w:val="18"/>
                <w:color w:val="231F20"/>
              </w:rPr>
              <w:t>$</w:t>
            </w:r>
          </w:p>
        </w:tc>
        <w:tc>
          <w:tcPr>
            <w:tcW w:w="1000" w:type="dxa"/>
            <w:vAlign w:val="bottom"/>
          </w:tcPr>
          <w:p>
            <w:pPr>
              <w:jc w:val="right"/>
              <w:ind w:right="31"/>
              <w:spacing w:after="0"/>
              <w:rPr>
                <w:sz w:val="20"/>
                <w:szCs w:val="20"/>
                <w:color w:val="auto"/>
              </w:rPr>
            </w:pPr>
            <w:r>
              <w:rPr>
                <w:rFonts w:ascii="Calibri" w:cs="Calibri" w:eastAsia="Calibri" w:hAnsi="Calibri"/>
                <w:sz w:val="18"/>
                <w:szCs w:val="18"/>
                <w:color w:val="231F20"/>
              </w:rPr>
              <w:t>582,089</w:t>
            </w:r>
          </w:p>
        </w:tc>
        <w:tc>
          <w:tcPr>
            <w:tcW w:w="240" w:type="dxa"/>
            <w:vAlign w:val="bottom"/>
          </w:tcPr>
          <w:p>
            <w:pPr>
              <w:jc w:val="right"/>
              <w:spacing w:after="0"/>
              <w:rPr>
                <w:sz w:val="20"/>
                <w:szCs w:val="20"/>
                <w:color w:val="auto"/>
              </w:rPr>
            </w:pPr>
            <w:r>
              <w:rPr>
                <w:rFonts w:ascii="Calibri" w:cs="Calibri" w:eastAsia="Calibri" w:hAnsi="Calibri"/>
                <w:sz w:val="18"/>
                <w:szCs w:val="18"/>
                <w:color w:val="231F20"/>
              </w:rPr>
              <w:t>$</w:t>
            </w:r>
          </w:p>
        </w:tc>
        <w:tc>
          <w:tcPr>
            <w:tcW w:w="1000" w:type="dxa"/>
            <w:vAlign w:val="bottom"/>
          </w:tcPr>
          <w:p>
            <w:pPr>
              <w:jc w:val="right"/>
              <w:ind w:right="31"/>
              <w:spacing w:after="0"/>
              <w:rPr>
                <w:sz w:val="20"/>
                <w:szCs w:val="20"/>
                <w:color w:val="auto"/>
              </w:rPr>
            </w:pPr>
            <w:r>
              <w:rPr>
                <w:rFonts w:ascii="Calibri" w:cs="Calibri" w:eastAsia="Calibri" w:hAnsi="Calibri"/>
                <w:sz w:val="18"/>
                <w:szCs w:val="18"/>
                <w:color w:val="231F20"/>
              </w:rPr>
              <w:t>530,653</w:t>
            </w:r>
          </w:p>
        </w:tc>
        <w:tc>
          <w:tcPr>
            <w:tcW w:w="240" w:type="dxa"/>
            <w:vAlign w:val="bottom"/>
          </w:tcPr>
          <w:p>
            <w:pPr>
              <w:jc w:val="right"/>
              <w:spacing w:after="0"/>
              <w:rPr>
                <w:sz w:val="20"/>
                <w:szCs w:val="20"/>
                <w:color w:val="auto"/>
              </w:rPr>
            </w:pPr>
            <w:r>
              <w:rPr>
                <w:rFonts w:ascii="Calibri" w:cs="Calibri" w:eastAsia="Calibri" w:hAnsi="Calibri"/>
                <w:sz w:val="18"/>
                <w:szCs w:val="18"/>
                <w:color w:val="231F20"/>
              </w:rPr>
              <w:t>$</w:t>
            </w:r>
          </w:p>
        </w:tc>
        <w:tc>
          <w:tcPr>
            <w:tcW w:w="1000" w:type="dxa"/>
            <w:vAlign w:val="bottom"/>
          </w:tcPr>
          <w:p>
            <w:pPr>
              <w:jc w:val="right"/>
              <w:ind w:right="33"/>
              <w:spacing w:after="0"/>
              <w:rPr>
                <w:sz w:val="20"/>
                <w:szCs w:val="20"/>
                <w:color w:val="auto"/>
              </w:rPr>
            </w:pPr>
            <w:r>
              <w:rPr>
                <w:rFonts w:ascii="Calibri" w:cs="Calibri" w:eastAsia="Calibri" w:hAnsi="Calibri"/>
                <w:sz w:val="18"/>
                <w:szCs w:val="18"/>
                <w:color w:val="231F20"/>
              </w:rPr>
              <w:t>472,866</w:t>
            </w:r>
          </w:p>
        </w:tc>
        <w:tc>
          <w:tcPr>
            <w:tcW w:w="260" w:type="dxa"/>
            <w:vAlign w:val="bottom"/>
          </w:tcPr>
          <w:p>
            <w:pPr>
              <w:jc w:val="right"/>
              <w:ind w:right="10"/>
              <w:spacing w:after="0"/>
              <w:rPr>
                <w:sz w:val="20"/>
                <w:szCs w:val="20"/>
                <w:color w:val="auto"/>
              </w:rPr>
            </w:pPr>
            <w:r>
              <w:rPr>
                <w:rFonts w:ascii="Calibri" w:cs="Calibri" w:eastAsia="Calibri" w:hAnsi="Calibri"/>
                <w:sz w:val="18"/>
                <w:szCs w:val="18"/>
                <w:color w:val="231F20"/>
              </w:rPr>
              <w:t>$</w:t>
            </w:r>
          </w:p>
        </w:tc>
        <w:tc>
          <w:tcPr>
            <w:tcW w:w="980" w:type="dxa"/>
            <w:vAlign w:val="bottom"/>
          </w:tcPr>
          <w:p>
            <w:pPr>
              <w:jc w:val="right"/>
              <w:ind w:right="31"/>
              <w:spacing w:after="0"/>
              <w:rPr>
                <w:sz w:val="20"/>
                <w:szCs w:val="20"/>
                <w:color w:val="auto"/>
              </w:rPr>
            </w:pPr>
            <w:r>
              <w:rPr>
                <w:rFonts w:ascii="Calibri" w:cs="Calibri" w:eastAsia="Calibri" w:hAnsi="Calibri"/>
                <w:sz w:val="18"/>
                <w:szCs w:val="18"/>
                <w:color w:val="231F20"/>
              </w:rPr>
              <w:t>436,488</w:t>
            </w:r>
          </w:p>
        </w:tc>
        <w:tc>
          <w:tcPr>
            <w:tcW w:w="260" w:type="dxa"/>
            <w:vAlign w:val="bottom"/>
          </w:tcPr>
          <w:p>
            <w:pPr>
              <w:jc w:val="right"/>
              <w:ind w:right="10"/>
              <w:spacing w:after="0"/>
              <w:rPr>
                <w:sz w:val="20"/>
                <w:szCs w:val="20"/>
                <w:color w:val="auto"/>
              </w:rPr>
            </w:pPr>
            <w:r>
              <w:rPr>
                <w:rFonts w:ascii="Calibri" w:cs="Calibri" w:eastAsia="Calibri" w:hAnsi="Calibri"/>
                <w:sz w:val="18"/>
                <w:szCs w:val="18"/>
                <w:color w:val="231F20"/>
              </w:rPr>
              <w:t>$</w:t>
            </w:r>
          </w:p>
        </w:tc>
        <w:tc>
          <w:tcPr>
            <w:tcW w:w="920" w:type="dxa"/>
            <w:vAlign w:val="bottom"/>
            <w:gridSpan w:val="2"/>
          </w:tcPr>
          <w:p>
            <w:pPr>
              <w:jc w:val="right"/>
              <w:ind w:right="60"/>
              <w:spacing w:after="0"/>
              <w:rPr>
                <w:sz w:val="20"/>
                <w:szCs w:val="20"/>
                <w:color w:val="auto"/>
              </w:rPr>
            </w:pPr>
            <w:r>
              <w:rPr>
                <w:rFonts w:ascii="Calibri" w:cs="Calibri" w:eastAsia="Calibri" w:hAnsi="Calibri"/>
                <w:sz w:val="18"/>
                <w:szCs w:val="18"/>
                <w:color w:val="231F20"/>
              </w:rPr>
              <w:t>409,008</w:t>
            </w:r>
          </w:p>
        </w:tc>
      </w:tr>
      <w:tr>
        <w:trPr>
          <w:trHeight w:val="86"/>
        </w:trPr>
        <w:tc>
          <w:tcPr>
            <w:tcW w:w="960" w:type="dxa"/>
            <w:vAlign w:val="bottom"/>
          </w:tcPr>
          <w:p>
            <w:pPr>
              <w:spacing w:after="0"/>
              <w:rPr>
                <w:sz w:val="7"/>
                <w:szCs w:val="7"/>
                <w:color w:val="auto"/>
              </w:rPr>
            </w:pPr>
          </w:p>
        </w:tc>
        <w:tc>
          <w:tcPr>
            <w:tcW w:w="30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60" w:type="dxa"/>
            <w:vAlign w:val="bottom"/>
          </w:tcPr>
          <w:p>
            <w:pPr>
              <w:spacing w:after="0"/>
              <w:rPr>
                <w:sz w:val="7"/>
                <w:szCs w:val="7"/>
                <w:color w:val="auto"/>
              </w:rPr>
            </w:pPr>
          </w:p>
        </w:tc>
        <w:tc>
          <w:tcPr>
            <w:tcW w:w="980" w:type="dxa"/>
            <w:vAlign w:val="bottom"/>
          </w:tcPr>
          <w:p>
            <w:pPr>
              <w:spacing w:after="0"/>
              <w:rPr>
                <w:sz w:val="7"/>
                <w:szCs w:val="7"/>
                <w:color w:val="auto"/>
              </w:rPr>
            </w:pPr>
          </w:p>
        </w:tc>
        <w:tc>
          <w:tcPr>
            <w:tcW w:w="260" w:type="dxa"/>
            <w:vAlign w:val="bottom"/>
          </w:tcPr>
          <w:p>
            <w:pPr>
              <w:spacing w:after="0"/>
              <w:rPr>
                <w:sz w:val="7"/>
                <w:szCs w:val="7"/>
                <w:color w:val="auto"/>
              </w:rPr>
            </w:pPr>
          </w:p>
        </w:tc>
        <w:tc>
          <w:tcPr>
            <w:tcW w:w="920" w:type="dxa"/>
            <w:vAlign w:val="bottom"/>
            <w:gridSpan w:val="2"/>
          </w:tcPr>
          <w:p>
            <w:pPr>
              <w:spacing w:after="0"/>
              <w:rPr>
                <w:sz w:val="7"/>
                <w:szCs w:val="7"/>
                <w:color w:val="auto"/>
              </w:rPr>
            </w:pPr>
          </w:p>
        </w:tc>
      </w:tr>
      <w:tr>
        <w:trPr>
          <w:trHeight w:val="320"/>
        </w:trPr>
        <w:tc>
          <w:tcPr>
            <w:tcW w:w="3980" w:type="dxa"/>
            <w:vAlign w:val="bottom"/>
            <w:tcBorders>
              <w:bottom w:val="single" w:sz="8" w:color="DCDDDE"/>
            </w:tcBorders>
            <w:gridSpan w:val="2"/>
            <w:shd w:val="clear" w:color="auto" w:fill="DCDDDE"/>
          </w:tcPr>
          <w:p>
            <w:pPr>
              <w:spacing w:after="0"/>
              <w:rPr>
                <w:sz w:val="20"/>
                <w:szCs w:val="20"/>
                <w:color w:val="auto"/>
              </w:rPr>
            </w:pPr>
            <w:r>
              <w:rPr>
                <w:rFonts w:ascii="Calibri" w:cs="Calibri" w:eastAsia="Calibri" w:hAnsi="Calibri"/>
                <w:sz w:val="18"/>
                <w:szCs w:val="18"/>
                <w:b w:val="1"/>
                <w:bCs w:val="1"/>
                <w:color w:val="231F20"/>
              </w:rPr>
              <w:t>Total Adjustments</w:t>
            </w:r>
          </w:p>
        </w:tc>
        <w:tc>
          <w:tcPr>
            <w:tcW w:w="260" w:type="dxa"/>
            <w:vAlign w:val="bottom"/>
            <w:tcBorders>
              <w:top w:val="single" w:sz="8" w:color="231F20"/>
              <w:bottom w:val="single" w:sz="8" w:color="DCDDDE"/>
            </w:tcBorders>
            <w:shd w:val="clear" w:color="auto" w:fill="DCDDDE"/>
          </w:tcPr>
          <w:p>
            <w:pPr>
              <w:jc w:val="right"/>
              <w:spacing w:after="0"/>
              <w:rPr>
                <w:sz w:val="20"/>
                <w:szCs w:val="20"/>
                <w:color w:val="auto"/>
              </w:rPr>
            </w:pPr>
            <w:r>
              <w:rPr>
                <w:rFonts w:ascii="Calibri" w:cs="Calibri" w:eastAsia="Calibri" w:hAnsi="Calibri"/>
                <w:sz w:val="18"/>
                <w:szCs w:val="18"/>
                <w:b w:val="1"/>
                <w:bCs w:val="1"/>
                <w:color w:val="231F20"/>
              </w:rPr>
              <w:t>$</w:t>
            </w:r>
          </w:p>
        </w:tc>
        <w:tc>
          <w:tcPr>
            <w:tcW w:w="1000" w:type="dxa"/>
            <w:vAlign w:val="bottom"/>
            <w:tcBorders>
              <w:top w:val="single" w:sz="8" w:color="231F20"/>
              <w:bottom w:val="single" w:sz="8" w:color="DCDDDE"/>
            </w:tcBorders>
            <w:shd w:val="clear" w:color="auto" w:fill="DCDDDE"/>
          </w:tcPr>
          <w:p>
            <w:pPr>
              <w:jc w:val="right"/>
              <w:spacing w:after="0"/>
              <w:rPr>
                <w:sz w:val="20"/>
                <w:szCs w:val="20"/>
                <w:color w:val="auto"/>
              </w:rPr>
            </w:pPr>
            <w:r>
              <w:rPr>
                <w:rFonts w:ascii="Calibri" w:cs="Calibri" w:eastAsia="Calibri" w:hAnsi="Calibri"/>
                <w:sz w:val="18"/>
                <w:szCs w:val="18"/>
                <w:b w:val="1"/>
                <w:bCs w:val="1"/>
                <w:color w:val="231F20"/>
              </w:rPr>
              <w:t>(1,558,819)</w:t>
            </w:r>
          </w:p>
        </w:tc>
        <w:tc>
          <w:tcPr>
            <w:tcW w:w="240" w:type="dxa"/>
            <w:vAlign w:val="bottom"/>
            <w:tcBorders>
              <w:top w:val="single" w:sz="8" w:color="231F20"/>
              <w:bottom w:val="single" w:sz="8" w:color="DCDDDE"/>
            </w:tcBorders>
            <w:shd w:val="clear" w:color="auto" w:fill="DCDDDE"/>
          </w:tcPr>
          <w:p>
            <w:pPr>
              <w:jc w:val="right"/>
              <w:spacing w:after="0"/>
              <w:rPr>
                <w:sz w:val="20"/>
                <w:szCs w:val="20"/>
                <w:color w:val="auto"/>
              </w:rPr>
            </w:pPr>
            <w:r>
              <w:rPr>
                <w:rFonts w:ascii="Calibri" w:cs="Calibri" w:eastAsia="Calibri" w:hAnsi="Calibri"/>
                <w:sz w:val="18"/>
                <w:szCs w:val="18"/>
                <w:b w:val="1"/>
                <w:bCs w:val="1"/>
                <w:color w:val="231F20"/>
              </w:rPr>
              <w:t>$</w:t>
            </w:r>
          </w:p>
        </w:tc>
        <w:tc>
          <w:tcPr>
            <w:tcW w:w="1000" w:type="dxa"/>
            <w:vAlign w:val="bottom"/>
            <w:tcBorders>
              <w:top w:val="single" w:sz="8" w:color="231F20"/>
              <w:bottom w:val="single" w:sz="8" w:color="DCDDDE"/>
            </w:tcBorders>
            <w:shd w:val="clear" w:color="auto" w:fill="DCDDDE"/>
          </w:tcPr>
          <w:p>
            <w:pPr>
              <w:jc w:val="right"/>
              <w:ind w:right="31"/>
              <w:spacing w:after="0"/>
              <w:rPr>
                <w:sz w:val="20"/>
                <w:szCs w:val="20"/>
                <w:color w:val="auto"/>
              </w:rPr>
            </w:pPr>
            <w:r>
              <w:rPr>
                <w:rFonts w:ascii="Calibri" w:cs="Calibri" w:eastAsia="Calibri" w:hAnsi="Calibri"/>
                <w:sz w:val="18"/>
                <w:szCs w:val="18"/>
                <w:b w:val="1"/>
                <w:bCs w:val="1"/>
                <w:color w:val="231F20"/>
              </w:rPr>
              <w:t>2,096,346</w:t>
            </w:r>
          </w:p>
        </w:tc>
        <w:tc>
          <w:tcPr>
            <w:tcW w:w="240" w:type="dxa"/>
            <w:vAlign w:val="bottom"/>
            <w:tcBorders>
              <w:top w:val="single" w:sz="8" w:color="231F20"/>
              <w:bottom w:val="single" w:sz="8" w:color="DCDDDE"/>
            </w:tcBorders>
            <w:shd w:val="clear" w:color="auto" w:fill="DCDDDE"/>
          </w:tcPr>
          <w:p>
            <w:pPr>
              <w:jc w:val="right"/>
              <w:spacing w:after="0"/>
              <w:rPr>
                <w:sz w:val="20"/>
                <w:szCs w:val="20"/>
                <w:color w:val="auto"/>
              </w:rPr>
            </w:pPr>
            <w:r>
              <w:rPr>
                <w:rFonts w:ascii="Calibri" w:cs="Calibri" w:eastAsia="Calibri" w:hAnsi="Calibri"/>
                <w:sz w:val="18"/>
                <w:szCs w:val="18"/>
                <w:b w:val="1"/>
                <w:bCs w:val="1"/>
                <w:color w:val="231F20"/>
              </w:rPr>
              <w:t>$</w:t>
            </w:r>
          </w:p>
        </w:tc>
        <w:tc>
          <w:tcPr>
            <w:tcW w:w="1000" w:type="dxa"/>
            <w:vAlign w:val="bottom"/>
            <w:tcBorders>
              <w:top w:val="single" w:sz="8" w:color="231F20"/>
              <w:bottom w:val="single" w:sz="8" w:color="DCDDDE"/>
            </w:tcBorders>
            <w:shd w:val="clear" w:color="auto" w:fill="DCDDDE"/>
          </w:tcPr>
          <w:p>
            <w:pPr>
              <w:jc w:val="right"/>
              <w:ind w:right="33"/>
              <w:spacing w:after="0"/>
              <w:rPr>
                <w:sz w:val="20"/>
                <w:szCs w:val="20"/>
                <w:color w:val="auto"/>
              </w:rPr>
            </w:pPr>
            <w:r>
              <w:rPr>
                <w:rFonts w:ascii="Calibri" w:cs="Calibri" w:eastAsia="Calibri" w:hAnsi="Calibri"/>
                <w:sz w:val="18"/>
                <w:szCs w:val="18"/>
                <w:b w:val="1"/>
                <w:bCs w:val="1"/>
                <w:color w:val="231F20"/>
              </w:rPr>
              <w:t>1,030,762</w:t>
            </w:r>
          </w:p>
        </w:tc>
        <w:tc>
          <w:tcPr>
            <w:tcW w:w="260" w:type="dxa"/>
            <w:vAlign w:val="bottom"/>
            <w:tcBorders>
              <w:top w:val="single" w:sz="8" w:color="231F20"/>
              <w:bottom w:val="single" w:sz="8" w:color="DCDDDE"/>
            </w:tcBorders>
            <w:shd w:val="clear" w:color="auto" w:fill="DCDDDE"/>
          </w:tcPr>
          <w:p>
            <w:pPr>
              <w:jc w:val="right"/>
              <w:ind w:right="10"/>
              <w:spacing w:after="0"/>
              <w:rPr>
                <w:sz w:val="20"/>
                <w:szCs w:val="20"/>
                <w:color w:val="auto"/>
              </w:rPr>
            </w:pPr>
            <w:r>
              <w:rPr>
                <w:rFonts w:ascii="Calibri" w:cs="Calibri" w:eastAsia="Calibri" w:hAnsi="Calibri"/>
                <w:sz w:val="18"/>
                <w:szCs w:val="18"/>
                <w:b w:val="1"/>
                <w:bCs w:val="1"/>
                <w:color w:val="231F20"/>
              </w:rPr>
              <w:t>$</w:t>
            </w:r>
          </w:p>
        </w:tc>
        <w:tc>
          <w:tcPr>
            <w:tcW w:w="980" w:type="dxa"/>
            <w:vAlign w:val="bottom"/>
            <w:tcBorders>
              <w:top w:val="single" w:sz="8" w:color="231F20"/>
              <w:bottom w:val="single" w:sz="8" w:color="DCDDDE"/>
            </w:tcBorders>
            <w:shd w:val="clear" w:color="auto" w:fill="DCDDDE"/>
          </w:tcPr>
          <w:p>
            <w:pPr>
              <w:jc w:val="right"/>
              <w:spacing w:after="0"/>
              <w:rPr>
                <w:sz w:val="20"/>
                <w:szCs w:val="20"/>
                <w:color w:val="auto"/>
              </w:rPr>
            </w:pPr>
            <w:r>
              <w:rPr>
                <w:rFonts w:ascii="Calibri" w:cs="Calibri" w:eastAsia="Calibri" w:hAnsi="Calibri"/>
                <w:sz w:val="18"/>
                <w:szCs w:val="18"/>
                <w:b w:val="1"/>
                <w:bCs w:val="1"/>
                <w:color w:val="231F20"/>
              </w:rPr>
              <w:t>(2,345,236)</w:t>
            </w:r>
          </w:p>
        </w:tc>
        <w:tc>
          <w:tcPr>
            <w:tcW w:w="260" w:type="dxa"/>
            <w:vAlign w:val="bottom"/>
            <w:tcBorders>
              <w:top w:val="single" w:sz="8" w:color="231F20"/>
              <w:bottom w:val="single" w:sz="8" w:color="DCDDDE"/>
            </w:tcBorders>
            <w:shd w:val="clear" w:color="auto" w:fill="DCDDDE"/>
          </w:tcPr>
          <w:p>
            <w:pPr>
              <w:jc w:val="right"/>
              <w:ind w:right="10"/>
              <w:spacing w:after="0"/>
              <w:rPr>
                <w:sz w:val="20"/>
                <w:szCs w:val="20"/>
                <w:color w:val="auto"/>
              </w:rPr>
            </w:pPr>
            <w:r>
              <w:rPr>
                <w:rFonts w:ascii="Calibri" w:cs="Calibri" w:eastAsia="Calibri" w:hAnsi="Calibri"/>
                <w:sz w:val="18"/>
                <w:szCs w:val="18"/>
                <w:b w:val="1"/>
                <w:bCs w:val="1"/>
                <w:color w:val="231F20"/>
              </w:rPr>
              <w:t>$</w:t>
            </w:r>
          </w:p>
        </w:tc>
        <w:tc>
          <w:tcPr>
            <w:tcW w:w="860" w:type="dxa"/>
            <w:vAlign w:val="bottom"/>
            <w:tcBorders>
              <w:top w:val="single" w:sz="8" w:color="231F20"/>
              <w:bottom w:val="single" w:sz="8" w:color="DCDDDE"/>
            </w:tcBorders>
            <w:shd w:val="clear" w:color="auto" w:fill="DCDDDE"/>
          </w:tcPr>
          <w:p>
            <w:pPr>
              <w:jc w:val="right"/>
              <w:spacing w:after="0"/>
              <w:rPr>
                <w:sz w:val="20"/>
                <w:szCs w:val="20"/>
                <w:color w:val="auto"/>
              </w:rPr>
            </w:pPr>
            <w:r>
              <w:rPr>
                <w:rFonts w:ascii="Calibri" w:cs="Calibri" w:eastAsia="Calibri" w:hAnsi="Calibri"/>
                <w:sz w:val="18"/>
                <w:szCs w:val="18"/>
                <w:b w:val="1"/>
                <w:bCs w:val="1"/>
                <w:color w:val="231F20"/>
                <w:w w:val="99"/>
              </w:rPr>
              <w:t>(7,925,792)</w:t>
            </w:r>
          </w:p>
        </w:tc>
        <w:tc>
          <w:tcPr>
            <w:tcW w:w="60" w:type="dxa"/>
            <w:vAlign w:val="bottom"/>
          </w:tcPr>
          <w:p>
            <w:pPr>
              <w:spacing w:after="0"/>
              <w:rPr>
                <w:sz w:val="24"/>
                <w:szCs w:val="24"/>
                <w:color w:val="auto"/>
              </w:rPr>
            </w:pPr>
          </w:p>
        </w:tc>
      </w:tr>
      <w:tr>
        <w:trPr>
          <w:trHeight w:val="150"/>
        </w:trPr>
        <w:tc>
          <w:tcPr>
            <w:tcW w:w="960" w:type="dxa"/>
            <w:vAlign w:val="bottom"/>
            <w:tcBorders>
              <w:bottom w:val="single" w:sz="8" w:color="231F20"/>
            </w:tcBorders>
          </w:tcPr>
          <w:p>
            <w:pPr>
              <w:spacing w:after="0"/>
              <w:rPr>
                <w:sz w:val="13"/>
                <w:szCs w:val="13"/>
                <w:color w:val="auto"/>
              </w:rPr>
            </w:pPr>
          </w:p>
        </w:tc>
        <w:tc>
          <w:tcPr>
            <w:tcW w:w="3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r>
    </w:tbl>
    <w:p>
      <w:pPr>
        <w:spacing w:after="0" w:line="55" w:lineRule="exact"/>
        <w:rPr>
          <w:sz w:val="20"/>
          <w:szCs w:val="20"/>
          <w:color w:val="auto"/>
        </w:rPr>
      </w:pPr>
    </w:p>
    <w:p>
      <w:pPr>
        <w:ind w:left="360" w:right="60" w:hanging="360"/>
        <w:spacing w:after="0" w:line="214" w:lineRule="auto"/>
        <w:tabs>
          <w:tab w:leader="none" w:pos="360" w:val="left"/>
        </w:tabs>
        <w:numPr>
          <w:ilvl w:val="0"/>
          <w:numId w:val="153"/>
        </w:numPr>
        <w:rPr>
          <w:rFonts w:ascii="Arial" w:cs="Arial" w:eastAsia="Arial" w:hAnsi="Arial"/>
          <w:sz w:val="23"/>
          <w:szCs w:val="23"/>
          <w:color w:val="231F20"/>
          <w:vertAlign w:val="superscript"/>
        </w:rPr>
      </w:pPr>
      <w:r>
        <w:rPr>
          <w:rFonts w:ascii="Arial" w:cs="Arial" w:eastAsia="Arial" w:hAnsi="Arial"/>
          <w:sz w:val="18"/>
          <w:szCs w:val="18"/>
          <w:color w:val="231F20"/>
        </w:rPr>
        <w:t>Following are the adjustments made during each year shown to arrive at the average compensation actually paid to our other NEOs during each year.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2364740</wp:posOffset>
                </wp:positionV>
                <wp:extent cx="6400800" cy="177800"/>
                <wp:wrapNone/>
                <wp:docPr id="465" name="Shape 4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177800"/>
                        </a:xfrm>
                        <a:prstGeom prst="rect">
                          <a:avLst/>
                        </a:prstGeom>
                        <a:solidFill>
                          <a:srgbClr val="E8E7E5"/>
                        </a:solidFill>
                      </wps:spPr>
                      <wps:bodyPr/>
                    </wps:wsp>
                  </a:graphicData>
                </a:graphic>
              </wp:anchor>
            </w:drawing>
          </mc:Choice>
          <mc:Fallback>
            <w:pict>
              <v:rect id="Shape 465" o:spid="_x0000_s1490" style="position:absolute;margin-left:0pt;margin-top:186.2pt;width:504pt;height:1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8E7E5" stroked="f"/>
            </w:pict>
          </mc:Fallback>
        </mc:AlternateContent>
        <mc:AlternateContent>
          <mc:Choice Requires="wps">
            <w:drawing>
              <wp:anchor simplePos="0" relativeHeight="251657728" behindDoc="1" locked="0" layoutInCell="0" allowOverlap="1">
                <wp:simplePos x="0" y="0"/>
                <wp:positionH relativeFrom="column">
                  <wp:posOffset>6350</wp:posOffset>
                </wp:positionH>
                <wp:positionV relativeFrom="paragraph">
                  <wp:posOffset>2364740</wp:posOffset>
                </wp:positionV>
                <wp:extent cx="0" cy="177800"/>
                <wp:wrapNone/>
                <wp:docPr id="466" name="Shape 4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466" o:spid="_x0000_s14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pt,186.2pt" to="0.5pt,200.2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2371090</wp:posOffset>
                </wp:positionV>
                <wp:extent cx="6400800" cy="0"/>
                <wp:wrapNone/>
                <wp:docPr id="467" name="Shape 4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467" o:spid="_x0000_s14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86.7pt" to="504pt,186.7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6394450</wp:posOffset>
                </wp:positionH>
                <wp:positionV relativeFrom="paragraph">
                  <wp:posOffset>2364740</wp:posOffset>
                </wp:positionV>
                <wp:extent cx="0" cy="177800"/>
                <wp:wrapNone/>
                <wp:docPr id="468" name="Shape 4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468" o:spid="_x0000_s14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3.5pt,186.2pt" to="503.5pt,200.2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2536190</wp:posOffset>
                </wp:positionV>
                <wp:extent cx="6400800" cy="0"/>
                <wp:wrapNone/>
                <wp:docPr id="469" name="Shape 4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469" o:spid="_x0000_s14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99.7pt" to="504pt,199.7pt" o:allowincell="f" strokecolor="#231F20" strokeweight="1pt"/>
            </w:pict>
          </mc:Fallback>
        </mc:AlternateContent>
      </w:r>
    </w:p>
    <w:p>
      <w:pPr>
        <w:sectPr>
          <w:pgSz w:w="11880" w:h="15480" w:orient="portrait"/>
          <w:cols w:equalWidth="0" w:num="1">
            <w:col w:w="10140"/>
          </w:cols>
          <w:pgMar w:left="900" w:top="1272" w:right="840" w:bottom="76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6720"/>
        <w:spacing w:after="0"/>
        <w:tabs>
          <w:tab w:leader="none" w:pos="8060" w:val="left"/>
          <w:tab w:leader="none" w:pos="9800" w:val="left"/>
        </w:tabs>
        <w:rPr>
          <w:sz w:val="20"/>
          <w:szCs w:val="20"/>
          <w:color w:val="auto"/>
        </w:rPr>
      </w:pPr>
      <w:r>
        <w:rPr>
          <w:rFonts w:ascii="Arial" w:cs="Arial" w:eastAsia="Arial" w:hAnsi="Arial"/>
          <w:sz w:val="16"/>
          <w:szCs w:val="16"/>
          <w:color w:val="EF3E2A"/>
        </w:rPr>
        <w:t>Federal Realty</w:t>
      </w:r>
      <w:r>
        <w:rPr>
          <w:sz w:val="20"/>
          <w:szCs w:val="20"/>
          <w:color w:val="auto"/>
        </w:rPr>
        <w:tab/>
      </w:r>
      <w:r>
        <w:rPr>
          <w:rFonts w:ascii="Arial" w:cs="Arial" w:eastAsia="Arial" w:hAnsi="Arial"/>
          <w:sz w:val="16"/>
          <w:szCs w:val="16"/>
          <w:color w:val="231F20"/>
        </w:rPr>
        <w:t>2026 Proxy Statement</w:t>
        <w:tab/>
        <w:t>37</w:t>
      </w:r>
    </w:p>
    <w:p>
      <w:pPr>
        <w:sectPr>
          <w:pgSz w:w="11880" w:h="15480" w:orient="portrait"/>
          <w:cols w:equalWidth="0" w:num="1">
            <w:col w:w="10140"/>
          </w:cols>
          <w:pgMar w:left="900" w:top="1272" w:right="840" w:bottom="763" w:gutter="0" w:footer="0" w:header="0"/>
          <w:type w:val="continuous"/>
        </w:sectPr>
      </w:pPr>
    </w:p>
    <w:bookmarkStart w:id="157" w:name="page158"/>
    <w:bookmarkEnd w:id="157"/>
    <w:tbl>
      <w:tblPr>
        <w:tblLayout w:type="fixed"/>
        <w:tblInd w:w="0" w:type="dxa"/>
        <w:tblCellMar>
          <w:top w:w="0" w:type="dxa"/>
          <w:left w:w="0" w:type="dxa"/>
          <w:bottom w:w="0" w:type="dxa"/>
          <w:right w:w="0" w:type="dxa"/>
        </w:tblCellMar>
      </w:tblPr>
      <w:tr>
        <w:trPr>
          <w:trHeight w:val="228"/>
        </w:trPr>
        <w:tc>
          <w:tcPr>
            <w:tcW w:w="960" w:type="dxa"/>
            <w:vAlign w:val="bottom"/>
            <w:shd w:val="clear" w:color="auto" w:fill="EF3E2A"/>
          </w:tcPr>
          <w:p>
            <w:pPr>
              <w:spacing w:after="0"/>
              <w:rPr>
                <w:sz w:val="19"/>
                <w:szCs w:val="19"/>
                <w:color w:val="auto"/>
              </w:rPr>
            </w:pPr>
          </w:p>
        </w:tc>
        <w:tc>
          <w:tcPr>
            <w:tcW w:w="3380" w:type="dxa"/>
            <w:vAlign w:val="bottom"/>
            <w:shd w:val="clear" w:color="auto" w:fill="EF3E2A"/>
          </w:tcPr>
          <w:p>
            <w:pPr>
              <w:spacing w:after="0"/>
              <w:rPr>
                <w:sz w:val="19"/>
                <w:szCs w:val="19"/>
                <w:color w:val="auto"/>
              </w:rPr>
            </w:pPr>
          </w:p>
        </w:tc>
        <w:tc>
          <w:tcPr>
            <w:tcW w:w="280" w:type="dxa"/>
            <w:vAlign w:val="bottom"/>
            <w:shd w:val="clear" w:color="auto" w:fill="EF3E2A"/>
          </w:tcPr>
          <w:p>
            <w:pPr>
              <w:spacing w:after="0"/>
              <w:rPr>
                <w:sz w:val="19"/>
                <w:szCs w:val="19"/>
                <w:color w:val="auto"/>
              </w:rPr>
            </w:pPr>
          </w:p>
        </w:tc>
        <w:tc>
          <w:tcPr>
            <w:tcW w:w="980" w:type="dxa"/>
            <w:vAlign w:val="bottom"/>
            <w:shd w:val="clear" w:color="auto" w:fill="EF3E2A"/>
          </w:tcPr>
          <w:p>
            <w:pPr>
              <w:spacing w:after="0"/>
              <w:rPr>
                <w:sz w:val="19"/>
                <w:szCs w:val="19"/>
                <w:color w:val="auto"/>
              </w:rPr>
            </w:pPr>
          </w:p>
        </w:tc>
        <w:tc>
          <w:tcPr>
            <w:tcW w:w="200" w:type="dxa"/>
            <w:vAlign w:val="bottom"/>
            <w:shd w:val="clear" w:color="auto" w:fill="EF3E2A"/>
          </w:tcPr>
          <w:p>
            <w:pPr>
              <w:spacing w:after="0"/>
              <w:rPr>
                <w:sz w:val="19"/>
                <w:szCs w:val="19"/>
                <w:color w:val="auto"/>
              </w:rPr>
            </w:pPr>
          </w:p>
        </w:tc>
        <w:tc>
          <w:tcPr>
            <w:tcW w:w="2180" w:type="dxa"/>
            <w:vAlign w:val="bottom"/>
            <w:gridSpan w:val="3"/>
            <w:shd w:val="clear" w:color="auto" w:fill="EF3E2A"/>
          </w:tcPr>
          <w:p>
            <w:pPr>
              <w:jc w:val="right"/>
              <w:spacing w:after="0"/>
              <w:rPr>
                <w:sz w:val="20"/>
                <w:szCs w:val="20"/>
                <w:color w:val="auto"/>
              </w:rPr>
            </w:pPr>
            <w:r>
              <w:rPr>
                <w:rFonts w:ascii="Calibri" w:cs="Calibri" w:eastAsia="Calibri" w:hAnsi="Calibri"/>
                <w:sz w:val="16"/>
                <w:szCs w:val="16"/>
                <w:b w:val="1"/>
                <w:bCs w:val="1"/>
                <w:color w:val="FFFFFF"/>
              </w:rPr>
              <w:t>Average of Other NEOs</w:t>
            </w:r>
          </w:p>
        </w:tc>
        <w:tc>
          <w:tcPr>
            <w:tcW w:w="200" w:type="dxa"/>
            <w:vAlign w:val="bottom"/>
            <w:shd w:val="clear" w:color="auto" w:fill="EF3E2A"/>
          </w:tcPr>
          <w:p>
            <w:pPr>
              <w:spacing w:after="0"/>
              <w:rPr>
                <w:sz w:val="19"/>
                <w:szCs w:val="19"/>
                <w:color w:val="auto"/>
              </w:rPr>
            </w:pPr>
          </w:p>
        </w:tc>
        <w:tc>
          <w:tcPr>
            <w:tcW w:w="880" w:type="dxa"/>
            <w:vAlign w:val="bottom"/>
            <w:shd w:val="clear" w:color="auto" w:fill="EF3E2A"/>
          </w:tcPr>
          <w:p>
            <w:pPr>
              <w:spacing w:after="0"/>
              <w:rPr>
                <w:sz w:val="19"/>
                <w:szCs w:val="19"/>
                <w:color w:val="auto"/>
              </w:rPr>
            </w:pPr>
          </w:p>
        </w:tc>
        <w:tc>
          <w:tcPr>
            <w:tcW w:w="200" w:type="dxa"/>
            <w:vAlign w:val="bottom"/>
            <w:shd w:val="clear" w:color="auto" w:fill="EF3E2A"/>
          </w:tcPr>
          <w:p>
            <w:pPr>
              <w:spacing w:after="0"/>
              <w:rPr>
                <w:sz w:val="19"/>
                <w:szCs w:val="19"/>
                <w:color w:val="auto"/>
              </w:rPr>
            </w:pPr>
          </w:p>
        </w:tc>
        <w:tc>
          <w:tcPr>
            <w:tcW w:w="820" w:type="dxa"/>
            <w:vAlign w:val="bottom"/>
            <w:shd w:val="clear" w:color="auto" w:fill="EF3E2A"/>
          </w:tcPr>
          <w:p>
            <w:pPr>
              <w:spacing w:after="0"/>
              <w:rPr>
                <w:sz w:val="19"/>
                <w:szCs w:val="19"/>
                <w:color w:val="auto"/>
              </w:rPr>
            </w:pPr>
          </w:p>
        </w:tc>
        <w:tc>
          <w:tcPr>
            <w:tcW w:w="60" w:type="dxa"/>
            <w:vAlign w:val="bottom"/>
          </w:tcPr>
          <w:p>
            <w:pPr>
              <w:spacing w:after="0"/>
              <w:rPr>
                <w:sz w:val="19"/>
                <w:szCs w:val="19"/>
                <w:color w:val="auto"/>
              </w:rPr>
            </w:pPr>
          </w:p>
        </w:tc>
      </w:tr>
      <w:tr>
        <w:trPr>
          <w:trHeight w:val="272"/>
        </w:trPr>
        <w:tc>
          <w:tcPr>
            <w:tcW w:w="4340" w:type="dxa"/>
            <w:vAlign w:val="bottom"/>
            <w:tcBorders>
              <w:bottom w:val="single" w:sz="8" w:color="EF3E2A"/>
            </w:tcBorders>
            <w:gridSpan w:val="2"/>
            <w:shd w:val="clear" w:color="auto" w:fill="EF3E2A"/>
          </w:tcPr>
          <w:p>
            <w:pPr>
              <w:ind w:left="80"/>
              <w:spacing w:after="0"/>
              <w:rPr>
                <w:sz w:val="20"/>
                <w:szCs w:val="20"/>
                <w:color w:val="auto"/>
              </w:rPr>
            </w:pPr>
            <w:r>
              <w:rPr>
                <w:rFonts w:ascii="Calibri" w:cs="Calibri" w:eastAsia="Calibri" w:hAnsi="Calibri"/>
                <w:sz w:val="16"/>
                <w:szCs w:val="16"/>
                <w:b w:val="1"/>
                <w:bCs w:val="1"/>
                <w:color w:val="FFFFFF"/>
              </w:rPr>
              <w:t>Adjustments</w:t>
            </w:r>
          </w:p>
        </w:tc>
        <w:tc>
          <w:tcPr>
            <w:tcW w:w="280" w:type="dxa"/>
            <w:vAlign w:val="bottom"/>
            <w:tcBorders>
              <w:bottom w:val="single" w:sz="8" w:color="EF3E2A"/>
            </w:tcBorders>
            <w:shd w:val="clear" w:color="auto" w:fill="EF3E2A"/>
          </w:tcPr>
          <w:p>
            <w:pPr>
              <w:spacing w:after="0"/>
              <w:rPr>
                <w:sz w:val="23"/>
                <w:szCs w:val="23"/>
                <w:color w:val="auto"/>
              </w:rPr>
            </w:pPr>
          </w:p>
        </w:tc>
        <w:tc>
          <w:tcPr>
            <w:tcW w:w="980" w:type="dxa"/>
            <w:vAlign w:val="bottom"/>
            <w:tcBorders>
              <w:bottom w:val="single" w:sz="8" w:color="EF3E2A"/>
            </w:tcBorders>
            <w:shd w:val="clear" w:color="auto" w:fill="EF3E2A"/>
          </w:tcPr>
          <w:p>
            <w:pPr>
              <w:jc w:val="right"/>
              <w:ind w:right="431"/>
              <w:spacing w:after="0"/>
              <w:rPr>
                <w:sz w:val="20"/>
                <w:szCs w:val="20"/>
                <w:color w:val="auto"/>
              </w:rPr>
            </w:pPr>
            <w:r>
              <w:rPr>
                <w:rFonts w:ascii="Calibri" w:cs="Calibri" w:eastAsia="Calibri" w:hAnsi="Calibri"/>
                <w:sz w:val="16"/>
                <w:szCs w:val="16"/>
                <w:b w:val="1"/>
                <w:bCs w:val="1"/>
                <w:color w:val="FFFFFF"/>
              </w:rPr>
              <w:t>2025</w:t>
            </w:r>
          </w:p>
        </w:tc>
        <w:tc>
          <w:tcPr>
            <w:tcW w:w="200" w:type="dxa"/>
            <w:vAlign w:val="bottom"/>
            <w:tcBorders>
              <w:bottom w:val="single" w:sz="8" w:color="EF3E2A"/>
            </w:tcBorders>
            <w:shd w:val="clear" w:color="auto" w:fill="EF3E2A"/>
          </w:tcPr>
          <w:p>
            <w:pPr>
              <w:spacing w:after="0"/>
              <w:rPr>
                <w:sz w:val="23"/>
                <w:szCs w:val="23"/>
                <w:color w:val="auto"/>
              </w:rPr>
            </w:pPr>
          </w:p>
        </w:tc>
        <w:tc>
          <w:tcPr>
            <w:tcW w:w="960" w:type="dxa"/>
            <w:vAlign w:val="bottom"/>
            <w:tcBorders>
              <w:bottom w:val="single" w:sz="8" w:color="EF3E2A"/>
            </w:tcBorders>
            <w:shd w:val="clear" w:color="auto" w:fill="EF3E2A"/>
          </w:tcPr>
          <w:p>
            <w:pPr>
              <w:jc w:val="right"/>
              <w:ind w:right="353"/>
              <w:spacing w:after="0"/>
              <w:rPr>
                <w:sz w:val="20"/>
                <w:szCs w:val="20"/>
                <w:color w:val="auto"/>
              </w:rPr>
            </w:pPr>
            <w:r>
              <w:rPr>
                <w:rFonts w:ascii="Calibri" w:cs="Calibri" w:eastAsia="Calibri" w:hAnsi="Calibri"/>
                <w:sz w:val="16"/>
                <w:szCs w:val="16"/>
                <w:b w:val="1"/>
                <w:bCs w:val="1"/>
                <w:color w:val="FFFFFF"/>
              </w:rPr>
              <w:t>2024</w:t>
            </w:r>
          </w:p>
        </w:tc>
        <w:tc>
          <w:tcPr>
            <w:tcW w:w="200" w:type="dxa"/>
            <w:vAlign w:val="bottom"/>
            <w:tcBorders>
              <w:bottom w:val="single" w:sz="8" w:color="EF3E2A"/>
            </w:tcBorders>
            <w:shd w:val="clear" w:color="auto" w:fill="EF3E2A"/>
          </w:tcPr>
          <w:p>
            <w:pPr>
              <w:spacing w:after="0"/>
              <w:rPr>
                <w:sz w:val="23"/>
                <w:szCs w:val="23"/>
                <w:color w:val="auto"/>
              </w:rPr>
            </w:pPr>
          </w:p>
        </w:tc>
        <w:tc>
          <w:tcPr>
            <w:tcW w:w="1020" w:type="dxa"/>
            <w:vAlign w:val="bottom"/>
            <w:tcBorders>
              <w:bottom w:val="single" w:sz="8" w:color="EF3E2A"/>
            </w:tcBorders>
            <w:shd w:val="clear" w:color="auto" w:fill="EF3E2A"/>
          </w:tcPr>
          <w:p>
            <w:pPr>
              <w:jc w:val="right"/>
              <w:ind w:right="431"/>
              <w:spacing w:after="0"/>
              <w:rPr>
                <w:sz w:val="20"/>
                <w:szCs w:val="20"/>
                <w:color w:val="auto"/>
              </w:rPr>
            </w:pPr>
            <w:r>
              <w:rPr>
                <w:rFonts w:ascii="Calibri" w:cs="Calibri" w:eastAsia="Calibri" w:hAnsi="Calibri"/>
                <w:sz w:val="16"/>
                <w:szCs w:val="16"/>
                <w:b w:val="1"/>
                <w:bCs w:val="1"/>
                <w:color w:val="FFFFFF"/>
              </w:rPr>
              <w:t>2023</w:t>
            </w:r>
          </w:p>
        </w:tc>
        <w:tc>
          <w:tcPr>
            <w:tcW w:w="200" w:type="dxa"/>
            <w:vAlign w:val="bottom"/>
            <w:tcBorders>
              <w:bottom w:val="single" w:sz="8" w:color="EF3E2A"/>
            </w:tcBorders>
            <w:shd w:val="clear" w:color="auto" w:fill="EF3E2A"/>
          </w:tcPr>
          <w:p>
            <w:pPr>
              <w:spacing w:after="0"/>
              <w:rPr>
                <w:sz w:val="23"/>
                <w:szCs w:val="23"/>
                <w:color w:val="auto"/>
              </w:rPr>
            </w:pPr>
          </w:p>
        </w:tc>
        <w:tc>
          <w:tcPr>
            <w:tcW w:w="880" w:type="dxa"/>
            <w:vAlign w:val="bottom"/>
            <w:tcBorders>
              <w:bottom w:val="single" w:sz="8" w:color="EF3E2A"/>
            </w:tcBorders>
            <w:shd w:val="clear" w:color="auto" w:fill="EF3E2A"/>
          </w:tcPr>
          <w:p>
            <w:pPr>
              <w:jc w:val="right"/>
              <w:ind w:right="351"/>
              <w:spacing w:after="0"/>
              <w:rPr>
                <w:sz w:val="20"/>
                <w:szCs w:val="20"/>
                <w:color w:val="auto"/>
              </w:rPr>
            </w:pPr>
            <w:r>
              <w:rPr>
                <w:rFonts w:ascii="Calibri" w:cs="Calibri" w:eastAsia="Calibri" w:hAnsi="Calibri"/>
                <w:sz w:val="16"/>
                <w:szCs w:val="16"/>
                <w:b w:val="1"/>
                <w:bCs w:val="1"/>
                <w:color w:val="FFFFFF"/>
              </w:rPr>
              <w:t>2022</w:t>
            </w:r>
          </w:p>
        </w:tc>
        <w:tc>
          <w:tcPr>
            <w:tcW w:w="200" w:type="dxa"/>
            <w:vAlign w:val="bottom"/>
            <w:tcBorders>
              <w:bottom w:val="single" w:sz="8" w:color="EF3E2A"/>
            </w:tcBorders>
            <w:shd w:val="clear" w:color="auto" w:fill="EF3E2A"/>
          </w:tcPr>
          <w:p>
            <w:pPr>
              <w:spacing w:after="0"/>
              <w:rPr>
                <w:sz w:val="23"/>
                <w:szCs w:val="23"/>
                <w:color w:val="auto"/>
              </w:rPr>
            </w:pPr>
          </w:p>
        </w:tc>
        <w:tc>
          <w:tcPr>
            <w:tcW w:w="820" w:type="dxa"/>
            <w:vAlign w:val="bottom"/>
            <w:tcBorders>
              <w:bottom w:val="single" w:sz="8" w:color="EF3E2A"/>
            </w:tcBorders>
            <w:shd w:val="clear" w:color="auto" w:fill="EF3E2A"/>
          </w:tcPr>
          <w:p>
            <w:pPr>
              <w:jc w:val="right"/>
              <w:ind w:right="231"/>
              <w:spacing w:after="0"/>
              <w:rPr>
                <w:sz w:val="20"/>
                <w:szCs w:val="20"/>
                <w:color w:val="auto"/>
              </w:rPr>
            </w:pPr>
            <w:r>
              <w:rPr>
                <w:rFonts w:ascii="Calibri" w:cs="Calibri" w:eastAsia="Calibri" w:hAnsi="Calibri"/>
                <w:sz w:val="16"/>
                <w:szCs w:val="16"/>
                <w:b w:val="1"/>
                <w:bCs w:val="1"/>
                <w:color w:val="FFFFFF"/>
              </w:rPr>
              <w:t>2021</w:t>
            </w:r>
          </w:p>
        </w:tc>
        <w:tc>
          <w:tcPr>
            <w:tcW w:w="60" w:type="dxa"/>
            <w:vAlign w:val="bottom"/>
          </w:tcPr>
          <w:p>
            <w:pPr>
              <w:spacing w:after="0"/>
              <w:rPr>
                <w:sz w:val="23"/>
                <w:szCs w:val="23"/>
                <w:color w:val="auto"/>
              </w:rPr>
            </w:pPr>
          </w:p>
        </w:tc>
      </w:tr>
      <w:tr>
        <w:trPr>
          <w:trHeight w:val="314"/>
        </w:trPr>
        <w:tc>
          <w:tcPr>
            <w:tcW w:w="4340" w:type="dxa"/>
            <w:vAlign w:val="bottom"/>
            <w:gridSpan w:val="2"/>
          </w:tcPr>
          <w:p>
            <w:pPr>
              <w:ind w:left="100"/>
              <w:spacing w:after="0"/>
              <w:rPr>
                <w:sz w:val="20"/>
                <w:szCs w:val="20"/>
                <w:color w:val="auto"/>
              </w:rPr>
            </w:pPr>
            <w:r>
              <w:rPr>
                <w:rFonts w:ascii="Calibri" w:cs="Calibri" w:eastAsia="Calibri" w:hAnsi="Calibri"/>
                <w:sz w:val="18"/>
                <w:szCs w:val="18"/>
                <w:color w:val="231F20"/>
              </w:rPr>
              <w:t>Amounts reported under “Stock Awards” in SCT</w:t>
            </w:r>
          </w:p>
        </w:tc>
        <w:tc>
          <w:tcPr>
            <w:tcW w:w="280" w:type="dxa"/>
            <w:vAlign w:val="bottom"/>
          </w:tcPr>
          <w:p>
            <w:pPr>
              <w:jc w:val="right"/>
              <w:ind w:right="10"/>
              <w:spacing w:after="0"/>
              <w:rPr>
                <w:sz w:val="20"/>
                <w:szCs w:val="20"/>
                <w:color w:val="auto"/>
              </w:rPr>
            </w:pPr>
            <w:r>
              <w:rPr>
                <w:rFonts w:ascii="Calibri" w:cs="Calibri" w:eastAsia="Calibri" w:hAnsi="Calibri"/>
                <w:sz w:val="18"/>
                <w:szCs w:val="18"/>
                <w:color w:val="231F20"/>
              </w:rPr>
              <w:t>$</w:t>
            </w:r>
          </w:p>
        </w:tc>
        <w:tc>
          <w:tcPr>
            <w:tcW w:w="980" w:type="dxa"/>
            <w:vAlign w:val="bottom"/>
          </w:tcPr>
          <w:p>
            <w:pPr>
              <w:jc w:val="right"/>
              <w:spacing w:after="0"/>
              <w:rPr>
                <w:sz w:val="20"/>
                <w:szCs w:val="20"/>
                <w:color w:val="auto"/>
              </w:rPr>
            </w:pPr>
            <w:r>
              <w:rPr>
                <w:rFonts w:ascii="Calibri" w:cs="Calibri" w:eastAsia="Calibri" w:hAnsi="Calibri"/>
                <w:sz w:val="18"/>
                <w:szCs w:val="18"/>
                <w:color w:val="231F20"/>
              </w:rPr>
              <w:t>(1,565,388)</w:t>
            </w:r>
          </w:p>
        </w:tc>
        <w:tc>
          <w:tcPr>
            <w:tcW w:w="200" w:type="dxa"/>
            <w:vAlign w:val="bottom"/>
          </w:tcPr>
          <w:p>
            <w:pPr>
              <w:jc w:val="right"/>
              <w:spacing w:after="0"/>
              <w:rPr>
                <w:sz w:val="20"/>
                <w:szCs w:val="20"/>
                <w:color w:val="auto"/>
              </w:rPr>
            </w:pPr>
            <w:r>
              <w:rPr>
                <w:rFonts w:ascii="Calibri" w:cs="Calibri" w:eastAsia="Calibri" w:hAnsi="Calibri"/>
                <w:sz w:val="18"/>
                <w:szCs w:val="18"/>
                <w:color w:val="231F20"/>
              </w:rPr>
              <w:t>$</w:t>
            </w:r>
          </w:p>
        </w:tc>
        <w:tc>
          <w:tcPr>
            <w:tcW w:w="960" w:type="dxa"/>
            <w:vAlign w:val="bottom"/>
          </w:tcPr>
          <w:p>
            <w:pPr>
              <w:jc w:val="right"/>
              <w:spacing w:after="0"/>
              <w:rPr>
                <w:sz w:val="20"/>
                <w:szCs w:val="20"/>
                <w:color w:val="auto"/>
              </w:rPr>
            </w:pPr>
            <w:r>
              <w:rPr>
                <w:rFonts w:ascii="Calibri" w:cs="Calibri" w:eastAsia="Calibri" w:hAnsi="Calibri"/>
                <w:sz w:val="18"/>
                <w:szCs w:val="18"/>
                <w:color w:val="231F20"/>
              </w:rPr>
              <w:t>(1,171,784)</w:t>
            </w:r>
          </w:p>
        </w:tc>
        <w:tc>
          <w:tcPr>
            <w:tcW w:w="200" w:type="dxa"/>
            <w:vAlign w:val="bottom"/>
          </w:tcPr>
          <w:p>
            <w:pPr>
              <w:jc w:val="right"/>
              <w:spacing w:after="0"/>
              <w:rPr>
                <w:sz w:val="20"/>
                <w:szCs w:val="20"/>
                <w:color w:val="auto"/>
              </w:rPr>
            </w:pPr>
            <w:r>
              <w:rPr>
                <w:rFonts w:ascii="Calibri" w:cs="Calibri" w:eastAsia="Calibri" w:hAnsi="Calibri"/>
                <w:sz w:val="18"/>
                <w:szCs w:val="18"/>
                <w:color w:val="231F20"/>
              </w:rPr>
              <w:t>$</w:t>
            </w:r>
          </w:p>
        </w:tc>
        <w:tc>
          <w:tcPr>
            <w:tcW w:w="1020" w:type="dxa"/>
            <w:vAlign w:val="bottom"/>
          </w:tcPr>
          <w:p>
            <w:pPr>
              <w:jc w:val="right"/>
              <w:ind w:right="51"/>
              <w:spacing w:after="0"/>
              <w:rPr>
                <w:sz w:val="20"/>
                <w:szCs w:val="20"/>
                <w:color w:val="auto"/>
              </w:rPr>
            </w:pPr>
            <w:r>
              <w:rPr>
                <w:rFonts w:ascii="Calibri" w:cs="Calibri" w:eastAsia="Calibri" w:hAnsi="Calibri"/>
                <w:sz w:val="18"/>
                <w:szCs w:val="18"/>
                <w:color w:val="231F20"/>
              </w:rPr>
              <w:t>(1,097,793)</w:t>
            </w:r>
          </w:p>
        </w:tc>
        <w:tc>
          <w:tcPr>
            <w:tcW w:w="200" w:type="dxa"/>
            <w:vAlign w:val="bottom"/>
          </w:tcPr>
          <w:p>
            <w:pPr>
              <w:jc w:val="right"/>
              <w:ind w:right="40"/>
              <w:spacing w:after="0"/>
              <w:rPr>
                <w:sz w:val="20"/>
                <w:szCs w:val="20"/>
                <w:color w:val="auto"/>
              </w:rPr>
            </w:pPr>
            <w:r>
              <w:rPr>
                <w:rFonts w:ascii="Calibri" w:cs="Calibri" w:eastAsia="Calibri" w:hAnsi="Calibri"/>
                <w:sz w:val="16"/>
                <w:szCs w:val="16"/>
                <w:color w:val="231F20"/>
                <w:w w:val="73"/>
              </w:rPr>
              <w:t>$</w:t>
            </w:r>
          </w:p>
        </w:tc>
        <w:tc>
          <w:tcPr>
            <w:tcW w:w="880" w:type="dxa"/>
            <w:vAlign w:val="bottom"/>
          </w:tcPr>
          <w:p>
            <w:pPr>
              <w:jc w:val="right"/>
              <w:spacing w:after="0"/>
              <w:rPr>
                <w:sz w:val="20"/>
                <w:szCs w:val="20"/>
                <w:color w:val="auto"/>
              </w:rPr>
            </w:pPr>
            <w:r>
              <w:rPr>
                <w:rFonts w:ascii="Calibri" w:cs="Calibri" w:eastAsia="Calibri" w:hAnsi="Calibri"/>
                <w:sz w:val="18"/>
                <w:szCs w:val="18"/>
                <w:color w:val="231F20"/>
              </w:rPr>
              <w:t>(809,283)</w:t>
            </w:r>
          </w:p>
        </w:tc>
        <w:tc>
          <w:tcPr>
            <w:tcW w:w="200" w:type="dxa"/>
            <w:vAlign w:val="bottom"/>
          </w:tcPr>
          <w:p>
            <w:pPr>
              <w:jc w:val="right"/>
              <w:spacing w:after="0"/>
              <w:rPr>
                <w:sz w:val="20"/>
                <w:szCs w:val="20"/>
                <w:color w:val="auto"/>
              </w:rPr>
            </w:pPr>
            <w:r>
              <w:rPr>
                <w:rFonts w:ascii="Calibri" w:cs="Calibri" w:eastAsia="Calibri" w:hAnsi="Calibri"/>
                <w:sz w:val="18"/>
                <w:szCs w:val="18"/>
                <w:color w:val="231F20"/>
              </w:rPr>
              <w:t>$</w:t>
            </w:r>
          </w:p>
        </w:tc>
        <w:tc>
          <w:tcPr>
            <w:tcW w:w="880" w:type="dxa"/>
            <w:vAlign w:val="bottom"/>
            <w:gridSpan w:val="2"/>
          </w:tcPr>
          <w:p>
            <w:pPr>
              <w:jc w:val="right"/>
              <w:spacing w:after="0"/>
              <w:rPr>
                <w:sz w:val="20"/>
                <w:szCs w:val="20"/>
                <w:color w:val="auto"/>
              </w:rPr>
            </w:pPr>
            <w:r>
              <w:rPr>
                <w:rFonts w:ascii="Calibri" w:cs="Calibri" w:eastAsia="Calibri" w:hAnsi="Calibri"/>
                <w:sz w:val="18"/>
                <w:szCs w:val="18"/>
                <w:color w:val="231F20"/>
              </w:rPr>
              <w:t>(1,290,104)</w:t>
            </w:r>
          </w:p>
        </w:tc>
      </w:tr>
      <w:tr>
        <w:trPr>
          <w:trHeight w:val="26"/>
        </w:trPr>
        <w:tc>
          <w:tcPr>
            <w:tcW w:w="96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314"/>
        </w:trPr>
        <w:tc>
          <w:tcPr>
            <w:tcW w:w="4340" w:type="dxa"/>
            <w:vAlign w:val="bottom"/>
            <w:gridSpan w:val="2"/>
            <w:shd w:val="clear" w:color="auto" w:fill="DCDDDE"/>
          </w:tcPr>
          <w:p>
            <w:pPr>
              <w:ind w:left="100"/>
              <w:spacing w:after="0"/>
              <w:rPr>
                <w:sz w:val="20"/>
                <w:szCs w:val="20"/>
                <w:color w:val="auto"/>
              </w:rPr>
            </w:pPr>
            <w:r>
              <w:rPr>
                <w:rFonts w:ascii="Calibri" w:cs="Calibri" w:eastAsia="Calibri" w:hAnsi="Calibri"/>
                <w:sz w:val="18"/>
                <w:szCs w:val="18"/>
                <w:color w:val="231F20"/>
              </w:rPr>
              <w:t>Change Fair Value of Awards Granted in Year and</w:t>
            </w:r>
          </w:p>
        </w:tc>
        <w:tc>
          <w:tcPr>
            <w:tcW w:w="280" w:type="dxa"/>
            <w:vAlign w:val="bottom"/>
            <w:shd w:val="clear" w:color="auto" w:fill="DCDDDE"/>
          </w:tcPr>
          <w:p>
            <w:pPr>
              <w:spacing w:after="0"/>
              <w:rPr>
                <w:sz w:val="24"/>
                <w:szCs w:val="24"/>
                <w:color w:val="auto"/>
              </w:rPr>
            </w:pPr>
          </w:p>
        </w:tc>
        <w:tc>
          <w:tcPr>
            <w:tcW w:w="980" w:type="dxa"/>
            <w:vAlign w:val="bottom"/>
            <w:shd w:val="clear" w:color="auto" w:fill="DCDDDE"/>
          </w:tcPr>
          <w:p>
            <w:pPr>
              <w:spacing w:after="0"/>
              <w:rPr>
                <w:sz w:val="24"/>
                <w:szCs w:val="24"/>
                <w:color w:val="auto"/>
              </w:rPr>
            </w:pPr>
          </w:p>
        </w:tc>
        <w:tc>
          <w:tcPr>
            <w:tcW w:w="200" w:type="dxa"/>
            <w:vAlign w:val="bottom"/>
            <w:shd w:val="clear" w:color="auto" w:fill="DCDDDE"/>
          </w:tcPr>
          <w:p>
            <w:pPr>
              <w:spacing w:after="0"/>
              <w:rPr>
                <w:sz w:val="24"/>
                <w:szCs w:val="24"/>
                <w:color w:val="auto"/>
              </w:rPr>
            </w:pPr>
          </w:p>
        </w:tc>
        <w:tc>
          <w:tcPr>
            <w:tcW w:w="960" w:type="dxa"/>
            <w:vAlign w:val="bottom"/>
            <w:shd w:val="clear" w:color="auto" w:fill="DCDDDE"/>
          </w:tcPr>
          <w:p>
            <w:pPr>
              <w:spacing w:after="0"/>
              <w:rPr>
                <w:sz w:val="24"/>
                <w:szCs w:val="24"/>
                <w:color w:val="auto"/>
              </w:rPr>
            </w:pPr>
          </w:p>
        </w:tc>
        <w:tc>
          <w:tcPr>
            <w:tcW w:w="200" w:type="dxa"/>
            <w:vAlign w:val="bottom"/>
            <w:shd w:val="clear" w:color="auto" w:fill="DCDDDE"/>
          </w:tcPr>
          <w:p>
            <w:pPr>
              <w:spacing w:after="0"/>
              <w:rPr>
                <w:sz w:val="24"/>
                <w:szCs w:val="24"/>
                <w:color w:val="auto"/>
              </w:rPr>
            </w:pPr>
          </w:p>
        </w:tc>
        <w:tc>
          <w:tcPr>
            <w:tcW w:w="1020" w:type="dxa"/>
            <w:vAlign w:val="bottom"/>
            <w:shd w:val="clear" w:color="auto" w:fill="DCDDDE"/>
          </w:tcPr>
          <w:p>
            <w:pPr>
              <w:spacing w:after="0"/>
              <w:rPr>
                <w:sz w:val="24"/>
                <w:szCs w:val="24"/>
                <w:color w:val="auto"/>
              </w:rPr>
            </w:pPr>
          </w:p>
        </w:tc>
        <w:tc>
          <w:tcPr>
            <w:tcW w:w="200" w:type="dxa"/>
            <w:vAlign w:val="bottom"/>
            <w:shd w:val="clear" w:color="auto" w:fill="DCDDDE"/>
          </w:tcPr>
          <w:p>
            <w:pPr>
              <w:spacing w:after="0"/>
              <w:rPr>
                <w:sz w:val="24"/>
                <w:szCs w:val="24"/>
                <w:color w:val="auto"/>
              </w:rPr>
            </w:pPr>
          </w:p>
        </w:tc>
        <w:tc>
          <w:tcPr>
            <w:tcW w:w="880" w:type="dxa"/>
            <w:vAlign w:val="bottom"/>
            <w:shd w:val="clear" w:color="auto" w:fill="DCDDDE"/>
          </w:tcPr>
          <w:p>
            <w:pPr>
              <w:spacing w:after="0"/>
              <w:rPr>
                <w:sz w:val="24"/>
                <w:szCs w:val="24"/>
                <w:color w:val="auto"/>
              </w:rPr>
            </w:pPr>
          </w:p>
        </w:tc>
        <w:tc>
          <w:tcPr>
            <w:tcW w:w="200" w:type="dxa"/>
            <w:vAlign w:val="bottom"/>
            <w:shd w:val="clear" w:color="auto" w:fill="DCDDDE"/>
          </w:tcPr>
          <w:p>
            <w:pPr>
              <w:spacing w:after="0"/>
              <w:rPr>
                <w:sz w:val="24"/>
                <w:szCs w:val="24"/>
                <w:color w:val="auto"/>
              </w:rPr>
            </w:pPr>
          </w:p>
        </w:tc>
        <w:tc>
          <w:tcPr>
            <w:tcW w:w="820" w:type="dxa"/>
            <w:vAlign w:val="bottom"/>
            <w:shd w:val="clear" w:color="auto" w:fill="DCDDDE"/>
          </w:tcPr>
          <w:p>
            <w:pPr>
              <w:spacing w:after="0"/>
              <w:rPr>
                <w:sz w:val="24"/>
                <w:szCs w:val="24"/>
                <w:color w:val="auto"/>
              </w:rPr>
            </w:pPr>
          </w:p>
        </w:tc>
        <w:tc>
          <w:tcPr>
            <w:tcW w:w="60" w:type="dxa"/>
            <w:vAlign w:val="bottom"/>
          </w:tcPr>
          <w:p>
            <w:pPr>
              <w:spacing w:after="0"/>
              <w:rPr>
                <w:sz w:val="24"/>
                <w:szCs w:val="24"/>
                <w:color w:val="auto"/>
              </w:rPr>
            </w:pPr>
          </w:p>
        </w:tc>
      </w:tr>
      <w:tr>
        <w:trPr>
          <w:trHeight w:val="226"/>
        </w:trPr>
        <w:tc>
          <w:tcPr>
            <w:tcW w:w="4340" w:type="dxa"/>
            <w:vAlign w:val="bottom"/>
            <w:tcBorders>
              <w:bottom w:val="single" w:sz="8" w:color="DCDDDE"/>
            </w:tcBorders>
            <w:gridSpan w:val="2"/>
            <w:shd w:val="clear" w:color="auto" w:fill="DCDDDE"/>
          </w:tcPr>
          <w:p>
            <w:pPr>
              <w:ind w:left="180"/>
              <w:spacing w:after="0"/>
              <w:rPr>
                <w:sz w:val="20"/>
                <w:szCs w:val="20"/>
                <w:color w:val="auto"/>
              </w:rPr>
            </w:pPr>
            <w:r>
              <w:rPr>
                <w:rFonts w:ascii="Calibri" w:cs="Calibri" w:eastAsia="Calibri" w:hAnsi="Calibri"/>
                <w:sz w:val="18"/>
                <w:szCs w:val="18"/>
                <w:color w:val="231F20"/>
              </w:rPr>
              <w:t>Unvested as of Year-End</w:t>
            </w:r>
          </w:p>
        </w:tc>
        <w:tc>
          <w:tcPr>
            <w:tcW w:w="280" w:type="dxa"/>
            <w:vAlign w:val="bottom"/>
            <w:tcBorders>
              <w:bottom w:val="single" w:sz="8" w:color="DCDDDE"/>
            </w:tcBorders>
            <w:shd w:val="clear" w:color="auto" w:fill="DCDDDE"/>
          </w:tcPr>
          <w:p>
            <w:pPr>
              <w:jc w:val="right"/>
              <w:ind w:right="10"/>
              <w:spacing w:after="0"/>
              <w:rPr>
                <w:sz w:val="20"/>
                <w:szCs w:val="20"/>
                <w:color w:val="auto"/>
              </w:rPr>
            </w:pPr>
            <w:r>
              <w:rPr>
                <w:rFonts w:ascii="Calibri" w:cs="Calibri" w:eastAsia="Calibri" w:hAnsi="Calibri"/>
                <w:sz w:val="18"/>
                <w:szCs w:val="18"/>
                <w:color w:val="231F20"/>
              </w:rPr>
              <w:t>$</w:t>
            </w:r>
          </w:p>
        </w:tc>
        <w:tc>
          <w:tcPr>
            <w:tcW w:w="980" w:type="dxa"/>
            <w:vAlign w:val="bottom"/>
            <w:tcBorders>
              <w:bottom w:val="single" w:sz="8" w:color="DCDDDE"/>
            </w:tcBorders>
            <w:shd w:val="clear" w:color="auto" w:fill="DCDDDE"/>
          </w:tcPr>
          <w:p>
            <w:pPr>
              <w:jc w:val="right"/>
              <w:ind w:right="31"/>
              <w:spacing w:after="0"/>
              <w:rPr>
                <w:sz w:val="20"/>
                <w:szCs w:val="20"/>
                <w:color w:val="auto"/>
              </w:rPr>
            </w:pPr>
            <w:r>
              <w:rPr>
                <w:rFonts w:ascii="Calibri" w:cs="Calibri" w:eastAsia="Calibri" w:hAnsi="Calibri"/>
                <w:sz w:val="18"/>
                <w:szCs w:val="18"/>
                <w:color w:val="231F20"/>
              </w:rPr>
              <w:t>1,427,328</w:t>
            </w:r>
          </w:p>
        </w:tc>
        <w:tc>
          <w:tcPr>
            <w:tcW w:w="200" w:type="dxa"/>
            <w:vAlign w:val="bottom"/>
            <w:tcBorders>
              <w:bottom w:val="single" w:sz="8" w:color="DCDDDE"/>
            </w:tcBorders>
            <w:shd w:val="clear" w:color="auto" w:fill="DCDDDE"/>
          </w:tcPr>
          <w:p>
            <w:pPr>
              <w:jc w:val="right"/>
              <w:spacing w:after="0"/>
              <w:rPr>
                <w:sz w:val="20"/>
                <w:szCs w:val="20"/>
                <w:color w:val="auto"/>
              </w:rPr>
            </w:pPr>
            <w:r>
              <w:rPr>
                <w:rFonts w:ascii="Calibri" w:cs="Calibri" w:eastAsia="Calibri" w:hAnsi="Calibri"/>
                <w:sz w:val="18"/>
                <w:szCs w:val="18"/>
                <w:color w:val="231F20"/>
              </w:rPr>
              <w:t>$</w:t>
            </w:r>
          </w:p>
        </w:tc>
        <w:tc>
          <w:tcPr>
            <w:tcW w:w="960" w:type="dxa"/>
            <w:vAlign w:val="bottom"/>
            <w:tcBorders>
              <w:bottom w:val="single" w:sz="8" w:color="DCDDDE"/>
            </w:tcBorders>
            <w:shd w:val="clear" w:color="auto" w:fill="DCDDDE"/>
          </w:tcPr>
          <w:p>
            <w:pPr>
              <w:jc w:val="right"/>
              <w:ind w:right="53"/>
              <w:spacing w:after="0"/>
              <w:rPr>
                <w:sz w:val="20"/>
                <w:szCs w:val="20"/>
                <w:color w:val="auto"/>
              </w:rPr>
            </w:pPr>
            <w:r>
              <w:rPr>
                <w:rFonts w:ascii="Calibri" w:cs="Calibri" w:eastAsia="Calibri" w:hAnsi="Calibri"/>
                <w:sz w:val="18"/>
                <w:szCs w:val="18"/>
                <w:color w:val="231F20"/>
              </w:rPr>
              <w:t>1,290,392</w:t>
            </w:r>
          </w:p>
        </w:tc>
        <w:tc>
          <w:tcPr>
            <w:tcW w:w="200" w:type="dxa"/>
            <w:vAlign w:val="bottom"/>
            <w:tcBorders>
              <w:bottom w:val="single" w:sz="8" w:color="DCDDDE"/>
            </w:tcBorders>
            <w:shd w:val="clear" w:color="auto" w:fill="DCDDDE"/>
          </w:tcPr>
          <w:p>
            <w:pPr>
              <w:jc w:val="right"/>
              <w:spacing w:after="0"/>
              <w:rPr>
                <w:sz w:val="20"/>
                <w:szCs w:val="20"/>
                <w:color w:val="auto"/>
              </w:rPr>
            </w:pPr>
            <w:r>
              <w:rPr>
                <w:rFonts w:ascii="Calibri" w:cs="Calibri" w:eastAsia="Calibri" w:hAnsi="Calibri"/>
                <w:sz w:val="18"/>
                <w:szCs w:val="18"/>
                <w:color w:val="231F20"/>
              </w:rPr>
              <w:t>$</w:t>
            </w:r>
          </w:p>
        </w:tc>
        <w:tc>
          <w:tcPr>
            <w:tcW w:w="1020" w:type="dxa"/>
            <w:vAlign w:val="bottom"/>
            <w:tcBorders>
              <w:bottom w:val="single" w:sz="8" w:color="DCDDDE"/>
            </w:tcBorders>
            <w:shd w:val="clear" w:color="auto" w:fill="DCDDDE"/>
          </w:tcPr>
          <w:p>
            <w:pPr>
              <w:jc w:val="right"/>
              <w:ind w:right="111"/>
              <w:spacing w:after="0"/>
              <w:rPr>
                <w:sz w:val="20"/>
                <w:szCs w:val="20"/>
                <w:color w:val="auto"/>
              </w:rPr>
            </w:pPr>
            <w:r>
              <w:rPr>
                <w:rFonts w:ascii="Calibri" w:cs="Calibri" w:eastAsia="Calibri" w:hAnsi="Calibri"/>
                <w:sz w:val="18"/>
                <w:szCs w:val="18"/>
                <w:color w:val="231F20"/>
              </w:rPr>
              <w:t>1,047,323</w:t>
            </w:r>
          </w:p>
        </w:tc>
        <w:tc>
          <w:tcPr>
            <w:tcW w:w="200" w:type="dxa"/>
            <w:vAlign w:val="bottom"/>
            <w:tcBorders>
              <w:bottom w:val="single" w:sz="8" w:color="DCDDDE"/>
            </w:tcBorders>
            <w:shd w:val="clear" w:color="auto" w:fill="DCDDDE"/>
          </w:tcPr>
          <w:p>
            <w:pPr>
              <w:jc w:val="right"/>
              <w:ind w:right="40"/>
              <w:spacing w:after="0"/>
              <w:rPr>
                <w:sz w:val="20"/>
                <w:szCs w:val="20"/>
                <w:color w:val="auto"/>
              </w:rPr>
            </w:pPr>
            <w:r>
              <w:rPr>
                <w:rFonts w:ascii="Calibri" w:cs="Calibri" w:eastAsia="Calibri" w:hAnsi="Calibri"/>
                <w:sz w:val="16"/>
                <w:szCs w:val="16"/>
                <w:color w:val="231F20"/>
                <w:w w:val="73"/>
              </w:rPr>
              <w:t>$</w:t>
            </w:r>
          </w:p>
        </w:tc>
        <w:tc>
          <w:tcPr>
            <w:tcW w:w="880" w:type="dxa"/>
            <w:vAlign w:val="bottom"/>
            <w:tcBorders>
              <w:bottom w:val="single" w:sz="8" w:color="DCDDDE"/>
            </w:tcBorders>
            <w:shd w:val="clear" w:color="auto" w:fill="DCDDDE"/>
          </w:tcPr>
          <w:p>
            <w:pPr>
              <w:jc w:val="right"/>
              <w:ind w:right="31"/>
              <w:spacing w:after="0"/>
              <w:rPr>
                <w:sz w:val="20"/>
                <w:szCs w:val="20"/>
                <w:color w:val="auto"/>
              </w:rPr>
            </w:pPr>
            <w:r>
              <w:rPr>
                <w:rFonts w:ascii="Calibri" w:cs="Calibri" w:eastAsia="Calibri" w:hAnsi="Calibri"/>
                <w:sz w:val="18"/>
                <w:szCs w:val="18"/>
                <w:color w:val="231F20"/>
              </w:rPr>
              <w:t>646,454</w:t>
            </w:r>
          </w:p>
        </w:tc>
        <w:tc>
          <w:tcPr>
            <w:tcW w:w="200" w:type="dxa"/>
            <w:vAlign w:val="bottom"/>
            <w:tcBorders>
              <w:bottom w:val="single" w:sz="8" w:color="DCDDDE"/>
            </w:tcBorders>
            <w:shd w:val="clear" w:color="auto" w:fill="DCDDDE"/>
          </w:tcPr>
          <w:p>
            <w:pPr>
              <w:jc w:val="right"/>
              <w:spacing w:after="0"/>
              <w:rPr>
                <w:sz w:val="20"/>
                <w:szCs w:val="20"/>
                <w:color w:val="auto"/>
              </w:rPr>
            </w:pPr>
            <w:r>
              <w:rPr>
                <w:rFonts w:ascii="Calibri" w:cs="Calibri" w:eastAsia="Calibri" w:hAnsi="Calibri"/>
                <w:sz w:val="18"/>
                <w:szCs w:val="18"/>
                <w:color w:val="231F20"/>
              </w:rPr>
              <w:t>$</w:t>
            </w:r>
          </w:p>
        </w:tc>
        <w:tc>
          <w:tcPr>
            <w:tcW w:w="820" w:type="dxa"/>
            <w:vAlign w:val="bottom"/>
            <w:tcBorders>
              <w:bottom w:val="single" w:sz="8" w:color="DCDDDE"/>
            </w:tcBorders>
            <w:shd w:val="clear" w:color="auto" w:fill="DCDDDE"/>
          </w:tcPr>
          <w:p>
            <w:pPr>
              <w:jc w:val="right"/>
              <w:spacing w:after="0"/>
              <w:rPr>
                <w:sz w:val="20"/>
                <w:szCs w:val="20"/>
                <w:color w:val="auto"/>
              </w:rPr>
            </w:pPr>
            <w:r>
              <w:rPr>
                <w:rFonts w:ascii="Calibri" w:cs="Calibri" w:eastAsia="Calibri" w:hAnsi="Calibri"/>
                <w:sz w:val="18"/>
                <w:szCs w:val="18"/>
                <w:color w:val="231F20"/>
              </w:rPr>
              <w:t>1,708,703</w:t>
            </w:r>
          </w:p>
        </w:tc>
        <w:tc>
          <w:tcPr>
            <w:tcW w:w="60" w:type="dxa"/>
            <w:vAlign w:val="bottom"/>
          </w:tcPr>
          <w:p>
            <w:pPr>
              <w:spacing w:after="0"/>
              <w:rPr>
                <w:sz w:val="19"/>
                <w:szCs w:val="19"/>
                <w:color w:val="auto"/>
              </w:rPr>
            </w:pPr>
          </w:p>
        </w:tc>
      </w:tr>
      <w:tr>
        <w:trPr>
          <w:trHeight w:val="314"/>
        </w:trPr>
        <w:tc>
          <w:tcPr>
            <w:tcW w:w="4340" w:type="dxa"/>
            <w:vAlign w:val="bottom"/>
            <w:gridSpan w:val="2"/>
          </w:tcPr>
          <w:p>
            <w:pPr>
              <w:ind w:left="100"/>
              <w:spacing w:after="0"/>
              <w:rPr>
                <w:sz w:val="20"/>
                <w:szCs w:val="20"/>
                <w:color w:val="auto"/>
              </w:rPr>
            </w:pPr>
            <w:r>
              <w:rPr>
                <w:rFonts w:ascii="Calibri" w:cs="Calibri" w:eastAsia="Calibri" w:hAnsi="Calibri"/>
                <w:sz w:val="18"/>
                <w:szCs w:val="18"/>
                <w:color w:val="231F20"/>
              </w:rPr>
              <w:t>Change in Fair Value from Prior Year-End to Current</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20"/>
        </w:trPr>
        <w:tc>
          <w:tcPr>
            <w:tcW w:w="4340" w:type="dxa"/>
            <w:vAlign w:val="bottom"/>
            <w:gridSpan w:val="2"/>
          </w:tcPr>
          <w:p>
            <w:pPr>
              <w:ind w:left="180"/>
              <w:spacing w:after="0"/>
              <w:rPr>
                <w:sz w:val="20"/>
                <w:szCs w:val="20"/>
                <w:color w:val="auto"/>
              </w:rPr>
            </w:pPr>
            <w:r>
              <w:rPr>
                <w:rFonts w:ascii="Calibri" w:cs="Calibri" w:eastAsia="Calibri" w:hAnsi="Calibri"/>
                <w:sz w:val="18"/>
                <w:szCs w:val="18"/>
                <w:color w:val="231F20"/>
              </w:rPr>
              <w:t>Year-End of Awards Granted Prior to Year that were</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0"/>
        </w:trPr>
        <w:tc>
          <w:tcPr>
            <w:tcW w:w="4340" w:type="dxa"/>
            <w:vAlign w:val="bottom"/>
            <w:gridSpan w:val="2"/>
          </w:tcPr>
          <w:p>
            <w:pPr>
              <w:ind w:left="180"/>
              <w:spacing w:after="0"/>
              <w:rPr>
                <w:sz w:val="20"/>
                <w:szCs w:val="20"/>
                <w:color w:val="auto"/>
              </w:rPr>
            </w:pPr>
            <w:r>
              <w:rPr>
                <w:rFonts w:ascii="Calibri" w:cs="Calibri" w:eastAsia="Calibri" w:hAnsi="Calibri"/>
                <w:sz w:val="18"/>
                <w:szCs w:val="18"/>
                <w:color w:val="231F20"/>
              </w:rPr>
              <w:t>Outstanding and Unvested as of Year-End</w:t>
            </w:r>
          </w:p>
        </w:tc>
        <w:tc>
          <w:tcPr>
            <w:tcW w:w="280" w:type="dxa"/>
            <w:vAlign w:val="bottom"/>
          </w:tcPr>
          <w:p>
            <w:pPr>
              <w:jc w:val="right"/>
              <w:ind w:right="10"/>
              <w:spacing w:after="0"/>
              <w:rPr>
                <w:sz w:val="20"/>
                <w:szCs w:val="20"/>
                <w:color w:val="auto"/>
              </w:rPr>
            </w:pPr>
            <w:r>
              <w:rPr>
                <w:rFonts w:ascii="Calibri" w:cs="Calibri" w:eastAsia="Calibri" w:hAnsi="Calibri"/>
                <w:sz w:val="18"/>
                <w:szCs w:val="18"/>
                <w:color w:val="231F20"/>
              </w:rPr>
              <w:t>$</w:t>
            </w:r>
          </w:p>
        </w:tc>
        <w:tc>
          <w:tcPr>
            <w:tcW w:w="980" w:type="dxa"/>
            <w:vAlign w:val="bottom"/>
          </w:tcPr>
          <w:p>
            <w:pPr>
              <w:jc w:val="right"/>
              <w:spacing w:after="0"/>
              <w:rPr>
                <w:sz w:val="20"/>
                <w:szCs w:val="20"/>
                <w:color w:val="auto"/>
              </w:rPr>
            </w:pPr>
            <w:r>
              <w:rPr>
                <w:rFonts w:ascii="Calibri" w:cs="Calibri" w:eastAsia="Calibri" w:hAnsi="Calibri"/>
                <w:sz w:val="18"/>
                <w:szCs w:val="18"/>
                <w:color w:val="231F20"/>
              </w:rPr>
              <w:t>(245,556)</w:t>
            </w:r>
          </w:p>
        </w:tc>
        <w:tc>
          <w:tcPr>
            <w:tcW w:w="200" w:type="dxa"/>
            <w:vAlign w:val="bottom"/>
          </w:tcPr>
          <w:p>
            <w:pPr>
              <w:jc w:val="right"/>
              <w:spacing w:after="0"/>
              <w:rPr>
                <w:sz w:val="20"/>
                <w:szCs w:val="20"/>
                <w:color w:val="auto"/>
              </w:rPr>
            </w:pPr>
            <w:r>
              <w:rPr>
                <w:rFonts w:ascii="Calibri" w:cs="Calibri" w:eastAsia="Calibri" w:hAnsi="Calibri"/>
                <w:sz w:val="18"/>
                <w:szCs w:val="18"/>
                <w:color w:val="231F20"/>
              </w:rPr>
              <w:t>$</w:t>
            </w:r>
          </w:p>
        </w:tc>
        <w:tc>
          <w:tcPr>
            <w:tcW w:w="960" w:type="dxa"/>
            <w:vAlign w:val="bottom"/>
          </w:tcPr>
          <w:p>
            <w:pPr>
              <w:jc w:val="right"/>
              <w:ind w:right="53"/>
              <w:spacing w:after="0"/>
              <w:rPr>
                <w:sz w:val="20"/>
                <w:szCs w:val="20"/>
                <w:color w:val="auto"/>
              </w:rPr>
            </w:pPr>
            <w:r>
              <w:rPr>
                <w:rFonts w:ascii="Calibri" w:cs="Calibri" w:eastAsia="Calibri" w:hAnsi="Calibri"/>
                <w:sz w:val="18"/>
                <w:szCs w:val="18"/>
                <w:color w:val="231F20"/>
              </w:rPr>
              <w:t>174,088</w:t>
            </w:r>
          </w:p>
        </w:tc>
        <w:tc>
          <w:tcPr>
            <w:tcW w:w="200" w:type="dxa"/>
            <w:vAlign w:val="bottom"/>
          </w:tcPr>
          <w:p>
            <w:pPr>
              <w:jc w:val="right"/>
              <w:spacing w:after="0"/>
              <w:rPr>
                <w:sz w:val="20"/>
                <w:szCs w:val="20"/>
                <w:color w:val="auto"/>
              </w:rPr>
            </w:pPr>
            <w:r>
              <w:rPr>
                <w:rFonts w:ascii="Calibri" w:cs="Calibri" w:eastAsia="Calibri" w:hAnsi="Calibri"/>
                <w:sz w:val="18"/>
                <w:szCs w:val="18"/>
                <w:color w:val="231F20"/>
              </w:rPr>
              <w:t>$</w:t>
            </w:r>
          </w:p>
        </w:tc>
        <w:tc>
          <w:tcPr>
            <w:tcW w:w="1020" w:type="dxa"/>
            <w:vAlign w:val="bottom"/>
          </w:tcPr>
          <w:p>
            <w:pPr>
              <w:jc w:val="right"/>
              <w:ind w:right="111"/>
              <w:spacing w:after="0"/>
              <w:rPr>
                <w:sz w:val="20"/>
                <w:szCs w:val="20"/>
                <w:color w:val="auto"/>
              </w:rPr>
            </w:pPr>
            <w:r>
              <w:rPr>
                <w:rFonts w:ascii="Calibri" w:cs="Calibri" w:eastAsia="Calibri" w:hAnsi="Calibri"/>
                <w:sz w:val="18"/>
                <w:szCs w:val="18"/>
                <w:color w:val="231F20"/>
              </w:rPr>
              <w:t>73,187</w:t>
            </w:r>
          </w:p>
        </w:tc>
        <w:tc>
          <w:tcPr>
            <w:tcW w:w="200" w:type="dxa"/>
            <w:vAlign w:val="bottom"/>
          </w:tcPr>
          <w:p>
            <w:pPr>
              <w:jc w:val="right"/>
              <w:ind w:right="40"/>
              <w:spacing w:after="0"/>
              <w:rPr>
                <w:sz w:val="20"/>
                <w:szCs w:val="20"/>
                <w:color w:val="auto"/>
              </w:rPr>
            </w:pPr>
            <w:r>
              <w:rPr>
                <w:rFonts w:ascii="Calibri" w:cs="Calibri" w:eastAsia="Calibri" w:hAnsi="Calibri"/>
                <w:sz w:val="16"/>
                <w:szCs w:val="16"/>
                <w:color w:val="231F20"/>
                <w:w w:val="73"/>
              </w:rPr>
              <w:t>$</w:t>
            </w:r>
          </w:p>
        </w:tc>
        <w:tc>
          <w:tcPr>
            <w:tcW w:w="880" w:type="dxa"/>
            <w:vAlign w:val="bottom"/>
          </w:tcPr>
          <w:p>
            <w:pPr>
              <w:jc w:val="right"/>
              <w:spacing w:after="0"/>
              <w:rPr>
                <w:sz w:val="20"/>
                <w:szCs w:val="20"/>
                <w:color w:val="auto"/>
              </w:rPr>
            </w:pPr>
            <w:r>
              <w:rPr>
                <w:rFonts w:ascii="Calibri" w:cs="Calibri" w:eastAsia="Calibri" w:hAnsi="Calibri"/>
                <w:sz w:val="18"/>
                <w:szCs w:val="18"/>
                <w:color w:val="231F20"/>
              </w:rPr>
              <w:t>(319,754)</w:t>
            </w:r>
          </w:p>
        </w:tc>
        <w:tc>
          <w:tcPr>
            <w:tcW w:w="200" w:type="dxa"/>
            <w:vAlign w:val="bottom"/>
          </w:tcPr>
          <w:p>
            <w:pPr>
              <w:jc w:val="right"/>
              <w:spacing w:after="0"/>
              <w:rPr>
                <w:sz w:val="20"/>
                <w:szCs w:val="20"/>
                <w:color w:val="auto"/>
              </w:rPr>
            </w:pPr>
            <w:r>
              <w:rPr>
                <w:rFonts w:ascii="Calibri" w:cs="Calibri" w:eastAsia="Calibri" w:hAnsi="Calibri"/>
                <w:sz w:val="18"/>
                <w:szCs w:val="18"/>
                <w:color w:val="231F20"/>
              </w:rPr>
              <w:t>$</w:t>
            </w:r>
          </w:p>
        </w:tc>
        <w:tc>
          <w:tcPr>
            <w:tcW w:w="880" w:type="dxa"/>
            <w:vAlign w:val="bottom"/>
            <w:gridSpan w:val="2"/>
          </w:tcPr>
          <w:p>
            <w:pPr>
              <w:jc w:val="right"/>
              <w:ind w:right="60"/>
              <w:spacing w:after="0"/>
              <w:rPr>
                <w:sz w:val="20"/>
                <w:szCs w:val="20"/>
                <w:color w:val="auto"/>
              </w:rPr>
            </w:pPr>
            <w:r>
              <w:rPr>
                <w:rFonts w:ascii="Calibri" w:cs="Calibri" w:eastAsia="Calibri" w:hAnsi="Calibri"/>
                <w:sz w:val="18"/>
                <w:szCs w:val="18"/>
                <w:color w:val="231F20"/>
              </w:rPr>
              <w:t>726,323</w:t>
            </w:r>
          </w:p>
        </w:tc>
      </w:tr>
      <w:tr>
        <w:trPr>
          <w:trHeight w:val="26"/>
        </w:trPr>
        <w:tc>
          <w:tcPr>
            <w:tcW w:w="96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314"/>
        </w:trPr>
        <w:tc>
          <w:tcPr>
            <w:tcW w:w="4340" w:type="dxa"/>
            <w:vAlign w:val="bottom"/>
            <w:gridSpan w:val="2"/>
            <w:shd w:val="clear" w:color="auto" w:fill="DCDDDE"/>
          </w:tcPr>
          <w:p>
            <w:pPr>
              <w:ind w:left="100"/>
              <w:spacing w:after="0"/>
              <w:rPr>
                <w:sz w:val="20"/>
                <w:szCs w:val="20"/>
                <w:color w:val="auto"/>
              </w:rPr>
            </w:pPr>
            <w:r>
              <w:rPr>
                <w:rFonts w:ascii="Calibri" w:cs="Calibri" w:eastAsia="Calibri" w:hAnsi="Calibri"/>
                <w:sz w:val="18"/>
                <w:szCs w:val="18"/>
                <w:color w:val="231F20"/>
              </w:rPr>
              <w:t>Change in Fair Value from Prior Year-End to Vesting</w:t>
            </w:r>
          </w:p>
        </w:tc>
        <w:tc>
          <w:tcPr>
            <w:tcW w:w="280" w:type="dxa"/>
            <w:vAlign w:val="bottom"/>
            <w:shd w:val="clear" w:color="auto" w:fill="DCDDDE"/>
          </w:tcPr>
          <w:p>
            <w:pPr>
              <w:spacing w:after="0"/>
              <w:rPr>
                <w:sz w:val="24"/>
                <w:szCs w:val="24"/>
                <w:color w:val="auto"/>
              </w:rPr>
            </w:pPr>
          </w:p>
        </w:tc>
        <w:tc>
          <w:tcPr>
            <w:tcW w:w="980" w:type="dxa"/>
            <w:vAlign w:val="bottom"/>
            <w:shd w:val="clear" w:color="auto" w:fill="DCDDDE"/>
          </w:tcPr>
          <w:p>
            <w:pPr>
              <w:spacing w:after="0"/>
              <w:rPr>
                <w:sz w:val="24"/>
                <w:szCs w:val="24"/>
                <w:color w:val="auto"/>
              </w:rPr>
            </w:pPr>
          </w:p>
        </w:tc>
        <w:tc>
          <w:tcPr>
            <w:tcW w:w="200" w:type="dxa"/>
            <w:vAlign w:val="bottom"/>
            <w:shd w:val="clear" w:color="auto" w:fill="DCDDDE"/>
          </w:tcPr>
          <w:p>
            <w:pPr>
              <w:spacing w:after="0"/>
              <w:rPr>
                <w:sz w:val="24"/>
                <w:szCs w:val="24"/>
                <w:color w:val="auto"/>
              </w:rPr>
            </w:pPr>
          </w:p>
        </w:tc>
        <w:tc>
          <w:tcPr>
            <w:tcW w:w="960" w:type="dxa"/>
            <w:vAlign w:val="bottom"/>
            <w:shd w:val="clear" w:color="auto" w:fill="DCDDDE"/>
          </w:tcPr>
          <w:p>
            <w:pPr>
              <w:spacing w:after="0"/>
              <w:rPr>
                <w:sz w:val="24"/>
                <w:szCs w:val="24"/>
                <w:color w:val="auto"/>
              </w:rPr>
            </w:pPr>
          </w:p>
        </w:tc>
        <w:tc>
          <w:tcPr>
            <w:tcW w:w="200" w:type="dxa"/>
            <w:vAlign w:val="bottom"/>
            <w:shd w:val="clear" w:color="auto" w:fill="DCDDDE"/>
          </w:tcPr>
          <w:p>
            <w:pPr>
              <w:spacing w:after="0"/>
              <w:rPr>
                <w:sz w:val="24"/>
                <w:szCs w:val="24"/>
                <w:color w:val="auto"/>
              </w:rPr>
            </w:pPr>
          </w:p>
        </w:tc>
        <w:tc>
          <w:tcPr>
            <w:tcW w:w="1020" w:type="dxa"/>
            <w:vAlign w:val="bottom"/>
            <w:shd w:val="clear" w:color="auto" w:fill="DCDDDE"/>
          </w:tcPr>
          <w:p>
            <w:pPr>
              <w:spacing w:after="0"/>
              <w:rPr>
                <w:sz w:val="24"/>
                <w:szCs w:val="24"/>
                <w:color w:val="auto"/>
              </w:rPr>
            </w:pPr>
          </w:p>
        </w:tc>
        <w:tc>
          <w:tcPr>
            <w:tcW w:w="200" w:type="dxa"/>
            <w:vAlign w:val="bottom"/>
            <w:shd w:val="clear" w:color="auto" w:fill="DCDDDE"/>
          </w:tcPr>
          <w:p>
            <w:pPr>
              <w:spacing w:after="0"/>
              <w:rPr>
                <w:sz w:val="24"/>
                <w:szCs w:val="24"/>
                <w:color w:val="auto"/>
              </w:rPr>
            </w:pPr>
          </w:p>
        </w:tc>
        <w:tc>
          <w:tcPr>
            <w:tcW w:w="880" w:type="dxa"/>
            <w:vAlign w:val="bottom"/>
            <w:shd w:val="clear" w:color="auto" w:fill="DCDDDE"/>
          </w:tcPr>
          <w:p>
            <w:pPr>
              <w:spacing w:after="0"/>
              <w:rPr>
                <w:sz w:val="24"/>
                <w:szCs w:val="24"/>
                <w:color w:val="auto"/>
              </w:rPr>
            </w:pPr>
          </w:p>
        </w:tc>
        <w:tc>
          <w:tcPr>
            <w:tcW w:w="200" w:type="dxa"/>
            <w:vAlign w:val="bottom"/>
            <w:shd w:val="clear" w:color="auto" w:fill="DCDDDE"/>
          </w:tcPr>
          <w:p>
            <w:pPr>
              <w:spacing w:after="0"/>
              <w:rPr>
                <w:sz w:val="24"/>
                <w:szCs w:val="24"/>
                <w:color w:val="auto"/>
              </w:rPr>
            </w:pPr>
          </w:p>
        </w:tc>
        <w:tc>
          <w:tcPr>
            <w:tcW w:w="820" w:type="dxa"/>
            <w:vAlign w:val="bottom"/>
            <w:shd w:val="clear" w:color="auto" w:fill="DCDDDE"/>
          </w:tcPr>
          <w:p>
            <w:pPr>
              <w:spacing w:after="0"/>
              <w:rPr>
                <w:sz w:val="24"/>
                <w:szCs w:val="24"/>
                <w:color w:val="auto"/>
              </w:rPr>
            </w:pPr>
          </w:p>
        </w:tc>
        <w:tc>
          <w:tcPr>
            <w:tcW w:w="60" w:type="dxa"/>
            <w:vAlign w:val="bottom"/>
          </w:tcPr>
          <w:p>
            <w:pPr>
              <w:spacing w:after="0"/>
              <w:rPr>
                <w:sz w:val="24"/>
                <w:szCs w:val="24"/>
                <w:color w:val="auto"/>
              </w:rPr>
            </w:pPr>
          </w:p>
        </w:tc>
      </w:tr>
      <w:tr>
        <w:trPr>
          <w:trHeight w:val="220"/>
        </w:trPr>
        <w:tc>
          <w:tcPr>
            <w:tcW w:w="4340" w:type="dxa"/>
            <w:vAlign w:val="bottom"/>
            <w:gridSpan w:val="2"/>
            <w:shd w:val="clear" w:color="auto" w:fill="DCDDDE"/>
          </w:tcPr>
          <w:p>
            <w:pPr>
              <w:ind w:left="180"/>
              <w:spacing w:after="0"/>
              <w:rPr>
                <w:sz w:val="20"/>
                <w:szCs w:val="20"/>
                <w:color w:val="auto"/>
              </w:rPr>
            </w:pPr>
            <w:r>
              <w:rPr>
                <w:rFonts w:ascii="Calibri" w:cs="Calibri" w:eastAsia="Calibri" w:hAnsi="Calibri"/>
                <w:sz w:val="18"/>
                <w:szCs w:val="18"/>
                <w:color w:val="231F20"/>
              </w:rPr>
              <w:t>Date of Awards Granted Prior to Year that Vested</w:t>
            </w:r>
          </w:p>
        </w:tc>
        <w:tc>
          <w:tcPr>
            <w:tcW w:w="280" w:type="dxa"/>
            <w:vAlign w:val="bottom"/>
            <w:shd w:val="clear" w:color="auto" w:fill="DCDDDE"/>
          </w:tcPr>
          <w:p>
            <w:pPr>
              <w:spacing w:after="0"/>
              <w:rPr>
                <w:sz w:val="19"/>
                <w:szCs w:val="19"/>
                <w:color w:val="auto"/>
              </w:rPr>
            </w:pPr>
          </w:p>
        </w:tc>
        <w:tc>
          <w:tcPr>
            <w:tcW w:w="980" w:type="dxa"/>
            <w:vAlign w:val="bottom"/>
            <w:shd w:val="clear" w:color="auto" w:fill="DCDDDE"/>
          </w:tcPr>
          <w:p>
            <w:pPr>
              <w:spacing w:after="0"/>
              <w:rPr>
                <w:sz w:val="19"/>
                <w:szCs w:val="19"/>
                <w:color w:val="auto"/>
              </w:rPr>
            </w:pPr>
          </w:p>
        </w:tc>
        <w:tc>
          <w:tcPr>
            <w:tcW w:w="200" w:type="dxa"/>
            <w:vAlign w:val="bottom"/>
            <w:shd w:val="clear" w:color="auto" w:fill="DCDDDE"/>
          </w:tcPr>
          <w:p>
            <w:pPr>
              <w:spacing w:after="0"/>
              <w:rPr>
                <w:sz w:val="19"/>
                <w:szCs w:val="19"/>
                <w:color w:val="auto"/>
              </w:rPr>
            </w:pPr>
          </w:p>
        </w:tc>
        <w:tc>
          <w:tcPr>
            <w:tcW w:w="960" w:type="dxa"/>
            <w:vAlign w:val="bottom"/>
            <w:shd w:val="clear" w:color="auto" w:fill="DCDDDE"/>
          </w:tcPr>
          <w:p>
            <w:pPr>
              <w:spacing w:after="0"/>
              <w:rPr>
                <w:sz w:val="19"/>
                <w:szCs w:val="19"/>
                <w:color w:val="auto"/>
              </w:rPr>
            </w:pPr>
          </w:p>
        </w:tc>
        <w:tc>
          <w:tcPr>
            <w:tcW w:w="200" w:type="dxa"/>
            <w:vAlign w:val="bottom"/>
            <w:shd w:val="clear" w:color="auto" w:fill="DCDDDE"/>
          </w:tcPr>
          <w:p>
            <w:pPr>
              <w:spacing w:after="0"/>
              <w:rPr>
                <w:sz w:val="19"/>
                <w:szCs w:val="19"/>
                <w:color w:val="auto"/>
              </w:rPr>
            </w:pPr>
          </w:p>
        </w:tc>
        <w:tc>
          <w:tcPr>
            <w:tcW w:w="1020" w:type="dxa"/>
            <w:vAlign w:val="bottom"/>
            <w:shd w:val="clear" w:color="auto" w:fill="DCDDDE"/>
          </w:tcPr>
          <w:p>
            <w:pPr>
              <w:spacing w:after="0"/>
              <w:rPr>
                <w:sz w:val="19"/>
                <w:szCs w:val="19"/>
                <w:color w:val="auto"/>
              </w:rPr>
            </w:pPr>
          </w:p>
        </w:tc>
        <w:tc>
          <w:tcPr>
            <w:tcW w:w="200" w:type="dxa"/>
            <w:vAlign w:val="bottom"/>
            <w:shd w:val="clear" w:color="auto" w:fill="DCDDDE"/>
          </w:tcPr>
          <w:p>
            <w:pPr>
              <w:spacing w:after="0"/>
              <w:rPr>
                <w:sz w:val="19"/>
                <w:szCs w:val="19"/>
                <w:color w:val="auto"/>
              </w:rPr>
            </w:pPr>
          </w:p>
        </w:tc>
        <w:tc>
          <w:tcPr>
            <w:tcW w:w="880" w:type="dxa"/>
            <w:vAlign w:val="bottom"/>
            <w:shd w:val="clear" w:color="auto" w:fill="DCDDDE"/>
          </w:tcPr>
          <w:p>
            <w:pPr>
              <w:spacing w:after="0"/>
              <w:rPr>
                <w:sz w:val="19"/>
                <w:szCs w:val="19"/>
                <w:color w:val="auto"/>
              </w:rPr>
            </w:pPr>
          </w:p>
        </w:tc>
        <w:tc>
          <w:tcPr>
            <w:tcW w:w="200" w:type="dxa"/>
            <w:vAlign w:val="bottom"/>
            <w:shd w:val="clear" w:color="auto" w:fill="DCDDDE"/>
          </w:tcPr>
          <w:p>
            <w:pPr>
              <w:spacing w:after="0"/>
              <w:rPr>
                <w:sz w:val="19"/>
                <w:szCs w:val="19"/>
                <w:color w:val="auto"/>
              </w:rPr>
            </w:pPr>
          </w:p>
        </w:tc>
        <w:tc>
          <w:tcPr>
            <w:tcW w:w="820" w:type="dxa"/>
            <w:vAlign w:val="bottom"/>
            <w:shd w:val="clear" w:color="auto" w:fill="DCDDDE"/>
          </w:tcPr>
          <w:p>
            <w:pPr>
              <w:spacing w:after="0"/>
              <w:rPr>
                <w:sz w:val="19"/>
                <w:szCs w:val="19"/>
                <w:color w:val="auto"/>
              </w:rPr>
            </w:pPr>
          </w:p>
        </w:tc>
        <w:tc>
          <w:tcPr>
            <w:tcW w:w="60" w:type="dxa"/>
            <w:vAlign w:val="bottom"/>
          </w:tcPr>
          <w:p>
            <w:pPr>
              <w:spacing w:after="0"/>
              <w:rPr>
                <w:sz w:val="19"/>
                <w:szCs w:val="19"/>
                <w:color w:val="auto"/>
              </w:rPr>
            </w:pPr>
          </w:p>
        </w:tc>
      </w:tr>
      <w:tr>
        <w:trPr>
          <w:trHeight w:val="226"/>
        </w:trPr>
        <w:tc>
          <w:tcPr>
            <w:tcW w:w="4340" w:type="dxa"/>
            <w:vAlign w:val="bottom"/>
            <w:tcBorders>
              <w:bottom w:val="single" w:sz="8" w:color="DCDDDE"/>
            </w:tcBorders>
            <w:gridSpan w:val="2"/>
            <w:shd w:val="clear" w:color="auto" w:fill="DCDDDE"/>
          </w:tcPr>
          <w:p>
            <w:pPr>
              <w:ind w:left="180"/>
              <w:spacing w:after="0"/>
              <w:rPr>
                <w:sz w:val="20"/>
                <w:szCs w:val="20"/>
                <w:color w:val="auto"/>
              </w:rPr>
            </w:pPr>
            <w:r>
              <w:rPr>
                <w:rFonts w:ascii="Calibri" w:cs="Calibri" w:eastAsia="Calibri" w:hAnsi="Calibri"/>
                <w:sz w:val="18"/>
                <w:szCs w:val="18"/>
                <w:color w:val="231F20"/>
              </w:rPr>
              <w:t>During Year</w:t>
            </w:r>
          </w:p>
        </w:tc>
        <w:tc>
          <w:tcPr>
            <w:tcW w:w="280" w:type="dxa"/>
            <w:vAlign w:val="bottom"/>
            <w:tcBorders>
              <w:bottom w:val="single" w:sz="8" w:color="DCDDDE"/>
            </w:tcBorders>
            <w:shd w:val="clear" w:color="auto" w:fill="DCDDDE"/>
          </w:tcPr>
          <w:p>
            <w:pPr>
              <w:jc w:val="right"/>
              <w:ind w:right="10"/>
              <w:spacing w:after="0"/>
              <w:rPr>
                <w:sz w:val="20"/>
                <w:szCs w:val="20"/>
                <w:color w:val="auto"/>
              </w:rPr>
            </w:pPr>
            <w:r>
              <w:rPr>
                <w:rFonts w:ascii="Calibri" w:cs="Calibri" w:eastAsia="Calibri" w:hAnsi="Calibri"/>
                <w:sz w:val="18"/>
                <w:szCs w:val="18"/>
                <w:color w:val="231F20"/>
              </w:rPr>
              <w:t>$</w:t>
            </w:r>
          </w:p>
        </w:tc>
        <w:tc>
          <w:tcPr>
            <w:tcW w:w="980" w:type="dxa"/>
            <w:vAlign w:val="bottom"/>
            <w:tcBorders>
              <w:bottom w:val="single" w:sz="8" w:color="DCDDDE"/>
            </w:tcBorders>
            <w:shd w:val="clear" w:color="auto" w:fill="DCDDDE"/>
          </w:tcPr>
          <w:p>
            <w:pPr>
              <w:jc w:val="right"/>
              <w:spacing w:after="0"/>
              <w:rPr>
                <w:sz w:val="20"/>
                <w:szCs w:val="20"/>
                <w:color w:val="auto"/>
              </w:rPr>
            </w:pPr>
            <w:r>
              <w:rPr>
                <w:rFonts w:ascii="Calibri" w:cs="Calibri" w:eastAsia="Calibri" w:hAnsi="Calibri"/>
                <w:sz w:val="18"/>
                <w:szCs w:val="18"/>
                <w:color w:val="231F20"/>
              </w:rPr>
              <w:t>(30,162)</w:t>
            </w:r>
          </w:p>
        </w:tc>
        <w:tc>
          <w:tcPr>
            <w:tcW w:w="200" w:type="dxa"/>
            <w:vAlign w:val="bottom"/>
            <w:tcBorders>
              <w:bottom w:val="single" w:sz="8" w:color="DCDDDE"/>
            </w:tcBorders>
            <w:shd w:val="clear" w:color="auto" w:fill="DCDDDE"/>
          </w:tcPr>
          <w:p>
            <w:pPr>
              <w:jc w:val="right"/>
              <w:spacing w:after="0"/>
              <w:rPr>
                <w:sz w:val="20"/>
                <w:szCs w:val="20"/>
                <w:color w:val="auto"/>
              </w:rPr>
            </w:pPr>
            <w:r>
              <w:rPr>
                <w:rFonts w:ascii="Calibri" w:cs="Calibri" w:eastAsia="Calibri" w:hAnsi="Calibri"/>
                <w:sz w:val="18"/>
                <w:szCs w:val="18"/>
                <w:color w:val="231F20"/>
              </w:rPr>
              <w:t>$</w:t>
            </w:r>
          </w:p>
        </w:tc>
        <w:tc>
          <w:tcPr>
            <w:tcW w:w="960" w:type="dxa"/>
            <w:vAlign w:val="bottom"/>
            <w:tcBorders>
              <w:bottom w:val="single" w:sz="8" w:color="DCDDDE"/>
            </w:tcBorders>
            <w:shd w:val="clear" w:color="auto" w:fill="DCDDDE"/>
          </w:tcPr>
          <w:p>
            <w:pPr>
              <w:jc w:val="right"/>
              <w:spacing w:after="0"/>
              <w:rPr>
                <w:sz w:val="20"/>
                <w:szCs w:val="20"/>
                <w:color w:val="auto"/>
              </w:rPr>
            </w:pPr>
            <w:r>
              <w:rPr>
                <w:rFonts w:ascii="Calibri" w:cs="Calibri" w:eastAsia="Calibri" w:hAnsi="Calibri"/>
                <w:sz w:val="18"/>
                <w:szCs w:val="18"/>
                <w:color w:val="231F20"/>
              </w:rPr>
              <w:t>(11,124)</w:t>
            </w:r>
          </w:p>
        </w:tc>
        <w:tc>
          <w:tcPr>
            <w:tcW w:w="200" w:type="dxa"/>
            <w:vAlign w:val="bottom"/>
            <w:tcBorders>
              <w:bottom w:val="single" w:sz="8" w:color="DCDDDE"/>
            </w:tcBorders>
            <w:shd w:val="clear" w:color="auto" w:fill="DCDDDE"/>
          </w:tcPr>
          <w:p>
            <w:pPr>
              <w:jc w:val="right"/>
              <w:spacing w:after="0"/>
              <w:rPr>
                <w:sz w:val="20"/>
                <w:szCs w:val="20"/>
                <w:color w:val="auto"/>
              </w:rPr>
            </w:pPr>
            <w:r>
              <w:rPr>
                <w:rFonts w:ascii="Calibri" w:cs="Calibri" w:eastAsia="Calibri" w:hAnsi="Calibri"/>
                <w:sz w:val="18"/>
                <w:szCs w:val="18"/>
                <w:color w:val="231F20"/>
              </w:rPr>
              <w:t>$</w:t>
            </w:r>
          </w:p>
        </w:tc>
        <w:tc>
          <w:tcPr>
            <w:tcW w:w="1020" w:type="dxa"/>
            <w:vAlign w:val="bottom"/>
            <w:tcBorders>
              <w:bottom w:val="single" w:sz="8" w:color="DCDDDE"/>
            </w:tcBorders>
            <w:shd w:val="clear" w:color="auto" w:fill="DCDDDE"/>
          </w:tcPr>
          <w:p>
            <w:pPr>
              <w:jc w:val="right"/>
              <w:ind w:right="111"/>
              <w:spacing w:after="0"/>
              <w:rPr>
                <w:sz w:val="20"/>
                <w:szCs w:val="20"/>
                <w:color w:val="auto"/>
              </w:rPr>
            </w:pPr>
            <w:r>
              <w:rPr>
                <w:rFonts w:ascii="Calibri" w:cs="Calibri" w:eastAsia="Calibri" w:hAnsi="Calibri"/>
                <w:sz w:val="18"/>
                <w:szCs w:val="18"/>
                <w:color w:val="231F20"/>
              </w:rPr>
              <w:t>65,154</w:t>
            </w:r>
          </w:p>
        </w:tc>
        <w:tc>
          <w:tcPr>
            <w:tcW w:w="200" w:type="dxa"/>
            <w:vAlign w:val="bottom"/>
            <w:tcBorders>
              <w:bottom w:val="single" w:sz="8" w:color="DCDDDE"/>
            </w:tcBorders>
            <w:shd w:val="clear" w:color="auto" w:fill="DCDDDE"/>
          </w:tcPr>
          <w:p>
            <w:pPr>
              <w:jc w:val="right"/>
              <w:ind w:right="40"/>
              <w:spacing w:after="0"/>
              <w:rPr>
                <w:sz w:val="20"/>
                <w:szCs w:val="20"/>
                <w:color w:val="auto"/>
              </w:rPr>
            </w:pPr>
            <w:r>
              <w:rPr>
                <w:rFonts w:ascii="Calibri" w:cs="Calibri" w:eastAsia="Calibri" w:hAnsi="Calibri"/>
                <w:sz w:val="16"/>
                <w:szCs w:val="16"/>
                <w:color w:val="231F20"/>
                <w:w w:val="73"/>
              </w:rPr>
              <w:t>$</w:t>
            </w:r>
          </w:p>
        </w:tc>
        <w:tc>
          <w:tcPr>
            <w:tcW w:w="880" w:type="dxa"/>
            <w:vAlign w:val="bottom"/>
            <w:tcBorders>
              <w:bottom w:val="single" w:sz="8" w:color="DCDDDE"/>
            </w:tcBorders>
            <w:shd w:val="clear" w:color="auto" w:fill="DCDDDE"/>
          </w:tcPr>
          <w:p>
            <w:pPr>
              <w:jc w:val="right"/>
              <w:spacing w:after="0"/>
              <w:rPr>
                <w:sz w:val="20"/>
                <w:szCs w:val="20"/>
                <w:color w:val="auto"/>
              </w:rPr>
            </w:pPr>
            <w:r>
              <w:rPr>
                <w:rFonts w:ascii="Calibri" w:cs="Calibri" w:eastAsia="Calibri" w:hAnsi="Calibri"/>
                <w:sz w:val="18"/>
                <w:szCs w:val="18"/>
                <w:color w:val="231F20"/>
              </w:rPr>
              <w:t>(2,952)</w:t>
            </w:r>
          </w:p>
        </w:tc>
        <w:tc>
          <w:tcPr>
            <w:tcW w:w="200" w:type="dxa"/>
            <w:vAlign w:val="bottom"/>
            <w:tcBorders>
              <w:bottom w:val="single" w:sz="8" w:color="DCDDDE"/>
            </w:tcBorders>
            <w:shd w:val="clear" w:color="auto" w:fill="DCDDDE"/>
          </w:tcPr>
          <w:p>
            <w:pPr>
              <w:jc w:val="right"/>
              <w:spacing w:after="0"/>
              <w:rPr>
                <w:sz w:val="20"/>
                <w:szCs w:val="20"/>
                <w:color w:val="auto"/>
              </w:rPr>
            </w:pPr>
            <w:r>
              <w:rPr>
                <w:rFonts w:ascii="Calibri" w:cs="Calibri" w:eastAsia="Calibri" w:hAnsi="Calibri"/>
                <w:sz w:val="18"/>
                <w:szCs w:val="18"/>
                <w:color w:val="231F20"/>
              </w:rPr>
              <w:t>$</w:t>
            </w:r>
          </w:p>
        </w:tc>
        <w:tc>
          <w:tcPr>
            <w:tcW w:w="820" w:type="dxa"/>
            <w:vAlign w:val="bottom"/>
            <w:tcBorders>
              <w:bottom w:val="single" w:sz="8" w:color="DCDDDE"/>
            </w:tcBorders>
            <w:shd w:val="clear" w:color="auto" w:fill="DCDDDE"/>
          </w:tcPr>
          <w:p>
            <w:pPr>
              <w:jc w:val="right"/>
              <w:spacing w:after="0"/>
              <w:rPr>
                <w:sz w:val="20"/>
                <w:szCs w:val="20"/>
                <w:color w:val="auto"/>
              </w:rPr>
            </w:pPr>
            <w:r>
              <w:rPr>
                <w:rFonts w:ascii="Calibri" w:cs="Calibri" w:eastAsia="Calibri" w:hAnsi="Calibri"/>
                <w:sz w:val="18"/>
                <w:szCs w:val="18"/>
                <w:color w:val="231F20"/>
              </w:rPr>
              <w:t>124,066</w:t>
            </w:r>
          </w:p>
        </w:tc>
        <w:tc>
          <w:tcPr>
            <w:tcW w:w="60" w:type="dxa"/>
            <w:vAlign w:val="bottom"/>
          </w:tcPr>
          <w:p>
            <w:pPr>
              <w:spacing w:after="0"/>
              <w:rPr>
                <w:sz w:val="19"/>
                <w:szCs w:val="19"/>
                <w:color w:val="auto"/>
              </w:rPr>
            </w:pPr>
          </w:p>
        </w:tc>
      </w:tr>
      <w:tr>
        <w:trPr>
          <w:trHeight w:val="314"/>
        </w:trPr>
        <w:tc>
          <w:tcPr>
            <w:tcW w:w="4340" w:type="dxa"/>
            <w:vAlign w:val="bottom"/>
            <w:gridSpan w:val="2"/>
          </w:tcPr>
          <w:p>
            <w:pPr>
              <w:ind w:left="100"/>
              <w:spacing w:after="0"/>
              <w:rPr>
                <w:sz w:val="20"/>
                <w:szCs w:val="20"/>
                <w:color w:val="auto"/>
              </w:rPr>
            </w:pPr>
            <w:r>
              <w:rPr>
                <w:rFonts w:ascii="Calibri" w:cs="Calibri" w:eastAsia="Calibri" w:hAnsi="Calibri"/>
                <w:sz w:val="18"/>
                <w:szCs w:val="18"/>
                <w:color w:val="231F20"/>
              </w:rPr>
              <w:t>Increase based on Dividends or Other Earnings Paid</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20"/>
        </w:trPr>
        <w:tc>
          <w:tcPr>
            <w:tcW w:w="4340" w:type="dxa"/>
            <w:vAlign w:val="bottom"/>
            <w:gridSpan w:val="2"/>
          </w:tcPr>
          <w:p>
            <w:pPr>
              <w:ind w:left="180"/>
              <w:spacing w:after="0"/>
              <w:rPr>
                <w:sz w:val="20"/>
                <w:szCs w:val="20"/>
                <w:color w:val="auto"/>
              </w:rPr>
            </w:pPr>
            <w:r>
              <w:rPr>
                <w:rFonts w:ascii="Calibri" w:cs="Calibri" w:eastAsia="Calibri" w:hAnsi="Calibri"/>
                <w:sz w:val="18"/>
                <w:szCs w:val="18"/>
                <w:color w:val="231F20"/>
              </w:rPr>
              <w:t>During Year prior to Vesting Date of Award</w:t>
            </w:r>
          </w:p>
        </w:tc>
        <w:tc>
          <w:tcPr>
            <w:tcW w:w="280" w:type="dxa"/>
            <w:vAlign w:val="bottom"/>
          </w:tcPr>
          <w:p>
            <w:pPr>
              <w:jc w:val="right"/>
              <w:ind w:right="10"/>
              <w:spacing w:after="0"/>
              <w:rPr>
                <w:sz w:val="20"/>
                <w:szCs w:val="20"/>
                <w:color w:val="auto"/>
              </w:rPr>
            </w:pPr>
            <w:r>
              <w:rPr>
                <w:rFonts w:ascii="Calibri" w:cs="Calibri" w:eastAsia="Calibri" w:hAnsi="Calibri"/>
                <w:sz w:val="18"/>
                <w:szCs w:val="18"/>
                <w:color w:val="231F20"/>
              </w:rPr>
              <w:t>$</w:t>
            </w:r>
          </w:p>
        </w:tc>
        <w:tc>
          <w:tcPr>
            <w:tcW w:w="980" w:type="dxa"/>
            <w:vAlign w:val="bottom"/>
          </w:tcPr>
          <w:p>
            <w:pPr>
              <w:jc w:val="right"/>
              <w:ind w:right="31"/>
              <w:spacing w:after="0"/>
              <w:rPr>
                <w:sz w:val="20"/>
                <w:szCs w:val="20"/>
                <w:color w:val="auto"/>
              </w:rPr>
            </w:pPr>
            <w:r>
              <w:rPr>
                <w:rFonts w:ascii="Calibri" w:cs="Calibri" w:eastAsia="Calibri" w:hAnsi="Calibri"/>
                <w:sz w:val="18"/>
                <w:szCs w:val="18"/>
                <w:color w:val="231F20"/>
              </w:rPr>
              <w:t>112,776</w:t>
            </w:r>
          </w:p>
        </w:tc>
        <w:tc>
          <w:tcPr>
            <w:tcW w:w="200" w:type="dxa"/>
            <w:vAlign w:val="bottom"/>
          </w:tcPr>
          <w:p>
            <w:pPr>
              <w:jc w:val="right"/>
              <w:spacing w:after="0"/>
              <w:rPr>
                <w:sz w:val="20"/>
                <w:szCs w:val="20"/>
                <w:color w:val="auto"/>
              </w:rPr>
            </w:pPr>
            <w:r>
              <w:rPr>
                <w:rFonts w:ascii="Calibri" w:cs="Calibri" w:eastAsia="Calibri" w:hAnsi="Calibri"/>
                <w:sz w:val="18"/>
                <w:szCs w:val="18"/>
                <w:color w:val="231F20"/>
              </w:rPr>
              <w:t>$</w:t>
            </w:r>
          </w:p>
        </w:tc>
        <w:tc>
          <w:tcPr>
            <w:tcW w:w="960" w:type="dxa"/>
            <w:vAlign w:val="bottom"/>
          </w:tcPr>
          <w:p>
            <w:pPr>
              <w:jc w:val="right"/>
              <w:ind w:right="53"/>
              <w:spacing w:after="0"/>
              <w:rPr>
                <w:sz w:val="20"/>
                <w:szCs w:val="20"/>
                <w:color w:val="auto"/>
              </w:rPr>
            </w:pPr>
            <w:r>
              <w:rPr>
                <w:rFonts w:ascii="Calibri" w:cs="Calibri" w:eastAsia="Calibri" w:hAnsi="Calibri"/>
                <w:sz w:val="18"/>
                <w:szCs w:val="18"/>
                <w:color w:val="231F20"/>
              </w:rPr>
              <w:t>95,424</w:t>
            </w:r>
          </w:p>
        </w:tc>
        <w:tc>
          <w:tcPr>
            <w:tcW w:w="200" w:type="dxa"/>
            <w:vAlign w:val="bottom"/>
          </w:tcPr>
          <w:p>
            <w:pPr>
              <w:jc w:val="right"/>
              <w:spacing w:after="0"/>
              <w:rPr>
                <w:sz w:val="20"/>
                <w:szCs w:val="20"/>
                <w:color w:val="auto"/>
              </w:rPr>
            </w:pPr>
            <w:r>
              <w:rPr>
                <w:rFonts w:ascii="Calibri" w:cs="Calibri" w:eastAsia="Calibri" w:hAnsi="Calibri"/>
                <w:sz w:val="18"/>
                <w:szCs w:val="18"/>
                <w:color w:val="231F20"/>
              </w:rPr>
              <w:t>$</w:t>
            </w:r>
          </w:p>
        </w:tc>
        <w:tc>
          <w:tcPr>
            <w:tcW w:w="1020" w:type="dxa"/>
            <w:vAlign w:val="bottom"/>
          </w:tcPr>
          <w:p>
            <w:pPr>
              <w:jc w:val="right"/>
              <w:ind w:right="111"/>
              <w:spacing w:after="0"/>
              <w:rPr>
                <w:sz w:val="20"/>
                <w:szCs w:val="20"/>
                <w:color w:val="auto"/>
              </w:rPr>
            </w:pPr>
            <w:r>
              <w:rPr>
                <w:rFonts w:ascii="Calibri" w:cs="Calibri" w:eastAsia="Calibri" w:hAnsi="Calibri"/>
                <w:sz w:val="18"/>
                <w:szCs w:val="18"/>
                <w:color w:val="231F20"/>
              </w:rPr>
              <w:t>85,866</w:t>
            </w:r>
          </w:p>
        </w:tc>
        <w:tc>
          <w:tcPr>
            <w:tcW w:w="200" w:type="dxa"/>
            <w:vAlign w:val="bottom"/>
          </w:tcPr>
          <w:p>
            <w:pPr>
              <w:jc w:val="right"/>
              <w:ind w:right="40"/>
              <w:spacing w:after="0"/>
              <w:rPr>
                <w:sz w:val="20"/>
                <w:szCs w:val="20"/>
                <w:color w:val="auto"/>
              </w:rPr>
            </w:pPr>
            <w:r>
              <w:rPr>
                <w:rFonts w:ascii="Calibri" w:cs="Calibri" w:eastAsia="Calibri" w:hAnsi="Calibri"/>
                <w:sz w:val="16"/>
                <w:szCs w:val="16"/>
                <w:color w:val="231F20"/>
                <w:w w:val="73"/>
              </w:rPr>
              <w:t>$</w:t>
            </w:r>
          </w:p>
        </w:tc>
        <w:tc>
          <w:tcPr>
            <w:tcW w:w="880" w:type="dxa"/>
            <w:vAlign w:val="bottom"/>
          </w:tcPr>
          <w:p>
            <w:pPr>
              <w:jc w:val="right"/>
              <w:ind w:right="31"/>
              <w:spacing w:after="0"/>
              <w:rPr>
                <w:sz w:val="20"/>
                <w:szCs w:val="20"/>
                <w:color w:val="auto"/>
              </w:rPr>
            </w:pPr>
            <w:r>
              <w:rPr>
                <w:rFonts w:ascii="Calibri" w:cs="Calibri" w:eastAsia="Calibri" w:hAnsi="Calibri"/>
                <w:sz w:val="18"/>
                <w:szCs w:val="18"/>
                <w:color w:val="231F20"/>
              </w:rPr>
              <w:t>82,230</w:t>
            </w:r>
          </w:p>
        </w:tc>
        <w:tc>
          <w:tcPr>
            <w:tcW w:w="200" w:type="dxa"/>
            <w:vAlign w:val="bottom"/>
          </w:tcPr>
          <w:p>
            <w:pPr>
              <w:jc w:val="right"/>
              <w:spacing w:after="0"/>
              <w:rPr>
                <w:sz w:val="20"/>
                <w:szCs w:val="20"/>
                <w:color w:val="auto"/>
              </w:rPr>
            </w:pPr>
            <w:r>
              <w:rPr>
                <w:rFonts w:ascii="Calibri" w:cs="Calibri" w:eastAsia="Calibri" w:hAnsi="Calibri"/>
                <w:sz w:val="18"/>
                <w:szCs w:val="18"/>
                <w:color w:val="231F20"/>
              </w:rPr>
              <w:t>$</w:t>
            </w:r>
          </w:p>
        </w:tc>
        <w:tc>
          <w:tcPr>
            <w:tcW w:w="880" w:type="dxa"/>
            <w:vAlign w:val="bottom"/>
            <w:gridSpan w:val="2"/>
          </w:tcPr>
          <w:p>
            <w:pPr>
              <w:jc w:val="right"/>
              <w:ind w:right="60"/>
              <w:spacing w:after="0"/>
              <w:rPr>
                <w:sz w:val="20"/>
                <w:szCs w:val="20"/>
                <w:color w:val="auto"/>
              </w:rPr>
            </w:pPr>
            <w:r>
              <w:rPr>
                <w:rFonts w:ascii="Calibri" w:cs="Calibri" w:eastAsia="Calibri" w:hAnsi="Calibri"/>
                <w:sz w:val="18"/>
                <w:szCs w:val="18"/>
                <w:color w:val="231F20"/>
              </w:rPr>
              <w:t>70,610</w:t>
            </w:r>
          </w:p>
        </w:tc>
      </w:tr>
      <w:tr>
        <w:trPr>
          <w:trHeight w:val="86"/>
        </w:trPr>
        <w:tc>
          <w:tcPr>
            <w:tcW w:w="960" w:type="dxa"/>
            <w:vAlign w:val="bottom"/>
          </w:tcPr>
          <w:p>
            <w:pPr>
              <w:spacing w:after="0"/>
              <w:rPr>
                <w:sz w:val="7"/>
                <w:szCs w:val="7"/>
                <w:color w:val="auto"/>
              </w:rPr>
            </w:pPr>
          </w:p>
        </w:tc>
        <w:tc>
          <w:tcPr>
            <w:tcW w:w="3380" w:type="dxa"/>
            <w:vAlign w:val="bottom"/>
          </w:tcPr>
          <w:p>
            <w:pPr>
              <w:spacing w:after="0"/>
              <w:rPr>
                <w:sz w:val="7"/>
                <w:szCs w:val="7"/>
                <w:color w:val="auto"/>
              </w:rPr>
            </w:pPr>
          </w:p>
        </w:tc>
        <w:tc>
          <w:tcPr>
            <w:tcW w:w="280" w:type="dxa"/>
            <w:vAlign w:val="bottom"/>
            <w:tcBorders>
              <w:bottom w:val="single" w:sz="8" w:color="231F20"/>
            </w:tcBorders>
          </w:tcPr>
          <w:p>
            <w:pPr>
              <w:spacing w:after="0"/>
              <w:rPr>
                <w:sz w:val="7"/>
                <w:szCs w:val="7"/>
                <w:color w:val="auto"/>
              </w:rPr>
            </w:pPr>
          </w:p>
        </w:tc>
        <w:tc>
          <w:tcPr>
            <w:tcW w:w="980" w:type="dxa"/>
            <w:vAlign w:val="bottom"/>
            <w:tcBorders>
              <w:bottom w:val="single" w:sz="8" w:color="231F20"/>
            </w:tcBorders>
          </w:tcPr>
          <w:p>
            <w:pPr>
              <w:spacing w:after="0"/>
              <w:rPr>
                <w:sz w:val="7"/>
                <w:szCs w:val="7"/>
                <w:color w:val="auto"/>
              </w:rPr>
            </w:pPr>
          </w:p>
        </w:tc>
        <w:tc>
          <w:tcPr>
            <w:tcW w:w="200" w:type="dxa"/>
            <w:vAlign w:val="bottom"/>
            <w:tcBorders>
              <w:bottom w:val="single" w:sz="8" w:color="231F20"/>
            </w:tcBorders>
          </w:tcPr>
          <w:p>
            <w:pPr>
              <w:spacing w:after="0"/>
              <w:rPr>
                <w:sz w:val="7"/>
                <w:szCs w:val="7"/>
                <w:color w:val="auto"/>
              </w:rPr>
            </w:pPr>
          </w:p>
        </w:tc>
        <w:tc>
          <w:tcPr>
            <w:tcW w:w="960" w:type="dxa"/>
            <w:vAlign w:val="bottom"/>
            <w:tcBorders>
              <w:bottom w:val="single" w:sz="8" w:color="231F20"/>
            </w:tcBorders>
          </w:tcPr>
          <w:p>
            <w:pPr>
              <w:spacing w:after="0"/>
              <w:rPr>
                <w:sz w:val="7"/>
                <w:szCs w:val="7"/>
                <w:color w:val="auto"/>
              </w:rPr>
            </w:pPr>
          </w:p>
        </w:tc>
        <w:tc>
          <w:tcPr>
            <w:tcW w:w="200" w:type="dxa"/>
            <w:vAlign w:val="bottom"/>
            <w:tcBorders>
              <w:bottom w:val="single" w:sz="8" w:color="231F20"/>
            </w:tcBorders>
          </w:tcPr>
          <w:p>
            <w:pPr>
              <w:spacing w:after="0"/>
              <w:rPr>
                <w:sz w:val="7"/>
                <w:szCs w:val="7"/>
                <w:color w:val="auto"/>
              </w:rPr>
            </w:pPr>
          </w:p>
        </w:tc>
        <w:tc>
          <w:tcPr>
            <w:tcW w:w="1020" w:type="dxa"/>
            <w:vAlign w:val="bottom"/>
            <w:tcBorders>
              <w:bottom w:val="single" w:sz="8" w:color="231F20"/>
            </w:tcBorders>
          </w:tcPr>
          <w:p>
            <w:pPr>
              <w:spacing w:after="0"/>
              <w:rPr>
                <w:sz w:val="7"/>
                <w:szCs w:val="7"/>
                <w:color w:val="auto"/>
              </w:rPr>
            </w:pPr>
          </w:p>
        </w:tc>
        <w:tc>
          <w:tcPr>
            <w:tcW w:w="200" w:type="dxa"/>
            <w:vAlign w:val="bottom"/>
            <w:tcBorders>
              <w:bottom w:val="single" w:sz="8" w:color="231F20"/>
            </w:tcBorders>
          </w:tcPr>
          <w:p>
            <w:pPr>
              <w:spacing w:after="0"/>
              <w:rPr>
                <w:sz w:val="7"/>
                <w:szCs w:val="7"/>
                <w:color w:val="auto"/>
              </w:rPr>
            </w:pPr>
          </w:p>
        </w:tc>
        <w:tc>
          <w:tcPr>
            <w:tcW w:w="880" w:type="dxa"/>
            <w:vAlign w:val="bottom"/>
            <w:tcBorders>
              <w:bottom w:val="single" w:sz="8" w:color="231F20"/>
            </w:tcBorders>
          </w:tcPr>
          <w:p>
            <w:pPr>
              <w:spacing w:after="0"/>
              <w:rPr>
                <w:sz w:val="7"/>
                <w:szCs w:val="7"/>
                <w:color w:val="auto"/>
              </w:rPr>
            </w:pPr>
          </w:p>
        </w:tc>
        <w:tc>
          <w:tcPr>
            <w:tcW w:w="200" w:type="dxa"/>
            <w:vAlign w:val="bottom"/>
            <w:tcBorders>
              <w:bottom w:val="single" w:sz="8" w:color="231F20"/>
            </w:tcBorders>
          </w:tcPr>
          <w:p>
            <w:pPr>
              <w:spacing w:after="0"/>
              <w:rPr>
                <w:sz w:val="7"/>
                <w:szCs w:val="7"/>
                <w:color w:val="auto"/>
              </w:rPr>
            </w:pPr>
          </w:p>
        </w:tc>
        <w:tc>
          <w:tcPr>
            <w:tcW w:w="820" w:type="dxa"/>
            <w:vAlign w:val="bottom"/>
            <w:tcBorders>
              <w:bottom w:val="single" w:sz="8" w:color="231F20"/>
            </w:tcBorders>
          </w:tcPr>
          <w:p>
            <w:pPr>
              <w:spacing w:after="0"/>
              <w:rPr>
                <w:sz w:val="7"/>
                <w:szCs w:val="7"/>
                <w:color w:val="auto"/>
              </w:rPr>
            </w:pPr>
          </w:p>
        </w:tc>
        <w:tc>
          <w:tcPr>
            <w:tcW w:w="60" w:type="dxa"/>
            <w:vAlign w:val="bottom"/>
          </w:tcPr>
          <w:p>
            <w:pPr>
              <w:spacing w:after="0"/>
              <w:rPr>
                <w:sz w:val="7"/>
                <w:szCs w:val="7"/>
                <w:color w:val="auto"/>
              </w:rPr>
            </w:pPr>
          </w:p>
        </w:tc>
      </w:tr>
      <w:tr>
        <w:trPr>
          <w:trHeight w:val="320"/>
        </w:trPr>
        <w:tc>
          <w:tcPr>
            <w:tcW w:w="4340" w:type="dxa"/>
            <w:vAlign w:val="bottom"/>
            <w:tcBorders>
              <w:bottom w:val="single" w:sz="8" w:color="DCDDDE"/>
            </w:tcBorders>
            <w:gridSpan w:val="2"/>
            <w:shd w:val="clear" w:color="auto" w:fill="DCDDDE"/>
          </w:tcPr>
          <w:p>
            <w:pPr>
              <w:spacing w:after="0"/>
              <w:rPr>
                <w:sz w:val="20"/>
                <w:szCs w:val="20"/>
                <w:color w:val="auto"/>
              </w:rPr>
            </w:pPr>
            <w:r>
              <w:rPr>
                <w:rFonts w:ascii="Calibri" w:cs="Calibri" w:eastAsia="Calibri" w:hAnsi="Calibri"/>
                <w:sz w:val="18"/>
                <w:szCs w:val="18"/>
                <w:b w:val="1"/>
                <w:bCs w:val="1"/>
                <w:color w:val="231F20"/>
              </w:rPr>
              <w:t>Total Adjustments</w:t>
            </w:r>
          </w:p>
        </w:tc>
        <w:tc>
          <w:tcPr>
            <w:tcW w:w="280" w:type="dxa"/>
            <w:vAlign w:val="bottom"/>
            <w:tcBorders>
              <w:bottom w:val="single" w:sz="8" w:color="DCDDDE"/>
            </w:tcBorders>
            <w:shd w:val="clear" w:color="auto" w:fill="DCDDDE"/>
          </w:tcPr>
          <w:p>
            <w:pPr>
              <w:jc w:val="right"/>
              <w:ind w:right="10"/>
              <w:spacing w:after="0"/>
              <w:rPr>
                <w:sz w:val="20"/>
                <w:szCs w:val="20"/>
                <w:color w:val="auto"/>
              </w:rPr>
            </w:pPr>
            <w:r>
              <w:rPr>
                <w:rFonts w:ascii="Calibri" w:cs="Calibri" w:eastAsia="Calibri" w:hAnsi="Calibri"/>
                <w:sz w:val="18"/>
                <w:szCs w:val="18"/>
                <w:b w:val="1"/>
                <w:bCs w:val="1"/>
                <w:color w:val="231F20"/>
              </w:rPr>
              <w:t>$</w:t>
            </w:r>
          </w:p>
        </w:tc>
        <w:tc>
          <w:tcPr>
            <w:tcW w:w="980" w:type="dxa"/>
            <w:vAlign w:val="bottom"/>
            <w:tcBorders>
              <w:bottom w:val="single" w:sz="8" w:color="DCDDDE"/>
            </w:tcBorders>
            <w:shd w:val="clear" w:color="auto" w:fill="DCDDDE"/>
          </w:tcPr>
          <w:p>
            <w:pPr>
              <w:jc w:val="right"/>
              <w:spacing w:after="0"/>
              <w:rPr>
                <w:sz w:val="20"/>
                <w:szCs w:val="20"/>
                <w:color w:val="auto"/>
              </w:rPr>
            </w:pPr>
            <w:r>
              <w:rPr>
                <w:rFonts w:ascii="Calibri" w:cs="Calibri" w:eastAsia="Calibri" w:hAnsi="Calibri"/>
                <w:sz w:val="18"/>
                <w:szCs w:val="18"/>
                <w:b w:val="1"/>
                <w:bCs w:val="1"/>
                <w:color w:val="231F20"/>
              </w:rPr>
              <w:t>(301,003)</w:t>
            </w:r>
          </w:p>
        </w:tc>
        <w:tc>
          <w:tcPr>
            <w:tcW w:w="200" w:type="dxa"/>
            <w:vAlign w:val="bottom"/>
            <w:tcBorders>
              <w:bottom w:val="single" w:sz="8" w:color="DCDDDE"/>
            </w:tcBorders>
            <w:shd w:val="clear" w:color="auto" w:fill="DCDDDE"/>
          </w:tcPr>
          <w:p>
            <w:pPr>
              <w:jc w:val="right"/>
              <w:spacing w:after="0"/>
              <w:rPr>
                <w:sz w:val="20"/>
                <w:szCs w:val="20"/>
                <w:color w:val="auto"/>
              </w:rPr>
            </w:pPr>
            <w:r>
              <w:rPr>
                <w:rFonts w:ascii="Calibri" w:cs="Calibri" w:eastAsia="Calibri" w:hAnsi="Calibri"/>
                <w:sz w:val="18"/>
                <w:szCs w:val="18"/>
                <w:b w:val="1"/>
                <w:bCs w:val="1"/>
                <w:color w:val="231F20"/>
              </w:rPr>
              <w:t>$</w:t>
            </w:r>
          </w:p>
        </w:tc>
        <w:tc>
          <w:tcPr>
            <w:tcW w:w="960" w:type="dxa"/>
            <w:vAlign w:val="bottom"/>
            <w:tcBorders>
              <w:bottom w:val="single" w:sz="8" w:color="DCDDDE"/>
            </w:tcBorders>
            <w:shd w:val="clear" w:color="auto" w:fill="DCDDDE"/>
          </w:tcPr>
          <w:p>
            <w:pPr>
              <w:jc w:val="right"/>
              <w:ind w:right="53"/>
              <w:spacing w:after="0"/>
              <w:rPr>
                <w:sz w:val="20"/>
                <w:szCs w:val="20"/>
                <w:color w:val="auto"/>
              </w:rPr>
            </w:pPr>
            <w:r>
              <w:rPr>
                <w:rFonts w:ascii="Calibri" w:cs="Calibri" w:eastAsia="Calibri" w:hAnsi="Calibri"/>
                <w:sz w:val="18"/>
                <w:szCs w:val="18"/>
                <w:b w:val="1"/>
                <w:bCs w:val="1"/>
                <w:color w:val="231F20"/>
              </w:rPr>
              <w:t>376,996</w:t>
            </w:r>
          </w:p>
        </w:tc>
        <w:tc>
          <w:tcPr>
            <w:tcW w:w="200" w:type="dxa"/>
            <w:vAlign w:val="bottom"/>
            <w:tcBorders>
              <w:bottom w:val="single" w:sz="8" w:color="DCDDDE"/>
            </w:tcBorders>
            <w:shd w:val="clear" w:color="auto" w:fill="DCDDDE"/>
          </w:tcPr>
          <w:p>
            <w:pPr>
              <w:jc w:val="right"/>
              <w:spacing w:after="0"/>
              <w:rPr>
                <w:sz w:val="20"/>
                <w:szCs w:val="20"/>
                <w:color w:val="auto"/>
              </w:rPr>
            </w:pPr>
            <w:r>
              <w:rPr>
                <w:rFonts w:ascii="Calibri" w:cs="Calibri" w:eastAsia="Calibri" w:hAnsi="Calibri"/>
                <w:sz w:val="18"/>
                <w:szCs w:val="18"/>
                <w:b w:val="1"/>
                <w:bCs w:val="1"/>
                <w:color w:val="231F20"/>
              </w:rPr>
              <w:t>$</w:t>
            </w:r>
          </w:p>
        </w:tc>
        <w:tc>
          <w:tcPr>
            <w:tcW w:w="1020" w:type="dxa"/>
            <w:vAlign w:val="bottom"/>
            <w:tcBorders>
              <w:bottom w:val="single" w:sz="8" w:color="DCDDDE"/>
            </w:tcBorders>
            <w:shd w:val="clear" w:color="auto" w:fill="DCDDDE"/>
          </w:tcPr>
          <w:p>
            <w:pPr>
              <w:jc w:val="right"/>
              <w:ind w:right="111"/>
              <w:spacing w:after="0"/>
              <w:rPr>
                <w:sz w:val="20"/>
                <w:szCs w:val="20"/>
                <w:color w:val="auto"/>
              </w:rPr>
            </w:pPr>
            <w:r>
              <w:rPr>
                <w:rFonts w:ascii="Calibri" w:cs="Calibri" w:eastAsia="Calibri" w:hAnsi="Calibri"/>
                <w:sz w:val="18"/>
                <w:szCs w:val="18"/>
                <w:b w:val="1"/>
                <w:bCs w:val="1"/>
                <w:color w:val="231F20"/>
              </w:rPr>
              <w:t>173,736</w:t>
            </w:r>
          </w:p>
        </w:tc>
        <w:tc>
          <w:tcPr>
            <w:tcW w:w="200" w:type="dxa"/>
            <w:vAlign w:val="bottom"/>
            <w:tcBorders>
              <w:bottom w:val="single" w:sz="8" w:color="DCDDDE"/>
            </w:tcBorders>
            <w:shd w:val="clear" w:color="auto" w:fill="DCDDDE"/>
          </w:tcPr>
          <w:p>
            <w:pPr>
              <w:jc w:val="right"/>
              <w:ind w:right="40"/>
              <w:spacing w:after="0"/>
              <w:rPr>
                <w:sz w:val="20"/>
                <w:szCs w:val="20"/>
                <w:color w:val="auto"/>
              </w:rPr>
            </w:pPr>
            <w:r>
              <w:rPr>
                <w:rFonts w:ascii="Calibri" w:cs="Calibri" w:eastAsia="Calibri" w:hAnsi="Calibri"/>
                <w:sz w:val="16"/>
                <w:szCs w:val="16"/>
                <w:b w:val="1"/>
                <w:bCs w:val="1"/>
                <w:color w:val="231F20"/>
                <w:w w:val="73"/>
              </w:rPr>
              <w:t>$</w:t>
            </w:r>
          </w:p>
        </w:tc>
        <w:tc>
          <w:tcPr>
            <w:tcW w:w="880" w:type="dxa"/>
            <w:vAlign w:val="bottom"/>
            <w:tcBorders>
              <w:bottom w:val="single" w:sz="8" w:color="DCDDDE"/>
            </w:tcBorders>
            <w:shd w:val="clear" w:color="auto" w:fill="DCDDDE"/>
          </w:tcPr>
          <w:p>
            <w:pPr>
              <w:jc w:val="right"/>
              <w:spacing w:after="0"/>
              <w:rPr>
                <w:sz w:val="20"/>
                <w:szCs w:val="20"/>
                <w:color w:val="auto"/>
              </w:rPr>
            </w:pPr>
            <w:r>
              <w:rPr>
                <w:rFonts w:ascii="Calibri" w:cs="Calibri" w:eastAsia="Calibri" w:hAnsi="Calibri"/>
                <w:sz w:val="18"/>
                <w:szCs w:val="18"/>
                <w:b w:val="1"/>
                <w:bCs w:val="1"/>
                <w:color w:val="231F20"/>
              </w:rPr>
              <w:t>(403,305)</w:t>
            </w:r>
          </w:p>
        </w:tc>
        <w:tc>
          <w:tcPr>
            <w:tcW w:w="200" w:type="dxa"/>
            <w:vAlign w:val="bottom"/>
            <w:tcBorders>
              <w:bottom w:val="single" w:sz="8" w:color="DCDDDE"/>
            </w:tcBorders>
            <w:shd w:val="clear" w:color="auto" w:fill="DCDDDE"/>
          </w:tcPr>
          <w:p>
            <w:pPr>
              <w:jc w:val="right"/>
              <w:spacing w:after="0"/>
              <w:rPr>
                <w:sz w:val="20"/>
                <w:szCs w:val="20"/>
                <w:color w:val="auto"/>
              </w:rPr>
            </w:pPr>
            <w:r>
              <w:rPr>
                <w:rFonts w:ascii="Calibri" w:cs="Calibri" w:eastAsia="Calibri" w:hAnsi="Calibri"/>
                <w:sz w:val="18"/>
                <w:szCs w:val="18"/>
                <w:b w:val="1"/>
                <w:bCs w:val="1"/>
                <w:color w:val="231F20"/>
              </w:rPr>
              <w:t>$</w:t>
            </w:r>
          </w:p>
        </w:tc>
        <w:tc>
          <w:tcPr>
            <w:tcW w:w="820" w:type="dxa"/>
            <w:vAlign w:val="bottom"/>
            <w:tcBorders>
              <w:bottom w:val="single" w:sz="8" w:color="DCDDDE"/>
            </w:tcBorders>
            <w:shd w:val="clear" w:color="auto" w:fill="DCDDDE"/>
          </w:tcPr>
          <w:p>
            <w:pPr>
              <w:jc w:val="right"/>
              <w:spacing w:after="0"/>
              <w:rPr>
                <w:sz w:val="20"/>
                <w:szCs w:val="20"/>
                <w:color w:val="auto"/>
              </w:rPr>
            </w:pPr>
            <w:r>
              <w:rPr>
                <w:rFonts w:ascii="Calibri" w:cs="Calibri" w:eastAsia="Calibri" w:hAnsi="Calibri"/>
                <w:sz w:val="18"/>
                <w:szCs w:val="18"/>
                <w:b w:val="1"/>
                <w:bCs w:val="1"/>
                <w:color w:val="231F20"/>
              </w:rPr>
              <w:t>1,339,599</w:t>
            </w:r>
          </w:p>
        </w:tc>
        <w:tc>
          <w:tcPr>
            <w:tcW w:w="60" w:type="dxa"/>
            <w:vAlign w:val="bottom"/>
          </w:tcPr>
          <w:p>
            <w:pPr>
              <w:spacing w:after="0"/>
              <w:rPr>
                <w:sz w:val="24"/>
                <w:szCs w:val="24"/>
                <w:color w:val="auto"/>
              </w:rPr>
            </w:pPr>
          </w:p>
        </w:tc>
      </w:tr>
      <w:tr>
        <w:trPr>
          <w:trHeight w:val="150"/>
        </w:trPr>
        <w:tc>
          <w:tcPr>
            <w:tcW w:w="960" w:type="dxa"/>
            <w:vAlign w:val="bottom"/>
            <w:tcBorders>
              <w:bottom w:val="single" w:sz="8" w:color="231F20"/>
            </w:tcBorders>
          </w:tcPr>
          <w:p>
            <w:pPr>
              <w:spacing w:after="0"/>
              <w:rPr>
                <w:sz w:val="13"/>
                <w:szCs w:val="13"/>
                <w:color w:val="auto"/>
              </w:rPr>
            </w:pPr>
          </w:p>
        </w:tc>
        <w:tc>
          <w:tcPr>
            <w:tcW w:w="3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r>
    </w:tbl>
    <w:p>
      <w:pPr>
        <w:spacing w:after="0" w:line="55" w:lineRule="exact"/>
        <w:rPr>
          <w:sz w:val="20"/>
          <w:szCs w:val="20"/>
          <w:color w:val="auto"/>
        </w:rPr>
      </w:pPr>
    </w:p>
    <w:p>
      <w:pPr>
        <w:jc w:val="both"/>
        <w:ind w:left="360" w:right="60" w:hanging="360"/>
        <w:spacing w:after="0"/>
        <w:tabs>
          <w:tab w:leader="none" w:pos="360" w:val="left"/>
        </w:tabs>
        <w:numPr>
          <w:ilvl w:val="0"/>
          <w:numId w:val="154"/>
        </w:numPr>
        <w:rPr>
          <w:rFonts w:ascii="Arial" w:cs="Arial" w:eastAsia="Arial" w:hAnsi="Arial"/>
          <w:sz w:val="23"/>
          <w:szCs w:val="23"/>
          <w:color w:val="231F20"/>
          <w:vertAlign w:val="superscript"/>
        </w:rPr>
      </w:pPr>
      <w:r>
        <w:rPr>
          <w:rFonts w:ascii="Arial" w:cs="Arial" w:eastAsia="Arial" w:hAnsi="Arial"/>
          <w:sz w:val="18"/>
          <w:szCs w:val="18"/>
          <w:color w:val="231F20"/>
        </w:rPr>
        <w:t>Peer group is the BBRESHOP Index which included an independent third party calculated return for the last 5.5 months of 2025. The total shareholder return shown for both the company and the peer group is calculated on a cumulative basis from January 1, 2021 through the last day of the applicable year shown. The compensation, net income and NAREIT FFO per diluted share shown for the applicable calendar year are calculated over different periods of time. As a result, the total returns shown for any given year are unlikely to correlate to the compensation, net income and NAREIT FFO per diluted share shown for that calendar year.</w:t>
      </w:r>
    </w:p>
    <w:p>
      <w:pPr>
        <w:spacing w:after="0" w:line="20" w:lineRule="exact"/>
        <w:rPr>
          <w:rFonts w:ascii="Arial" w:cs="Arial" w:eastAsia="Arial" w:hAnsi="Arial"/>
          <w:sz w:val="23"/>
          <w:szCs w:val="23"/>
          <w:color w:val="231F20"/>
          <w:vertAlign w:val="superscript"/>
        </w:rPr>
      </w:pPr>
    </w:p>
    <w:p>
      <w:pPr>
        <w:jc w:val="both"/>
        <w:ind w:left="360" w:right="60" w:hanging="360"/>
        <w:spacing w:after="0" w:line="245" w:lineRule="auto"/>
        <w:tabs>
          <w:tab w:leader="none" w:pos="360" w:val="left"/>
        </w:tabs>
        <w:numPr>
          <w:ilvl w:val="0"/>
          <w:numId w:val="154"/>
        </w:numPr>
        <w:rPr>
          <w:rFonts w:ascii="Arial" w:cs="Arial" w:eastAsia="Arial" w:hAnsi="Arial"/>
          <w:sz w:val="23"/>
          <w:szCs w:val="23"/>
          <w:color w:val="231F20"/>
          <w:vertAlign w:val="superscript"/>
        </w:rPr>
      </w:pPr>
      <w:r>
        <w:rPr>
          <w:rFonts w:ascii="Arial" w:cs="Arial" w:eastAsia="Arial" w:hAnsi="Arial"/>
          <w:sz w:val="18"/>
          <w:szCs w:val="18"/>
          <w:color w:val="231F20"/>
        </w:rPr>
        <w:t>The Company has identified NAREIT FFO per diluted share as the most important additional financial metric used to link pay and performance. Our annual bonus program pays out based on our absolute level of NAREIT FFO per diluted share achieved for the year and one-third of our long-term incentive plan pays out based on a metric tied to NAREIT FFO per diluted share. NAREIT FFO per diluted share is a non-GAAP financial measure of a real estate company’s operating performance and is defined by the National Association of Real Estate Investment Trusts. We consider NAREIT FFO per diluted share a meaningful measure of operating performance primarily because it avoids the assumption that the value of real estate assets diminishes predictably over time and is a primary way of evaluating our operating performance as compared to other real estate investment trusts. A reconciliation of NAREIT FFO per diluted share to net income is included as Appendix A.</w:t>
      </w:r>
    </w:p>
    <w:p>
      <w:pPr>
        <w:spacing w:after="0" w:line="377"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Relationship to Compensation Actually Paid</w:t>
      </w:r>
    </w:p>
    <w:p>
      <w:pPr>
        <w:spacing w:after="0" w:line="135" w:lineRule="exact"/>
        <w:rPr>
          <w:sz w:val="20"/>
          <w:szCs w:val="20"/>
          <w:color w:val="auto"/>
        </w:rPr>
      </w:pPr>
    </w:p>
    <w:p>
      <w:pPr>
        <w:jc w:val="both"/>
        <w:ind w:right="60"/>
        <w:spacing w:after="0" w:line="247" w:lineRule="auto"/>
        <w:rPr>
          <w:sz w:val="20"/>
          <w:szCs w:val="20"/>
          <w:color w:val="auto"/>
        </w:rPr>
      </w:pPr>
      <w:r>
        <w:rPr>
          <w:rFonts w:ascii="Arial" w:cs="Arial" w:eastAsia="Arial" w:hAnsi="Arial"/>
          <w:sz w:val="20"/>
          <w:szCs w:val="20"/>
          <w:color w:val="231F20"/>
        </w:rPr>
        <w:t>The following charts show the relationship of the compensation actually paid to our CEO and the average compensation actually paid to our other NEOs as compared to the total shareholder return for the Company and for the BBRESHOP Index.</w:t>
      </w:r>
    </w:p>
    <w:p>
      <w:pPr>
        <w:sectPr>
          <w:pgSz w:w="11880" w:h="15480" w:orient="portrait"/>
          <w:cols w:equalWidth="0" w:num="1">
            <w:col w:w="10140"/>
          </w:cols>
          <w:pgMar w:left="900" w:top="1260" w:right="840" w:bottom="763" w:gutter="0" w:footer="0" w:header="0"/>
        </w:sectPr>
      </w:pPr>
    </w:p>
    <w:p>
      <w:pPr>
        <w:spacing w:after="0" w:line="256" w:lineRule="exact"/>
        <w:rPr>
          <w:sz w:val="20"/>
          <w:szCs w:val="20"/>
          <w:color w:val="auto"/>
        </w:rPr>
      </w:pPr>
    </w:p>
    <w:p>
      <w:pPr>
        <w:ind w:left="880"/>
        <w:spacing w:after="0"/>
        <w:rPr>
          <w:sz w:val="20"/>
          <w:szCs w:val="20"/>
          <w:color w:val="auto"/>
        </w:rPr>
      </w:pPr>
      <w:r>
        <w:rPr>
          <w:rFonts w:ascii="Calibri" w:cs="Calibri" w:eastAsia="Calibri" w:hAnsi="Calibri"/>
          <w:sz w:val="18"/>
          <w:szCs w:val="18"/>
          <w:color w:val="231F20"/>
        </w:rPr>
        <w:t>CEO Compensation Actually Paid v. TSR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-187325</wp:posOffset>
            </wp:positionV>
            <wp:extent cx="2875280" cy="16471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107">
                      <a:extLst>
                        <a:ext uri="{28A0092B-C50C-407E-A947-70E740481C1C}"/>
                      </a:extLst>
                    </a:blip>
                    <a:srcRect/>
                    <a:stretch>
                      <a:fillRect/>
                    </a:stretch>
                  </pic:blipFill>
                  <pic:spPr bwMode="auto">
                    <a:xfrm>
                      <a:off x="0" y="0"/>
                      <a:ext cx="2875280" cy="1647190"/>
                    </a:xfrm>
                    <a:prstGeom prst="rect">
                      <a:avLst/>
                    </a:prstGeom>
                    <a:noFill/>
                  </pic:spPr>
                </pic:pic>
              </a:graphicData>
            </a:graphic>
          </wp:anchor>
        </w:drawing>
      </w:r>
    </w:p>
    <w:p>
      <w:pPr>
        <w:spacing w:after="0" w:line="49" w:lineRule="exact"/>
        <w:rPr>
          <w:sz w:val="20"/>
          <w:szCs w:val="20"/>
          <w:color w:val="auto"/>
        </w:rPr>
      </w:pPr>
    </w:p>
    <w:p>
      <w:pPr>
        <w:ind w:left="4220"/>
        <w:spacing w:after="0"/>
        <w:rPr>
          <w:sz w:val="20"/>
          <w:szCs w:val="20"/>
          <w:color w:val="auto"/>
        </w:rPr>
      </w:pPr>
      <w:r>
        <w:rPr>
          <w:rFonts w:ascii="Calibri" w:cs="Calibri" w:eastAsia="Calibri" w:hAnsi="Calibri"/>
          <w:sz w:val="11"/>
          <w:szCs w:val="11"/>
          <w:color w:val="4C4C4E"/>
        </w:rPr>
        <w:t>40%</w:t>
      </w:r>
    </w:p>
    <w:p>
      <w:pPr>
        <w:spacing w:after="0" w:line="42" w:lineRule="exact"/>
        <w:rPr>
          <w:sz w:val="20"/>
          <w:szCs w:val="20"/>
          <w:color w:val="auto"/>
        </w:rPr>
      </w:pPr>
    </w:p>
    <w:tbl>
      <w:tblPr>
        <w:tblLayout w:type="fixed"/>
        <w:tblInd w:w="100" w:type="dxa"/>
        <w:tblCellMar>
          <w:top w:w="0" w:type="dxa"/>
          <w:left w:w="0" w:type="dxa"/>
          <w:bottom w:w="0" w:type="dxa"/>
          <w:right w:w="0" w:type="dxa"/>
        </w:tblCellMar>
      </w:tblPr>
      <w:tr>
        <w:trPr>
          <w:trHeight w:val="82"/>
        </w:trPr>
        <w:tc>
          <w:tcPr>
            <w:tcW w:w="500" w:type="dxa"/>
            <w:vAlign w:val="bottom"/>
            <w:vMerge w:val="restart"/>
          </w:tcPr>
          <w:p>
            <w:pPr>
              <w:jc w:val="right"/>
              <w:ind w:right="63"/>
              <w:spacing w:after="0"/>
              <w:rPr>
                <w:sz w:val="20"/>
                <w:szCs w:val="20"/>
                <w:color w:val="auto"/>
              </w:rPr>
            </w:pPr>
            <w:r>
              <w:rPr>
                <w:rFonts w:ascii="Calibri" w:cs="Calibri" w:eastAsia="Calibri" w:hAnsi="Calibri"/>
                <w:sz w:val="11"/>
                <w:szCs w:val="11"/>
                <w:color w:val="4C4C4E"/>
                <w:w w:val="99"/>
              </w:rPr>
              <w:t>$14,500</w:t>
            </w:r>
          </w:p>
        </w:tc>
        <w:tc>
          <w:tcPr>
            <w:tcW w:w="420" w:type="dxa"/>
            <w:vAlign w:val="bottom"/>
            <w:tcBorders>
              <w:bottom w:val="single" w:sz="8" w:color="E3E4E5"/>
            </w:tcBorders>
          </w:tcPr>
          <w:p>
            <w:pPr>
              <w:spacing w:after="0"/>
              <w:rPr>
                <w:sz w:val="7"/>
                <w:szCs w:val="7"/>
                <w:color w:val="auto"/>
              </w:rPr>
            </w:pPr>
          </w:p>
        </w:tc>
        <w:tc>
          <w:tcPr>
            <w:tcW w:w="240" w:type="dxa"/>
            <w:vAlign w:val="bottom"/>
            <w:tcBorders>
              <w:bottom w:val="single" w:sz="8" w:color="E3E4E5"/>
            </w:tcBorders>
          </w:tcPr>
          <w:p>
            <w:pPr>
              <w:spacing w:after="0"/>
              <w:rPr>
                <w:sz w:val="7"/>
                <w:szCs w:val="7"/>
                <w:color w:val="auto"/>
              </w:rPr>
            </w:pPr>
          </w:p>
        </w:tc>
        <w:tc>
          <w:tcPr>
            <w:tcW w:w="580" w:type="dxa"/>
            <w:vAlign w:val="bottom"/>
            <w:tcBorders>
              <w:bottom w:val="single" w:sz="8" w:color="E3E4E5"/>
            </w:tcBorders>
          </w:tcPr>
          <w:p>
            <w:pPr>
              <w:spacing w:after="0"/>
              <w:rPr>
                <w:sz w:val="7"/>
                <w:szCs w:val="7"/>
                <w:color w:val="auto"/>
              </w:rPr>
            </w:pPr>
          </w:p>
        </w:tc>
        <w:tc>
          <w:tcPr>
            <w:tcW w:w="240" w:type="dxa"/>
            <w:vAlign w:val="bottom"/>
            <w:tcBorders>
              <w:bottom w:val="single" w:sz="8" w:color="E3E4E5"/>
            </w:tcBorders>
          </w:tcPr>
          <w:p>
            <w:pPr>
              <w:spacing w:after="0"/>
              <w:rPr>
                <w:sz w:val="7"/>
                <w:szCs w:val="7"/>
                <w:color w:val="auto"/>
              </w:rPr>
            </w:pPr>
          </w:p>
        </w:tc>
        <w:tc>
          <w:tcPr>
            <w:tcW w:w="520" w:type="dxa"/>
            <w:vAlign w:val="bottom"/>
            <w:tcBorders>
              <w:bottom w:val="single" w:sz="8" w:color="E3E4E5"/>
            </w:tcBorders>
          </w:tcPr>
          <w:p>
            <w:pPr>
              <w:spacing w:after="0"/>
              <w:rPr>
                <w:sz w:val="7"/>
                <w:szCs w:val="7"/>
                <w:color w:val="auto"/>
              </w:rPr>
            </w:pPr>
          </w:p>
        </w:tc>
        <w:tc>
          <w:tcPr>
            <w:tcW w:w="240" w:type="dxa"/>
            <w:vAlign w:val="bottom"/>
            <w:tcBorders>
              <w:bottom w:val="single" w:sz="8" w:color="E3E4E5"/>
            </w:tcBorders>
          </w:tcPr>
          <w:p>
            <w:pPr>
              <w:spacing w:after="0"/>
              <w:rPr>
                <w:sz w:val="7"/>
                <w:szCs w:val="7"/>
                <w:color w:val="auto"/>
              </w:rPr>
            </w:pPr>
          </w:p>
        </w:tc>
        <w:tc>
          <w:tcPr>
            <w:tcW w:w="720" w:type="dxa"/>
            <w:vAlign w:val="bottom"/>
            <w:tcBorders>
              <w:bottom w:val="single" w:sz="8" w:color="E3E4E5"/>
            </w:tcBorders>
          </w:tcPr>
          <w:p>
            <w:pPr>
              <w:spacing w:after="0"/>
              <w:rPr>
                <w:sz w:val="7"/>
                <w:szCs w:val="7"/>
                <w:color w:val="auto"/>
              </w:rPr>
            </w:pPr>
          </w:p>
        </w:tc>
        <w:tc>
          <w:tcPr>
            <w:tcW w:w="560" w:type="dxa"/>
            <w:vAlign w:val="bottom"/>
            <w:tcBorders>
              <w:bottom w:val="single" w:sz="8" w:color="E3E4E5"/>
            </w:tcBorders>
          </w:tcPr>
          <w:p>
            <w:pPr>
              <w:spacing w:after="0"/>
              <w:rPr>
                <w:sz w:val="7"/>
                <w:szCs w:val="7"/>
                <w:color w:val="auto"/>
              </w:rPr>
            </w:pPr>
          </w:p>
        </w:tc>
        <w:tc>
          <w:tcPr>
            <w:tcW w:w="20" w:type="dxa"/>
            <w:vAlign w:val="bottom"/>
            <w:tcBorders>
              <w:bottom w:val="single" w:sz="8" w:color="E3E4E5"/>
            </w:tcBorders>
          </w:tcPr>
          <w:p>
            <w:pPr>
              <w:spacing w:after="0"/>
              <w:rPr>
                <w:sz w:val="7"/>
                <w:szCs w:val="7"/>
                <w:color w:val="auto"/>
              </w:rPr>
            </w:pPr>
          </w:p>
        </w:tc>
        <w:tc>
          <w:tcPr>
            <w:tcW w:w="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7"/>
        </w:trPr>
        <w:tc>
          <w:tcPr>
            <w:tcW w:w="500" w:type="dxa"/>
            <w:vAlign w:val="bottom"/>
            <w:vMerge w:val="continue"/>
          </w:tcPr>
          <w:p>
            <w:pPr>
              <w:spacing w:after="0"/>
              <w:rPr>
                <w:sz w:val="4"/>
                <w:szCs w:val="4"/>
                <w:color w:val="auto"/>
              </w:rPr>
            </w:pPr>
          </w:p>
        </w:tc>
        <w:tc>
          <w:tcPr>
            <w:tcW w:w="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6"/>
        </w:trPr>
        <w:tc>
          <w:tcPr>
            <w:tcW w:w="500" w:type="dxa"/>
            <w:vAlign w:val="bottom"/>
            <w:vMerge w:val="restart"/>
          </w:tcPr>
          <w:p>
            <w:pPr>
              <w:jc w:val="right"/>
              <w:ind w:right="63"/>
              <w:spacing w:after="0"/>
              <w:rPr>
                <w:sz w:val="20"/>
                <w:szCs w:val="20"/>
                <w:color w:val="auto"/>
              </w:rPr>
            </w:pPr>
            <w:r>
              <w:rPr>
                <w:rFonts w:ascii="Calibri" w:cs="Calibri" w:eastAsia="Calibri" w:hAnsi="Calibri"/>
                <w:sz w:val="11"/>
                <w:szCs w:val="11"/>
                <w:color w:val="4C4C4E"/>
                <w:w w:val="99"/>
              </w:rPr>
              <w:t>$12,000</w:t>
            </w:r>
          </w:p>
        </w:tc>
        <w:tc>
          <w:tcPr>
            <w:tcW w:w="420" w:type="dxa"/>
            <w:vAlign w:val="bottom"/>
            <w:tcBorders>
              <w:bottom w:val="single" w:sz="8" w:color="E3E4E5"/>
            </w:tcBorders>
          </w:tcPr>
          <w:p>
            <w:pPr>
              <w:spacing w:after="0"/>
              <w:rPr>
                <w:sz w:val="19"/>
                <w:szCs w:val="19"/>
                <w:color w:val="auto"/>
              </w:rPr>
            </w:pPr>
          </w:p>
        </w:tc>
        <w:tc>
          <w:tcPr>
            <w:tcW w:w="240" w:type="dxa"/>
            <w:vAlign w:val="bottom"/>
            <w:tcBorders>
              <w:bottom w:val="single" w:sz="8" w:color="E3E4E5"/>
            </w:tcBorders>
          </w:tcPr>
          <w:p>
            <w:pPr>
              <w:spacing w:after="0"/>
              <w:rPr>
                <w:sz w:val="19"/>
                <w:szCs w:val="19"/>
                <w:color w:val="auto"/>
              </w:rPr>
            </w:pPr>
          </w:p>
        </w:tc>
        <w:tc>
          <w:tcPr>
            <w:tcW w:w="580" w:type="dxa"/>
            <w:vAlign w:val="bottom"/>
            <w:tcBorders>
              <w:bottom w:val="single" w:sz="8" w:color="E3E4E5"/>
            </w:tcBorders>
          </w:tcPr>
          <w:p>
            <w:pPr>
              <w:spacing w:after="0"/>
              <w:rPr>
                <w:sz w:val="19"/>
                <w:szCs w:val="19"/>
                <w:color w:val="auto"/>
              </w:rPr>
            </w:pPr>
          </w:p>
        </w:tc>
        <w:tc>
          <w:tcPr>
            <w:tcW w:w="240" w:type="dxa"/>
            <w:vAlign w:val="bottom"/>
            <w:tcBorders>
              <w:bottom w:val="single" w:sz="8" w:color="E3E4E5"/>
            </w:tcBorders>
          </w:tcPr>
          <w:p>
            <w:pPr>
              <w:spacing w:after="0"/>
              <w:rPr>
                <w:sz w:val="19"/>
                <w:szCs w:val="19"/>
                <w:color w:val="auto"/>
              </w:rPr>
            </w:pPr>
          </w:p>
        </w:tc>
        <w:tc>
          <w:tcPr>
            <w:tcW w:w="520" w:type="dxa"/>
            <w:vAlign w:val="bottom"/>
            <w:tcBorders>
              <w:bottom w:val="single" w:sz="8" w:color="E3E4E5"/>
            </w:tcBorders>
          </w:tcPr>
          <w:p>
            <w:pPr>
              <w:spacing w:after="0"/>
              <w:rPr>
                <w:sz w:val="19"/>
                <w:szCs w:val="19"/>
                <w:color w:val="auto"/>
              </w:rPr>
            </w:pPr>
          </w:p>
        </w:tc>
        <w:tc>
          <w:tcPr>
            <w:tcW w:w="240" w:type="dxa"/>
            <w:vAlign w:val="bottom"/>
            <w:tcBorders>
              <w:bottom w:val="single" w:sz="8" w:color="E3E4E5"/>
            </w:tcBorders>
          </w:tcPr>
          <w:p>
            <w:pPr>
              <w:spacing w:after="0"/>
              <w:rPr>
                <w:sz w:val="19"/>
                <w:szCs w:val="19"/>
                <w:color w:val="auto"/>
              </w:rPr>
            </w:pPr>
          </w:p>
        </w:tc>
        <w:tc>
          <w:tcPr>
            <w:tcW w:w="720" w:type="dxa"/>
            <w:vAlign w:val="bottom"/>
            <w:tcBorders>
              <w:bottom w:val="single" w:sz="8" w:color="E3E4E5"/>
            </w:tcBorders>
          </w:tcPr>
          <w:p>
            <w:pPr>
              <w:spacing w:after="0"/>
              <w:rPr>
                <w:sz w:val="19"/>
                <w:szCs w:val="19"/>
                <w:color w:val="auto"/>
              </w:rPr>
            </w:pPr>
          </w:p>
        </w:tc>
        <w:tc>
          <w:tcPr>
            <w:tcW w:w="560" w:type="dxa"/>
            <w:vAlign w:val="bottom"/>
            <w:tcBorders>
              <w:bottom w:val="single" w:sz="8" w:color="E3E4E5"/>
            </w:tcBorders>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
        </w:trPr>
        <w:tc>
          <w:tcPr>
            <w:tcW w:w="500" w:type="dxa"/>
            <w:vAlign w:val="bottom"/>
            <w:vMerge w:val="continue"/>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2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900" w:type="dxa"/>
            <w:vAlign w:val="bottom"/>
            <w:gridSpan w:val="3"/>
            <w:vMerge w:val="restart"/>
          </w:tcPr>
          <w:p>
            <w:pPr>
              <w:ind w:left="660"/>
              <w:spacing w:after="0"/>
              <w:rPr>
                <w:sz w:val="20"/>
                <w:szCs w:val="20"/>
                <w:color w:val="auto"/>
              </w:rPr>
            </w:pPr>
            <w:r>
              <w:rPr>
                <w:rFonts w:ascii="Calibri" w:cs="Calibri" w:eastAsia="Calibri" w:hAnsi="Calibri"/>
                <w:sz w:val="11"/>
                <w:szCs w:val="11"/>
                <w:color w:val="4C4C4E"/>
              </w:rPr>
              <w:t>10%</w:t>
            </w:r>
          </w:p>
        </w:tc>
        <w:tc>
          <w:tcPr>
            <w:tcW w:w="0" w:type="dxa"/>
            <w:vAlign w:val="bottom"/>
          </w:tcPr>
          <w:p>
            <w:pPr>
              <w:spacing w:after="0"/>
              <w:rPr>
                <w:sz w:val="1"/>
                <w:szCs w:val="1"/>
                <w:color w:val="auto"/>
              </w:rPr>
            </w:pPr>
          </w:p>
        </w:tc>
      </w:tr>
      <w:tr>
        <w:trPr>
          <w:trHeight w:val="94"/>
        </w:trPr>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20" w:type="dxa"/>
            <w:vAlign w:val="bottom"/>
          </w:tcPr>
          <w:p>
            <w:pPr>
              <w:spacing w:after="0"/>
              <w:rPr>
                <w:sz w:val="8"/>
                <w:szCs w:val="8"/>
                <w:color w:val="auto"/>
              </w:rPr>
            </w:pPr>
          </w:p>
        </w:tc>
        <w:tc>
          <w:tcPr>
            <w:tcW w:w="90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500" w:type="dxa"/>
            <w:vAlign w:val="bottom"/>
            <w:vMerge w:val="restart"/>
          </w:tcPr>
          <w:p>
            <w:pPr>
              <w:jc w:val="right"/>
              <w:ind w:right="63"/>
              <w:spacing w:after="0"/>
              <w:rPr>
                <w:sz w:val="20"/>
                <w:szCs w:val="20"/>
                <w:color w:val="auto"/>
              </w:rPr>
            </w:pPr>
            <w:r>
              <w:rPr>
                <w:rFonts w:ascii="Calibri" w:cs="Calibri" w:eastAsia="Calibri" w:hAnsi="Calibri"/>
                <w:sz w:val="11"/>
                <w:szCs w:val="11"/>
                <w:color w:val="4C4C4E"/>
              </w:rPr>
              <w:t>$9,500</w:t>
            </w:r>
          </w:p>
        </w:tc>
        <w:tc>
          <w:tcPr>
            <w:tcW w:w="420" w:type="dxa"/>
            <w:vAlign w:val="bottom"/>
            <w:tcBorders>
              <w:bottom w:val="single" w:sz="8" w:color="E3E4E5"/>
            </w:tcBorders>
          </w:tcPr>
          <w:p>
            <w:pPr>
              <w:spacing w:after="0"/>
              <w:rPr>
                <w:sz w:val="10"/>
                <w:szCs w:val="10"/>
                <w:color w:val="auto"/>
              </w:rPr>
            </w:pPr>
          </w:p>
        </w:tc>
        <w:tc>
          <w:tcPr>
            <w:tcW w:w="240" w:type="dxa"/>
            <w:vAlign w:val="bottom"/>
            <w:tcBorders>
              <w:bottom w:val="single" w:sz="8" w:color="E3E4E5"/>
            </w:tcBorders>
          </w:tcPr>
          <w:p>
            <w:pPr>
              <w:spacing w:after="0"/>
              <w:rPr>
                <w:sz w:val="10"/>
                <w:szCs w:val="10"/>
                <w:color w:val="auto"/>
              </w:rPr>
            </w:pPr>
          </w:p>
        </w:tc>
        <w:tc>
          <w:tcPr>
            <w:tcW w:w="580" w:type="dxa"/>
            <w:vAlign w:val="bottom"/>
            <w:tcBorders>
              <w:bottom w:val="single" w:sz="8" w:color="E3E4E5"/>
            </w:tcBorders>
          </w:tcPr>
          <w:p>
            <w:pPr>
              <w:spacing w:after="0"/>
              <w:rPr>
                <w:sz w:val="10"/>
                <w:szCs w:val="10"/>
                <w:color w:val="auto"/>
              </w:rPr>
            </w:pPr>
          </w:p>
        </w:tc>
        <w:tc>
          <w:tcPr>
            <w:tcW w:w="240" w:type="dxa"/>
            <w:vAlign w:val="bottom"/>
            <w:tcBorders>
              <w:bottom w:val="single" w:sz="8" w:color="E3E4E5"/>
            </w:tcBorders>
          </w:tcPr>
          <w:p>
            <w:pPr>
              <w:spacing w:after="0"/>
              <w:rPr>
                <w:sz w:val="10"/>
                <w:szCs w:val="10"/>
                <w:color w:val="auto"/>
              </w:rPr>
            </w:pPr>
          </w:p>
        </w:tc>
        <w:tc>
          <w:tcPr>
            <w:tcW w:w="520" w:type="dxa"/>
            <w:vAlign w:val="bottom"/>
            <w:tcBorders>
              <w:bottom w:val="single" w:sz="8" w:color="E3E4E5"/>
            </w:tcBorders>
          </w:tcPr>
          <w:p>
            <w:pPr>
              <w:spacing w:after="0"/>
              <w:rPr>
                <w:sz w:val="10"/>
                <w:szCs w:val="10"/>
                <w:color w:val="auto"/>
              </w:rPr>
            </w:pPr>
          </w:p>
        </w:tc>
        <w:tc>
          <w:tcPr>
            <w:tcW w:w="240" w:type="dxa"/>
            <w:vAlign w:val="bottom"/>
            <w:tcBorders>
              <w:bottom w:val="single" w:sz="8" w:color="E3E4E5"/>
            </w:tcBorders>
          </w:tcPr>
          <w:p>
            <w:pPr>
              <w:spacing w:after="0"/>
              <w:rPr>
                <w:sz w:val="10"/>
                <w:szCs w:val="10"/>
                <w:color w:val="auto"/>
              </w:rPr>
            </w:pPr>
          </w:p>
        </w:tc>
        <w:tc>
          <w:tcPr>
            <w:tcW w:w="720" w:type="dxa"/>
            <w:vAlign w:val="bottom"/>
            <w:tcBorders>
              <w:bottom w:val="single" w:sz="8" w:color="E3E4E5"/>
            </w:tcBorders>
          </w:tcPr>
          <w:p>
            <w:pPr>
              <w:spacing w:after="0"/>
              <w:rPr>
                <w:sz w:val="10"/>
                <w:szCs w:val="10"/>
                <w:color w:val="auto"/>
              </w:rPr>
            </w:pPr>
          </w:p>
        </w:tc>
        <w:tc>
          <w:tcPr>
            <w:tcW w:w="560" w:type="dxa"/>
            <w:vAlign w:val="bottom"/>
            <w:tcBorders>
              <w:bottom w:val="single" w:sz="8" w:color="E3E4E5"/>
            </w:tcBorders>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9"/>
        </w:trPr>
        <w:tc>
          <w:tcPr>
            <w:tcW w:w="500" w:type="dxa"/>
            <w:vAlign w:val="bottom"/>
            <w:vMerge w:val="continue"/>
          </w:tcPr>
          <w:p>
            <w:pPr>
              <w:spacing w:after="0"/>
              <w:rPr>
                <w:sz w:val="4"/>
                <w:szCs w:val="4"/>
                <w:color w:val="auto"/>
              </w:rPr>
            </w:pPr>
          </w:p>
        </w:tc>
        <w:tc>
          <w:tcPr>
            <w:tcW w:w="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500" w:type="dxa"/>
            <w:vAlign w:val="bottom"/>
            <w:vMerge w:val="restart"/>
          </w:tcPr>
          <w:p>
            <w:pPr>
              <w:jc w:val="right"/>
              <w:ind w:right="63"/>
              <w:spacing w:after="0"/>
              <w:rPr>
                <w:sz w:val="20"/>
                <w:szCs w:val="20"/>
                <w:color w:val="auto"/>
              </w:rPr>
            </w:pPr>
            <w:r>
              <w:rPr>
                <w:rFonts w:ascii="Calibri" w:cs="Calibri" w:eastAsia="Calibri" w:hAnsi="Calibri"/>
                <w:sz w:val="11"/>
                <w:szCs w:val="11"/>
                <w:color w:val="4C4C4E"/>
              </w:rPr>
              <w:t>$7,000</w:t>
            </w:r>
          </w:p>
        </w:tc>
        <w:tc>
          <w:tcPr>
            <w:tcW w:w="420" w:type="dxa"/>
            <w:vAlign w:val="bottom"/>
            <w:tcBorders>
              <w:bottom w:val="single" w:sz="8" w:color="E3E4E5"/>
            </w:tcBorders>
          </w:tcPr>
          <w:p>
            <w:pPr>
              <w:spacing w:after="0"/>
              <w:rPr>
                <w:sz w:val="19"/>
                <w:szCs w:val="19"/>
                <w:color w:val="auto"/>
              </w:rPr>
            </w:pPr>
          </w:p>
        </w:tc>
        <w:tc>
          <w:tcPr>
            <w:tcW w:w="240" w:type="dxa"/>
            <w:vAlign w:val="bottom"/>
            <w:tcBorders>
              <w:bottom w:val="single" w:sz="8" w:color="E3E4E5"/>
            </w:tcBorders>
          </w:tcPr>
          <w:p>
            <w:pPr>
              <w:spacing w:after="0"/>
              <w:rPr>
                <w:sz w:val="19"/>
                <w:szCs w:val="19"/>
                <w:color w:val="auto"/>
              </w:rPr>
            </w:pPr>
          </w:p>
        </w:tc>
        <w:tc>
          <w:tcPr>
            <w:tcW w:w="580" w:type="dxa"/>
            <w:vAlign w:val="bottom"/>
            <w:tcBorders>
              <w:bottom w:val="single" w:sz="8" w:color="E3E4E5"/>
            </w:tcBorders>
          </w:tcPr>
          <w:p>
            <w:pPr>
              <w:spacing w:after="0"/>
              <w:rPr>
                <w:sz w:val="19"/>
                <w:szCs w:val="19"/>
                <w:color w:val="auto"/>
              </w:rPr>
            </w:pPr>
          </w:p>
        </w:tc>
        <w:tc>
          <w:tcPr>
            <w:tcW w:w="240" w:type="dxa"/>
            <w:vAlign w:val="bottom"/>
            <w:tcBorders>
              <w:bottom w:val="single" w:sz="8" w:color="E3E4E5"/>
            </w:tcBorders>
          </w:tcPr>
          <w:p>
            <w:pPr>
              <w:spacing w:after="0"/>
              <w:rPr>
                <w:sz w:val="19"/>
                <w:szCs w:val="19"/>
                <w:color w:val="auto"/>
              </w:rPr>
            </w:pPr>
          </w:p>
        </w:tc>
        <w:tc>
          <w:tcPr>
            <w:tcW w:w="520" w:type="dxa"/>
            <w:vAlign w:val="bottom"/>
            <w:tcBorders>
              <w:bottom w:val="single" w:sz="8" w:color="E3E4E5"/>
            </w:tcBorders>
          </w:tcPr>
          <w:p>
            <w:pPr>
              <w:spacing w:after="0"/>
              <w:rPr>
                <w:sz w:val="19"/>
                <w:szCs w:val="19"/>
                <w:color w:val="auto"/>
              </w:rPr>
            </w:pPr>
          </w:p>
        </w:tc>
        <w:tc>
          <w:tcPr>
            <w:tcW w:w="240" w:type="dxa"/>
            <w:vAlign w:val="bottom"/>
            <w:tcBorders>
              <w:bottom w:val="single" w:sz="8" w:color="E3E4E5"/>
            </w:tcBorders>
          </w:tcPr>
          <w:p>
            <w:pPr>
              <w:spacing w:after="0"/>
              <w:rPr>
                <w:sz w:val="19"/>
                <w:szCs w:val="19"/>
                <w:color w:val="auto"/>
              </w:rPr>
            </w:pPr>
          </w:p>
        </w:tc>
        <w:tc>
          <w:tcPr>
            <w:tcW w:w="720" w:type="dxa"/>
            <w:vAlign w:val="bottom"/>
            <w:tcBorders>
              <w:bottom w:val="single" w:sz="8" w:color="E3E4E5"/>
            </w:tcBorders>
          </w:tcPr>
          <w:p>
            <w:pPr>
              <w:spacing w:after="0"/>
              <w:rPr>
                <w:sz w:val="19"/>
                <w:szCs w:val="19"/>
                <w:color w:val="auto"/>
              </w:rPr>
            </w:pPr>
          </w:p>
        </w:tc>
        <w:tc>
          <w:tcPr>
            <w:tcW w:w="560" w:type="dxa"/>
            <w:vAlign w:val="bottom"/>
            <w:tcBorders>
              <w:bottom w:val="single" w:sz="8" w:color="E3E4E5"/>
            </w:tcBorders>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500" w:type="dxa"/>
            <w:vAlign w:val="bottom"/>
            <w:vMerge w:val="continue"/>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2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900" w:type="dxa"/>
            <w:vAlign w:val="bottom"/>
            <w:gridSpan w:val="3"/>
            <w:vMerge w:val="restart"/>
          </w:tcPr>
          <w:p>
            <w:pPr>
              <w:ind w:left="660"/>
              <w:spacing w:after="0"/>
              <w:rPr>
                <w:sz w:val="20"/>
                <w:szCs w:val="20"/>
                <w:color w:val="auto"/>
              </w:rPr>
            </w:pPr>
            <w:r>
              <w:rPr>
                <w:rFonts w:ascii="Calibri" w:cs="Calibri" w:eastAsia="Calibri" w:hAnsi="Calibri"/>
                <w:sz w:val="11"/>
                <w:szCs w:val="11"/>
                <w:color w:val="4C4C4E"/>
                <w:w w:val="98"/>
              </w:rPr>
              <w:t>-20%</w:t>
            </w:r>
          </w:p>
        </w:tc>
        <w:tc>
          <w:tcPr>
            <w:tcW w:w="0" w:type="dxa"/>
            <w:vAlign w:val="bottom"/>
          </w:tcPr>
          <w:p>
            <w:pPr>
              <w:spacing w:after="0"/>
              <w:rPr>
                <w:sz w:val="1"/>
                <w:szCs w:val="1"/>
                <w:color w:val="auto"/>
              </w:rPr>
            </w:pPr>
          </w:p>
        </w:tc>
      </w:tr>
      <w:tr>
        <w:trPr>
          <w:trHeight w:val="93"/>
        </w:trPr>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20" w:type="dxa"/>
            <w:vAlign w:val="bottom"/>
          </w:tcPr>
          <w:p>
            <w:pPr>
              <w:spacing w:after="0"/>
              <w:rPr>
                <w:sz w:val="8"/>
                <w:szCs w:val="8"/>
                <w:color w:val="auto"/>
              </w:rPr>
            </w:pPr>
          </w:p>
        </w:tc>
        <w:tc>
          <w:tcPr>
            <w:tcW w:w="90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500" w:type="dxa"/>
            <w:vAlign w:val="bottom"/>
            <w:vMerge w:val="restart"/>
          </w:tcPr>
          <w:p>
            <w:pPr>
              <w:jc w:val="right"/>
              <w:ind w:right="63"/>
              <w:spacing w:after="0"/>
              <w:rPr>
                <w:sz w:val="20"/>
                <w:szCs w:val="20"/>
                <w:color w:val="auto"/>
              </w:rPr>
            </w:pPr>
            <w:r>
              <w:rPr>
                <w:rFonts w:ascii="Calibri" w:cs="Calibri" w:eastAsia="Calibri" w:hAnsi="Calibri"/>
                <w:sz w:val="11"/>
                <w:szCs w:val="11"/>
                <w:color w:val="4C4C4E"/>
              </w:rPr>
              <w:t>$4,500</w:t>
            </w:r>
          </w:p>
        </w:tc>
        <w:tc>
          <w:tcPr>
            <w:tcW w:w="420" w:type="dxa"/>
            <w:vAlign w:val="bottom"/>
            <w:tcBorders>
              <w:bottom w:val="single" w:sz="8" w:color="E3E4E5"/>
            </w:tcBorders>
          </w:tcPr>
          <w:p>
            <w:pPr>
              <w:spacing w:after="0"/>
              <w:rPr>
                <w:sz w:val="10"/>
                <w:szCs w:val="10"/>
                <w:color w:val="auto"/>
              </w:rPr>
            </w:pPr>
          </w:p>
        </w:tc>
        <w:tc>
          <w:tcPr>
            <w:tcW w:w="240" w:type="dxa"/>
            <w:vAlign w:val="bottom"/>
            <w:tcBorders>
              <w:bottom w:val="single" w:sz="8" w:color="E3E4E5"/>
            </w:tcBorders>
          </w:tcPr>
          <w:p>
            <w:pPr>
              <w:spacing w:after="0"/>
              <w:rPr>
                <w:sz w:val="10"/>
                <w:szCs w:val="10"/>
                <w:color w:val="auto"/>
              </w:rPr>
            </w:pPr>
          </w:p>
        </w:tc>
        <w:tc>
          <w:tcPr>
            <w:tcW w:w="580" w:type="dxa"/>
            <w:vAlign w:val="bottom"/>
            <w:tcBorders>
              <w:bottom w:val="single" w:sz="8" w:color="E3E4E5"/>
            </w:tcBorders>
          </w:tcPr>
          <w:p>
            <w:pPr>
              <w:spacing w:after="0"/>
              <w:rPr>
                <w:sz w:val="10"/>
                <w:szCs w:val="10"/>
                <w:color w:val="auto"/>
              </w:rPr>
            </w:pPr>
          </w:p>
        </w:tc>
        <w:tc>
          <w:tcPr>
            <w:tcW w:w="240" w:type="dxa"/>
            <w:vAlign w:val="bottom"/>
            <w:tcBorders>
              <w:bottom w:val="single" w:sz="8" w:color="E3E4E5"/>
            </w:tcBorders>
          </w:tcPr>
          <w:p>
            <w:pPr>
              <w:spacing w:after="0"/>
              <w:rPr>
                <w:sz w:val="10"/>
                <w:szCs w:val="10"/>
                <w:color w:val="auto"/>
              </w:rPr>
            </w:pPr>
          </w:p>
        </w:tc>
        <w:tc>
          <w:tcPr>
            <w:tcW w:w="520" w:type="dxa"/>
            <w:vAlign w:val="bottom"/>
            <w:tcBorders>
              <w:bottom w:val="single" w:sz="8" w:color="E3E4E5"/>
            </w:tcBorders>
          </w:tcPr>
          <w:p>
            <w:pPr>
              <w:spacing w:after="0"/>
              <w:rPr>
                <w:sz w:val="10"/>
                <w:szCs w:val="10"/>
                <w:color w:val="auto"/>
              </w:rPr>
            </w:pPr>
          </w:p>
        </w:tc>
        <w:tc>
          <w:tcPr>
            <w:tcW w:w="240" w:type="dxa"/>
            <w:vAlign w:val="bottom"/>
            <w:tcBorders>
              <w:bottom w:val="single" w:sz="8" w:color="E3E4E5"/>
            </w:tcBorders>
          </w:tcPr>
          <w:p>
            <w:pPr>
              <w:spacing w:after="0"/>
              <w:rPr>
                <w:sz w:val="10"/>
                <w:szCs w:val="10"/>
                <w:color w:val="auto"/>
              </w:rPr>
            </w:pPr>
          </w:p>
        </w:tc>
        <w:tc>
          <w:tcPr>
            <w:tcW w:w="720" w:type="dxa"/>
            <w:vAlign w:val="bottom"/>
            <w:tcBorders>
              <w:bottom w:val="single" w:sz="8" w:color="E3E4E5"/>
            </w:tcBorders>
          </w:tcPr>
          <w:p>
            <w:pPr>
              <w:spacing w:after="0"/>
              <w:rPr>
                <w:sz w:val="10"/>
                <w:szCs w:val="10"/>
                <w:color w:val="auto"/>
              </w:rPr>
            </w:pPr>
          </w:p>
        </w:tc>
        <w:tc>
          <w:tcPr>
            <w:tcW w:w="560" w:type="dxa"/>
            <w:vAlign w:val="bottom"/>
            <w:tcBorders>
              <w:bottom w:val="single" w:sz="8" w:color="E3E4E5"/>
            </w:tcBorders>
          </w:tcPr>
          <w:p>
            <w:pPr>
              <w:spacing w:after="0"/>
              <w:rPr>
                <w:sz w:val="10"/>
                <w:szCs w:val="10"/>
                <w:color w:val="auto"/>
              </w:rPr>
            </w:pPr>
          </w:p>
        </w:tc>
        <w:tc>
          <w:tcPr>
            <w:tcW w:w="340" w:type="dxa"/>
            <w:vAlign w:val="bottom"/>
            <w:gridSpan w:val="2"/>
            <w:vMerge w:val="restart"/>
          </w:tcPr>
          <w:p>
            <w:pPr>
              <w:ind w:left="100"/>
              <w:spacing w:after="0"/>
              <w:rPr>
                <w:sz w:val="20"/>
                <w:szCs w:val="20"/>
                <w:color w:val="auto"/>
              </w:rPr>
            </w:pPr>
            <w:r>
              <w:rPr>
                <w:rFonts w:ascii="Calibri" w:cs="Calibri" w:eastAsia="Calibri" w:hAnsi="Calibri"/>
                <w:sz w:val="11"/>
                <w:szCs w:val="11"/>
                <w:color w:val="4C4C4E"/>
                <w:w w:val="98"/>
              </w:rPr>
              <w:t>-50%</w:t>
            </w:r>
          </w:p>
        </w:tc>
        <w:tc>
          <w:tcPr>
            <w:tcW w:w="0" w:type="dxa"/>
            <w:vAlign w:val="bottom"/>
          </w:tcPr>
          <w:p>
            <w:pPr>
              <w:spacing w:after="0"/>
              <w:rPr>
                <w:sz w:val="1"/>
                <w:szCs w:val="1"/>
                <w:color w:val="auto"/>
              </w:rPr>
            </w:pPr>
          </w:p>
        </w:tc>
      </w:tr>
      <w:tr>
        <w:trPr>
          <w:trHeight w:val="51"/>
        </w:trPr>
        <w:tc>
          <w:tcPr>
            <w:tcW w:w="500" w:type="dxa"/>
            <w:vAlign w:val="bottom"/>
            <w:vMerge w:val="continue"/>
          </w:tcPr>
          <w:p>
            <w:pPr>
              <w:spacing w:after="0"/>
              <w:rPr>
                <w:sz w:val="4"/>
                <w:szCs w:val="4"/>
                <w:color w:val="auto"/>
              </w:rPr>
            </w:pPr>
          </w:p>
        </w:tc>
        <w:tc>
          <w:tcPr>
            <w:tcW w:w="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2"/>
        </w:trPr>
        <w:tc>
          <w:tcPr>
            <w:tcW w:w="500" w:type="dxa"/>
            <w:vAlign w:val="bottom"/>
            <w:vMerge w:val="restart"/>
          </w:tcPr>
          <w:p>
            <w:pPr>
              <w:jc w:val="right"/>
              <w:ind w:right="63"/>
              <w:spacing w:after="0"/>
              <w:rPr>
                <w:sz w:val="20"/>
                <w:szCs w:val="20"/>
                <w:color w:val="auto"/>
              </w:rPr>
            </w:pPr>
            <w:r>
              <w:rPr>
                <w:rFonts w:ascii="Calibri" w:cs="Calibri" w:eastAsia="Calibri" w:hAnsi="Calibri"/>
                <w:sz w:val="11"/>
                <w:szCs w:val="11"/>
                <w:color w:val="4C4C4E"/>
              </w:rPr>
              <w:t>$2,000</w:t>
            </w:r>
          </w:p>
        </w:tc>
        <w:tc>
          <w:tcPr>
            <w:tcW w:w="420" w:type="dxa"/>
            <w:vAlign w:val="bottom"/>
            <w:tcBorders>
              <w:bottom w:val="single" w:sz="8" w:color="E3E4E5"/>
            </w:tcBorders>
          </w:tcPr>
          <w:p>
            <w:pPr>
              <w:spacing w:after="0"/>
              <w:rPr>
                <w:sz w:val="19"/>
                <w:szCs w:val="19"/>
                <w:color w:val="auto"/>
              </w:rPr>
            </w:pPr>
          </w:p>
        </w:tc>
        <w:tc>
          <w:tcPr>
            <w:tcW w:w="240" w:type="dxa"/>
            <w:vAlign w:val="bottom"/>
            <w:tcBorders>
              <w:bottom w:val="single" w:sz="8" w:color="E3E4E5"/>
            </w:tcBorders>
          </w:tcPr>
          <w:p>
            <w:pPr>
              <w:spacing w:after="0"/>
              <w:rPr>
                <w:sz w:val="19"/>
                <w:szCs w:val="19"/>
                <w:color w:val="auto"/>
              </w:rPr>
            </w:pPr>
          </w:p>
        </w:tc>
        <w:tc>
          <w:tcPr>
            <w:tcW w:w="580" w:type="dxa"/>
            <w:vAlign w:val="bottom"/>
            <w:tcBorders>
              <w:bottom w:val="single" w:sz="8" w:color="E3E4E5"/>
            </w:tcBorders>
          </w:tcPr>
          <w:p>
            <w:pPr>
              <w:spacing w:after="0"/>
              <w:rPr>
                <w:sz w:val="19"/>
                <w:szCs w:val="19"/>
                <w:color w:val="auto"/>
              </w:rPr>
            </w:pPr>
          </w:p>
        </w:tc>
        <w:tc>
          <w:tcPr>
            <w:tcW w:w="240" w:type="dxa"/>
            <w:vAlign w:val="bottom"/>
            <w:tcBorders>
              <w:bottom w:val="single" w:sz="8" w:color="E3E4E5"/>
            </w:tcBorders>
          </w:tcPr>
          <w:p>
            <w:pPr>
              <w:spacing w:after="0"/>
              <w:rPr>
                <w:sz w:val="19"/>
                <w:szCs w:val="19"/>
                <w:color w:val="auto"/>
              </w:rPr>
            </w:pPr>
          </w:p>
        </w:tc>
        <w:tc>
          <w:tcPr>
            <w:tcW w:w="520" w:type="dxa"/>
            <w:vAlign w:val="bottom"/>
            <w:tcBorders>
              <w:bottom w:val="single" w:sz="8" w:color="E3E4E5"/>
            </w:tcBorders>
          </w:tcPr>
          <w:p>
            <w:pPr>
              <w:spacing w:after="0"/>
              <w:rPr>
                <w:sz w:val="19"/>
                <w:szCs w:val="19"/>
                <w:color w:val="auto"/>
              </w:rPr>
            </w:pPr>
          </w:p>
        </w:tc>
        <w:tc>
          <w:tcPr>
            <w:tcW w:w="240" w:type="dxa"/>
            <w:vAlign w:val="bottom"/>
            <w:tcBorders>
              <w:bottom w:val="single" w:sz="8" w:color="E3E4E5"/>
            </w:tcBorders>
          </w:tcPr>
          <w:p>
            <w:pPr>
              <w:spacing w:after="0"/>
              <w:rPr>
                <w:sz w:val="19"/>
                <w:szCs w:val="19"/>
                <w:color w:val="auto"/>
              </w:rPr>
            </w:pPr>
          </w:p>
        </w:tc>
        <w:tc>
          <w:tcPr>
            <w:tcW w:w="720" w:type="dxa"/>
            <w:vAlign w:val="bottom"/>
            <w:tcBorders>
              <w:bottom w:val="single" w:sz="8" w:color="E3E4E5"/>
            </w:tcBorders>
          </w:tcPr>
          <w:p>
            <w:pPr>
              <w:spacing w:after="0"/>
              <w:rPr>
                <w:sz w:val="19"/>
                <w:szCs w:val="19"/>
                <w:color w:val="auto"/>
              </w:rPr>
            </w:pPr>
          </w:p>
        </w:tc>
        <w:tc>
          <w:tcPr>
            <w:tcW w:w="560" w:type="dxa"/>
            <w:vAlign w:val="bottom"/>
            <w:tcBorders>
              <w:bottom w:val="single" w:sz="8" w:color="E3E4E5"/>
            </w:tcBorders>
          </w:tcPr>
          <w:p>
            <w:pPr>
              <w:spacing w:after="0"/>
              <w:rPr>
                <w:sz w:val="19"/>
                <w:szCs w:val="19"/>
                <w:color w:val="auto"/>
              </w:rPr>
            </w:pPr>
          </w:p>
        </w:tc>
        <w:tc>
          <w:tcPr>
            <w:tcW w:w="3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500" w:type="dxa"/>
            <w:vAlign w:val="bottom"/>
            <w:vMerge w:val="continue"/>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2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vMerge w:val="restart"/>
          </w:tcPr>
          <w:p>
            <w:pPr>
              <w:jc w:val="right"/>
              <w:ind w:right="263"/>
              <w:spacing w:after="0"/>
              <w:rPr>
                <w:sz w:val="20"/>
                <w:szCs w:val="20"/>
                <w:color w:val="auto"/>
              </w:rPr>
            </w:pPr>
            <w:r>
              <w:rPr>
                <w:rFonts w:ascii="Calibri" w:cs="Calibri" w:eastAsia="Calibri" w:hAnsi="Calibri"/>
                <w:sz w:val="11"/>
                <w:szCs w:val="11"/>
                <w:color w:val="4C4C4E"/>
                <w:w w:val="98"/>
              </w:rPr>
              <w:t>2025</w:t>
            </w:r>
          </w:p>
        </w:tc>
        <w:tc>
          <w:tcPr>
            <w:tcW w:w="34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1160" w:type="dxa"/>
            <w:vAlign w:val="bottom"/>
            <w:gridSpan w:val="3"/>
          </w:tcPr>
          <w:p>
            <w:pPr>
              <w:jc w:val="right"/>
              <w:ind w:right="100"/>
              <w:spacing w:after="0"/>
              <w:rPr>
                <w:sz w:val="20"/>
                <w:szCs w:val="20"/>
                <w:color w:val="auto"/>
              </w:rPr>
            </w:pPr>
            <w:r>
              <w:rPr>
                <w:rFonts w:ascii="Calibri" w:cs="Calibri" w:eastAsia="Calibri" w:hAnsi="Calibri"/>
                <w:sz w:val="11"/>
                <w:szCs w:val="11"/>
                <w:color w:val="4C4C4E"/>
              </w:rPr>
              <w:t>2021</w:t>
            </w:r>
          </w:p>
        </w:tc>
        <w:tc>
          <w:tcPr>
            <w:tcW w:w="580" w:type="dxa"/>
            <w:vAlign w:val="bottom"/>
          </w:tcPr>
          <w:p>
            <w:pPr>
              <w:jc w:val="right"/>
              <w:spacing w:after="0"/>
              <w:rPr>
                <w:sz w:val="20"/>
                <w:szCs w:val="20"/>
                <w:color w:val="auto"/>
              </w:rPr>
            </w:pPr>
            <w:r>
              <w:rPr>
                <w:rFonts w:ascii="Calibri" w:cs="Calibri" w:eastAsia="Calibri" w:hAnsi="Calibri"/>
                <w:sz w:val="11"/>
                <w:szCs w:val="11"/>
                <w:color w:val="4C4C4E"/>
              </w:rPr>
              <w:t>2022</w:t>
            </w:r>
          </w:p>
        </w:tc>
        <w:tc>
          <w:tcPr>
            <w:tcW w:w="760" w:type="dxa"/>
            <w:vAlign w:val="bottom"/>
            <w:gridSpan w:val="2"/>
          </w:tcPr>
          <w:p>
            <w:pPr>
              <w:jc w:val="right"/>
              <w:ind w:right="65"/>
              <w:spacing w:after="0"/>
              <w:rPr>
                <w:sz w:val="20"/>
                <w:szCs w:val="20"/>
                <w:color w:val="auto"/>
              </w:rPr>
            </w:pPr>
            <w:r>
              <w:rPr>
                <w:rFonts w:ascii="Calibri" w:cs="Calibri" w:eastAsia="Calibri" w:hAnsi="Calibri"/>
                <w:sz w:val="11"/>
                <w:szCs w:val="11"/>
                <w:color w:val="4C4C4E"/>
              </w:rPr>
              <w:t>2023</w:t>
            </w:r>
          </w:p>
        </w:tc>
        <w:tc>
          <w:tcPr>
            <w:tcW w:w="960" w:type="dxa"/>
            <w:vAlign w:val="bottom"/>
            <w:gridSpan w:val="2"/>
          </w:tcPr>
          <w:p>
            <w:pPr>
              <w:jc w:val="right"/>
              <w:ind w:right="365"/>
              <w:spacing w:after="0"/>
              <w:rPr>
                <w:sz w:val="20"/>
                <w:szCs w:val="20"/>
                <w:color w:val="auto"/>
              </w:rPr>
            </w:pPr>
            <w:r>
              <w:rPr>
                <w:rFonts w:ascii="Calibri" w:cs="Calibri" w:eastAsia="Calibri" w:hAnsi="Calibri"/>
                <w:sz w:val="11"/>
                <w:szCs w:val="11"/>
                <w:color w:val="4C4C4E"/>
              </w:rPr>
              <w:t>2024</w:t>
            </w:r>
          </w:p>
        </w:tc>
        <w:tc>
          <w:tcPr>
            <w:tcW w:w="5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5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Borders>
              <w:bottom w:val="single" w:sz="8" w:color="231F20"/>
            </w:tcBorders>
          </w:tcPr>
          <w:p>
            <w:pPr>
              <w:spacing w:after="0"/>
              <w:rPr>
                <w:sz w:val="10"/>
                <w:szCs w:val="10"/>
                <w:color w:val="auto"/>
              </w:rPr>
            </w:pPr>
          </w:p>
        </w:tc>
        <w:tc>
          <w:tcPr>
            <w:tcW w:w="580" w:type="dxa"/>
            <w:vAlign w:val="bottom"/>
            <w:vMerge w:val="restart"/>
          </w:tcPr>
          <w:p>
            <w:pPr>
              <w:jc w:val="right"/>
              <w:ind w:right="104"/>
              <w:spacing w:after="0"/>
              <w:rPr>
                <w:sz w:val="20"/>
                <w:szCs w:val="20"/>
                <w:color w:val="auto"/>
              </w:rPr>
            </w:pPr>
            <w:r>
              <w:rPr>
                <w:rFonts w:ascii="Calibri" w:cs="Calibri" w:eastAsia="Calibri" w:hAnsi="Calibri"/>
                <w:sz w:val="11"/>
                <w:szCs w:val="11"/>
                <w:color w:val="4B4B4D"/>
              </w:rPr>
              <w:t>CEO CAP</w:t>
            </w:r>
          </w:p>
        </w:tc>
        <w:tc>
          <w:tcPr>
            <w:tcW w:w="240" w:type="dxa"/>
            <w:vAlign w:val="bottom"/>
            <w:tcBorders>
              <w:bottom w:val="single" w:sz="8" w:color="EF3E29"/>
            </w:tcBorders>
          </w:tcPr>
          <w:p>
            <w:pPr>
              <w:spacing w:after="0"/>
              <w:rPr>
                <w:sz w:val="10"/>
                <w:szCs w:val="10"/>
                <w:color w:val="auto"/>
              </w:rPr>
            </w:pPr>
          </w:p>
        </w:tc>
        <w:tc>
          <w:tcPr>
            <w:tcW w:w="520" w:type="dxa"/>
            <w:vAlign w:val="bottom"/>
            <w:vMerge w:val="restart"/>
          </w:tcPr>
          <w:p>
            <w:pPr>
              <w:jc w:val="right"/>
              <w:ind w:right="105"/>
              <w:spacing w:after="0"/>
              <w:rPr>
                <w:sz w:val="20"/>
                <w:szCs w:val="20"/>
                <w:color w:val="auto"/>
              </w:rPr>
            </w:pPr>
            <w:r>
              <w:rPr>
                <w:rFonts w:ascii="Calibri" w:cs="Calibri" w:eastAsia="Calibri" w:hAnsi="Calibri"/>
                <w:sz w:val="11"/>
                <w:szCs w:val="11"/>
                <w:color w:val="4B4B4D"/>
                <w:w w:val="96"/>
              </w:rPr>
              <w:t>FRT TSR</w:t>
            </w:r>
          </w:p>
        </w:tc>
        <w:tc>
          <w:tcPr>
            <w:tcW w:w="240" w:type="dxa"/>
            <w:vAlign w:val="bottom"/>
            <w:tcBorders>
              <w:bottom w:val="single" w:sz="8" w:color="B6B8BA"/>
            </w:tcBorders>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Calibri" w:cs="Calibri" w:eastAsia="Calibri" w:hAnsi="Calibri"/>
                <w:sz w:val="11"/>
                <w:szCs w:val="11"/>
                <w:color w:val="4B4B4D"/>
              </w:rPr>
              <w:t>BBRESHOP TSR</w:t>
            </w: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
        </w:trPr>
        <w:tc>
          <w:tcPr>
            <w:tcW w:w="500" w:type="dxa"/>
            <w:vAlign w:val="bottom"/>
          </w:tcPr>
          <w:p>
            <w:pPr>
              <w:spacing w:after="0"/>
              <w:rPr>
                <w:sz w:val="4"/>
                <w:szCs w:val="4"/>
                <w:color w:val="auto"/>
              </w:rPr>
            </w:pPr>
          </w:p>
        </w:tc>
        <w:tc>
          <w:tcPr>
            <w:tcW w:w="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8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52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319"/>
        </w:trPr>
        <w:tc>
          <w:tcPr>
            <w:tcW w:w="560" w:type="dxa"/>
            <w:vAlign w:val="bottom"/>
            <w:tcBorders>
              <w:top w:val="single" w:sz="8" w:color="E3E4E5"/>
              <w:left w:val="single" w:sz="8" w:color="E3E4E5"/>
            </w:tcBorders>
          </w:tcPr>
          <w:p>
            <w:pPr>
              <w:spacing w:after="0"/>
              <w:rPr>
                <w:sz w:val="24"/>
                <w:szCs w:val="24"/>
                <w:color w:val="auto"/>
              </w:rPr>
            </w:pPr>
          </w:p>
        </w:tc>
        <w:tc>
          <w:tcPr>
            <w:tcW w:w="3980" w:type="dxa"/>
            <w:vAlign w:val="bottom"/>
            <w:tcBorders>
              <w:top w:val="single" w:sz="8" w:color="E3E4E5"/>
              <w:right w:val="single" w:sz="8" w:color="E3E4E5"/>
            </w:tcBorders>
            <w:gridSpan w:val="9"/>
          </w:tcPr>
          <w:p>
            <w:pPr>
              <w:ind w:left="180"/>
              <w:spacing w:after="0"/>
              <w:rPr>
                <w:sz w:val="20"/>
                <w:szCs w:val="20"/>
                <w:color w:val="auto"/>
              </w:rPr>
            </w:pPr>
            <w:r>
              <w:rPr>
                <w:rFonts w:ascii="Calibri" w:cs="Calibri" w:eastAsia="Calibri" w:hAnsi="Calibri"/>
                <w:sz w:val="18"/>
                <w:szCs w:val="18"/>
                <w:color w:val="231F20"/>
              </w:rPr>
              <w:t>Avg NEO Compensation Actually Paid v. TSR</w:t>
            </w:r>
          </w:p>
        </w:tc>
        <w:tc>
          <w:tcPr>
            <w:tcW w:w="0" w:type="dxa"/>
            <w:vAlign w:val="bottom"/>
          </w:tcPr>
          <w:p>
            <w:pPr>
              <w:spacing w:after="0"/>
              <w:rPr>
                <w:sz w:val="1"/>
                <w:szCs w:val="1"/>
                <w:color w:val="auto"/>
              </w:rPr>
            </w:pPr>
          </w:p>
        </w:tc>
      </w:tr>
      <w:tr>
        <w:trPr>
          <w:trHeight w:val="145"/>
        </w:trPr>
        <w:tc>
          <w:tcPr>
            <w:tcW w:w="560" w:type="dxa"/>
            <w:vAlign w:val="bottom"/>
            <w:tcBorders>
              <w:left w:val="single" w:sz="8" w:color="E3E4E5"/>
            </w:tcBorders>
            <w:vMerge w:val="restart"/>
          </w:tcPr>
          <w:p>
            <w:pPr>
              <w:jc w:val="right"/>
              <w:ind w:right="83"/>
              <w:spacing w:after="0"/>
              <w:rPr>
                <w:sz w:val="20"/>
                <w:szCs w:val="20"/>
                <w:color w:val="auto"/>
              </w:rPr>
            </w:pPr>
            <w:r>
              <w:rPr>
                <w:rFonts w:ascii="Calibri" w:cs="Calibri" w:eastAsia="Calibri" w:hAnsi="Calibri"/>
                <w:sz w:val="11"/>
                <w:szCs w:val="11"/>
                <w:color w:val="4C4C4E"/>
              </w:rPr>
              <w:t>$4,000</w:t>
            </w:r>
          </w:p>
        </w:tc>
        <w:tc>
          <w:tcPr>
            <w:tcW w:w="320" w:type="dxa"/>
            <w:vAlign w:val="bottom"/>
            <w:tcBorders>
              <w:bottom w:val="single" w:sz="8" w:color="E3E4E5"/>
            </w:tcBorders>
          </w:tcPr>
          <w:p>
            <w:pPr>
              <w:spacing w:after="0"/>
              <w:rPr>
                <w:sz w:val="12"/>
                <w:szCs w:val="12"/>
                <w:color w:val="auto"/>
              </w:rPr>
            </w:pPr>
          </w:p>
        </w:tc>
        <w:tc>
          <w:tcPr>
            <w:tcW w:w="240" w:type="dxa"/>
            <w:vAlign w:val="bottom"/>
            <w:tcBorders>
              <w:bottom w:val="single" w:sz="8" w:color="E3E4E5"/>
            </w:tcBorders>
          </w:tcPr>
          <w:p>
            <w:pPr>
              <w:spacing w:after="0"/>
              <w:rPr>
                <w:sz w:val="12"/>
                <w:szCs w:val="12"/>
                <w:color w:val="auto"/>
              </w:rPr>
            </w:pPr>
          </w:p>
        </w:tc>
        <w:tc>
          <w:tcPr>
            <w:tcW w:w="820" w:type="dxa"/>
            <w:vAlign w:val="bottom"/>
            <w:tcBorders>
              <w:bottom w:val="single" w:sz="8" w:color="E3E4E5"/>
            </w:tcBorders>
          </w:tcPr>
          <w:p>
            <w:pPr>
              <w:spacing w:after="0"/>
              <w:rPr>
                <w:sz w:val="12"/>
                <w:szCs w:val="12"/>
                <w:color w:val="auto"/>
              </w:rPr>
            </w:pPr>
          </w:p>
        </w:tc>
        <w:tc>
          <w:tcPr>
            <w:tcW w:w="260" w:type="dxa"/>
            <w:vAlign w:val="bottom"/>
            <w:tcBorders>
              <w:bottom w:val="single" w:sz="8" w:color="E3E4E5"/>
            </w:tcBorders>
          </w:tcPr>
          <w:p>
            <w:pPr>
              <w:spacing w:after="0"/>
              <w:rPr>
                <w:sz w:val="12"/>
                <w:szCs w:val="12"/>
                <w:color w:val="auto"/>
              </w:rPr>
            </w:pPr>
          </w:p>
        </w:tc>
        <w:tc>
          <w:tcPr>
            <w:tcW w:w="540" w:type="dxa"/>
            <w:vAlign w:val="bottom"/>
            <w:tcBorders>
              <w:bottom w:val="single" w:sz="8" w:color="E3E4E5"/>
            </w:tcBorders>
          </w:tcPr>
          <w:p>
            <w:pPr>
              <w:spacing w:after="0"/>
              <w:rPr>
                <w:sz w:val="12"/>
                <w:szCs w:val="12"/>
                <w:color w:val="auto"/>
              </w:rPr>
            </w:pPr>
          </w:p>
        </w:tc>
        <w:tc>
          <w:tcPr>
            <w:tcW w:w="240" w:type="dxa"/>
            <w:vAlign w:val="bottom"/>
            <w:tcBorders>
              <w:bottom w:val="single" w:sz="8" w:color="E3E4E5"/>
            </w:tcBorders>
          </w:tcPr>
          <w:p>
            <w:pPr>
              <w:spacing w:after="0"/>
              <w:rPr>
                <w:sz w:val="12"/>
                <w:szCs w:val="12"/>
                <w:color w:val="auto"/>
              </w:rPr>
            </w:pPr>
          </w:p>
        </w:tc>
        <w:tc>
          <w:tcPr>
            <w:tcW w:w="360" w:type="dxa"/>
            <w:vAlign w:val="bottom"/>
            <w:tcBorders>
              <w:bottom w:val="single" w:sz="8" w:color="E3E4E5"/>
            </w:tcBorders>
          </w:tcPr>
          <w:p>
            <w:pPr>
              <w:spacing w:after="0"/>
              <w:rPr>
                <w:sz w:val="12"/>
                <w:szCs w:val="12"/>
                <w:color w:val="auto"/>
              </w:rPr>
            </w:pPr>
          </w:p>
        </w:tc>
        <w:tc>
          <w:tcPr>
            <w:tcW w:w="760" w:type="dxa"/>
            <w:vAlign w:val="bottom"/>
            <w:tcBorders>
              <w:bottom w:val="single" w:sz="8" w:color="E3E4E5"/>
            </w:tcBorders>
          </w:tcPr>
          <w:p>
            <w:pPr>
              <w:spacing w:after="0"/>
              <w:rPr>
                <w:sz w:val="12"/>
                <w:szCs w:val="12"/>
                <w:color w:val="auto"/>
              </w:rPr>
            </w:pPr>
          </w:p>
        </w:tc>
        <w:tc>
          <w:tcPr>
            <w:tcW w:w="440" w:type="dxa"/>
            <w:vAlign w:val="bottom"/>
            <w:tcBorders>
              <w:right w:val="single" w:sz="8" w:color="E3E4E5"/>
            </w:tcBorders>
            <w:vMerge w:val="restart"/>
          </w:tcPr>
          <w:p>
            <w:pPr>
              <w:ind w:left="120"/>
              <w:spacing w:after="0"/>
              <w:rPr>
                <w:sz w:val="20"/>
                <w:szCs w:val="20"/>
                <w:color w:val="auto"/>
              </w:rPr>
            </w:pPr>
            <w:r>
              <w:rPr>
                <w:rFonts w:ascii="Calibri" w:cs="Calibri" w:eastAsia="Calibri" w:hAnsi="Calibri"/>
                <w:sz w:val="11"/>
                <w:szCs w:val="11"/>
                <w:b w:val="1"/>
                <w:bCs w:val="1"/>
                <w:color w:val="4C4C4E"/>
              </w:rPr>
              <w:t>30%</w:t>
            </w:r>
          </w:p>
        </w:tc>
        <w:tc>
          <w:tcPr>
            <w:tcW w:w="0" w:type="dxa"/>
            <w:vAlign w:val="bottom"/>
          </w:tcPr>
          <w:p>
            <w:pPr>
              <w:spacing w:after="0"/>
              <w:rPr>
                <w:sz w:val="1"/>
                <w:szCs w:val="1"/>
                <w:color w:val="auto"/>
              </w:rPr>
            </w:pPr>
          </w:p>
        </w:tc>
      </w:tr>
      <w:tr>
        <w:trPr>
          <w:trHeight w:val="47"/>
        </w:trPr>
        <w:tc>
          <w:tcPr>
            <w:tcW w:w="560" w:type="dxa"/>
            <w:vAlign w:val="bottom"/>
            <w:tcBorders>
              <w:left w:val="single" w:sz="8" w:color="E3E4E5"/>
            </w:tcBorders>
            <w:vMerge w:val="continue"/>
          </w:tcPr>
          <w:p>
            <w:pPr>
              <w:spacing w:after="0"/>
              <w:rPr>
                <w:sz w:val="4"/>
                <w:szCs w:val="4"/>
                <w:color w:val="auto"/>
              </w:rPr>
            </w:pPr>
          </w:p>
        </w:tc>
        <w:tc>
          <w:tcPr>
            <w:tcW w:w="3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60" w:type="dxa"/>
            <w:vAlign w:val="bottom"/>
          </w:tcPr>
          <w:p>
            <w:pPr>
              <w:spacing w:after="0"/>
              <w:rPr>
                <w:sz w:val="4"/>
                <w:szCs w:val="4"/>
                <w:color w:val="auto"/>
              </w:rPr>
            </w:pPr>
          </w:p>
        </w:tc>
        <w:tc>
          <w:tcPr>
            <w:tcW w:w="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Borders>
              <w:right w:val="single" w:sz="8" w:color="E3E4E5"/>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560" w:type="dxa"/>
            <w:vAlign w:val="bottom"/>
            <w:tcBorders>
              <w:left w:val="single" w:sz="8" w:color="E3E4E5"/>
            </w:tcBorders>
            <w:vMerge w:val="restart"/>
          </w:tcPr>
          <w:p>
            <w:pPr>
              <w:jc w:val="right"/>
              <w:ind w:right="83"/>
              <w:spacing w:after="0"/>
              <w:rPr>
                <w:sz w:val="20"/>
                <w:szCs w:val="20"/>
                <w:color w:val="auto"/>
              </w:rPr>
            </w:pPr>
            <w:r>
              <w:rPr>
                <w:rFonts w:ascii="Calibri" w:cs="Calibri" w:eastAsia="Calibri" w:hAnsi="Calibri"/>
                <w:sz w:val="11"/>
                <w:szCs w:val="11"/>
                <w:color w:val="4C4C4E"/>
              </w:rPr>
              <w:t>$3,500</w:t>
            </w:r>
          </w:p>
        </w:tc>
        <w:tc>
          <w:tcPr>
            <w:tcW w:w="320" w:type="dxa"/>
            <w:vAlign w:val="bottom"/>
            <w:tcBorders>
              <w:bottom w:val="single" w:sz="8" w:color="E3E4E5"/>
            </w:tcBorders>
          </w:tcPr>
          <w:p>
            <w:pPr>
              <w:spacing w:after="0"/>
              <w:rPr>
                <w:sz w:val="13"/>
                <w:szCs w:val="13"/>
                <w:color w:val="auto"/>
              </w:rPr>
            </w:pPr>
          </w:p>
        </w:tc>
        <w:tc>
          <w:tcPr>
            <w:tcW w:w="240" w:type="dxa"/>
            <w:vAlign w:val="bottom"/>
            <w:tcBorders>
              <w:bottom w:val="single" w:sz="8" w:color="E3E4E5"/>
            </w:tcBorders>
          </w:tcPr>
          <w:p>
            <w:pPr>
              <w:spacing w:after="0"/>
              <w:rPr>
                <w:sz w:val="13"/>
                <w:szCs w:val="13"/>
                <w:color w:val="auto"/>
              </w:rPr>
            </w:pPr>
          </w:p>
        </w:tc>
        <w:tc>
          <w:tcPr>
            <w:tcW w:w="820" w:type="dxa"/>
            <w:vAlign w:val="bottom"/>
            <w:tcBorders>
              <w:bottom w:val="single" w:sz="8" w:color="E3E4E5"/>
            </w:tcBorders>
          </w:tcPr>
          <w:p>
            <w:pPr>
              <w:spacing w:after="0"/>
              <w:rPr>
                <w:sz w:val="13"/>
                <w:szCs w:val="13"/>
                <w:color w:val="auto"/>
              </w:rPr>
            </w:pPr>
          </w:p>
        </w:tc>
        <w:tc>
          <w:tcPr>
            <w:tcW w:w="260" w:type="dxa"/>
            <w:vAlign w:val="bottom"/>
            <w:tcBorders>
              <w:bottom w:val="single" w:sz="8" w:color="E3E4E5"/>
            </w:tcBorders>
          </w:tcPr>
          <w:p>
            <w:pPr>
              <w:spacing w:after="0"/>
              <w:rPr>
                <w:sz w:val="13"/>
                <w:szCs w:val="13"/>
                <w:color w:val="auto"/>
              </w:rPr>
            </w:pPr>
          </w:p>
        </w:tc>
        <w:tc>
          <w:tcPr>
            <w:tcW w:w="540" w:type="dxa"/>
            <w:vAlign w:val="bottom"/>
            <w:tcBorders>
              <w:bottom w:val="single" w:sz="8" w:color="E3E4E5"/>
            </w:tcBorders>
          </w:tcPr>
          <w:p>
            <w:pPr>
              <w:spacing w:after="0"/>
              <w:rPr>
                <w:sz w:val="13"/>
                <w:szCs w:val="13"/>
                <w:color w:val="auto"/>
              </w:rPr>
            </w:pPr>
          </w:p>
        </w:tc>
        <w:tc>
          <w:tcPr>
            <w:tcW w:w="240" w:type="dxa"/>
            <w:vAlign w:val="bottom"/>
            <w:tcBorders>
              <w:bottom w:val="single" w:sz="8" w:color="E3E4E5"/>
            </w:tcBorders>
          </w:tcPr>
          <w:p>
            <w:pPr>
              <w:spacing w:after="0"/>
              <w:rPr>
                <w:sz w:val="13"/>
                <w:szCs w:val="13"/>
                <w:color w:val="auto"/>
              </w:rPr>
            </w:pPr>
          </w:p>
        </w:tc>
        <w:tc>
          <w:tcPr>
            <w:tcW w:w="360" w:type="dxa"/>
            <w:vAlign w:val="bottom"/>
            <w:tcBorders>
              <w:bottom w:val="single" w:sz="8" w:color="E3E4E5"/>
            </w:tcBorders>
          </w:tcPr>
          <w:p>
            <w:pPr>
              <w:spacing w:after="0"/>
              <w:rPr>
                <w:sz w:val="13"/>
                <w:szCs w:val="13"/>
                <w:color w:val="auto"/>
              </w:rPr>
            </w:pPr>
          </w:p>
        </w:tc>
        <w:tc>
          <w:tcPr>
            <w:tcW w:w="760" w:type="dxa"/>
            <w:vAlign w:val="bottom"/>
            <w:tcBorders>
              <w:bottom w:val="single" w:sz="8" w:color="E3E4E5"/>
            </w:tcBorders>
          </w:tcPr>
          <w:p>
            <w:pPr>
              <w:spacing w:after="0"/>
              <w:rPr>
                <w:sz w:val="13"/>
                <w:szCs w:val="13"/>
                <w:color w:val="auto"/>
              </w:rPr>
            </w:pPr>
          </w:p>
        </w:tc>
        <w:tc>
          <w:tcPr>
            <w:tcW w:w="440" w:type="dxa"/>
            <w:vAlign w:val="bottom"/>
            <w:tcBorders>
              <w:right w:val="single" w:sz="8" w:color="E3E4E5"/>
            </w:tcBorders>
          </w:tcPr>
          <w:p>
            <w:pPr>
              <w:ind w:left="120"/>
              <w:spacing w:after="0"/>
              <w:rPr>
                <w:sz w:val="20"/>
                <w:szCs w:val="20"/>
                <w:color w:val="auto"/>
              </w:rPr>
            </w:pPr>
            <w:r>
              <w:rPr>
                <w:rFonts w:ascii="Calibri" w:cs="Calibri" w:eastAsia="Calibri" w:hAnsi="Calibri"/>
                <w:sz w:val="11"/>
                <w:szCs w:val="11"/>
                <w:color w:val="4C4C4E"/>
              </w:rPr>
              <w:t>25%</w:t>
            </w:r>
          </w:p>
        </w:tc>
        <w:tc>
          <w:tcPr>
            <w:tcW w:w="0" w:type="dxa"/>
            <w:vAlign w:val="bottom"/>
          </w:tcPr>
          <w:p>
            <w:pPr>
              <w:spacing w:after="0"/>
              <w:rPr>
                <w:sz w:val="1"/>
                <w:szCs w:val="1"/>
                <w:color w:val="auto"/>
              </w:rPr>
            </w:pPr>
          </w:p>
        </w:tc>
      </w:tr>
      <w:tr>
        <w:trPr>
          <w:trHeight w:val="47"/>
        </w:trPr>
        <w:tc>
          <w:tcPr>
            <w:tcW w:w="560" w:type="dxa"/>
            <w:vAlign w:val="bottom"/>
            <w:tcBorders>
              <w:left w:val="single" w:sz="8" w:color="E3E4E5"/>
            </w:tcBorders>
            <w:vMerge w:val="continue"/>
          </w:tcPr>
          <w:p>
            <w:pPr>
              <w:spacing w:after="0"/>
              <w:rPr>
                <w:sz w:val="4"/>
                <w:szCs w:val="4"/>
                <w:color w:val="auto"/>
              </w:rPr>
            </w:pPr>
          </w:p>
        </w:tc>
        <w:tc>
          <w:tcPr>
            <w:tcW w:w="3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60" w:type="dxa"/>
            <w:vAlign w:val="bottom"/>
          </w:tcPr>
          <w:p>
            <w:pPr>
              <w:spacing w:after="0"/>
              <w:rPr>
                <w:sz w:val="4"/>
                <w:szCs w:val="4"/>
                <w:color w:val="auto"/>
              </w:rPr>
            </w:pPr>
          </w:p>
        </w:tc>
        <w:tc>
          <w:tcPr>
            <w:tcW w:w="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0" w:type="dxa"/>
            <w:vAlign w:val="bottom"/>
            <w:tcBorders>
              <w:right w:val="single" w:sz="8" w:color="E3E4E5"/>
            </w:tcBorders>
            <w:gridSpan w:val="2"/>
            <w:vMerge w:val="restart"/>
          </w:tcPr>
          <w:p>
            <w:pPr>
              <w:ind w:left="880"/>
              <w:spacing w:after="0"/>
              <w:rPr>
                <w:sz w:val="20"/>
                <w:szCs w:val="20"/>
                <w:color w:val="auto"/>
              </w:rPr>
            </w:pPr>
            <w:r>
              <w:rPr>
                <w:rFonts w:ascii="Calibri" w:cs="Calibri" w:eastAsia="Calibri" w:hAnsi="Calibri"/>
                <w:sz w:val="11"/>
                <w:szCs w:val="11"/>
                <w:color w:val="4C4C4E"/>
              </w:rPr>
              <w:t>20%</w:t>
            </w:r>
          </w:p>
        </w:tc>
        <w:tc>
          <w:tcPr>
            <w:tcW w:w="0" w:type="dxa"/>
            <w:vAlign w:val="bottom"/>
          </w:tcPr>
          <w:p>
            <w:pPr>
              <w:spacing w:after="0"/>
              <w:rPr>
                <w:sz w:val="1"/>
                <w:szCs w:val="1"/>
                <w:color w:val="auto"/>
              </w:rPr>
            </w:pPr>
          </w:p>
        </w:tc>
      </w:tr>
      <w:tr>
        <w:trPr>
          <w:trHeight w:val="124"/>
        </w:trPr>
        <w:tc>
          <w:tcPr>
            <w:tcW w:w="560" w:type="dxa"/>
            <w:vAlign w:val="bottom"/>
            <w:tcBorders>
              <w:left w:val="single" w:sz="8" w:color="E3E4E5"/>
            </w:tcBorders>
            <w:vMerge w:val="restart"/>
          </w:tcPr>
          <w:p>
            <w:pPr>
              <w:jc w:val="right"/>
              <w:ind w:right="83"/>
              <w:spacing w:after="0"/>
              <w:rPr>
                <w:sz w:val="20"/>
                <w:szCs w:val="20"/>
                <w:color w:val="auto"/>
              </w:rPr>
            </w:pPr>
            <w:r>
              <w:rPr>
                <w:rFonts w:ascii="Calibri" w:cs="Calibri" w:eastAsia="Calibri" w:hAnsi="Calibri"/>
                <w:sz w:val="11"/>
                <w:szCs w:val="11"/>
                <w:color w:val="4C4C4E"/>
              </w:rPr>
              <w:t>$3,000</w:t>
            </w:r>
          </w:p>
        </w:tc>
        <w:tc>
          <w:tcPr>
            <w:tcW w:w="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0" w:type="dxa"/>
            <w:vAlign w:val="bottom"/>
            <w:tcBorders>
              <w:right w:val="single" w:sz="8" w:color="E3E4E5"/>
            </w:tcBorders>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2"/>
        </w:trPr>
        <w:tc>
          <w:tcPr>
            <w:tcW w:w="560" w:type="dxa"/>
            <w:vAlign w:val="bottom"/>
            <w:tcBorders>
              <w:left w:val="single" w:sz="8" w:color="E3E4E5"/>
            </w:tcBorders>
            <w:vMerge w:val="continue"/>
          </w:tcPr>
          <w:p>
            <w:pPr>
              <w:spacing w:after="0"/>
              <w:rPr>
                <w:sz w:val="2"/>
                <w:szCs w:val="2"/>
                <w:color w:val="auto"/>
              </w:rPr>
            </w:pPr>
          </w:p>
        </w:tc>
        <w:tc>
          <w:tcPr>
            <w:tcW w:w="320" w:type="dxa"/>
            <w:vAlign w:val="bottom"/>
            <w:tcBorders>
              <w:bottom w:val="single" w:sz="8" w:color="E3E4E5"/>
            </w:tcBorders>
          </w:tcPr>
          <w:p>
            <w:pPr>
              <w:spacing w:after="0"/>
              <w:rPr>
                <w:sz w:val="2"/>
                <w:szCs w:val="2"/>
                <w:color w:val="auto"/>
              </w:rPr>
            </w:pPr>
          </w:p>
        </w:tc>
        <w:tc>
          <w:tcPr>
            <w:tcW w:w="240" w:type="dxa"/>
            <w:vAlign w:val="bottom"/>
            <w:tcBorders>
              <w:bottom w:val="single" w:sz="8" w:color="E3E4E5"/>
            </w:tcBorders>
          </w:tcPr>
          <w:p>
            <w:pPr>
              <w:spacing w:after="0"/>
              <w:rPr>
                <w:sz w:val="2"/>
                <w:szCs w:val="2"/>
                <w:color w:val="auto"/>
              </w:rPr>
            </w:pPr>
          </w:p>
        </w:tc>
        <w:tc>
          <w:tcPr>
            <w:tcW w:w="820" w:type="dxa"/>
            <w:vAlign w:val="bottom"/>
            <w:tcBorders>
              <w:bottom w:val="single" w:sz="8" w:color="E3E4E5"/>
            </w:tcBorders>
          </w:tcPr>
          <w:p>
            <w:pPr>
              <w:spacing w:after="0"/>
              <w:rPr>
                <w:sz w:val="2"/>
                <w:szCs w:val="2"/>
                <w:color w:val="auto"/>
              </w:rPr>
            </w:pPr>
          </w:p>
        </w:tc>
        <w:tc>
          <w:tcPr>
            <w:tcW w:w="260" w:type="dxa"/>
            <w:vAlign w:val="bottom"/>
            <w:tcBorders>
              <w:bottom w:val="single" w:sz="8" w:color="E3E4E5"/>
            </w:tcBorders>
          </w:tcPr>
          <w:p>
            <w:pPr>
              <w:spacing w:after="0"/>
              <w:rPr>
                <w:sz w:val="2"/>
                <w:szCs w:val="2"/>
                <w:color w:val="auto"/>
              </w:rPr>
            </w:pPr>
          </w:p>
        </w:tc>
        <w:tc>
          <w:tcPr>
            <w:tcW w:w="540" w:type="dxa"/>
            <w:vAlign w:val="bottom"/>
            <w:tcBorders>
              <w:bottom w:val="single" w:sz="8" w:color="E3E4E5"/>
            </w:tcBorders>
          </w:tcPr>
          <w:p>
            <w:pPr>
              <w:spacing w:after="0"/>
              <w:rPr>
                <w:sz w:val="2"/>
                <w:szCs w:val="2"/>
                <w:color w:val="auto"/>
              </w:rPr>
            </w:pPr>
          </w:p>
        </w:tc>
        <w:tc>
          <w:tcPr>
            <w:tcW w:w="240" w:type="dxa"/>
            <w:vAlign w:val="bottom"/>
            <w:tcBorders>
              <w:bottom w:val="single" w:sz="8" w:color="E3E4E5"/>
            </w:tcBorders>
          </w:tcPr>
          <w:p>
            <w:pPr>
              <w:spacing w:after="0"/>
              <w:rPr>
                <w:sz w:val="2"/>
                <w:szCs w:val="2"/>
                <w:color w:val="auto"/>
              </w:rPr>
            </w:pPr>
          </w:p>
        </w:tc>
        <w:tc>
          <w:tcPr>
            <w:tcW w:w="360" w:type="dxa"/>
            <w:vAlign w:val="bottom"/>
            <w:tcBorders>
              <w:bottom w:val="single" w:sz="8" w:color="E3E4E5"/>
            </w:tcBorders>
          </w:tcPr>
          <w:p>
            <w:pPr>
              <w:spacing w:after="0"/>
              <w:rPr>
                <w:sz w:val="2"/>
                <w:szCs w:val="2"/>
                <w:color w:val="auto"/>
              </w:rPr>
            </w:pPr>
          </w:p>
        </w:tc>
        <w:tc>
          <w:tcPr>
            <w:tcW w:w="760" w:type="dxa"/>
            <w:vAlign w:val="bottom"/>
            <w:tcBorders>
              <w:bottom w:val="single" w:sz="8" w:color="E3E4E5"/>
            </w:tcBorders>
          </w:tcPr>
          <w:p>
            <w:pPr>
              <w:spacing w:after="0"/>
              <w:rPr>
                <w:sz w:val="2"/>
                <w:szCs w:val="2"/>
                <w:color w:val="auto"/>
              </w:rPr>
            </w:pPr>
          </w:p>
        </w:tc>
        <w:tc>
          <w:tcPr>
            <w:tcW w:w="440" w:type="dxa"/>
            <w:vAlign w:val="bottom"/>
            <w:tcBorders>
              <w:right w:val="single" w:sz="8" w:color="E3E4E5"/>
            </w:tcBorders>
          </w:tcPr>
          <w:p>
            <w:pPr>
              <w:spacing w:after="0"/>
              <w:rPr>
                <w:sz w:val="2"/>
                <w:szCs w:val="2"/>
                <w:color w:val="auto"/>
              </w:rPr>
            </w:pPr>
          </w:p>
        </w:tc>
        <w:tc>
          <w:tcPr>
            <w:tcW w:w="0" w:type="dxa"/>
            <w:vAlign w:val="bottom"/>
          </w:tcPr>
          <w:p>
            <w:pPr>
              <w:spacing w:after="0"/>
              <w:rPr>
                <w:sz w:val="1"/>
                <w:szCs w:val="1"/>
                <w:color w:val="auto"/>
              </w:rPr>
            </w:pPr>
          </w:p>
        </w:tc>
      </w:tr>
      <w:tr>
        <w:trPr>
          <w:trHeight w:val="47"/>
        </w:trPr>
        <w:tc>
          <w:tcPr>
            <w:tcW w:w="560" w:type="dxa"/>
            <w:vAlign w:val="bottom"/>
            <w:tcBorders>
              <w:left w:val="single" w:sz="8" w:color="E3E4E5"/>
            </w:tcBorders>
            <w:vMerge w:val="continue"/>
          </w:tcPr>
          <w:p>
            <w:pPr>
              <w:spacing w:after="0"/>
              <w:rPr>
                <w:sz w:val="4"/>
                <w:szCs w:val="4"/>
                <w:color w:val="auto"/>
              </w:rPr>
            </w:pPr>
          </w:p>
        </w:tc>
        <w:tc>
          <w:tcPr>
            <w:tcW w:w="3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60" w:type="dxa"/>
            <w:vAlign w:val="bottom"/>
          </w:tcPr>
          <w:p>
            <w:pPr>
              <w:spacing w:after="0"/>
              <w:rPr>
                <w:sz w:val="4"/>
                <w:szCs w:val="4"/>
                <w:color w:val="auto"/>
              </w:rPr>
            </w:pPr>
          </w:p>
        </w:tc>
        <w:tc>
          <w:tcPr>
            <w:tcW w:w="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0" w:type="dxa"/>
            <w:vAlign w:val="bottom"/>
            <w:tcBorders>
              <w:right w:val="single" w:sz="8" w:color="E3E4E5"/>
            </w:tcBorders>
            <w:gridSpan w:val="2"/>
            <w:vMerge w:val="restart"/>
          </w:tcPr>
          <w:p>
            <w:pPr>
              <w:ind w:left="880"/>
              <w:spacing w:after="0"/>
              <w:rPr>
                <w:sz w:val="20"/>
                <w:szCs w:val="20"/>
                <w:color w:val="auto"/>
              </w:rPr>
            </w:pPr>
            <w:r>
              <w:rPr>
                <w:rFonts w:ascii="Calibri" w:cs="Calibri" w:eastAsia="Calibri" w:hAnsi="Calibri"/>
                <w:sz w:val="11"/>
                <w:szCs w:val="11"/>
                <w:color w:val="4C4C4E"/>
              </w:rPr>
              <w:t>15%</w:t>
            </w:r>
          </w:p>
        </w:tc>
        <w:tc>
          <w:tcPr>
            <w:tcW w:w="0" w:type="dxa"/>
            <w:vAlign w:val="bottom"/>
          </w:tcPr>
          <w:p>
            <w:pPr>
              <w:spacing w:after="0"/>
              <w:rPr>
                <w:sz w:val="1"/>
                <w:szCs w:val="1"/>
                <w:color w:val="auto"/>
              </w:rPr>
            </w:pPr>
          </w:p>
        </w:tc>
      </w:tr>
      <w:tr>
        <w:trPr>
          <w:trHeight w:val="91"/>
        </w:trPr>
        <w:tc>
          <w:tcPr>
            <w:tcW w:w="560" w:type="dxa"/>
            <w:vAlign w:val="bottom"/>
            <w:tcBorders>
              <w:left w:val="single" w:sz="8" w:color="E3E4E5"/>
            </w:tcBorders>
            <w:vMerge w:val="restart"/>
          </w:tcPr>
          <w:p>
            <w:pPr>
              <w:jc w:val="right"/>
              <w:ind w:right="83"/>
              <w:spacing w:after="0"/>
              <w:rPr>
                <w:sz w:val="20"/>
                <w:szCs w:val="20"/>
                <w:color w:val="auto"/>
              </w:rPr>
            </w:pPr>
            <w:r>
              <w:rPr>
                <w:rFonts w:ascii="Calibri" w:cs="Calibri" w:eastAsia="Calibri" w:hAnsi="Calibri"/>
                <w:sz w:val="11"/>
                <w:szCs w:val="11"/>
                <w:color w:val="4C4C4E"/>
              </w:rPr>
              <w:t>$2,500</w:t>
            </w:r>
          </w:p>
        </w:tc>
        <w:tc>
          <w:tcPr>
            <w:tcW w:w="3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20" w:type="dxa"/>
            <w:vAlign w:val="bottom"/>
          </w:tcPr>
          <w:p>
            <w:pPr>
              <w:spacing w:after="0"/>
              <w:rPr>
                <w:sz w:val="7"/>
                <w:szCs w:val="7"/>
                <w:color w:val="auto"/>
              </w:rPr>
            </w:pPr>
          </w:p>
        </w:tc>
        <w:tc>
          <w:tcPr>
            <w:tcW w:w="2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0" w:type="dxa"/>
            <w:vAlign w:val="bottom"/>
            <w:tcBorders>
              <w:right w:val="single" w:sz="8" w:color="E3E4E5"/>
            </w:tcBorders>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560" w:type="dxa"/>
            <w:vAlign w:val="bottom"/>
            <w:tcBorders>
              <w:left w:val="single" w:sz="8" w:color="E3E4E5"/>
            </w:tcBorders>
            <w:vMerge w:val="continue"/>
          </w:tcPr>
          <w:p>
            <w:pPr>
              <w:spacing w:after="0"/>
              <w:rPr>
                <w:sz w:val="5"/>
                <w:szCs w:val="5"/>
                <w:color w:val="auto"/>
              </w:rPr>
            </w:pPr>
          </w:p>
        </w:tc>
        <w:tc>
          <w:tcPr>
            <w:tcW w:w="320" w:type="dxa"/>
            <w:vAlign w:val="bottom"/>
            <w:tcBorders>
              <w:bottom w:val="single" w:sz="8" w:color="E3E4E5"/>
            </w:tcBorders>
          </w:tcPr>
          <w:p>
            <w:pPr>
              <w:spacing w:after="0"/>
              <w:rPr>
                <w:sz w:val="5"/>
                <w:szCs w:val="5"/>
                <w:color w:val="auto"/>
              </w:rPr>
            </w:pPr>
          </w:p>
        </w:tc>
        <w:tc>
          <w:tcPr>
            <w:tcW w:w="240" w:type="dxa"/>
            <w:vAlign w:val="bottom"/>
            <w:tcBorders>
              <w:bottom w:val="single" w:sz="8" w:color="E3E4E5"/>
            </w:tcBorders>
          </w:tcPr>
          <w:p>
            <w:pPr>
              <w:spacing w:after="0"/>
              <w:rPr>
                <w:sz w:val="5"/>
                <w:szCs w:val="5"/>
                <w:color w:val="auto"/>
              </w:rPr>
            </w:pPr>
          </w:p>
        </w:tc>
        <w:tc>
          <w:tcPr>
            <w:tcW w:w="820" w:type="dxa"/>
            <w:vAlign w:val="bottom"/>
            <w:tcBorders>
              <w:bottom w:val="single" w:sz="8" w:color="E3E4E5"/>
            </w:tcBorders>
          </w:tcPr>
          <w:p>
            <w:pPr>
              <w:spacing w:after="0"/>
              <w:rPr>
                <w:sz w:val="5"/>
                <w:szCs w:val="5"/>
                <w:color w:val="auto"/>
              </w:rPr>
            </w:pPr>
          </w:p>
        </w:tc>
        <w:tc>
          <w:tcPr>
            <w:tcW w:w="260" w:type="dxa"/>
            <w:vAlign w:val="bottom"/>
            <w:tcBorders>
              <w:bottom w:val="single" w:sz="8" w:color="E3E4E5"/>
            </w:tcBorders>
          </w:tcPr>
          <w:p>
            <w:pPr>
              <w:spacing w:after="0"/>
              <w:rPr>
                <w:sz w:val="5"/>
                <w:szCs w:val="5"/>
                <w:color w:val="auto"/>
              </w:rPr>
            </w:pPr>
          </w:p>
        </w:tc>
        <w:tc>
          <w:tcPr>
            <w:tcW w:w="540" w:type="dxa"/>
            <w:vAlign w:val="bottom"/>
            <w:tcBorders>
              <w:bottom w:val="single" w:sz="8" w:color="E3E4E5"/>
            </w:tcBorders>
          </w:tcPr>
          <w:p>
            <w:pPr>
              <w:spacing w:after="0"/>
              <w:rPr>
                <w:sz w:val="5"/>
                <w:szCs w:val="5"/>
                <w:color w:val="auto"/>
              </w:rPr>
            </w:pPr>
          </w:p>
        </w:tc>
        <w:tc>
          <w:tcPr>
            <w:tcW w:w="240" w:type="dxa"/>
            <w:vAlign w:val="bottom"/>
            <w:tcBorders>
              <w:bottom w:val="single" w:sz="8" w:color="E3E4E5"/>
            </w:tcBorders>
          </w:tcPr>
          <w:p>
            <w:pPr>
              <w:spacing w:after="0"/>
              <w:rPr>
                <w:sz w:val="5"/>
                <w:szCs w:val="5"/>
                <w:color w:val="auto"/>
              </w:rPr>
            </w:pPr>
          </w:p>
        </w:tc>
        <w:tc>
          <w:tcPr>
            <w:tcW w:w="360" w:type="dxa"/>
            <w:vAlign w:val="bottom"/>
            <w:tcBorders>
              <w:bottom w:val="single" w:sz="8" w:color="E3E4E5"/>
            </w:tcBorders>
          </w:tcPr>
          <w:p>
            <w:pPr>
              <w:spacing w:after="0"/>
              <w:rPr>
                <w:sz w:val="5"/>
                <w:szCs w:val="5"/>
                <w:color w:val="auto"/>
              </w:rPr>
            </w:pPr>
          </w:p>
        </w:tc>
        <w:tc>
          <w:tcPr>
            <w:tcW w:w="760" w:type="dxa"/>
            <w:vAlign w:val="bottom"/>
            <w:tcBorders>
              <w:bottom w:val="single" w:sz="8" w:color="E3E4E5"/>
            </w:tcBorders>
          </w:tcPr>
          <w:p>
            <w:pPr>
              <w:spacing w:after="0"/>
              <w:rPr>
                <w:sz w:val="5"/>
                <w:szCs w:val="5"/>
                <w:color w:val="auto"/>
              </w:rPr>
            </w:pPr>
          </w:p>
        </w:tc>
        <w:tc>
          <w:tcPr>
            <w:tcW w:w="440" w:type="dxa"/>
            <w:vAlign w:val="bottom"/>
            <w:tcBorders>
              <w:right w:val="single" w:sz="8" w:color="E3E4E5"/>
            </w:tcBorders>
            <w:vMerge w:val="restart"/>
          </w:tcPr>
          <w:p>
            <w:pPr>
              <w:ind w:left="120"/>
              <w:spacing w:after="0"/>
              <w:rPr>
                <w:sz w:val="20"/>
                <w:szCs w:val="20"/>
                <w:color w:val="auto"/>
              </w:rPr>
            </w:pPr>
            <w:r>
              <w:rPr>
                <w:rFonts w:ascii="Calibri" w:cs="Calibri" w:eastAsia="Calibri" w:hAnsi="Calibri"/>
                <w:sz w:val="11"/>
                <w:szCs w:val="11"/>
                <w:color w:val="4C4C4E"/>
              </w:rPr>
              <w:t>10%</w:t>
            </w:r>
          </w:p>
        </w:tc>
        <w:tc>
          <w:tcPr>
            <w:tcW w:w="0" w:type="dxa"/>
            <w:vAlign w:val="bottom"/>
          </w:tcPr>
          <w:p>
            <w:pPr>
              <w:spacing w:after="0"/>
              <w:rPr>
                <w:sz w:val="1"/>
                <w:szCs w:val="1"/>
                <w:color w:val="auto"/>
              </w:rPr>
            </w:pPr>
          </w:p>
        </w:tc>
      </w:tr>
      <w:tr>
        <w:trPr>
          <w:trHeight w:val="72"/>
        </w:trPr>
        <w:tc>
          <w:tcPr>
            <w:tcW w:w="560" w:type="dxa"/>
            <w:vAlign w:val="bottom"/>
            <w:tcBorders>
              <w:left w:val="single" w:sz="8" w:color="E3E4E5"/>
            </w:tcBorders>
            <w:vMerge w:val="continue"/>
          </w:tcPr>
          <w:p>
            <w:pPr>
              <w:spacing w:after="0"/>
              <w:rPr>
                <w:sz w:val="6"/>
                <w:szCs w:val="6"/>
                <w:color w:val="auto"/>
              </w:rPr>
            </w:pPr>
          </w:p>
        </w:tc>
        <w:tc>
          <w:tcPr>
            <w:tcW w:w="3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20" w:type="dxa"/>
            <w:vAlign w:val="bottom"/>
          </w:tcPr>
          <w:p>
            <w:pPr>
              <w:spacing w:after="0"/>
              <w:rPr>
                <w:sz w:val="6"/>
                <w:szCs w:val="6"/>
                <w:color w:val="auto"/>
              </w:rPr>
            </w:pPr>
          </w:p>
        </w:tc>
        <w:tc>
          <w:tcPr>
            <w:tcW w:w="2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36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Borders>
              <w:right w:val="single" w:sz="8" w:color="E3E4E5"/>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1"/>
        </w:trPr>
        <w:tc>
          <w:tcPr>
            <w:tcW w:w="560" w:type="dxa"/>
            <w:vAlign w:val="bottom"/>
            <w:tcBorders>
              <w:left w:val="single" w:sz="8" w:color="E3E4E5"/>
            </w:tcBorders>
            <w:vMerge w:val="restart"/>
          </w:tcPr>
          <w:p>
            <w:pPr>
              <w:jc w:val="right"/>
              <w:ind w:right="83"/>
              <w:spacing w:after="0"/>
              <w:rPr>
                <w:sz w:val="20"/>
                <w:szCs w:val="20"/>
                <w:color w:val="auto"/>
              </w:rPr>
            </w:pPr>
            <w:r>
              <w:rPr>
                <w:rFonts w:ascii="Calibri" w:cs="Calibri" w:eastAsia="Calibri" w:hAnsi="Calibri"/>
                <w:sz w:val="11"/>
                <w:szCs w:val="11"/>
                <w:color w:val="4C4C4E"/>
              </w:rPr>
              <w:t>$2,000</w:t>
            </w:r>
          </w:p>
        </w:tc>
        <w:tc>
          <w:tcPr>
            <w:tcW w:w="320" w:type="dxa"/>
            <w:vAlign w:val="bottom"/>
            <w:tcBorders>
              <w:bottom w:val="single" w:sz="8" w:color="E3E4E5"/>
            </w:tcBorders>
          </w:tcPr>
          <w:p>
            <w:pPr>
              <w:spacing w:after="0"/>
              <w:rPr>
                <w:sz w:val="11"/>
                <w:szCs w:val="11"/>
                <w:color w:val="auto"/>
              </w:rPr>
            </w:pPr>
          </w:p>
        </w:tc>
        <w:tc>
          <w:tcPr>
            <w:tcW w:w="240" w:type="dxa"/>
            <w:vAlign w:val="bottom"/>
            <w:tcBorders>
              <w:bottom w:val="single" w:sz="8" w:color="E3E4E5"/>
            </w:tcBorders>
          </w:tcPr>
          <w:p>
            <w:pPr>
              <w:spacing w:after="0"/>
              <w:rPr>
                <w:sz w:val="11"/>
                <w:szCs w:val="11"/>
                <w:color w:val="auto"/>
              </w:rPr>
            </w:pPr>
          </w:p>
        </w:tc>
        <w:tc>
          <w:tcPr>
            <w:tcW w:w="820" w:type="dxa"/>
            <w:vAlign w:val="bottom"/>
            <w:tcBorders>
              <w:bottom w:val="single" w:sz="8" w:color="E3E4E5"/>
            </w:tcBorders>
          </w:tcPr>
          <w:p>
            <w:pPr>
              <w:spacing w:after="0"/>
              <w:rPr>
                <w:sz w:val="11"/>
                <w:szCs w:val="11"/>
                <w:color w:val="auto"/>
              </w:rPr>
            </w:pPr>
          </w:p>
        </w:tc>
        <w:tc>
          <w:tcPr>
            <w:tcW w:w="260" w:type="dxa"/>
            <w:vAlign w:val="bottom"/>
            <w:tcBorders>
              <w:bottom w:val="single" w:sz="8" w:color="E3E4E5"/>
            </w:tcBorders>
          </w:tcPr>
          <w:p>
            <w:pPr>
              <w:spacing w:after="0"/>
              <w:rPr>
                <w:sz w:val="11"/>
                <w:szCs w:val="11"/>
                <w:color w:val="auto"/>
              </w:rPr>
            </w:pPr>
          </w:p>
        </w:tc>
        <w:tc>
          <w:tcPr>
            <w:tcW w:w="540" w:type="dxa"/>
            <w:vAlign w:val="bottom"/>
            <w:tcBorders>
              <w:bottom w:val="single" w:sz="8" w:color="E3E4E5"/>
            </w:tcBorders>
          </w:tcPr>
          <w:p>
            <w:pPr>
              <w:spacing w:after="0"/>
              <w:rPr>
                <w:sz w:val="11"/>
                <w:szCs w:val="11"/>
                <w:color w:val="auto"/>
              </w:rPr>
            </w:pPr>
          </w:p>
        </w:tc>
        <w:tc>
          <w:tcPr>
            <w:tcW w:w="240" w:type="dxa"/>
            <w:vAlign w:val="bottom"/>
            <w:tcBorders>
              <w:bottom w:val="single" w:sz="8" w:color="E3E4E5"/>
            </w:tcBorders>
          </w:tcPr>
          <w:p>
            <w:pPr>
              <w:spacing w:after="0"/>
              <w:rPr>
                <w:sz w:val="11"/>
                <w:szCs w:val="11"/>
                <w:color w:val="auto"/>
              </w:rPr>
            </w:pPr>
          </w:p>
        </w:tc>
        <w:tc>
          <w:tcPr>
            <w:tcW w:w="360" w:type="dxa"/>
            <w:vAlign w:val="bottom"/>
            <w:tcBorders>
              <w:bottom w:val="single" w:sz="8" w:color="E3E4E5"/>
            </w:tcBorders>
          </w:tcPr>
          <w:p>
            <w:pPr>
              <w:spacing w:after="0"/>
              <w:rPr>
                <w:sz w:val="11"/>
                <w:szCs w:val="11"/>
                <w:color w:val="auto"/>
              </w:rPr>
            </w:pPr>
          </w:p>
        </w:tc>
        <w:tc>
          <w:tcPr>
            <w:tcW w:w="760" w:type="dxa"/>
            <w:vAlign w:val="bottom"/>
            <w:tcBorders>
              <w:bottom w:val="single" w:sz="8" w:color="E3E4E5"/>
            </w:tcBorders>
          </w:tcPr>
          <w:p>
            <w:pPr>
              <w:spacing w:after="0"/>
              <w:rPr>
                <w:sz w:val="11"/>
                <w:szCs w:val="11"/>
                <w:color w:val="auto"/>
              </w:rPr>
            </w:pPr>
          </w:p>
        </w:tc>
        <w:tc>
          <w:tcPr>
            <w:tcW w:w="440" w:type="dxa"/>
            <w:vAlign w:val="bottom"/>
            <w:tcBorders>
              <w:right w:val="single" w:sz="8" w:color="E3E4E5"/>
            </w:tcBorders>
            <w:vMerge w:val="restart"/>
          </w:tcPr>
          <w:p>
            <w:pPr>
              <w:ind w:left="120"/>
              <w:spacing w:after="0"/>
              <w:rPr>
                <w:sz w:val="20"/>
                <w:szCs w:val="20"/>
                <w:color w:val="auto"/>
              </w:rPr>
            </w:pPr>
            <w:r>
              <w:rPr>
                <w:rFonts w:ascii="Calibri" w:cs="Calibri" w:eastAsia="Calibri" w:hAnsi="Calibri"/>
                <w:sz w:val="11"/>
                <w:szCs w:val="11"/>
                <w:color w:val="4C4C4E"/>
              </w:rPr>
              <w:t>5%</w:t>
            </w:r>
          </w:p>
        </w:tc>
        <w:tc>
          <w:tcPr>
            <w:tcW w:w="0" w:type="dxa"/>
            <w:vAlign w:val="bottom"/>
          </w:tcPr>
          <w:p>
            <w:pPr>
              <w:spacing w:after="0"/>
              <w:rPr>
                <w:sz w:val="1"/>
                <w:szCs w:val="1"/>
                <w:color w:val="auto"/>
              </w:rPr>
            </w:pPr>
          </w:p>
        </w:tc>
      </w:tr>
      <w:tr>
        <w:trPr>
          <w:trHeight w:val="47"/>
        </w:trPr>
        <w:tc>
          <w:tcPr>
            <w:tcW w:w="560" w:type="dxa"/>
            <w:vAlign w:val="bottom"/>
            <w:tcBorders>
              <w:left w:val="single" w:sz="8" w:color="E3E4E5"/>
            </w:tcBorders>
            <w:vMerge w:val="continue"/>
          </w:tcPr>
          <w:p>
            <w:pPr>
              <w:spacing w:after="0"/>
              <w:rPr>
                <w:sz w:val="4"/>
                <w:szCs w:val="4"/>
                <w:color w:val="auto"/>
              </w:rPr>
            </w:pPr>
          </w:p>
        </w:tc>
        <w:tc>
          <w:tcPr>
            <w:tcW w:w="3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60" w:type="dxa"/>
            <w:vAlign w:val="bottom"/>
          </w:tcPr>
          <w:p>
            <w:pPr>
              <w:spacing w:after="0"/>
              <w:rPr>
                <w:sz w:val="4"/>
                <w:szCs w:val="4"/>
                <w:color w:val="auto"/>
              </w:rPr>
            </w:pPr>
          </w:p>
        </w:tc>
        <w:tc>
          <w:tcPr>
            <w:tcW w:w="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Borders>
              <w:right w:val="single" w:sz="8" w:color="E3E4E5"/>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560" w:type="dxa"/>
            <w:vAlign w:val="bottom"/>
            <w:tcBorders>
              <w:left w:val="single" w:sz="8" w:color="E3E4E5"/>
            </w:tcBorders>
            <w:vMerge w:val="restart"/>
          </w:tcPr>
          <w:p>
            <w:pPr>
              <w:jc w:val="right"/>
              <w:ind w:right="83"/>
              <w:spacing w:after="0"/>
              <w:rPr>
                <w:sz w:val="20"/>
                <w:szCs w:val="20"/>
                <w:color w:val="auto"/>
              </w:rPr>
            </w:pPr>
            <w:r>
              <w:rPr>
                <w:rFonts w:ascii="Calibri" w:cs="Calibri" w:eastAsia="Calibri" w:hAnsi="Calibri"/>
                <w:sz w:val="11"/>
                <w:szCs w:val="11"/>
                <w:color w:val="4C4C4E"/>
              </w:rPr>
              <w:t>$1,500</w:t>
            </w:r>
          </w:p>
        </w:tc>
        <w:tc>
          <w:tcPr>
            <w:tcW w:w="320" w:type="dxa"/>
            <w:vAlign w:val="bottom"/>
            <w:tcBorders>
              <w:bottom w:val="single" w:sz="8" w:color="E3E4E5"/>
            </w:tcBorders>
          </w:tcPr>
          <w:p>
            <w:pPr>
              <w:spacing w:after="0"/>
              <w:rPr>
                <w:sz w:val="12"/>
                <w:szCs w:val="12"/>
                <w:color w:val="auto"/>
              </w:rPr>
            </w:pPr>
          </w:p>
        </w:tc>
        <w:tc>
          <w:tcPr>
            <w:tcW w:w="240" w:type="dxa"/>
            <w:vAlign w:val="bottom"/>
            <w:tcBorders>
              <w:bottom w:val="single" w:sz="8" w:color="E3E4E5"/>
            </w:tcBorders>
          </w:tcPr>
          <w:p>
            <w:pPr>
              <w:spacing w:after="0"/>
              <w:rPr>
                <w:sz w:val="12"/>
                <w:szCs w:val="12"/>
                <w:color w:val="auto"/>
              </w:rPr>
            </w:pPr>
          </w:p>
        </w:tc>
        <w:tc>
          <w:tcPr>
            <w:tcW w:w="820" w:type="dxa"/>
            <w:vAlign w:val="bottom"/>
            <w:tcBorders>
              <w:bottom w:val="single" w:sz="8" w:color="E3E4E5"/>
            </w:tcBorders>
          </w:tcPr>
          <w:p>
            <w:pPr>
              <w:spacing w:after="0"/>
              <w:rPr>
                <w:sz w:val="12"/>
                <w:szCs w:val="12"/>
                <w:color w:val="auto"/>
              </w:rPr>
            </w:pPr>
          </w:p>
        </w:tc>
        <w:tc>
          <w:tcPr>
            <w:tcW w:w="260" w:type="dxa"/>
            <w:vAlign w:val="bottom"/>
            <w:tcBorders>
              <w:bottom w:val="single" w:sz="8" w:color="E3E4E5"/>
            </w:tcBorders>
          </w:tcPr>
          <w:p>
            <w:pPr>
              <w:spacing w:after="0"/>
              <w:rPr>
                <w:sz w:val="12"/>
                <w:szCs w:val="12"/>
                <w:color w:val="auto"/>
              </w:rPr>
            </w:pPr>
          </w:p>
        </w:tc>
        <w:tc>
          <w:tcPr>
            <w:tcW w:w="540" w:type="dxa"/>
            <w:vAlign w:val="bottom"/>
            <w:tcBorders>
              <w:bottom w:val="single" w:sz="8" w:color="E3E4E5"/>
            </w:tcBorders>
          </w:tcPr>
          <w:p>
            <w:pPr>
              <w:spacing w:after="0"/>
              <w:rPr>
                <w:sz w:val="12"/>
                <w:szCs w:val="12"/>
                <w:color w:val="auto"/>
              </w:rPr>
            </w:pPr>
          </w:p>
        </w:tc>
        <w:tc>
          <w:tcPr>
            <w:tcW w:w="240" w:type="dxa"/>
            <w:vAlign w:val="bottom"/>
            <w:tcBorders>
              <w:bottom w:val="single" w:sz="8" w:color="E3E4E5"/>
            </w:tcBorders>
          </w:tcPr>
          <w:p>
            <w:pPr>
              <w:spacing w:after="0"/>
              <w:rPr>
                <w:sz w:val="12"/>
                <w:szCs w:val="12"/>
                <w:color w:val="auto"/>
              </w:rPr>
            </w:pPr>
          </w:p>
        </w:tc>
        <w:tc>
          <w:tcPr>
            <w:tcW w:w="360" w:type="dxa"/>
            <w:vAlign w:val="bottom"/>
            <w:tcBorders>
              <w:bottom w:val="single" w:sz="8" w:color="E3E4E5"/>
            </w:tcBorders>
          </w:tcPr>
          <w:p>
            <w:pPr>
              <w:spacing w:after="0"/>
              <w:rPr>
                <w:sz w:val="12"/>
                <w:szCs w:val="12"/>
                <w:color w:val="auto"/>
              </w:rPr>
            </w:pPr>
          </w:p>
        </w:tc>
        <w:tc>
          <w:tcPr>
            <w:tcW w:w="760" w:type="dxa"/>
            <w:vAlign w:val="bottom"/>
            <w:tcBorders>
              <w:bottom w:val="single" w:sz="8" w:color="E3E4E5"/>
            </w:tcBorders>
          </w:tcPr>
          <w:p>
            <w:pPr>
              <w:spacing w:after="0"/>
              <w:rPr>
                <w:sz w:val="12"/>
                <w:szCs w:val="12"/>
                <w:color w:val="auto"/>
              </w:rPr>
            </w:pPr>
          </w:p>
        </w:tc>
        <w:tc>
          <w:tcPr>
            <w:tcW w:w="440" w:type="dxa"/>
            <w:vAlign w:val="bottom"/>
            <w:tcBorders>
              <w:right w:val="single" w:sz="8" w:color="E3E4E5"/>
            </w:tcBorders>
          </w:tcPr>
          <w:p>
            <w:pPr>
              <w:ind w:left="120"/>
              <w:spacing w:after="0"/>
              <w:rPr>
                <w:sz w:val="20"/>
                <w:szCs w:val="20"/>
                <w:color w:val="auto"/>
              </w:rPr>
            </w:pPr>
            <w:r>
              <w:rPr>
                <w:rFonts w:ascii="Calibri" w:cs="Calibri" w:eastAsia="Calibri" w:hAnsi="Calibri"/>
                <w:sz w:val="11"/>
                <w:szCs w:val="11"/>
                <w:color w:val="4C4C4E"/>
              </w:rPr>
              <w:t>0%</w:t>
            </w:r>
          </w:p>
        </w:tc>
        <w:tc>
          <w:tcPr>
            <w:tcW w:w="0" w:type="dxa"/>
            <w:vAlign w:val="bottom"/>
          </w:tcPr>
          <w:p>
            <w:pPr>
              <w:spacing w:after="0"/>
              <w:rPr>
                <w:sz w:val="1"/>
                <w:szCs w:val="1"/>
                <w:color w:val="auto"/>
              </w:rPr>
            </w:pPr>
          </w:p>
        </w:tc>
      </w:tr>
      <w:tr>
        <w:trPr>
          <w:trHeight w:val="54"/>
        </w:trPr>
        <w:tc>
          <w:tcPr>
            <w:tcW w:w="560" w:type="dxa"/>
            <w:vAlign w:val="bottom"/>
            <w:tcBorders>
              <w:left w:val="single" w:sz="8" w:color="E3E4E5"/>
            </w:tcBorders>
            <w:vMerge w:val="continue"/>
          </w:tcPr>
          <w:p>
            <w:pPr>
              <w:spacing w:after="0"/>
              <w:rPr>
                <w:sz w:val="4"/>
                <w:szCs w:val="4"/>
                <w:color w:val="auto"/>
              </w:rPr>
            </w:pPr>
          </w:p>
        </w:tc>
        <w:tc>
          <w:tcPr>
            <w:tcW w:w="3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60" w:type="dxa"/>
            <w:vAlign w:val="bottom"/>
          </w:tcPr>
          <w:p>
            <w:pPr>
              <w:spacing w:after="0"/>
              <w:rPr>
                <w:sz w:val="4"/>
                <w:szCs w:val="4"/>
                <w:color w:val="auto"/>
              </w:rPr>
            </w:pPr>
          </w:p>
        </w:tc>
        <w:tc>
          <w:tcPr>
            <w:tcW w:w="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0" w:type="dxa"/>
            <w:vAlign w:val="bottom"/>
            <w:tcBorders>
              <w:right w:val="single" w:sz="8" w:color="E3E4E5"/>
            </w:tcBorders>
            <w:gridSpan w:val="2"/>
            <w:vMerge w:val="restart"/>
          </w:tcPr>
          <w:p>
            <w:pPr>
              <w:ind w:left="880"/>
              <w:spacing w:after="0"/>
              <w:rPr>
                <w:sz w:val="20"/>
                <w:szCs w:val="20"/>
                <w:color w:val="auto"/>
              </w:rPr>
            </w:pPr>
            <w:r>
              <w:rPr>
                <w:rFonts w:ascii="Calibri" w:cs="Calibri" w:eastAsia="Calibri" w:hAnsi="Calibri"/>
                <w:sz w:val="11"/>
                <w:szCs w:val="11"/>
                <w:color w:val="4C4C4E"/>
              </w:rPr>
              <w:t>-5%</w:t>
            </w:r>
          </w:p>
        </w:tc>
        <w:tc>
          <w:tcPr>
            <w:tcW w:w="0" w:type="dxa"/>
            <w:vAlign w:val="bottom"/>
          </w:tcPr>
          <w:p>
            <w:pPr>
              <w:spacing w:after="0"/>
              <w:rPr>
                <w:sz w:val="1"/>
                <w:szCs w:val="1"/>
                <w:color w:val="auto"/>
              </w:rPr>
            </w:pPr>
          </w:p>
        </w:tc>
      </w:tr>
      <w:tr>
        <w:trPr>
          <w:trHeight w:val="99"/>
        </w:trPr>
        <w:tc>
          <w:tcPr>
            <w:tcW w:w="560" w:type="dxa"/>
            <w:vAlign w:val="bottom"/>
            <w:tcBorders>
              <w:left w:val="single" w:sz="8" w:color="E3E4E5"/>
            </w:tcBorders>
            <w:vMerge w:val="restart"/>
          </w:tcPr>
          <w:p>
            <w:pPr>
              <w:jc w:val="right"/>
              <w:ind w:right="83"/>
              <w:spacing w:after="0"/>
              <w:rPr>
                <w:sz w:val="20"/>
                <w:szCs w:val="20"/>
                <w:color w:val="auto"/>
              </w:rPr>
            </w:pPr>
            <w:r>
              <w:rPr>
                <w:rFonts w:ascii="Calibri" w:cs="Calibri" w:eastAsia="Calibri" w:hAnsi="Calibri"/>
                <w:sz w:val="11"/>
                <w:szCs w:val="11"/>
                <w:color w:val="4C4C4E"/>
              </w:rPr>
              <w:t>$1,000</w:t>
            </w: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0" w:type="dxa"/>
            <w:vAlign w:val="bottom"/>
            <w:tcBorders>
              <w:right w:val="single" w:sz="8" w:color="E3E4E5"/>
            </w:tcBorders>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560" w:type="dxa"/>
            <w:vAlign w:val="bottom"/>
            <w:tcBorders>
              <w:left w:val="single" w:sz="8" w:color="E3E4E5"/>
            </w:tcBorders>
            <w:vMerge w:val="continue"/>
          </w:tcPr>
          <w:p>
            <w:pPr>
              <w:spacing w:after="0"/>
              <w:rPr>
                <w:sz w:val="4"/>
                <w:szCs w:val="4"/>
                <w:color w:val="auto"/>
              </w:rPr>
            </w:pPr>
          </w:p>
        </w:tc>
        <w:tc>
          <w:tcPr>
            <w:tcW w:w="320" w:type="dxa"/>
            <w:vAlign w:val="bottom"/>
            <w:tcBorders>
              <w:bottom w:val="single" w:sz="8" w:color="E3E4E5"/>
            </w:tcBorders>
          </w:tcPr>
          <w:p>
            <w:pPr>
              <w:spacing w:after="0"/>
              <w:rPr>
                <w:sz w:val="4"/>
                <w:szCs w:val="4"/>
                <w:color w:val="auto"/>
              </w:rPr>
            </w:pPr>
          </w:p>
        </w:tc>
        <w:tc>
          <w:tcPr>
            <w:tcW w:w="240" w:type="dxa"/>
            <w:vAlign w:val="bottom"/>
            <w:tcBorders>
              <w:bottom w:val="single" w:sz="8" w:color="E3E4E5"/>
            </w:tcBorders>
          </w:tcPr>
          <w:p>
            <w:pPr>
              <w:spacing w:after="0"/>
              <w:rPr>
                <w:sz w:val="4"/>
                <w:szCs w:val="4"/>
                <w:color w:val="auto"/>
              </w:rPr>
            </w:pPr>
          </w:p>
        </w:tc>
        <w:tc>
          <w:tcPr>
            <w:tcW w:w="820" w:type="dxa"/>
            <w:vAlign w:val="bottom"/>
            <w:tcBorders>
              <w:bottom w:val="single" w:sz="8" w:color="E3E4E5"/>
            </w:tcBorders>
          </w:tcPr>
          <w:p>
            <w:pPr>
              <w:spacing w:after="0"/>
              <w:rPr>
                <w:sz w:val="4"/>
                <w:szCs w:val="4"/>
                <w:color w:val="auto"/>
              </w:rPr>
            </w:pPr>
          </w:p>
        </w:tc>
        <w:tc>
          <w:tcPr>
            <w:tcW w:w="260" w:type="dxa"/>
            <w:vAlign w:val="bottom"/>
            <w:tcBorders>
              <w:bottom w:val="single" w:sz="8" w:color="E3E4E5"/>
            </w:tcBorders>
          </w:tcPr>
          <w:p>
            <w:pPr>
              <w:spacing w:after="0"/>
              <w:rPr>
                <w:sz w:val="4"/>
                <w:szCs w:val="4"/>
                <w:color w:val="auto"/>
              </w:rPr>
            </w:pPr>
          </w:p>
        </w:tc>
        <w:tc>
          <w:tcPr>
            <w:tcW w:w="540" w:type="dxa"/>
            <w:vAlign w:val="bottom"/>
            <w:tcBorders>
              <w:bottom w:val="single" w:sz="8" w:color="E3E4E5"/>
            </w:tcBorders>
          </w:tcPr>
          <w:p>
            <w:pPr>
              <w:spacing w:after="0"/>
              <w:rPr>
                <w:sz w:val="4"/>
                <w:szCs w:val="4"/>
                <w:color w:val="auto"/>
              </w:rPr>
            </w:pPr>
          </w:p>
        </w:tc>
        <w:tc>
          <w:tcPr>
            <w:tcW w:w="240" w:type="dxa"/>
            <w:vAlign w:val="bottom"/>
            <w:tcBorders>
              <w:bottom w:val="single" w:sz="8" w:color="E3E4E5"/>
            </w:tcBorders>
          </w:tcPr>
          <w:p>
            <w:pPr>
              <w:spacing w:after="0"/>
              <w:rPr>
                <w:sz w:val="4"/>
                <w:szCs w:val="4"/>
                <w:color w:val="auto"/>
              </w:rPr>
            </w:pPr>
          </w:p>
        </w:tc>
        <w:tc>
          <w:tcPr>
            <w:tcW w:w="360" w:type="dxa"/>
            <w:vAlign w:val="bottom"/>
            <w:tcBorders>
              <w:bottom w:val="single" w:sz="8" w:color="E3E4E5"/>
            </w:tcBorders>
          </w:tcPr>
          <w:p>
            <w:pPr>
              <w:spacing w:after="0"/>
              <w:rPr>
                <w:sz w:val="4"/>
                <w:szCs w:val="4"/>
                <w:color w:val="auto"/>
              </w:rPr>
            </w:pPr>
          </w:p>
        </w:tc>
        <w:tc>
          <w:tcPr>
            <w:tcW w:w="760" w:type="dxa"/>
            <w:vAlign w:val="bottom"/>
            <w:tcBorders>
              <w:bottom w:val="single" w:sz="8" w:color="E3E4E5"/>
            </w:tcBorders>
          </w:tcPr>
          <w:p>
            <w:pPr>
              <w:spacing w:after="0"/>
              <w:rPr>
                <w:sz w:val="4"/>
                <w:szCs w:val="4"/>
                <w:color w:val="auto"/>
              </w:rPr>
            </w:pPr>
          </w:p>
        </w:tc>
        <w:tc>
          <w:tcPr>
            <w:tcW w:w="440" w:type="dxa"/>
            <w:vAlign w:val="bottom"/>
            <w:tcBorders>
              <w:right w:val="single" w:sz="8" w:color="E3E4E5"/>
            </w:tcBorders>
          </w:tcPr>
          <w:p>
            <w:pPr>
              <w:spacing w:after="0"/>
              <w:rPr>
                <w:sz w:val="4"/>
                <w:szCs w:val="4"/>
                <w:color w:val="auto"/>
              </w:rPr>
            </w:pPr>
          </w:p>
        </w:tc>
        <w:tc>
          <w:tcPr>
            <w:tcW w:w="0" w:type="dxa"/>
            <w:vAlign w:val="bottom"/>
          </w:tcPr>
          <w:p>
            <w:pPr>
              <w:spacing w:after="0"/>
              <w:rPr>
                <w:sz w:val="1"/>
                <w:szCs w:val="1"/>
                <w:color w:val="auto"/>
              </w:rPr>
            </w:pPr>
          </w:p>
        </w:tc>
      </w:tr>
      <w:tr>
        <w:trPr>
          <w:trHeight w:val="47"/>
        </w:trPr>
        <w:tc>
          <w:tcPr>
            <w:tcW w:w="560" w:type="dxa"/>
            <w:vAlign w:val="bottom"/>
            <w:tcBorders>
              <w:left w:val="single" w:sz="8" w:color="E3E4E5"/>
            </w:tcBorders>
            <w:vMerge w:val="continue"/>
          </w:tcPr>
          <w:p>
            <w:pPr>
              <w:spacing w:after="0"/>
              <w:rPr>
                <w:sz w:val="4"/>
                <w:szCs w:val="4"/>
                <w:color w:val="auto"/>
              </w:rPr>
            </w:pPr>
          </w:p>
        </w:tc>
        <w:tc>
          <w:tcPr>
            <w:tcW w:w="3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60" w:type="dxa"/>
            <w:vAlign w:val="bottom"/>
          </w:tcPr>
          <w:p>
            <w:pPr>
              <w:spacing w:after="0"/>
              <w:rPr>
                <w:sz w:val="4"/>
                <w:szCs w:val="4"/>
                <w:color w:val="auto"/>
              </w:rPr>
            </w:pPr>
          </w:p>
        </w:tc>
        <w:tc>
          <w:tcPr>
            <w:tcW w:w="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0" w:type="dxa"/>
            <w:vAlign w:val="bottom"/>
            <w:tcBorders>
              <w:right w:val="single" w:sz="8" w:color="E3E4E5"/>
            </w:tcBorders>
            <w:gridSpan w:val="2"/>
            <w:vMerge w:val="restart"/>
          </w:tcPr>
          <w:p>
            <w:pPr>
              <w:ind w:left="880"/>
              <w:spacing w:after="0" w:line="121" w:lineRule="exact"/>
              <w:rPr>
                <w:sz w:val="20"/>
                <w:szCs w:val="20"/>
                <w:color w:val="auto"/>
              </w:rPr>
            </w:pPr>
            <w:r>
              <w:rPr>
                <w:rFonts w:ascii="Calibri" w:cs="Calibri" w:eastAsia="Calibri" w:hAnsi="Calibri"/>
                <w:sz w:val="11"/>
                <w:szCs w:val="11"/>
                <w:color w:val="4C4C4E"/>
              </w:rPr>
              <w:t>-10%</w:t>
            </w:r>
          </w:p>
        </w:tc>
        <w:tc>
          <w:tcPr>
            <w:tcW w:w="0" w:type="dxa"/>
            <w:vAlign w:val="bottom"/>
          </w:tcPr>
          <w:p>
            <w:pPr>
              <w:spacing w:after="0"/>
              <w:rPr>
                <w:sz w:val="1"/>
                <w:szCs w:val="1"/>
                <w:color w:val="auto"/>
              </w:rPr>
            </w:pPr>
          </w:p>
        </w:tc>
      </w:tr>
      <w:tr>
        <w:trPr>
          <w:trHeight w:val="74"/>
        </w:trPr>
        <w:tc>
          <w:tcPr>
            <w:tcW w:w="560" w:type="dxa"/>
            <w:vAlign w:val="bottom"/>
            <w:tcBorders>
              <w:left w:val="single" w:sz="8" w:color="E3E4E5"/>
            </w:tcBorders>
          </w:tcPr>
          <w:p>
            <w:pPr>
              <w:spacing w:after="0"/>
              <w:rPr>
                <w:sz w:val="6"/>
                <w:szCs w:val="6"/>
                <w:color w:val="auto"/>
              </w:rPr>
            </w:pPr>
          </w:p>
        </w:tc>
        <w:tc>
          <w:tcPr>
            <w:tcW w:w="3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20" w:type="dxa"/>
            <w:vAlign w:val="bottom"/>
          </w:tcPr>
          <w:p>
            <w:pPr>
              <w:spacing w:after="0"/>
              <w:rPr>
                <w:sz w:val="6"/>
                <w:szCs w:val="6"/>
                <w:color w:val="auto"/>
              </w:rPr>
            </w:pPr>
          </w:p>
        </w:tc>
        <w:tc>
          <w:tcPr>
            <w:tcW w:w="2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0" w:type="dxa"/>
            <w:vAlign w:val="bottom"/>
            <w:tcBorders>
              <w:right w:val="single" w:sz="8" w:color="E3E4E5"/>
            </w:tcBorders>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560" w:type="dxa"/>
            <w:vAlign w:val="bottom"/>
            <w:tcBorders>
              <w:left w:val="single" w:sz="8" w:color="E3E4E5"/>
            </w:tcBorders>
            <w:vMerge w:val="restart"/>
          </w:tcPr>
          <w:p>
            <w:pPr>
              <w:jc w:val="right"/>
              <w:ind w:right="83"/>
              <w:spacing w:after="0"/>
              <w:rPr>
                <w:sz w:val="20"/>
                <w:szCs w:val="20"/>
                <w:color w:val="auto"/>
              </w:rPr>
            </w:pPr>
            <w:r>
              <w:rPr>
                <w:rFonts w:ascii="Calibri" w:cs="Calibri" w:eastAsia="Calibri" w:hAnsi="Calibri"/>
                <w:sz w:val="11"/>
                <w:szCs w:val="11"/>
                <w:color w:val="4C4C4E"/>
              </w:rPr>
              <w:t>$500</w:t>
            </w:r>
          </w:p>
        </w:tc>
        <w:tc>
          <w:tcPr>
            <w:tcW w:w="320" w:type="dxa"/>
            <w:vAlign w:val="bottom"/>
            <w:tcBorders>
              <w:bottom w:val="single" w:sz="8" w:color="E3E4E5"/>
            </w:tcBorders>
          </w:tcPr>
          <w:p>
            <w:pPr>
              <w:spacing w:after="0"/>
              <w:rPr>
                <w:sz w:val="7"/>
                <w:szCs w:val="7"/>
                <w:color w:val="auto"/>
              </w:rPr>
            </w:pPr>
          </w:p>
        </w:tc>
        <w:tc>
          <w:tcPr>
            <w:tcW w:w="240" w:type="dxa"/>
            <w:vAlign w:val="bottom"/>
            <w:tcBorders>
              <w:bottom w:val="single" w:sz="8" w:color="E3E4E5"/>
            </w:tcBorders>
          </w:tcPr>
          <w:p>
            <w:pPr>
              <w:spacing w:after="0"/>
              <w:rPr>
                <w:sz w:val="7"/>
                <w:szCs w:val="7"/>
                <w:color w:val="auto"/>
              </w:rPr>
            </w:pPr>
          </w:p>
        </w:tc>
        <w:tc>
          <w:tcPr>
            <w:tcW w:w="820" w:type="dxa"/>
            <w:vAlign w:val="bottom"/>
            <w:tcBorders>
              <w:bottom w:val="single" w:sz="8" w:color="E3E4E5"/>
            </w:tcBorders>
          </w:tcPr>
          <w:p>
            <w:pPr>
              <w:spacing w:after="0"/>
              <w:rPr>
                <w:sz w:val="7"/>
                <w:szCs w:val="7"/>
                <w:color w:val="auto"/>
              </w:rPr>
            </w:pPr>
          </w:p>
        </w:tc>
        <w:tc>
          <w:tcPr>
            <w:tcW w:w="260" w:type="dxa"/>
            <w:vAlign w:val="bottom"/>
            <w:tcBorders>
              <w:bottom w:val="single" w:sz="8" w:color="E3E4E5"/>
            </w:tcBorders>
          </w:tcPr>
          <w:p>
            <w:pPr>
              <w:spacing w:after="0"/>
              <w:rPr>
                <w:sz w:val="7"/>
                <w:szCs w:val="7"/>
                <w:color w:val="auto"/>
              </w:rPr>
            </w:pPr>
          </w:p>
        </w:tc>
        <w:tc>
          <w:tcPr>
            <w:tcW w:w="540" w:type="dxa"/>
            <w:vAlign w:val="bottom"/>
            <w:tcBorders>
              <w:bottom w:val="single" w:sz="8" w:color="E3E4E5"/>
            </w:tcBorders>
          </w:tcPr>
          <w:p>
            <w:pPr>
              <w:spacing w:after="0"/>
              <w:rPr>
                <w:sz w:val="7"/>
                <w:szCs w:val="7"/>
                <w:color w:val="auto"/>
              </w:rPr>
            </w:pPr>
          </w:p>
        </w:tc>
        <w:tc>
          <w:tcPr>
            <w:tcW w:w="240" w:type="dxa"/>
            <w:vAlign w:val="bottom"/>
            <w:tcBorders>
              <w:bottom w:val="single" w:sz="8" w:color="E3E4E5"/>
            </w:tcBorders>
          </w:tcPr>
          <w:p>
            <w:pPr>
              <w:spacing w:after="0"/>
              <w:rPr>
                <w:sz w:val="7"/>
                <w:szCs w:val="7"/>
                <w:color w:val="auto"/>
              </w:rPr>
            </w:pPr>
          </w:p>
        </w:tc>
        <w:tc>
          <w:tcPr>
            <w:tcW w:w="360" w:type="dxa"/>
            <w:vAlign w:val="bottom"/>
            <w:tcBorders>
              <w:bottom w:val="single" w:sz="8" w:color="E3E4E5"/>
            </w:tcBorders>
          </w:tcPr>
          <w:p>
            <w:pPr>
              <w:spacing w:after="0"/>
              <w:rPr>
                <w:sz w:val="7"/>
                <w:szCs w:val="7"/>
                <w:color w:val="auto"/>
              </w:rPr>
            </w:pPr>
          </w:p>
        </w:tc>
        <w:tc>
          <w:tcPr>
            <w:tcW w:w="760" w:type="dxa"/>
            <w:vAlign w:val="bottom"/>
            <w:tcBorders>
              <w:bottom w:val="single" w:sz="8" w:color="E3E4E5"/>
            </w:tcBorders>
          </w:tcPr>
          <w:p>
            <w:pPr>
              <w:spacing w:after="0"/>
              <w:rPr>
                <w:sz w:val="7"/>
                <w:szCs w:val="7"/>
                <w:color w:val="auto"/>
              </w:rPr>
            </w:pPr>
          </w:p>
        </w:tc>
        <w:tc>
          <w:tcPr>
            <w:tcW w:w="440" w:type="dxa"/>
            <w:vAlign w:val="bottom"/>
            <w:tcBorders>
              <w:right w:val="single" w:sz="8" w:color="E3E4E5"/>
            </w:tcBorders>
            <w:vMerge w:val="restart"/>
          </w:tcPr>
          <w:p>
            <w:pPr>
              <w:ind w:left="120"/>
              <w:spacing w:after="0"/>
              <w:rPr>
                <w:sz w:val="20"/>
                <w:szCs w:val="20"/>
                <w:color w:val="auto"/>
              </w:rPr>
            </w:pPr>
            <w:r>
              <w:rPr>
                <w:rFonts w:ascii="Calibri" w:cs="Calibri" w:eastAsia="Calibri" w:hAnsi="Calibri"/>
                <w:sz w:val="11"/>
                <w:szCs w:val="11"/>
                <w:color w:val="4C4C4E"/>
              </w:rPr>
              <w:t>-15%</w:t>
            </w:r>
          </w:p>
        </w:tc>
        <w:tc>
          <w:tcPr>
            <w:tcW w:w="0" w:type="dxa"/>
            <w:vAlign w:val="bottom"/>
          </w:tcPr>
          <w:p>
            <w:pPr>
              <w:spacing w:after="0"/>
              <w:rPr>
                <w:sz w:val="1"/>
                <w:szCs w:val="1"/>
                <w:color w:val="auto"/>
              </w:rPr>
            </w:pPr>
          </w:p>
        </w:tc>
      </w:tr>
      <w:tr>
        <w:trPr>
          <w:trHeight w:val="40"/>
        </w:trPr>
        <w:tc>
          <w:tcPr>
            <w:tcW w:w="560" w:type="dxa"/>
            <w:vAlign w:val="bottom"/>
            <w:tcBorders>
              <w:left w:val="single" w:sz="8" w:color="E3E4E5"/>
            </w:tcBorders>
            <w:vMerge w:val="continue"/>
          </w:tcPr>
          <w:p>
            <w:pPr>
              <w:spacing w:after="0"/>
              <w:rPr>
                <w:sz w:val="3"/>
                <w:szCs w:val="3"/>
                <w:color w:val="auto"/>
              </w:rPr>
            </w:pPr>
          </w:p>
        </w:tc>
        <w:tc>
          <w:tcPr>
            <w:tcW w:w="3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tcPr>
          <w:p>
            <w:pPr>
              <w:spacing w:after="0"/>
              <w:rPr>
                <w:sz w:val="3"/>
                <w:szCs w:val="3"/>
                <w:color w:val="auto"/>
              </w:rPr>
            </w:pPr>
          </w:p>
        </w:tc>
        <w:tc>
          <w:tcPr>
            <w:tcW w:w="2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6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Borders>
              <w:right w:val="single" w:sz="8" w:color="E3E4E5"/>
            </w:tcBorders>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9"/>
        </w:trPr>
        <w:tc>
          <w:tcPr>
            <w:tcW w:w="1120" w:type="dxa"/>
            <w:vAlign w:val="bottom"/>
            <w:tcBorders>
              <w:left w:val="single" w:sz="8" w:color="E3E4E5"/>
            </w:tcBorders>
            <w:gridSpan w:val="3"/>
          </w:tcPr>
          <w:p>
            <w:pPr>
              <w:jc w:val="right"/>
              <w:spacing w:after="0"/>
              <w:rPr>
                <w:sz w:val="20"/>
                <w:szCs w:val="20"/>
                <w:color w:val="auto"/>
              </w:rPr>
            </w:pPr>
            <w:r>
              <w:rPr>
                <w:rFonts w:ascii="Calibri" w:cs="Calibri" w:eastAsia="Calibri" w:hAnsi="Calibri"/>
                <w:sz w:val="11"/>
                <w:szCs w:val="11"/>
                <w:color w:val="4C4C4E"/>
              </w:rPr>
              <w:t>2021</w:t>
            </w:r>
          </w:p>
        </w:tc>
        <w:tc>
          <w:tcPr>
            <w:tcW w:w="820" w:type="dxa"/>
            <w:vAlign w:val="bottom"/>
          </w:tcPr>
          <w:p>
            <w:pPr>
              <w:jc w:val="right"/>
              <w:ind w:right="103"/>
              <w:spacing w:after="0"/>
              <w:rPr>
                <w:sz w:val="20"/>
                <w:szCs w:val="20"/>
                <w:color w:val="auto"/>
              </w:rPr>
            </w:pPr>
            <w:r>
              <w:rPr>
                <w:rFonts w:ascii="Calibri" w:cs="Calibri" w:eastAsia="Calibri" w:hAnsi="Calibri"/>
                <w:sz w:val="11"/>
                <w:szCs w:val="11"/>
                <w:color w:val="4C4C4E"/>
              </w:rPr>
              <w:t>2022</w:t>
            </w:r>
          </w:p>
        </w:tc>
        <w:tc>
          <w:tcPr>
            <w:tcW w:w="800" w:type="dxa"/>
            <w:vAlign w:val="bottom"/>
            <w:gridSpan w:val="2"/>
          </w:tcPr>
          <w:p>
            <w:pPr>
              <w:ind w:left="280"/>
              <w:spacing w:after="0"/>
              <w:rPr>
                <w:sz w:val="20"/>
                <w:szCs w:val="20"/>
                <w:color w:val="auto"/>
              </w:rPr>
            </w:pPr>
            <w:r>
              <w:rPr>
                <w:rFonts w:ascii="Calibri" w:cs="Calibri" w:eastAsia="Calibri" w:hAnsi="Calibri"/>
                <w:sz w:val="11"/>
                <w:szCs w:val="11"/>
                <w:color w:val="4C4C4E"/>
              </w:rPr>
              <w:t>2023</w:t>
            </w:r>
          </w:p>
        </w:tc>
        <w:tc>
          <w:tcPr>
            <w:tcW w:w="600" w:type="dxa"/>
            <w:vAlign w:val="bottom"/>
            <w:gridSpan w:val="2"/>
          </w:tcPr>
          <w:p>
            <w:pPr>
              <w:jc w:val="right"/>
              <w:ind w:right="163"/>
              <w:spacing w:after="0"/>
              <w:rPr>
                <w:sz w:val="20"/>
                <w:szCs w:val="20"/>
                <w:color w:val="auto"/>
              </w:rPr>
            </w:pPr>
            <w:r>
              <w:rPr>
                <w:rFonts w:ascii="Calibri" w:cs="Calibri" w:eastAsia="Calibri" w:hAnsi="Calibri"/>
                <w:sz w:val="11"/>
                <w:szCs w:val="11"/>
                <w:color w:val="4C4C4E"/>
              </w:rPr>
              <w:t>2024</w:t>
            </w:r>
          </w:p>
        </w:tc>
        <w:tc>
          <w:tcPr>
            <w:tcW w:w="760" w:type="dxa"/>
            <w:vAlign w:val="bottom"/>
          </w:tcPr>
          <w:p>
            <w:pPr>
              <w:jc w:val="right"/>
              <w:ind w:right="263"/>
              <w:spacing w:after="0"/>
              <w:rPr>
                <w:sz w:val="20"/>
                <w:szCs w:val="20"/>
                <w:color w:val="auto"/>
              </w:rPr>
            </w:pPr>
            <w:r>
              <w:rPr>
                <w:rFonts w:ascii="Calibri" w:cs="Calibri" w:eastAsia="Calibri" w:hAnsi="Calibri"/>
                <w:sz w:val="11"/>
                <w:szCs w:val="11"/>
                <w:color w:val="4C4C4E"/>
              </w:rPr>
              <w:t>2025</w:t>
            </w:r>
          </w:p>
        </w:tc>
        <w:tc>
          <w:tcPr>
            <w:tcW w:w="440" w:type="dxa"/>
            <w:vAlign w:val="bottom"/>
            <w:tcBorders>
              <w:right w:val="single" w:sz="8" w:color="E3E4E5"/>
            </w:tcBorders>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560" w:type="dxa"/>
            <w:vAlign w:val="bottom"/>
            <w:tcBorders>
              <w:left w:val="single" w:sz="8" w:color="E3E4E5"/>
            </w:tcBorders>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Borders>
              <w:bottom w:val="single" w:sz="8" w:color="231F20"/>
            </w:tcBorders>
          </w:tcPr>
          <w:p>
            <w:pPr>
              <w:spacing w:after="0"/>
              <w:rPr>
                <w:sz w:val="15"/>
                <w:szCs w:val="15"/>
                <w:color w:val="auto"/>
              </w:rPr>
            </w:pPr>
          </w:p>
        </w:tc>
        <w:tc>
          <w:tcPr>
            <w:tcW w:w="820" w:type="dxa"/>
            <w:vAlign w:val="bottom"/>
            <w:vMerge w:val="restart"/>
          </w:tcPr>
          <w:p>
            <w:pPr>
              <w:jc w:val="right"/>
              <w:ind w:right="103"/>
              <w:spacing w:after="0"/>
              <w:rPr>
                <w:sz w:val="20"/>
                <w:szCs w:val="20"/>
                <w:color w:val="auto"/>
              </w:rPr>
            </w:pPr>
            <w:r>
              <w:rPr>
                <w:rFonts w:ascii="Calibri" w:cs="Calibri" w:eastAsia="Calibri" w:hAnsi="Calibri"/>
                <w:sz w:val="11"/>
                <w:szCs w:val="11"/>
                <w:color w:val="4C4C4E"/>
              </w:rPr>
              <w:t>Avg. NEO CAP</w:t>
            </w:r>
          </w:p>
        </w:tc>
        <w:tc>
          <w:tcPr>
            <w:tcW w:w="260" w:type="dxa"/>
            <w:vAlign w:val="bottom"/>
            <w:tcBorders>
              <w:bottom w:val="single" w:sz="8" w:color="EF3E29"/>
            </w:tcBorders>
          </w:tcPr>
          <w:p>
            <w:pPr>
              <w:spacing w:after="0"/>
              <w:rPr>
                <w:sz w:val="15"/>
                <w:szCs w:val="15"/>
                <w:color w:val="auto"/>
              </w:rPr>
            </w:pPr>
          </w:p>
        </w:tc>
        <w:tc>
          <w:tcPr>
            <w:tcW w:w="540" w:type="dxa"/>
            <w:vAlign w:val="bottom"/>
            <w:vMerge w:val="restart"/>
          </w:tcPr>
          <w:p>
            <w:pPr>
              <w:ind w:left="20"/>
              <w:spacing w:after="0"/>
              <w:rPr>
                <w:sz w:val="20"/>
                <w:szCs w:val="20"/>
                <w:color w:val="auto"/>
              </w:rPr>
            </w:pPr>
            <w:r>
              <w:rPr>
                <w:rFonts w:ascii="Calibri" w:cs="Calibri" w:eastAsia="Calibri" w:hAnsi="Calibri"/>
                <w:sz w:val="11"/>
                <w:szCs w:val="11"/>
                <w:color w:val="4C4C4E"/>
              </w:rPr>
              <w:t>FRT TSR</w:t>
            </w:r>
          </w:p>
        </w:tc>
        <w:tc>
          <w:tcPr>
            <w:tcW w:w="240" w:type="dxa"/>
            <w:vAlign w:val="bottom"/>
            <w:tcBorders>
              <w:bottom w:val="single" w:sz="8" w:color="B6B8BB"/>
            </w:tcBorders>
          </w:tcPr>
          <w:p>
            <w:pPr>
              <w:spacing w:after="0"/>
              <w:rPr>
                <w:sz w:val="15"/>
                <w:szCs w:val="15"/>
                <w:color w:val="auto"/>
              </w:rPr>
            </w:pPr>
          </w:p>
        </w:tc>
        <w:tc>
          <w:tcPr>
            <w:tcW w:w="1560" w:type="dxa"/>
            <w:vAlign w:val="bottom"/>
            <w:tcBorders>
              <w:right w:val="single" w:sz="8" w:color="E3E4E5"/>
            </w:tcBorders>
            <w:gridSpan w:val="3"/>
            <w:vMerge w:val="restart"/>
          </w:tcPr>
          <w:p>
            <w:pPr>
              <w:ind w:left="20"/>
              <w:spacing w:after="0"/>
              <w:rPr>
                <w:sz w:val="20"/>
                <w:szCs w:val="20"/>
                <w:color w:val="auto"/>
              </w:rPr>
            </w:pPr>
            <w:r>
              <w:rPr>
                <w:rFonts w:ascii="Calibri" w:cs="Calibri" w:eastAsia="Calibri" w:hAnsi="Calibri"/>
                <w:sz w:val="11"/>
                <w:szCs w:val="11"/>
                <w:color w:val="4C4C4E"/>
              </w:rPr>
              <w:t>BBRESHOP TSR</w:t>
            </w:r>
          </w:p>
        </w:tc>
        <w:tc>
          <w:tcPr>
            <w:tcW w:w="0" w:type="dxa"/>
            <w:vAlign w:val="bottom"/>
          </w:tcPr>
          <w:p>
            <w:pPr>
              <w:spacing w:after="0"/>
              <w:rPr>
                <w:sz w:val="1"/>
                <w:szCs w:val="1"/>
                <w:color w:val="auto"/>
              </w:rPr>
            </w:pPr>
          </w:p>
        </w:tc>
      </w:tr>
      <w:tr>
        <w:trPr>
          <w:trHeight w:val="48"/>
        </w:trPr>
        <w:tc>
          <w:tcPr>
            <w:tcW w:w="560" w:type="dxa"/>
            <w:vAlign w:val="bottom"/>
            <w:tcBorders>
              <w:left w:val="single" w:sz="8" w:color="E3E4E5"/>
            </w:tcBorders>
          </w:tcPr>
          <w:p>
            <w:pPr>
              <w:spacing w:after="0"/>
              <w:rPr>
                <w:sz w:val="4"/>
                <w:szCs w:val="4"/>
                <w:color w:val="auto"/>
              </w:rPr>
            </w:pPr>
          </w:p>
        </w:tc>
        <w:tc>
          <w:tcPr>
            <w:tcW w:w="3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260" w:type="dxa"/>
            <w:vAlign w:val="bottom"/>
          </w:tcPr>
          <w:p>
            <w:pPr>
              <w:spacing w:after="0"/>
              <w:rPr>
                <w:sz w:val="4"/>
                <w:szCs w:val="4"/>
                <w:color w:val="auto"/>
              </w:rPr>
            </w:pPr>
          </w:p>
        </w:tc>
        <w:tc>
          <w:tcPr>
            <w:tcW w:w="54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1560" w:type="dxa"/>
            <w:vAlign w:val="bottom"/>
            <w:tcBorders>
              <w:right w:val="single" w:sz="8" w:color="E3E4E5"/>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1"/>
        </w:trPr>
        <w:tc>
          <w:tcPr>
            <w:tcW w:w="560" w:type="dxa"/>
            <w:vAlign w:val="bottom"/>
            <w:tcBorders>
              <w:left w:val="single" w:sz="8" w:color="E3E4E5"/>
              <w:bottom w:val="single" w:sz="8" w:color="E3E4E5"/>
            </w:tcBorders>
          </w:tcPr>
          <w:p>
            <w:pPr>
              <w:spacing w:after="0"/>
              <w:rPr>
                <w:sz w:val="9"/>
                <w:szCs w:val="9"/>
                <w:color w:val="auto"/>
              </w:rPr>
            </w:pPr>
          </w:p>
        </w:tc>
        <w:tc>
          <w:tcPr>
            <w:tcW w:w="320" w:type="dxa"/>
            <w:vAlign w:val="bottom"/>
            <w:tcBorders>
              <w:bottom w:val="single" w:sz="8" w:color="E3E4E5"/>
            </w:tcBorders>
          </w:tcPr>
          <w:p>
            <w:pPr>
              <w:spacing w:after="0"/>
              <w:rPr>
                <w:sz w:val="9"/>
                <w:szCs w:val="9"/>
                <w:color w:val="auto"/>
              </w:rPr>
            </w:pPr>
          </w:p>
        </w:tc>
        <w:tc>
          <w:tcPr>
            <w:tcW w:w="240" w:type="dxa"/>
            <w:vAlign w:val="bottom"/>
            <w:tcBorders>
              <w:bottom w:val="single" w:sz="8" w:color="E3E4E5"/>
            </w:tcBorders>
          </w:tcPr>
          <w:p>
            <w:pPr>
              <w:spacing w:after="0"/>
              <w:rPr>
                <w:sz w:val="9"/>
                <w:szCs w:val="9"/>
                <w:color w:val="auto"/>
              </w:rPr>
            </w:pPr>
          </w:p>
        </w:tc>
        <w:tc>
          <w:tcPr>
            <w:tcW w:w="820" w:type="dxa"/>
            <w:vAlign w:val="bottom"/>
            <w:tcBorders>
              <w:bottom w:val="single" w:sz="8" w:color="E3E4E5"/>
            </w:tcBorders>
          </w:tcPr>
          <w:p>
            <w:pPr>
              <w:spacing w:after="0"/>
              <w:rPr>
                <w:sz w:val="9"/>
                <w:szCs w:val="9"/>
                <w:color w:val="auto"/>
              </w:rPr>
            </w:pPr>
          </w:p>
        </w:tc>
        <w:tc>
          <w:tcPr>
            <w:tcW w:w="260" w:type="dxa"/>
            <w:vAlign w:val="bottom"/>
            <w:tcBorders>
              <w:bottom w:val="single" w:sz="8" w:color="E3E4E5"/>
            </w:tcBorders>
          </w:tcPr>
          <w:p>
            <w:pPr>
              <w:spacing w:after="0"/>
              <w:rPr>
                <w:sz w:val="9"/>
                <w:szCs w:val="9"/>
                <w:color w:val="auto"/>
              </w:rPr>
            </w:pPr>
          </w:p>
        </w:tc>
        <w:tc>
          <w:tcPr>
            <w:tcW w:w="540" w:type="dxa"/>
            <w:vAlign w:val="bottom"/>
            <w:tcBorders>
              <w:bottom w:val="single" w:sz="8" w:color="E3E4E5"/>
            </w:tcBorders>
          </w:tcPr>
          <w:p>
            <w:pPr>
              <w:spacing w:after="0"/>
              <w:rPr>
                <w:sz w:val="9"/>
                <w:szCs w:val="9"/>
                <w:color w:val="auto"/>
              </w:rPr>
            </w:pPr>
          </w:p>
        </w:tc>
        <w:tc>
          <w:tcPr>
            <w:tcW w:w="240" w:type="dxa"/>
            <w:vAlign w:val="bottom"/>
            <w:tcBorders>
              <w:bottom w:val="single" w:sz="8" w:color="E3E4E5"/>
            </w:tcBorders>
          </w:tcPr>
          <w:p>
            <w:pPr>
              <w:spacing w:after="0"/>
              <w:rPr>
                <w:sz w:val="9"/>
                <w:szCs w:val="9"/>
                <w:color w:val="auto"/>
              </w:rPr>
            </w:pPr>
          </w:p>
        </w:tc>
        <w:tc>
          <w:tcPr>
            <w:tcW w:w="360" w:type="dxa"/>
            <w:vAlign w:val="bottom"/>
            <w:tcBorders>
              <w:bottom w:val="single" w:sz="8" w:color="E3E4E5"/>
            </w:tcBorders>
          </w:tcPr>
          <w:p>
            <w:pPr>
              <w:spacing w:after="0"/>
              <w:rPr>
                <w:sz w:val="9"/>
                <w:szCs w:val="9"/>
                <w:color w:val="auto"/>
              </w:rPr>
            </w:pPr>
          </w:p>
        </w:tc>
        <w:tc>
          <w:tcPr>
            <w:tcW w:w="760" w:type="dxa"/>
            <w:vAlign w:val="bottom"/>
            <w:tcBorders>
              <w:bottom w:val="single" w:sz="8" w:color="E3E4E5"/>
            </w:tcBorders>
          </w:tcPr>
          <w:p>
            <w:pPr>
              <w:spacing w:after="0"/>
              <w:rPr>
                <w:sz w:val="9"/>
                <w:szCs w:val="9"/>
                <w:color w:val="auto"/>
              </w:rPr>
            </w:pPr>
          </w:p>
        </w:tc>
        <w:tc>
          <w:tcPr>
            <w:tcW w:w="440" w:type="dxa"/>
            <w:vAlign w:val="bottom"/>
            <w:tcBorders>
              <w:bottom w:val="single" w:sz="8" w:color="E3E4E5"/>
              <w:right w:val="single" w:sz="8" w:color="E3E4E5"/>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596900</wp:posOffset>
            </wp:positionH>
            <wp:positionV relativeFrom="paragraph">
              <wp:posOffset>-1300480</wp:posOffset>
            </wp:positionV>
            <wp:extent cx="1768475" cy="8845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108">
                      <a:extLst>
                        <a:ext uri="{28A0092B-C50C-407E-A947-70E740481C1C}"/>
                      </a:extLst>
                    </a:blip>
                    <a:srcRect/>
                    <a:stretch>
                      <a:fillRect/>
                    </a:stretch>
                  </pic:blipFill>
                  <pic:spPr bwMode="auto">
                    <a:xfrm>
                      <a:off x="0" y="0"/>
                      <a:ext cx="1768475" cy="884555"/>
                    </a:xfrm>
                    <a:prstGeom prst="rect">
                      <a:avLst/>
                    </a:prstGeom>
                    <a:noFill/>
                  </pic:spPr>
                </pic:pic>
              </a:graphicData>
            </a:graphic>
          </wp:anchor>
        </w:drawing>
      </w:r>
    </w:p>
    <w:p>
      <w:pPr>
        <w:spacing w:after="0" w:line="200" w:lineRule="exact"/>
        <w:rPr>
          <w:sz w:val="20"/>
          <w:szCs w:val="20"/>
          <w:color w:val="auto"/>
        </w:rPr>
      </w:pPr>
    </w:p>
    <w:p>
      <w:pPr>
        <w:sectPr>
          <w:pgSz w:w="11880" w:h="15480" w:orient="portrait"/>
          <w:cols w:equalWidth="0" w:num="2">
            <w:col w:w="4560" w:space="720"/>
            <w:col w:w="4860"/>
          </w:cols>
          <w:pgMar w:left="900" w:top="1260" w:right="840" w:bottom="763" w:gutter="0" w:footer="0" w:header="0"/>
          <w:type w:val="continuous"/>
        </w:sectPr>
      </w:pPr>
    </w:p>
    <w:p>
      <w:pPr>
        <w:spacing w:after="0" w:line="92" w:lineRule="exact"/>
        <w:rPr>
          <w:sz w:val="20"/>
          <w:szCs w:val="20"/>
          <w:color w:val="auto"/>
        </w:rPr>
      </w:pPr>
    </w:p>
    <w:p>
      <w:pPr>
        <w:ind w:left="400" w:hanging="400"/>
        <w:spacing w:after="0"/>
        <w:tabs>
          <w:tab w:leader="none" w:pos="400" w:val="left"/>
        </w:tabs>
        <w:numPr>
          <w:ilvl w:val="0"/>
          <w:numId w:val="155"/>
        </w:numPr>
        <w:rPr>
          <w:rFonts w:ascii="Arial" w:cs="Arial" w:eastAsia="Arial" w:hAnsi="Arial"/>
          <w:sz w:val="20"/>
          <w:szCs w:val="20"/>
          <w:color w:val="231F20"/>
        </w:rPr>
      </w:pPr>
      <w:r>
        <w:rPr>
          <w:rFonts w:ascii="Arial" w:cs="Arial" w:eastAsia="Arial" w:hAnsi="Arial"/>
          <w:sz w:val="20"/>
          <w:szCs w:val="20"/>
          <w:color w:val="231F20"/>
        </w:rPr>
        <w:t>Compensation actually paid is shown in thousands.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290830</wp:posOffset>
                </wp:positionV>
                <wp:extent cx="6400800" cy="177800"/>
                <wp:wrapNone/>
                <wp:docPr id="472" name="Shape 4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177800"/>
                        </a:xfrm>
                        <a:prstGeom prst="rect">
                          <a:avLst/>
                        </a:prstGeom>
                        <a:solidFill>
                          <a:srgbClr val="E8E7E5"/>
                        </a:solidFill>
                      </wps:spPr>
                      <wps:bodyPr/>
                    </wps:wsp>
                  </a:graphicData>
                </a:graphic>
              </wp:anchor>
            </w:drawing>
          </mc:Choice>
          <mc:Fallback>
            <w:pict>
              <v:rect id="Shape 472" o:spid="_x0000_s1497" style="position:absolute;margin-left:0pt;margin-top:22.9pt;width:504pt;height:1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8E7E5" stroked="f"/>
            </w:pict>
          </mc:Fallback>
        </mc:AlternateContent>
        <mc:AlternateContent>
          <mc:Choice Requires="wps">
            <w:drawing>
              <wp:anchor simplePos="0" relativeHeight="251657728" behindDoc="1" locked="0" layoutInCell="0" allowOverlap="1">
                <wp:simplePos x="0" y="0"/>
                <wp:positionH relativeFrom="column">
                  <wp:posOffset>6350</wp:posOffset>
                </wp:positionH>
                <wp:positionV relativeFrom="paragraph">
                  <wp:posOffset>290195</wp:posOffset>
                </wp:positionV>
                <wp:extent cx="0" cy="177800"/>
                <wp:wrapNone/>
                <wp:docPr id="473" name="Shape 4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473" o:spid="_x0000_s149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pt,22.85pt" to="0.5pt,36.85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296545</wp:posOffset>
                </wp:positionV>
                <wp:extent cx="6400800" cy="0"/>
                <wp:wrapNone/>
                <wp:docPr id="474" name="Shape 4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474" o:spid="_x0000_s149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3.35pt" to="504pt,23.35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6394450</wp:posOffset>
                </wp:positionH>
                <wp:positionV relativeFrom="paragraph">
                  <wp:posOffset>290195</wp:posOffset>
                </wp:positionV>
                <wp:extent cx="0" cy="177800"/>
                <wp:wrapNone/>
                <wp:docPr id="475" name="Shape 4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475" o:spid="_x0000_s150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3.5pt,22.85pt" to="503.5pt,36.85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461645</wp:posOffset>
                </wp:positionV>
                <wp:extent cx="6400800" cy="0"/>
                <wp:wrapNone/>
                <wp:docPr id="476" name="Shape 4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476" o:spid="_x0000_s150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6.35pt" to="504pt,36.35pt" o:allowincell="f" strokecolor="#231F20" strokeweight="1pt"/>
            </w:pict>
          </mc:Fallback>
        </mc:AlternateContent>
      </w:r>
    </w:p>
    <w:p>
      <w:pPr>
        <w:sectPr>
          <w:pgSz w:w="11880" w:h="15480" w:orient="portrait"/>
          <w:cols w:equalWidth="0" w:num="1">
            <w:col w:w="10140"/>
          </w:cols>
          <w:pgMar w:left="900" w:top="1260" w:right="840" w:bottom="763" w:gutter="0" w:footer="0" w:header="0"/>
          <w:type w:val="continuous"/>
        </w:sectPr>
      </w:pPr>
    </w:p>
    <w:p>
      <w:pPr>
        <w:spacing w:after="0" w:line="200" w:lineRule="exact"/>
        <w:rPr>
          <w:sz w:val="20"/>
          <w:szCs w:val="20"/>
          <w:color w:val="auto"/>
        </w:rPr>
      </w:pPr>
    </w:p>
    <w:p>
      <w:pPr>
        <w:spacing w:after="0" w:line="306" w:lineRule="exact"/>
        <w:rPr>
          <w:sz w:val="20"/>
          <w:szCs w:val="20"/>
          <w:color w:val="auto"/>
        </w:rPr>
      </w:pPr>
    </w:p>
    <w:p>
      <w:pPr>
        <w:ind w:left="80"/>
        <w:spacing w:after="0"/>
        <w:tabs>
          <w:tab w:leader="none" w:pos="1420" w:val="left"/>
          <w:tab w:leader="none" w:pos="3160" w:val="left"/>
        </w:tabs>
        <w:rPr>
          <w:sz w:val="20"/>
          <w:szCs w:val="20"/>
          <w:color w:val="auto"/>
        </w:rPr>
      </w:pPr>
      <w:r>
        <w:rPr>
          <w:rFonts w:ascii="Arial" w:cs="Arial" w:eastAsia="Arial" w:hAnsi="Arial"/>
          <w:sz w:val="16"/>
          <w:szCs w:val="16"/>
          <w:color w:val="EF3E2A"/>
        </w:rPr>
        <w:t>Federal Realty</w:t>
      </w:r>
      <w:r>
        <w:rPr>
          <w:sz w:val="20"/>
          <w:szCs w:val="20"/>
          <w:color w:val="auto"/>
        </w:rPr>
        <w:tab/>
      </w:r>
      <w:r>
        <w:rPr>
          <w:rFonts w:ascii="Arial" w:cs="Arial" w:eastAsia="Arial" w:hAnsi="Arial"/>
          <w:sz w:val="16"/>
          <w:szCs w:val="16"/>
          <w:color w:val="231F20"/>
        </w:rPr>
        <w:t>2026 Proxy Statement</w:t>
        <w:tab/>
        <w:t>38</w:t>
      </w:r>
    </w:p>
    <w:p>
      <w:pPr>
        <w:sectPr>
          <w:pgSz w:w="11880" w:h="15480" w:orient="portrait"/>
          <w:cols w:equalWidth="0" w:num="1">
            <w:col w:w="10140"/>
          </w:cols>
          <w:pgMar w:left="900" w:top="1260" w:right="840" w:bottom="763" w:gutter="0" w:footer="0" w:header="0"/>
          <w:type w:val="continuous"/>
        </w:sectPr>
      </w:pPr>
    </w:p>
    <w:bookmarkStart w:id="158" w:name="page159"/>
    <w:bookmarkEnd w:id="158"/>
    <w:p>
      <w:pPr>
        <w:jc w:val="both"/>
        <w:spacing w:after="0" w:line="246" w:lineRule="auto"/>
        <w:rPr>
          <w:sz w:val="20"/>
          <w:szCs w:val="20"/>
          <w:color w:val="auto"/>
        </w:rPr>
      </w:pPr>
      <w:r>
        <w:rPr>
          <w:rFonts w:ascii="Arial" w:cs="Arial" w:eastAsia="Arial" w:hAnsi="Arial"/>
          <w:sz w:val="20"/>
          <w:szCs w:val="20"/>
          <w:color w:val="231F20"/>
        </w:rPr>
        <w:t>The following charts show the relationship of the compensation actually paid to our CEO and the average compensation actually paid to our other NEOs as compared to our GAAP reported net income and our NAREIT FFO per diluted share.</w:t>
      </w:r>
    </w:p>
    <w:p>
      <w:pPr>
        <w:spacing w:after="0" w:line="158" w:lineRule="exact"/>
        <w:rPr>
          <w:sz w:val="20"/>
          <w:szCs w:val="20"/>
          <w:color w:val="auto"/>
        </w:rPr>
      </w:pPr>
    </w:p>
    <w:tbl>
      <w:tblPr>
        <w:tblLayout w:type="fixed"/>
        <w:tblInd w:w="10" w:type="dxa"/>
        <w:tblCellMar>
          <w:top w:w="0" w:type="dxa"/>
          <w:left w:w="0" w:type="dxa"/>
          <w:bottom w:w="0" w:type="dxa"/>
          <w:right w:w="0" w:type="dxa"/>
        </w:tblCellMar>
      </w:tblPr>
      <w:tr>
        <w:trPr>
          <w:trHeight w:val="294"/>
        </w:trPr>
        <w:tc>
          <w:tcPr>
            <w:tcW w:w="4540" w:type="dxa"/>
            <w:vAlign w:val="bottom"/>
            <w:tcBorders>
              <w:top w:val="single" w:sz="8" w:color="D9D9D8"/>
              <w:left w:val="single" w:sz="8" w:color="D9D9D8"/>
              <w:right w:val="single" w:sz="8" w:color="D9D9D8"/>
            </w:tcBorders>
            <w:gridSpan w:val="10"/>
          </w:tcPr>
          <w:p>
            <w:pPr>
              <w:jc w:val="center"/>
              <w:spacing w:after="0"/>
              <w:rPr>
                <w:sz w:val="20"/>
                <w:szCs w:val="20"/>
                <w:color w:val="auto"/>
              </w:rPr>
            </w:pPr>
            <w:r>
              <w:rPr>
                <w:rFonts w:ascii="Calibri" w:cs="Calibri" w:eastAsia="Calibri" w:hAnsi="Calibri"/>
                <w:sz w:val="17"/>
                <w:szCs w:val="17"/>
                <w:color w:val="231F20"/>
                <w:w w:val="97"/>
              </w:rPr>
              <w:t>CEO Compensation Actually Paid v. Company</w:t>
            </w:r>
          </w:p>
        </w:tc>
        <w:tc>
          <w:tcPr>
            <w:tcW w:w="760" w:type="dxa"/>
            <w:vAlign w:val="bottom"/>
            <w:tcBorders>
              <w:right w:val="single" w:sz="8" w:color="D9D9D8"/>
            </w:tcBorders>
          </w:tcPr>
          <w:p>
            <w:pPr>
              <w:spacing w:after="0"/>
              <w:rPr>
                <w:sz w:val="24"/>
                <w:szCs w:val="24"/>
                <w:color w:val="auto"/>
              </w:rPr>
            </w:pPr>
          </w:p>
        </w:tc>
        <w:tc>
          <w:tcPr>
            <w:tcW w:w="4520" w:type="dxa"/>
            <w:vAlign w:val="bottom"/>
            <w:tcBorders>
              <w:top w:val="single" w:sz="8" w:color="D9D9D8"/>
              <w:right w:val="single" w:sz="8" w:color="D9D9D8"/>
            </w:tcBorders>
            <w:gridSpan w:val="11"/>
          </w:tcPr>
          <w:p>
            <w:pPr>
              <w:jc w:val="center"/>
              <w:spacing w:after="0"/>
              <w:rPr>
                <w:sz w:val="20"/>
                <w:szCs w:val="20"/>
                <w:color w:val="auto"/>
              </w:rPr>
            </w:pPr>
            <w:r>
              <w:rPr>
                <w:rFonts w:ascii="Calibri" w:cs="Calibri" w:eastAsia="Calibri" w:hAnsi="Calibri"/>
                <w:sz w:val="17"/>
                <w:szCs w:val="17"/>
                <w:color w:val="231F20"/>
                <w:w w:val="97"/>
              </w:rPr>
              <w:t>Avg. NEO Compensation Actually Paid v. Company</w:t>
            </w:r>
          </w:p>
        </w:tc>
        <w:tc>
          <w:tcPr>
            <w:tcW w:w="0" w:type="dxa"/>
            <w:vAlign w:val="bottom"/>
          </w:tcPr>
          <w:p>
            <w:pPr>
              <w:spacing w:after="0"/>
              <w:rPr>
                <w:sz w:val="1"/>
                <w:szCs w:val="1"/>
                <w:color w:val="auto"/>
              </w:rPr>
            </w:pPr>
          </w:p>
        </w:tc>
      </w:tr>
      <w:tr>
        <w:trPr>
          <w:trHeight w:val="224"/>
        </w:trPr>
        <w:tc>
          <w:tcPr>
            <w:tcW w:w="780" w:type="dxa"/>
            <w:vAlign w:val="bottom"/>
            <w:tcBorders>
              <w:left w:val="single" w:sz="8" w:color="D9D9D8"/>
            </w:tcBorders>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gridSpan w:val="3"/>
          </w:tcPr>
          <w:p>
            <w:pPr>
              <w:jc w:val="center"/>
              <w:ind w:left="374"/>
              <w:spacing w:after="0"/>
              <w:rPr>
                <w:sz w:val="20"/>
                <w:szCs w:val="20"/>
                <w:color w:val="auto"/>
              </w:rPr>
            </w:pPr>
            <w:r>
              <w:rPr>
                <w:rFonts w:ascii="Calibri" w:cs="Calibri" w:eastAsia="Calibri" w:hAnsi="Calibri"/>
                <w:sz w:val="17"/>
                <w:szCs w:val="17"/>
                <w:color w:val="231F20"/>
              </w:rPr>
              <w:t>Performance</w:t>
            </w: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80" w:type="dxa"/>
            <w:vAlign w:val="bottom"/>
            <w:tcBorders>
              <w:right w:val="single" w:sz="8" w:color="D9D9D8"/>
            </w:tcBorders>
          </w:tcPr>
          <w:p>
            <w:pPr>
              <w:spacing w:after="0"/>
              <w:rPr>
                <w:sz w:val="19"/>
                <w:szCs w:val="19"/>
                <w:color w:val="auto"/>
              </w:rPr>
            </w:pPr>
          </w:p>
        </w:tc>
        <w:tc>
          <w:tcPr>
            <w:tcW w:w="760" w:type="dxa"/>
            <w:vAlign w:val="bottom"/>
            <w:tcBorders>
              <w:right w:val="single" w:sz="8" w:color="D9D9D8"/>
            </w:tcBorders>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gridSpan w:val="3"/>
          </w:tcPr>
          <w:p>
            <w:pPr>
              <w:jc w:val="center"/>
              <w:ind w:left="90"/>
              <w:spacing w:after="0"/>
              <w:rPr>
                <w:sz w:val="20"/>
                <w:szCs w:val="20"/>
                <w:color w:val="auto"/>
              </w:rPr>
            </w:pPr>
            <w:r>
              <w:rPr>
                <w:rFonts w:ascii="Calibri" w:cs="Calibri" w:eastAsia="Calibri" w:hAnsi="Calibri"/>
                <w:sz w:val="17"/>
                <w:szCs w:val="17"/>
                <w:color w:val="231F20"/>
              </w:rPr>
              <w:t>Performance</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80" w:type="dxa"/>
            <w:vAlign w:val="bottom"/>
            <w:tcBorders>
              <w:right w:val="single" w:sz="8" w:color="D9D9D8"/>
            </w:tcBorders>
          </w:tcPr>
          <w:p>
            <w:pPr>
              <w:spacing w:after="0"/>
              <w:rPr>
                <w:sz w:val="19"/>
                <w:szCs w:val="19"/>
                <w:color w:val="auto"/>
              </w:rPr>
            </w:pPr>
          </w:p>
        </w:tc>
        <w:tc>
          <w:tcPr>
            <w:tcW w:w="0" w:type="dxa"/>
            <w:vAlign w:val="bottom"/>
          </w:tcPr>
          <w:p>
            <w:pPr>
              <w:spacing w:after="0"/>
              <w:rPr>
                <w:sz w:val="1"/>
                <w:szCs w:val="1"/>
                <w:color w:val="auto"/>
              </w:rPr>
            </w:pPr>
          </w:p>
        </w:tc>
      </w:tr>
      <w:tr>
        <w:trPr>
          <w:trHeight w:val="139"/>
        </w:trPr>
        <w:tc>
          <w:tcPr>
            <w:tcW w:w="780" w:type="dxa"/>
            <w:vAlign w:val="bottom"/>
            <w:tcBorders>
              <w:left w:val="single" w:sz="8" w:color="D9D9D8"/>
            </w:tcBorders>
            <w:vMerge w:val="restart"/>
          </w:tcPr>
          <w:p>
            <w:pPr>
              <w:jc w:val="right"/>
              <w:ind w:right="40"/>
              <w:spacing w:after="0"/>
              <w:rPr>
                <w:sz w:val="20"/>
                <w:szCs w:val="20"/>
                <w:color w:val="auto"/>
              </w:rPr>
            </w:pPr>
            <w:r>
              <w:rPr>
                <w:rFonts w:ascii="Calibri" w:cs="Calibri" w:eastAsia="Calibri" w:hAnsi="Calibri"/>
                <w:sz w:val="11"/>
                <w:szCs w:val="11"/>
                <w:color w:val="4C4C4E"/>
              </w:rPr>
              <w:t>$45,000,000</w:t>
            </w:r>
          </w:p>
        </w:tc>
        <w:tc>
          <w:tcPr>
            <w:tcW w:w="300" w:type="dxa"/>
            <w:vAlign w:val="bottom"/>
            <w:tcBorders>
              <w:bottom w:val="single" w:sz="8" w:color="DCDDDE"/>
            </w:tcBorders>
          </w:tcPr>
          <w:p>
            <w:pPr>
              <w:spacing w:after="0"/>
              <w:rPr>
                <w:sz w:val="12"/>
                <w:szCs w:val="12"/>
                <w:color w:val="auto"/>
              </w:rPr>
            </w:pPr>
          </w:p>
        </w:tc>
        <w:tc>
          <w:tcPr>
            <w:tcW w:w="240" w:type="dxa"/>
            <w:vAlign w:val="bottom"/>
            <w:tcBorders>
              <w:bottom w:val="single" w:sz="8" w:color="DCDDDE"/>
            </w:tcBorders>
          </w:tcPr>
          <w:p>
            <w:pPr>
              <w:spacing w:after="0"/>
              <w:rPr>
                <w:sz w:val="12"/>
                <w:szCs w:val="12"/>
                <w:color w:val="auto"/>
              </w:rPr>
            </w:pPr>
          </w:p>
        </w:tc>
        <w:tc>
          <w:tcPr>
            <w:tcW w:w="540" w:type="dxa"/>
            <w:vAlign w:val="bottom"/>
            <w:tcBorders>
              <w:bottom w:val="single" w:sz="8" w:color="DCDDDE"/>
            </w:tcBorders>
          </w:tcPr>
          <w:p>
            <w:pPr>
              <w:spacing w:after="0"/>
              <w:rPr>
                <w:sz w:val="12"/>
                <w:szCs w:val="12"/>
                <w:color w:val="auto"/>
              </w:rPr>
            </w:pPr>
          </w:p>
        </w:tc>
        <w:tc>
          <w:tcPr>
            <w:tcW w:w="240" w:type="dxa"/>
            <w:vAlign w:val="bottom"/>
            <w:tcBorders>
              <w:bottom w:val="single" w:sz="8" w:color="DCDDDE"/>
            </w:tcBorders>
          </w:tcPr>
          <w:p>
            <w:pPr>
              <w:spacing w:after="0"/>
              <w:rPr>
                <w:sz w:val="12"/>
                <w:szCs w:val="12"/>
                <w:color w:val="auto"/>
              </w:rPr>
            </w:pPr>
          </w:p>
        </w:tc>
        <w:tc>
          <w:tcPr>
            <w:tcW w:w="680" w:type="dxa"/>
            <w:vAlign w:val="bottom"/>
            <w:tcBorders>
              <w:bottom w:val="single" w:sz="8" w:color="DCDDDE"/>
            </w:tcBorders>
          </w:tcPr>
          <w:p>
            <w:pPr>
              <w:spacing w:after="0"/>
              <w:rPr>
                <w:sz w:val="12"/>
                <w:szCs w:val="12"/>
                <w:color w:val="auto"/>
              </w:rPr>
            </w:pPr>
          </w:p>
        </w:tc>
        <w:tc>
          <w:tcPr>
            <w:tcW w:w="220" w:type="dxa"/>
            <w:vAlign w:val="bottom"/>
            <w:tcBorders>
              <w:bottom w:val="single" w:sz="8" w:color="DCDDDE"/>
            </w:tcBorders>
          </w:tcPr>
          <w:p>
            <w:pPr>
              <w:spacing w:after="0"/>
              <w:rPr>
                <w:sz w:val="12"/>
                <w:szCs w:val="12"/>
                <w:color w:val="auto"/>
              </w:rPr>
            </w:pPr>
          </w:p>
        </w:tc>
        <w:tc>
          <w:tcPr>
            <w:tcW w:w="520" w:type="dxa"/>
            <w:vAlign w:val="bottom"/>
            <w:tcBorders>
              <w:bottom w:val="single" w:sz="8" w:color="DCDDDE"/>
            </w:tcBorders>
          </w:tcPr>
          <w:p>
            <w:pPr>
              <w:spacing w:after="0"/>
              <w:rPr>
                <w:sz w:val="12"/>
                <w:szCs w:val="12"/>
                <w:color w:val="auto"/>
              </w:rPr>
            </w:pPr>
          </w:p>
        </w:tc>
        <w:tc>
          <w:tcPr>
            <w:tcW w:w="540" w:type="dxa"/>
            <w:vAlign w:val="bottom"/>
            <w:tcBorders>
              <w:bottom w:val="single" w:sz="8" w:color="DCDDDE"/>
            </w:tcBorders>
          </w:tcPr>
          <w:p>
            <w:pPr>
              <w:spacing w:after="0"/>
              <w:rPr>
                <w:sz w:val="12"/>
                <w:szCs w:val="12"/>
                <w:color w:val="auto"/>
              </w:rPr>
            </w:pPr>
          </w:p>
        </w:tc>
        <w:tc>
          <w:tcPr>
            <w:tcW w:w="480" w:type="dxa"/>
            <w:vAlign w:val="bottom"/>
            <w:tcBorders>
              <w:right w:val="single" w:sz="8" w:color="D9D9D8"/>
            </w:tcBorders>
            <w:vMerge w:val="restart"/>
          </w:tcPr>
          <w:p>
            <w:pPr>
              <w:jc w:val="right"/>
              <w:ind w:right="43"/>
              <w:spacing w:after="0"/>
              <w:rPr>
                <w:sz w:val="20"/>
                <w:szCs w:val="20"/>
                <w:color w:val="auto"/>
              </w:rPr>
            </w:pPr>
            <w:r>
              <w:rPr>
                <w:rFonts w:ascii="Calibri" w:cs="Calibri" w:eastAsia="Calibri" w:hAnsi="Calibri"/>
                <w:sz w:val="11"/>
                <w:szCs w:val="11"/>
                <w:color w:val="4C4C4E"/>
              </w:rPr>
              <w:t>$7.50</w:t>
            </w:r>
          </w:p>
        </w:tc>
        <w:tc>
          <w:tcPr>
            <w:tcW w:w="760" w:type="dxa"/>
            <w:vAlign w:val="bottom"/>
            <w:tcBorders>
              <w:right w:val="single" w:sz="8" w:color="D9D9D8"/>
            </w:tcBorders>
            <w:vMerge w:val="restart"/>
          </w:tcPr>
          <w:p>
            <w:pPr>
              <w:spacing w:after="0"/>
              <w:rPr>
                <w:sz w:val="12"/>
                <w:szCs w:val="12"/>
                <w:color w:val="auto"/>
              </w:rPr>
            </w:pPr>
          </w:p>
        </w:tc>
        <w:tc>
          <w:tcPr>
            <w:tcW w:w="760" w:type="dxa"/>
            <w:vAlign w:val="bottom"/>
            <w:vMerge w:val="restart"/>
          </w:tcPr>
          <w:p>
            <w:pPr>
              <w:jc w:val="right"/>
              <w:ind w:right="40"/>
              <w:spacing w:after="0"/>
              <w:rPr>
                <w:sz w:val="20"/>
                <w:szCs w:val="20"/>
                <w:color w:val="auto"/>
              </w:rPr>
            </w:pPr>
            <w:r>
              <w:rPr>
                <w:rFonts w:ascii="Calibri" w:cs="Calibri" w:eastAsia="Calibri" w:hAnsi="Calibri"/>
                <w:sz w:val="11"/>
                <w:szCs w:val="11"/>
                <w:color w:val="4C4C4E"/>
              </w:rPr>
              <w:t>$45,000,000</w:t>
            </w:r>
          </w:p>
        </w:tc>
        <w:tc>
          <w:tcPr>
            <w:tcW w:w="200" w:type="dxa"/>
            <w:vAlign w:val="bottom"/>
            <w:tcBorders>
              <w:bottom w:val="single" w:sz="8" w:color="DCDDDE"/>
            </w:tcBorders>
          </w:tcPr>
          <w:p>
            <w:pPr>
              <w:spacing w:after="0"/>
              <w:rPr>
                <w:sz w:val="12"/>
                <w:szCs w:val="12"/>
                <w:color w:val="auto"/>
              </w:rPr>
            </w:pPr>
          </w:p>
        </w:tc>
        <w:tc>
          <w:tcPr>
            <w:tcW w:w="220" w:type="dxa"/>
            <w:vAlign w:val="bottom"/>
            <w:tcBorders>
              <w:bottom w:val="single" w:sz="8" w:color="DCDDDE"/>
            </w:tcBorders>
          </w:tcPr>
          <w:p>
            <w:pPr>
              <w:spacing w:after="0"/>
              <w:rPr>
                <w:sz w:val="12"/>
                <w:szCs w:val="12"/>
                <w:color w:val="auto"/>
              </w:rPr>
            </w:pPr>
          </w:p>
        </w:tc>
        <w:tc>
          <w:tcPr>
            <w:tcW w:w="300" w:type="dxa"/>
            <w:vAlign w:val="bottom"/>
            <w:tcBorders>
              <w:bottom w:val="single" w:sz="8" w:color="DCDDDE"/>
            </w:tcBorders>
          </w:tcPr>
          <w:p>
            <w:pPr>
              <w:spacing w:after="0"/>
              <w:rPr>
                <w:sz w:val="12"/>
                <w:szCs w:val="12"/>
                <w:color w:val="auto"/>
              </w:rPr>
            </w:pPr>
          </w:p>
        </w:tc>
        <w:tc>
          <w:tcPr>
            <w:tcW w:w="480" w:type="dxa"/>
            <w:vAlign w:val="bottom"/>
            <w:tcBorders>
              <w:bottom w:val="single" w:sz="8" w:color="DCDDDE"/>
            </w:tcBorders>
          </w:tcPr>
          <w:p>
            <w:pPr>
              <w:spacing w:after="0"/>
              <w:rPr>
                <w:sz w:val="12"/>
                <w:szCs w:val="12"/>
                <w:color w:val="auto"/>
              </w:rPr>
            </w:pPr>
          </w:p>
        </w:tc>
        <w:tc>
          <w:tcPr>
            <w:tcW w:w="240" w:type="dxa"/>
            <w:vAlign w:val="bottom"/>
            <w:tcBorders>
              <w:bottom w:val="single" w:sz="8" w:color="DCDDDE"/>
            </w:tcBorders>
          </w:tcPr>
          <w:p>
            <w:pPr>
              <w:spacing w:after="0"/>
              <w:rPr>
                <w:sz w:val="12"/>
                <w:szCs w:val="12"/>
                <w:color w:val="auto"/>
              </w:rPr>
            </w:pPr>
          </w:p>
        </w:tc>
        <w:tc>
          <w:tcPr>
            <w:tcW w:w="660" w:type="dxa"/>
            <w:vAlign w:val="bottom"/>
            <w:tcBorders>
              <w:bottom w:val="single" w:sz="8" w:color="DCDDDE"/>
            </w:tcBorders>
          </w:tcPr>
          <w:p>
            <w:pPr>
              <w:spacing w:after="0"/>
              <w:rPr>
                <w:sz w:val="12"/>
                <w:szCs w:val="12"/>
                <w:color w:val="auto"/>
              </w:rPr>
            </w:pPr>
          </w:p>
        </w:tc>
        <w:tc>
          <w:tcPr>
            <w:tcW w:w="240" w:type="dxa"/>
            <w:vAlign w:val="bottom"/>
            <w:tcBorders>
              <w:bottom w:val="single" w:sz="8" w:color="DCDDDE"/>
            </w:tcBorders>
          </w:tcPr>
          <w:p>
            <w:pPr>
              <w:spacing w:after="0"/>
              <w:rPr>
                <w:sz w:val="12"/>
                <w:szCs w:val="12"/>
                <w:color w:val="auto"/>
              </w:rPr>
            </w:pPr>
          </w:p>
        </w:tc>
        <w:tc>
          <w:tcPr>
            <w:tcW w:w="220" w:type="dxa"/>
            <w:vAlign w:val="bottom"/>
            <w:tcBorders>
              <w:bottom w:val="single" w:sz="8" w:color="DCDDDE"/>
            </w:tcBorders>
          </w:tcPr>
          <w:p>
            <w:pPr>
              <w:spacing w:after="0"/>
              <w:rPr>
                <w:sz w:val="12"/>
                <w:szCs w:val="12"/>
                <w:color w:val="auto"/>
              </w:rPr>
            </w:pPr>
          </w:p>
        </w:tc>
        <w:tc>
          <w:tcPr>
            <w:tcW w:w="720" w:type="dxa"/>
            <w:vAlign w:val="bottom"/>
            <w:tcBorders>
              <w:bottom w:val="single" w:sz="8" w:color="DCDDDE"/>
            </w:tcBorders>
          </w:tcPr>
          <w:p>
            <w:pPr>
              <w:spacing w:after="0"/>
              <w:rPr>
                <w:sz w:val="12"/>
                <w:szCs w:val="12"/>
                <w:color w:val="auto"/>
              </w:rPr>
            </w:pPr>
          </w:p>
        </w:tc>
        <w:tc>
          <w:tcPr>
            <w:tcW w:w="480" w:type="dxa"/>
            <w:vAlign w:val="bottom"/>
            <w:tcBorders>
              <w:right w:val="single" w:sz="8" w:color="D9D9D8"/>
            </w:tcBorders>
            <w:vMerge w:val="restart"/>
          </w:tcPr>
          <w:p>
            <w:pPr>
              <w:jc w:val="right"/>
              <w:ind w:right="43"/>
              <w:spacing w:after="0"/>
              <w:rPr>
                <w:sz w:val="20"/>
                <w:szCs w:val="20"/>
                <w:color w:val="auto"/>
              </w:rPr>
            </w:pPr>
            <w:r>
              <w:rPr>
                <w:rFonts w:ascii="Calibri" w:cs="Calibri" w:eastAsia="Calibri" w:hAnsi="Calibri"/>
                <w:sz w:val="11"/>
                <w:szCs w:val="11"/>
                <w:color w:val="4C4C4E"/>
              </w:rPr>
              <w:t>$7.50</w:t>
            </w:r>
          </w:p>
        </w:tc>
        <w:tc>
          <w:tcPr>
            <w:tcW w:w="0" w:type="dxa"/>
            <w:vAlign w:val="bottom"/>
          </w:tcPr>
          <w:p>
            <w:pPr>
              <w:spacing w:after="0"/>
              <w:rPr>
                <w:sz w:val="1"/>
                <w:szCs w:val="1"/>
                <w:color w:val="auto"/>
              </w:rPr>
            </w:pPr>
          </w:p>
        </w:tc>
      </w:tr>
      <w:tr>
        <w:trPr>
          <w:trHeight w:val="47"/>
        </w:trPr>
        <w:tc>
          <w:tcPr>
            <w:tcW w:w="780" w:type="dxa"/>
            <w:vAlign w:val="bottom"/>
            <w:tcBorders>
              <w:left w:val="single" w:sz="8" w:color="D9D9D8"/>
            </w:tcBorders>
            <w:vMerge w:val="continue"/>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540" w:type="dxa"/>
            <w:vAlign w:val="bottom"/>
          </w:tcPr>
          <w:p>
            <w:pPr>
              <w:spacing w:after="0"/>
              <w:rPr>
                <w:sz w:val="4"/>
                <w:szCs w:val="4"/>
                <w:color w:val="auto"/>
              </w:rPr>
            </w:pPr>
          </w:p>
        </w:tc>
        <w:tc>
          <w:tcPr>
            <w:tcW w:w="480" w:type="dxa"/>
            <w:vAlign w:val="bottom"/>
            <w:tcBorders>
              <w:right w:val="single" w:sz="8" w:color="D9D9D8"/>
            </w:tcBorders>
            <w:vMerge w:val="continue"/>
          </w:tcPr>
          <w:p>
            <w:pPr>
              <w:spacing w:after="0"/>
              <w:rPr>
                <w:sz w:val="4"/>
                <w:szCs w:val="4"/>
                <w:color w:val="auto"/>
              </w:rPr>
            </w:pPr>
          </w:p>
        </w:tc>
        <w:tc>
          <w:tcPr>
            <w:tcW w:w="760" w:type="dxa"/>
            <w:vAlign w:val="bottom"/>
            <w:tcBorders>
              <w:right w:val="single" w:sz="8" w:color="D9D9D8"/>
            </w:tcBorders>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300" w:type="dxa"/>
            <w:vAlign w:val="bottom"/>
          </w:tcPr>
          <w:p>
            <w:pPr>
              <w:spacing w:after="0"/>
              <w:rPr>
                <w:sz w:val="4"/>
                <w:szCs w:val="4"/>
                <w:color w:val="auto"/>
              </w:rPr>
            </w:pPr>
          </w:p>
        </w:tc>
        <w:tc>
          <w:tcPr>
            <w:tcW w:w="480" w:type="dxa"/>
            <w:vAlign w:val="bottom"/>
          </w:tcPr>
          <w:p>
            <w:pPr>
              <w:spacing w:after="0"/>
              <w:rPr>
                <w:sz w:val="4"/>
                <w:szCs w:val="4"/>
                <w:color w:val="auto"/>
              </w:rPr>
            </w:pPr>
          </w:p>
        </w:tc>
        <w:tc>
          <w:tcPr>
            <w:tcW w:w="2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20" w:type="dxa"/>
            <w:vAlign w:val="bottom"/>
          </w:tcPr>
          <w:p>
            <w:pPr>
              <w:spacing w:after="0"/>
              <w:rPr>
                <w:sz w:val="4"/>
                <w:szCs w:val="4"/>
                <w:color w:val="auto"/>
              </w:rPr>
            </w:pPr>
          </w:p>
        </w:tc>
        <w:tc>
          <w:tcPr>
            <w:tcW w:w="720" w:type="dxa"/>
            <w:vAlign w:val="bottom"/>
          </w:tcPr>
          <w:p>
            <w:pPr>
              <w:spacing w:after="0"/>
              <w:rPr>
                <w:sz w:val="4"/>
                <w:szCs w:val="4"/>
                <w:color w:val="auto"/>
              </w:rPr>
            </w:pPr>
          </w:p>
        </w:tc>
        <w:tc>
          <w:tcPr>
            <w:tcW w:w="480" w:type="dxa"/>
            <w:vAlign w:val="bottom"/>
            <w:tcBorders>
              <w:right w:val="single" w:sz="8" w:color="D9D9D8"/>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780" w:type="dxa"/>
            <w:vAlign w:val="bottom"/>
            <w:tcBorders>
              <w:left w:val="single" w:sz="8" w:color="D9D9D8"/>
            </w:tcBorders>
            <w:vMerge w:val="restart"/>
          </w:tcPr>
          <w:p>
            <w:pPr>
              <w:jc w:val="right"/>
              <w:ind w:right="40"/>
              <w:spacing w:after="0"/>
              <w:rPr>
                <w:sz w:val="20"/>
                <w:szCs w:val="20"/>
                <w:color w:val="auto"/>
              </w:rPr>
            </w:pPr>
            <w:r>
              <w:rPr>
                <w:rFonts w:ascii="Calibri" w:cs="Calibri" w:eastAsia="Calibri" w:hAnsi="Calibri"/>
                <w:sz w:val="11"/>
                <w:szCs w:val="11"/>
                <w:color w:val="4C4C4E"/>
              </w:rPr>
              <w:t>$37,500,000</w:t>
            </w:r>
          </w:p>
        </w:tc>
        <w:tc>
          <w:tcPr>
            <w:tcW w:w="300" w:type="dxa"/>
            <w:vAlign w:val="bottom"/>
            <w:tcBorders>
              <w:bottom w:val="single" w:sz="8" w:color="DCDDDE"/>
            </w:tcBorders>
          </w:tcPr>
          <w:p>
            <w:pPr>
              <w:spacing w:after="0"/>
              <w:rPr>
                <w:sz w:val="13"/>
                <w:szCs w:val="13"/>
                <w:color w:val="auto"/>
              </w:rPr>
            </w:pPr>
          </w:p>
        </w:tc>
        <w:tc>
          <w:tcPr>
            <w:tcW w:w="240" w:type="dxa"/>
            <w:vAlign w:val="bottom"/>
            <w:tcBorders>
              <w:bottom w:val="single" w:sz="8" w:color="DCDDDE"/>
            </w:tcBorders>
          </w:tcPr>
          <w:p>
            <w:pPr>
              <w:spacing w:after="0"/>
              <w:rPr>
                <w:sz w:val="13"/>
                <w:szCs w:val="13"/>
                <w:color w:val="auto"/>
              </w:rPr>
            </w:pPr>
          </w:p>
        </w:tc>
        <w:tc>
          <w:tcPr>
            <w:tcW w:w="540" w:type="dxa"/>
            <w:vAlign w:val="bottom"/>
            <w:tcBorders>
              <w:bottom w:val="single" w:sz="8" w:color="DCDDDE"/>
            </w:tcBorders>
          </w:tcPr>
          <w:p>
            <w:pPr>
              <w:spacing w:after="0"/>
              <w:rPr>
                <w:sz w:val="13"/>
                <w:szCs w:val="13"/>
                <w:color w:val="auto"/>
              </w:rPr>
            </w:pPr>
          </w:p>
        </w:tc>
        <w:tc>
          <w:tcPr>
            <w:tcW w:w="240" w:type="dxa"/>
            <w:vAlign w:val="bottom"/>
            <w:tcBorders>
              <w:bottom w:val="single" w:sz="8" w:color="DCDDDE"/>
            </w:tcBorders>
          </w:tcPr>
          <w:p>
            <w:pPr>
              <w:spacing w:after="0"/>
              <w:rPr>
                <w:sz w:val="13"/>
                <w:szCs w:val="13"/>
                <w:color w:val="auto"/>
              </w:rPr>
            </w:pPr>
          </w:p>
        </w:tc>
        <w:tc>
          <w:tcPr>
            <w:tcW w:w="680" w:type="dxa"/>
            <w:vAlign w:val="bottom"/>
            <w:tcBorders>
              <w:bottom w:val="single" w:sz="8" w:color="DCDDDE"/>
            </w:tcBorders>
          </w:tcPr>
          <w:p>
            <w:pPr>
              <w:spacing w:after="0"/>
              <w:rPr>
                <w:sz w:val="13"/>
                <w:szCs w:val="13"/>
                <w:color w:val="auto"/>
              </w:rPr>
            </w:pPr>
          </w:p>
        </w:tc>
        <w:tc>
          <w:tcPr>
            <w:tcW w:w="220" w:type="dxa"/>
            <w:vAlign w:val="bottom"/>
            <w:tcBorders>
              <w:bottom w:val="single" w:sz="8" w:color="DCDDDE"/>
            </w:tcBorders>
          </w:tcPr>
          <w:p>
            <w:pPr>
              <w:spacing w:after="0"/>
              <w:rPr>
                <w:sz w:val="13"/>
                <w:szCs w:val="13"/>
                <w:color w:val="auto"/>
              </w:rPr>
            </w:pPr>
          </w:p>
        </w:tc>
        <w:tc>
          <w:tcPr>
            <w:tcW w:w="520" w:type="dxa"/>
            <w:vAlign w:val="bottom"/>
            <w:tcBorders>
              <w:bottom w:val="single" w:sz="8" w:color="DCDDDE"/>
            </w:tcBorders>
          </w:tcPr>
          <w:p>
            <w:pPr>
              <w:spacing w:after="0"/>
              <w:rPr>
                <w:sz w:val="13"/>
                <w:szCs w:val="13"/>
                <w:color w:val="auto"/>
              </w:rPr>
            </w:pPr>
          </w:p>
        </w:tc>
        <w:tc>
          <w:tcPr>
            <w:tcW w:w="540" w:type="dxa"/>
            <w:vAlign w:val="bottom"/>
            <w:tcBorders>
              <w:bottom w:val="single" w:sz="8" w:color="DCDDDE"/>
            </w:tcBorders>
          </w:tcPr>
          <w:p>
            <w:pPr>
              <w:spacing w:after="0"/>
              <w:rPr>
                <w:sz w:val="13"/>
                <w:szCs w:val="13"/>
                <w:color w:val="auto"/>
              </w:rPr>
            </w:pPr>
          </w:p>
        </w:tc>
        <w:tc>
          <w:tcPr>
            <w:tcW w:w="480" w:type="dxa"/>
            <w:vAlign w:val="bottom"/>
            <w:tcBorders>
              <w:right w:val="single" w:sz="8" w:color="D9D9D8"/>
            </w:tcBorders>
            <w:vMerge w:val="restart"/>
          </w:tcPr>
          <w:p>
            <w:pPr>
              <w:jc w:val="right"/>
              <w:ind w:right="43"/>
              <w:spacing w:after="0"/>
              <w:rPr>
                <w:sz w:val="20"/>
                <w:szCs w:val="20"/>
                <w:color w:val="auto"/>
              </w:rPr>
            </w:pPr>
            <w:r>
              <w:rPr>
                <w:rFonts w:ascii="Calibri" w:cs="Calibri" w:eastAsia="Calibri" w:hAnsi="Calibri"/>
                <w:sz w:val="11"/>
                <w:szCs w:val="11"/>
                <w:color w:val="4C4C4E"/>
              </w:rPr>
              <w:t>$7.00</w:t>
            </w:r>
          </w:p>
        </w:tc>
        <w:tc>
          <w:tcPr>
            <w:tcW w:w="760" w:type="dxa"/>
            <w:vAlign w:val="bottom"/>
            <w:tcBorders>
              <w:right w:val="single" w:sz="8" w:color="D9D9D8"/>
            </w:tcBorders>
            <w:vMerge w:val="restart"/>
          </w:tcPr>
          <w:p>
            <w:pPr>
              <w:spacing w:after="0"/>
              <w:rPr>
                <w:sz w:val="13"/>
                <w:szCs w:val="13"/>
                <w:color w:val="auto"/>
              </w:rPr>
            </w:pPr>
          </w:p>
        </w:tc>
        <w:tc>
          <w:tcPr>
            <w:tcW w:w="760" w:type="dxa"/>
            <w:vAlign w:val="bottom"/>
            <w:vMerge w:val="restart"/>
          </w:tcPr>
          <w:p>
            <w:pPr>
              <w:jc w:val="right"/>
              <w:ind w:right="40"/>
              <w:spacing w:after="0"/>
              <w:rPr>
                <w:sz w:val="20"/>
                <w:szCs w:val="20"/>
                <w:color w:val="auto"/>
              </w:rPr>
            </w:pPr>
            <w:r>
              <w:rPr>
                <w:rFonts w:ascii="Calibri" w:cs="Calibri" w:eastAsia="Calibri" w:hAnsi="Calibri"/>
                <w:sz w:val="11"/>
                <w:szCs w:val="11"/>
                <w:color w:val="4C4C4E"/>
              </w:rPr>
              <w:t>$37,500,000</w:t>
            </w:r>
          </w:p>
        </w:tc>
        <w:tc>
          <w:tcPr>
            <w:tcW w:w="200" w:type="dxa"/>
            <w:vAlign w:val="bottom"/>
            <w:tcBorders>
              <w:bottom w:val="single" w:sz="8" w:color="DCDDDE"/>
            </w:tcBorders>
          </w:tcPr>
          <w:p>
            <w:pPr>
              <w:spacing w:after="0"/>
              <w:rPr>
                <w:sz w:val="13"/>
                <w:szCs w:val="13"/>
                <w:color w:val="auto"/>
              </w:rPr>
            </w:pPr>
          </w:p>
        </w:tc>
        <w:tc>
          <w:tcPr>
            <w:tcW w:w="220" w:type="dxa"/>
            <w:vAlign w:val="bottom"/>
            <w:tcBorders>
              <w:bottom w:val="single" w:sz="8" w:color="DCDDDE"/>
            </w:tcBorders>
          </w:tcPr>
          <w:p>
            <w:pPr>
              <w:spacing w:after="0"/>
              <w:rPr>
                <w:sz w:val="13"/>
                <w:szCs w:val="13"/>
                <w:color w:val="auto"/>
              </w:rPr>
            </w:pPr>
          </w:p>
        </w:tc>
        <w:tc>
          <w:tcPr>
            <w:tcW w:w="300" w:type="dxa"/>
            <w:vAlign w:val="bottom"/>
            <w:tcBorders>
              <w:bottom w:val="single" w:sz="8" w:color="DCDDDE"/>
            </w:tcBorders>
          </w:tcPr>
          <w:p>
            <w:pPr>
              <w:spacing w:after="0"/>
              <w:rPr>
                <w:sz w:val="13"/>
                <w:szCs w:val="13"/>
                <w:color w:val="auto"/>
              </w:rPr>
            </w:pPr>
          </w:p>
        </w:tc>
        <w:tc>
          <w:tcPr>
            <w:tcW w:w="480" w:type="dxa"/>
            <w:vAlign w:val="bottom"/>
            <w:tcBorders>
              <w:bottom w:val="single" w:sz="8" w:color="DCDDDE"/>
            </w:tcBorders>
          </w:tcPr>
          <w:p>
            <w:pPr>
              <w:spacing w:after="0"/>
              <w:rPr>
                <w:sz w:val="13"/>
                <w:szCs w:val="13"/>
                <w:color w:val="auto"/>
              </w:rPr>
            </w:pPr>
          </w:p>
        </w:tc>
        <w:tc>
          <w:tcPr>
            <w:tcW w:w="240" w:type="dxa"/>
            <w:vAlign w:val="bottom"/>
            <w:tcBorders>
              <w:bottom w:val="single" w:sz="8" w:color="DCDDDE"/>
            </w:tcBorders>
          </w:tcPr>
          <w:p>
            <w:pPr>
              <w:spacing w:after="0"/>
              <w:rPr>
                <w:sz w:val="13"/>
                <w:szCs w:val="13"/>
                <w:color w:val="auto"/>
              </w:rPr>
            </w:pPr>
          </w:p>
        </w:tc>
        <w:tc>
          <w:tcPr>
            <w:tcW w:w="660" w:type="dxa"/>
            <w:vAlign w:val="bottom"/>
            <w:tcBorders>
              <w:bottom w:val="single" w:sz="8" w:color="DCDDDE"/>
            </w:tcBorders>
          </w:tcPr>
          <w:p>
            <w:pPr>
              <w:spacing w:after="0"/>
              <w:rPr>
                <w:sz w:val="13"/>
                <w:szCs w:val="13"/>
                <w:color w:val="auto"/>
              </w:rPr>
            </w:pPr>
          </w:p>
        </w:tc>
        <w:tc>
          <w:tcPr>
            <w:tcW w:w="240" w:type="dxa"/>
            <w:vAlign w:val="bottom"/>
            <w:tcBorders>
              <w:bottom w:val="single" w:sz="8" w:color="DCDDDE"/>
            </w:tcBorders>
          </w:tcPr>
          <w:p>
            <w:pPr>
              <w:spacing w:after="0"/>
              <w:rPr>
                <w:sz w:val="13"/>
                <w:szCs w:val="13"/>
                <w:color w:val="auto"/>
              </w:rPr>
            </w:pPr>
          </w:p>
        </w:tc>
        <w:tc>
          <w:tcPr>
            <w:tcW w:w="220" w:type="dxa"/>
            <w:vAlign w:val="bottom"/>
            <w:tcBorders>
              <w:bottom w:val="single" w:sz="8" w:color="DCDDDE"/>
            </w:tcBorders>
          </w:tcPr>
          <w:p>
            <w:pPr>
              <w:spacing w:after="0"/>
              <w:rPr>
                <w:sz w:val="13"/>
                <w:szCs w:val="13"/>
                <w:color w:val="auto"/>
              </w:rPr>
            </w:pPr>
          </w:p>
        </w:tc>
        <w:tc>
          <w:tcPr>
            <w:tcW w:w="720" w:type="dxa"/>
            <w:vAlign w:val="bottom"/>
            <w:tcBorders>
              <w:bottom w:val="single" w:sz="8" w:color="DCDDDE"/>
            </w:tcBorders>
          </w:tcPr>
          <w:p>
            <w:pPr>
              <w:spacing w:after="0"/>
              <w:rPr>
                <w:sz w:val="13"/>
                <w:szCs w:val="13"/>
                <w:color w:val="auto"/>
              </w:rPr>
            </w:pPr>
          </w:p>
        </w:tc>
        <w:tc>
          <w:tcPr>
            <w:tcW w:w="480" w:type="dxa"/>
            <w:vAlign w:val="bottom"/>
            <w:tcBorders>
              <w:right w:val="single" w:sz="8" w:color="D9D9D8"/>
            </w:tcBorders>
            <w:vMerge w:val="restart"/>
          </w:tcPr>
          <w:p>
            <w:pPr>
              <w:jc w:val="right"/>
              <w:ind w:right="43"/>
              <w:spacing w:after="0"/>
              <w:rPr>
                <w:sz w:val="20"/>
                <w:szCs w:val="20"/>
                <w:color w:val="auto"/>
              </w:rPr>
            </w:pPr>
            <w:r>
              <w:rPr>
                <w:rFonts w:ascii="Calibri" w:cs="Calibri" w:eastAsia="Calibri" w:hAnsi="Calibri"/>
                <w:sz w:val="11"/>
                <w:szCs w:val="11"/>
                <w:color w:val="4C4C4E"/>
              </w:rPr>
              <w:t>$7.00</w:t>
            </w:r>
          </w:p>
        </w:tc>
        <w:tc>
          <w:tcPr>
            <w:tcW w:w="0" w:type="dxa"/>
            <w:vAlign w:val="bottom"/>
          </w:tcPr>
          <w:p>
            <w:pPr>
              <w:spacing w:after="0"/>
              <w:rPr>
                <w:sz w:val="1"/>
                <w:szCs w:val="1"/>
                <w:color w:val="auto"/>
              </w:rPr>
            </w:pPr>
          </w:p>
        </w:tc>
      </w:tr>
      <w:tr>
        <w:trPr>
          <w:trHeight w:val="53"/>
        </w:trPr>
        <w:tc>
          <w:tcPr>
            <w:tcW w:w="780" w:type="dxa"/>
            <w:vAlign w:val="bottom"/>
            <w:tcBorders>
              <w:left w:val="single" w:sz="8" w:color="D9D9D8"/>
            </w:tcBorders>
            <w:vMerge w:val="continue"/>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540" w:type="dxa"/>
            <w:vAlign w:val="bottom"/>
          </w:tcPr>
          <w:p>
            <w:pPr>
              <w:spacing w:after="0"/>
              <w:rPr>
                <w:sz w:val="4"/>
                <w:szCs w:val="4"/>
                <w:color w:val="auto"/>
              </w:rPr>
            </w:pPr>
          </w:p>
        </w:tc>
        <w:tc>
          <w:tcPr>
            <w:tcW w:w="480" w:type="dxa"/>
            <w:vAlign w:val="bottom"/>
            <w:tcBorders>
              <w:right w:val="single" w:sz="8" w:color="D9D9D8"/>
            </w:tcBorders>
            <w:vMerge w:val="continue"/>
          </w:tcPr>
          <w:p>
            <w:pPr>
              <w:spacing w:after="0"/>
              <w:rPr>
                <w:sz w:val="4"/>
                <w:szCs w:val="4"/>
                <w:color w:val="auto"/>
              </w:rPr>
            </w:pPr>
          </w:p>
        </w:tc>
        <w:tc>
          <w:tcPr>
            <w:tcW w:w="760" w:type="dxa"/>
            <w:vAlign w:val="bottom"/>
            <w:tcBorders>
              <w:right w:val="single" w:sz="8" w:color="D9D9D8"/>
            </w:tcBorders>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300" w:type="dxa"/>
            <w:vAlign w:val="bottom"/>
          </w:tcPr>
          <w:p>
            <w:pPr>
              <w:spacing w:after="0"/>
              <w:rPr>
                <w:sz w:val="4"/>
                <w:szCs w:val="4"/>
                <w:color w:val="auto"/>
              </w:rPr>
            </w:pPr>
          </w:p>
        </w:tc>
        <w:tc>
          <w:tcPr>
            <w:tcW w:w="480" w:type="dxa"/>
            <w:vAlign w:val="bottom"/>
          </w:tcPr>
          <w:p>
            <w:pPr>
              <w:spacing w:after="0"/>
              <w:rPr>
                <w:sz w:val="4"/>
                <w:szCs w:val="4"/>
                <w:color w:val="auto"/>
              </w:rPr>
            </w:pPr>
          </w:p>
        </w:tc>
        <w:tc>
          <w:tcPr>
            <w:tcW w:w="2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20" w:type="dxa"/>
            <w:vAlign w:val="bottom"/>
          </w:tcPr>
          <w:p>
            <w:pPr>
              <w:spacing w:after="0"/>
              <w:rPr>
                <w:sz w:val="4"/>
                <w:szCs w:val="4"/>
                <w:color w:val="auto"/>
              </w:rPr>
            </w:pPr>
          </w:p>
        </w:tc>
        <w:tc>
          <w:tcPr>
            <w:tcW w:w="720" w:type="dxa"/>
            <w:vAlign w:val="bottom"/>
          </w:tcPr>
          <w:p>
            <w:pPr>
              <w:spacing w:after="0"/>
              <w:rPr>
                <w:sz w:val="4"/>
                <w:szCs w:val="4"/>
                <w:color w:val="auto"/>
              </w:rPr>
            </w:pPr>
          </w:p>
        </w:tc>
        <w:tc>
          <w:tcPr>
            <w:tcW w:w="480" w:type="dxa"/>
            <w:vAlign w:val="bottom"/>
            <w:tcBorders>
              <w:right w:val="single" w:sz="8" w:color="D9D9D8"/>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9"/>
        </w:trPr>
        <w:tc>
          <w:tcPr>
            <w:tcW w:w="780" w:type="dxa"/>
            <w:vAlign w:val="bottom"/>
            <w:tcBorders>
              <w:left w:val="single" w:sz="8" w:color="D9D9D8"/>
            </w:tcBorders>
            <w:vMerge w:val="restart"/>
          </w:tcPr>
          <w:p>
            <w:pPr>
              <w:jc w:val="right"/>
              <w:ind w:right="40"/>
              <w:spacing w:after="0"/>
              <w:rPr>
                <w:sz w:val="20"/>
                <w:szCs w:val="20"/>
                <w:color w:val="auto"/>
              </w:rPr>
            </w:pPr>
            <w:r>
              <w:rPr>
                <w:rFonts w:ascii="Calibri" w:cs="Calibri" w:eastAsia="Calibri" w:hAnsi="Calibri"/>
                <w:sz w:val="11"/>
                <w:szCs w:val="11"/>
                <w:color w:val="4C4C4E"/>
              </w:rPr>
              <w:t>$30,000,000</w:t>
            </w:r>
          </w:p>
        </w:tc>
        <w:tc>
          <w:tcPr>
            <w:tcW w:w="300" w:type="dxa"/>
            <w:vAlign w:val="bottom"/>
            <w:tcBorders>
              <w:bottom w:val="single" w:sz="8" w:color="DCDDDE"/>
            </w:tcBorders>
          </w:tcPr>
          <w:p>
            <w:pPr>
              <w:spacing w:after="0"/>
              <w:rPr>
                <w:sz w:val="13"/>
                <w:szCs w:val="13"/>
                <w:color w:val="auto"/>
              </w:rPr>
            </w:pPr>
          </w:p>
        </w:tc>
        <w:tc>
          <w:tcPr>
            <w:tcW w:w="240" w:type="dxa"/>
            <w:vAlign w:val="bottom"/>
            <w:tcBorders>
              <w:bottom w:val="single" w:sz="8" w:color="DCDDDE"/>
            </w:tcBorders>
          </w:tcPr>
          <w:p>
            <w:pPr>
              <w:spacing w:after="0"/>
              <w:rPr>
                <w:sz w:val="13"/>
                <w:szCs w:val="13"/>
                <w:color w:val="auto"/>
              </w:rPr>
            </w:pPr>
          </w:p>
        </w:tc>
        <w:tc>
          <w:tcPr>
            <w:tcW w:w="540" w:type="dxa"/>
            <w:vAlign w:val="bottom"/>
            <w:tcBorders>
              <w:bottom w:val="single" w:sz="8" w:color="DCDDDE"/>
            </w:tcBorders>
          </w:tcPr>
          <w:p>
            <w:pPr>
              <w:spacing w:after="0"/>
              <w:rPr>
                <w:sz w:val="13"/>
                <w:szCs w:val="13"/>
                <w:color w:val="auto"/>
              </w:rPr>
            </w:pPr>
          </w:p>
        </w:tc>
        <w:tc>
          <w:tcPr>
            <w:tcW w:w="240" w:type="dxa"/>
            <w:vAlign w:val="bottom"/>
            <w:tcBorders>
              <w:bottom w:val="single" w:sz="8" w:color="DCDDDE"/>
            </w:tcBorders>
          </w:tcPr>
          <w:p>
            <w:pPr>
              <w:spacing w:after="0"/>
              <w:rPr>
                <w:sz w:val="13"/>
                <w:szCs w:val="13"/>
                <w:color w:val="auto"/>
              </w:rPr>
            </w:pPr>
          </w:p>
        </w:tc>
        <w:tc>
          <w:tcPr>
            <w:tcW w:w="680" w:type="dxa"/>
            <w:vAlign w:val="bottom"/>
            <w:tcBorders>
              <w:bottom w:val="single" w:sz="8" w:color="DCDDDE"/>
            </w:tcBorders>
          </w:tcPr>
          <w:p>
            <w:pPr>
              <w:spacing w:after="0"/>
              <w:rPr>
                <w:sz w:val="13"/>
                <w:szCs w:val="13"/>
                <w:color w:val="auto"/>
              </w:rPr>
            </w:pPr>
          </w:p>
        </w:tc>
        <w:tc>
          <w:tcPr>
            <w:tcW w:w="220" w:type="dxa"/>
            <w:vAlign w:val="bottom"/>
            <w:tcBorders>
              <w:bottom w:val="single" w:sz="8" w:color="DCDDDE"/>
            </w:tcBorders>
          </w:tcPr>
          <w:p>
            <w:pPr>
              <w:spacing w:after="0"/>
              <w:rPr>
                <w:sz w:val="13"/>
                <w:szCs w:val="13"/>
                <w:color w:val="auto"/>
              </w:rPr>
            </w:pPr>
          </w:p>
        </w:tc>
        <w:tc>
          <w:tcPr>
            <w:tcW w:w="520" w:type="dxa"/>
            <w:vAlign w:val="bottom"/>
            <w:tcBorders>
              <w:bottom w:val="single" w:sz="8" w:color="DCDDDE"/>
            </w:tcBorders>
          </w:tcPr>
          <w:p>
            <w:pPr>
              <w:spacing w:after="0"/>
              <w:rPr>
                <w:sz w:val="13"/>
                <w:szCs w:val="13"/>
                <w:color w:val="auto"/>
              </w:rPr>
            </w:pPr>
          </w:p>
        </w:tc>
        <w:tc>
          <w:tcPr>
            <w:tcW w:w="540" w:type="dxa"/>
            <w:vAlign w:val="bottom"/>
            <w:tcBorders>
              <w:bottom w:val="single" w:sz="8" w:color="DCDDDE"/>
            </w:tcBorders>
          </w:tcPr>
          <w:p>
            <w:pPr>
              <w:spacing w:after="0"/>
              <w:rPr>
                <w:sz w:val="13"/>
                <w:szCs w:val="13"/>
                <w:color w:val="auto"/>
              </w:rPr>
            </w:pPr>
          </w:p>
        </w:tc>
        <w:tc>
          <w:tcPr>
            <w:tcW w:w="480" w:type="dxa"/>
            <w:vAlign w:val="bottom"/>
            <w:tcBorders>
              <w:right w:val="single" w:sz="8" w:color="D9D9D8"/>
            </w:tcBorders>
          </w:tcPr>
          <w:p>
            <w:pPr>
              <w:jc w:val="right"/>
              <w:ind w:right="43"/>
              <w:spacing w:after="0"/>
              <w:rPr>
                <w:sz w:val="20"/>
                <w:szCs w:val="20"/>
                <w:color w:val="auto"/>
              </w:rPr>
            </w:pPr>
            <w:r>
              <w:rPr>
                <w:rFonts w:ascii="Calibri" w:cs="Calibri" w:eastAsia="Calibri" w:hAnsi="Calibri"/>
                <w:sz w:val="11"/>
                <w:szCs w:val="11"/>
                <w:color w:val="4C4C4E"/>
              </w:rPr>
              <w:t>$6.50</w:t>
            </w:r>
          </w:p>
        </w:tc>
        <w:tc>
          <w:tcPr>
            <w:tcW w:w="760" w:type="dxa"/>
            <w:vAlign w:val="bottom"/>
            <w:tcBorders>
              <w:right w:val="single" w:sz="8" w:color="D9D9D8"/>
            </w:tcBorders>
          </w:tcPr>
          <w:p>
            <w:pPr>
              <w:spacing w:after="0"/>
              <w:rPr>
                <w:sz w:val="13"/>
                <w:szCs w:val="13"/>
                <w:color w:val="auto"/>
              </w:rPr>
            </w:pPr>
          </w:p>
        </w:tc>
        <w:tc>
          <w:tcPr>
            <w:tcW w:w="760" w:type="dxa"/>
            <w:vAlign w:val="bottom"/>
            <w:vMerge w:val="restart"/>
          </w:tcPr>
          <w:p>
            <w:pPr>
              <w:jc w:val="right"/>
              <w:ind w:right="40"/>
              <w:spacing w:after="0"/>
              <w:rPr>
                <w:sz w:val="20"/>
                <w:szCs w:val="20"/>
                <w:color w:val="auto"/>
              </w:rPr>
            </w:pPr>
            <w:r>
              <w:rPr>
                <w:rFonts w:ascii="Calibri" w:cs="Calibri" w:eastAsia="Calibri" w:hAnsi="Calibri"/>
                <w:sz w:val="11"/>
                <w:szCs w:val="11"/>
                <w:color w:val="4C4C4E"/>
              </w:rPr>
              <w:t>$30,000,000</w:t>
            </w:r>
          </w:p>
        </w:tc>
        <w:tc>
          <w:tcPr>
            <w:tcW w:w="200" w:type="dxa"/>
            <w:vAlign w:val="bottom"/>
            <w:tcBorders>
              <w:bottom w:val="single" w:sz="8" w:color="DCDDDE"/>
            </w:tcBorders>
          </w:tcPr>
          <w:p>
            <w:pPr>
              <w:spacing w:after="0"/>
              <w:rPr>
                <w:sz w:val="13"/>
                <w:szCs w:val="13"/>
                <w:color w:val="auto"/>
              </w:rPr>
            </w:pPr>
          </w:p>
        </w:tc>
        <w:tc>
          <w:tcPr>
            <w:tcW w:w="220" w:type="dxa"/>
            <w:vAlign w:val="bottom"/>
            <w:tcBorders>
              <w:bottom w:val="single" w:sz="8" w:color="DCDDDE"/>
            </w:tcBorders>
          </w:tcPr>
          <w:p>
            <w:pPr>
              <w:spacing w:after="0"/>
              <w:rPr>
                <w:sz w:val="13"/>
                <w:szCs w:val="13"/>
                <w:color w:val="auto"/>
              </w:rPr>
            </w:pPr>
          </w:p>
        </w:tc>
        <w:tc>
          <w:tcPr>
            <w:tcW w:w="300" w:type="dxa"/>
            <w:vAlign w:val="bottom"/>
            <w:tcBorders>
              <w:bottom w:val="single" w:sz="8" w:color="DCDDDE"/>
            </w:tcBorders>
          </w:tcPr>
          <w:p>
            <w:pPr>
              <w:spacing w:after="0"/>
              <w:rPr>
                <w:sz w:val="13"/>
                <w:szCs w:val="13"/>
                <w:color w:val="auto"/>
              </w:rPr>
            </w:pPr>
          </w:p>
        </w:tc>
        <w:tc>
          <w:tcPr>
            <w:tcW w:w="480" w:type="dxa"/>
            <w:vAlign w:val="bottom"/>
            <w:tcBorders>
              <w:bottom w:val="single" w:sz="8" w:color="DCDDDE"/>
            </w:tcBorders>
          </w:tcPr>
          <w:p>
            <w:pPr>
              <w:spacing w:after="0"/>
              <w:rPr>
                <w:sz w:val="13"/>
                <w:szCs w:val="13"/>
                <w:color w:val="auto"/>
              </w:rPr>
            </w:pPr>
          </w:p>
        </w:tc>
        <w:tc>
          <w:tcPr>
            <w:tcW w:w="240" w:type="dxa"/>
            <w:vAlign w:val="bottom"/>
            <w:tcBorders>
              <w:bottom w:val="single" w:sz="8" w:color="DCDDDE"/>
            </w:tcBorders>
          </w:tcPr>
          <w:p>
            <w:pPr>
              <w:spacing w:after="0"/>
              <w:rPr>
                <w:sz w:val="13"/>
                <w:szCs w:val="13"/>
                <w:color w:val="auto"/>
              </w:rPr>
            </w:pPr>
          </w:p>
        </w:tc>
        <w:tc>
          <w:tcPr>
            <w:tcW w:w="660" w:type="dxa"/>
            <w:vAlign w:val="bottom"/>
            <w:tcBorders>
              <w:bottom w:val="single" w:sz="8" w:color="DCDDDE"/>
            </w:tcBorders>
          </w:tcPr>
          <w:p>
            <w:pPr>
              <w:spacing w:after="0"/>
              <w:rPr>
                <w:sz w:val="13"/>
                <w:szCs w:val="13"/>
                <w:color w:val="auto"/>
              </w:rPr>
            </w:pPr>
          </w:p>
        </w:tc>
        <w:tc>
          <w:tcPr>
            <w:tcW w:w="240" w:type="dxa"/>
            <w:vAlign w:val="bottom"/>
            <w:tcBorders>
              <w:bottom w:val="single" w:sz="8" w:color="DCDDDE"/>
            </w:tcBorders>
          </w:tcPr>
          <w:p>
            <w:pPr>
              <w:spacing w:after="0"/>
              <w:rPr>
                <w:sz w:val="13"/>
                <w:szCs w:val="13"/>
                <w:color w:val="auto"/>
              </w:rPr>
            </w:pPr>
          </w:p>
        </w:tc>
        <w:tc>
          <w:tcPr>
            <w:tcW w:w="220" w:type="dxa"/>
            <w:vAlign w:val="bottom"/>
            <w:tcBorders>
              <w:bottom w:val="single" w:sz="8" w:color="DCDDDE"/>
            </w:tcBorders>
          </w:tcPr>
          <w:p>
            <w:pPr>
              <w:spacing w:after="0"/>
              <w:rPr>
                <w:sz w:val="13"/>
                <w:szCs w:val="13"/>
                <w:color w:val="auto"/>
              </w:rPr>
            </w:pPr>
          </w:p>
        </w:tc>
        <w:tc>
          <w:tcPr>
            <w:tcW w:w="720" w:type="dxa"/>
            <w:vAlign w:val="bottom"/>
            <w:tcBorders>
              <w:bottom w:val="single" w:sz="8" w:color="DCDDDE"/>
            </w:tcBorders>
          </w:tcPr>
          <w:p>
            <w:pPr>
              <w:spacing w:after="0"/>
              <w:rPr>
                <w:sz w:val="13"/>
                <w:szCs w:val="13"/>
                <w:color w:val="auto"/>
              </w:rPr>
            </w:pPr>
          </w:p>
        </w:tc>
        <w:tc>
          <w:tcPr>
            <w:tcW w:w="480" w:type="dxa"/>
            <w:vAlign w:val="bottom"/>
            <w:tcBorders>
              <w:right w:val="single" w:sz="8" w:color="D9D9D8"/>
            </w:tcBorders>
          </w:tcPr>
          <w:p>
            <w:pPr>
              <w:jc w:val="right"/>
              <w:ind w:right="43"/>
              <w:spacing w:after="0"/>
              <w:rPr>
                <w:sz w:val="20"/>
                <w:szCs w:val="20"/>
                <w:color w:val="auto"/>
              </w:rPr>
            </w:pPr>
            <w:r>
              <w:rPr>
                <w:rFonts w:ascii="Calibri" w:cs="Calibri" w:eastAsia="Calibri" w:hAnsi="Calibri"/>
                <w:sz w:val="11"/>
                <w:szCs w:val="11"/>
                <w:color w:val="4C4C4E"/>
              </w:rPr>
              <w:t>$6.50</w:t>
            </w:r>
          </w:p>
        </w:tc>
        <w:tc>
          <w:tcPr>
            <w:tcW w:w="0" w:type="dxa"/>
            <w:vAlign w:val="bottom"/>
          </w:tcPr>
          <w:p>
            <w:pPr>
              <w:spacing w:after="0"/>
              <w:rPr>
                <w:sz w:val="1"/>
                <w:szCs w:val="1"/>
                <w:color w:val="auto"/>
              </w:rPr>
            </w:pPr>
          </w:p>
        </w:tc>
      </w:tr>
      <w:tr>
        <w:trPr>
          <w:trHeight w:val="50"/>
        </w:trPr>
        <w:tc>
          <w:tcPr>
            <w:tcW w:w="780" w:type="dxa"/>
            <w:vAlign w:val="bottom"/>
            <w:tcBorders>
              <w:left w:val="single" w:sz="8" w:color="D9D9D8"/>
            </w:tcBorders>
            <w:vMerge w:val="continue"/>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20" w:type="dxa"/>
            <w:vAlign w:val="bottom"/>
            <w:tcBorders>
              <w:right w:val="single" w:sz="8" w:color="D9D9D8"/>
            </w:tcBorders>
            <w:gridSpan w:val="2"/>
            <w:vMerge w:val="restart"/>
          </w:tcPr>
          <w:p>
            <w:pPr>
              <w:jc w:val="right"/>
              <w:ind w:right="43"/>
              <w:spacing w:after="0"/>
              <w:rPr>
                <w:sz w:val="20"/>
                <w:szCs w:val="20"/>
                <w:color w:val="auto"/>
              </w:rPr>
            </w:pPr>
            <w:r>
              <w:rPr>
                <w:rFonts w:ascii="Calibri" w:cs="Calibri" w:eastAsia="Calibri" w:hAnsi="Calibri"/>
                <w:sz w:val="11"/>
                <w:szCs w:val="11"/>
                <w:color w:val="4C4C4E"/>
              </w:rPr>
              <w:t>$6.00</w:t>
            </w:r>
          </w:p>
        </w:tc>
        <w:tc>
          <w:tcPr>
            <w:tcW w:w="760" w:type="dxa"/>
            <w:vAlign w:val="bottom"/>
            <w:tcBorders>
              <w:right w:val="single" w:sz="8" w:color="D9D9D8"/>
            </w:tcBorders>
          </w:tcPr>
          <w:p>
            <w:pPr>
              <w:spacing w:after="0"/>
              <w:rPr>
                <w:sz w:val="4"/>
                <w:szCs w:val="4"/>
                <w:color w:val="auto"/>
              </w:rPr>
            </w:pPr>
          </w:p>
        </w:tc>
        <w:tc>
          <w:tcPr>
            <w:tcW w:w="76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300" w:type="dxa"/>
            <w:vAlign w:val="bottom"/>
          </w:tcPr>
          <w:p>
            <w:pPr>
              <w:spacing w:after="0"/>
              <w:rPr>
                <w:sz w:val="4"/>
                <w:szCs w:val="4"/>
                <w:color w:val="auto"/>
              </w:rPr>
            </w:pPr>
          </w:p>
        </w:tc>
        <w:tc>
          <w:tcPr>
            <w:tcW w:w="480" w:type="dxa"/>
            <w:vAlign w:val="bottom"/>
          </w:tcPr>
          <w:p>
            <w:pPr>
              <w:spacing w:after="0"/>
              <w:rPr>
                <w:sz w:val="4"/>
                <w:szCs w:val="4"/>
                <w:color w:val="auto"/>
              </w:rPr>
            </w:pPr>
          </w:p>
        </w:tc>
        <w:tc>
          <w:tcPr>
            <w:tcW w:w="2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0" w:type="dxa"/>
            <w:vAlign w:val="bottom"/>
            <w:tcBorders>
              <w:right w:val="single" w:sz="8" w:color="D9D9D8"/>
            </w:tcBorders>
            <w:gridSpan w:val="2"/>
            <w:vMerge w:val="restart"/>
          </w:tcPr>
          <w:p>
            <w:pPr>
              <w:jc w:val="right"/>
              <w:ind w:right="43"/>
              <w:spacing w:after="0"/>
              <w:rPr>
                <w:sz w:val="20"/>
                <w:szCs w:val="20"/>
                <w:color w:val="auto"/>
              </w:rPr>
            </w:pPr>
            <w:r>
              <w:rPr>
                <w:rFonts w:ascii="Calibri" w:cs="Calibri" w:eastAsia="Calibri" w:hAnsi="Calibri"/>
                <w:sz w:val="11"/>
                <w:szCs w:val="11"/>
                <w:color w:val="4C4C4E"/>
              </w:rPr>
              <w:t>$6.00</w:t>
            </w:r>
          </w:p>
        </w:tc>
        <w:tc>
          <w:tcPr>
            <w:tcW w:w="0" w:type="dxa"/>
            <w:vAlign w:val="bottom"/>
          </w:tcPr>
          <w:p>
            <w:pPr>
              <w:spacing w:after="0"/>
              <w:rPr>
                <w:sz w:val="1"/>
                <w:szCs w:val="1"/>
                <w:color w:val="auto"/>
              </w:rPr>
            </w:pPr>
          </w:p>
        </w:tc>
      </w:tr>
      <w:tr>
        <w:trPr>
          <w:trHeight w:val="131"/>
        </w:trPr>
        <w:tc>
          <w:tcPr>
            <w:tcW w:w="780" w:type="dxa"/>
            <w:vAlign w:val="bottom"/>
            <w:tcBorders>
              <w:left w:val="single" w:sz="8" w:color="D9D9D8"/>
            </w:tcBorders>
            <w:vMerge w:val="restart"/>
          </w:tcPr>
          <w:p>
            <w:pPr>
              <w:jc w:val="right"/>
              <w:ind w:right="40"/>
              <w:spacing w:after="0"/>
              <w:rPr>
                <w:sz w:val="20"/>
                <w:szCs w:val="20"/>
                <w:color w:val="auto"/>
              </w:rPr>
            </w:pPr>
            <w:r>
              <w:rPr>
                <w:rFonts w:ascii="Calibri" w:cs="Calibri" w:eastAsia="Calibri" w:hAnsi="Calibri"/>
                <w:sz w:val="11"/>
                <w:szCs w:val="11"/>
                <w:color w:val="4C4C4E"/>
              </w:rPr>
              <w:t>$22,500,000</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tcBorders>
              <w:right w:val="single" w:sz="8" w:color="D9D9D8"/>
            </w:tcBorders>
            <w:gridSpan w:val="2"/>
            <w:vMerge w:val="continue"/>
          </w:tcPr>
          <w:p>
            <w:pPr>
              <w:spacing w:after="0"/>
              <w:rPr>
                <w:sz w:val="11"/>
                <w:szCs w:val="11"/>
                <w:color w:val="auto"/>
              </w:rPr>
            </w:pPr>
          </w:p>
        </w:tc>
        <w:tc>
          <w:tcPr>
            <w:tcW w:w="760" w:type="dxa"/>
            <w:vAlign w:val="bottom"/>
            <w:tcBorders>
              <w:right w:val="single" w:sz="8" w:color="D9D9D8"/>
            </w:tcBorders>
          </w:tcPr>
          <w:p>
            <w:pPr>
              <w:spacing w:after="0"/>
              <w:rPr>
                <w:sz w:val="11"/>
                <w:szCs w:val="11"/>
                <w:color w:val="auto"/>
              </w:rPr>
            </w:pPr>
          </w:p>
        </w:tc>
        <w:tc>
          <w:tcPr>
            <w:tcW w:w="760" w:type="dxa"/>
            <w:vAlign w:val="bottom"/>
            <w:vMerge w:val="restart"/>
          </w:tcPr>
          <w:p>
            <w:pPr>
              <w:jc w:val="right"/>
              <w:ind w:right="40"/>
              <w:spacing w:after="0"/>
              <w:rPr>
                <w:sz w:val="20"/>
                <w:szCs w:val="20"/>
                <w:color w:val="auto"/>
              </w:rPr>
            </w:pPr>
            <w:r>
              <w:rPr>
                <w:rFonts w:ascii="Calibri" w:cs="Calibri" w:eastAsia="Calibri" w:hAnsi="Calibri"/>
                <w:sz w:val="11"/>
                <w:szCs w:val="11"/>
                <w:color w:val="4C4C4E"/>
              </w:rPr>
              <w:t>$22,500,000</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Borders>
              <w:right w:val="single" w:sz="8" w:color="D9D9D8"/>
            </w:tcBorders>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1"/>
        </w:trPr>
        <w:tc>
          <w:tcPr>
            <w:tcW w:w="780" w:type="dxa"/>
            <w:vAlign w:val="bottom"/>
            <w:tcBorders>
              <w:left w:val="single" w:sz="8" w:color="D9D9D8"/>
            </w:tcBorders>
            <w:vMerge w:val="continue"/>
          </w:tcPr>
          <w:p>
            <w:pPr>
              <w:spacing w:after="0"/>
              <w:rPr>
                <w:sz w:val="2"/>
                <w:szCs w:val="2"/>
                <w:color w:val="auto"/>
              </w:rPr>
            </w:pPr>
          </w:p>
        </w:tc>
        <w:tc>
          <w:tcPr>
            <w:tcW w:w="300" w:type="dxa"/>
            <w:vAlign w:val="bottom"/>
            <w:tcBorders>
              <w:bottom w:val="single" w:sz="8" w:color="DCDDDE"/>
            </w:tcBorders>
          </w:tcPr>
          <w:p>
            <w:pPr>
              <w:spacing w:after="0"/>
              <w:rPr>
                <w:sz w:val="2"/>
                <w:szCs w:val="2"/>
                <w:color w:val="auto"/>
              </w:rPr>
            </w:pPr>
          </w:p>
        </w:tc>
        <w:tc>
          <w:tcPr>
            <w:tcW w:w="240" w:type="dxa"/>
            <w:vAlign w:val="bottom"/>
            <w:tcBorders>
              <w:bottom w:val="single" w:sz="8" w:color="DCDDDE"/>
            </w:tcBorders>
          </w:tcPr>
          <w:p>
            <w:pPr>
              <w:spacing w:after="0"/>
              <w:rPr>
                <w:sz w:val="2"/>
                <w:szCs w:val="2"/>
                <w:color w:val="auto"/>
              </w:rPr>
            </w:pPr>
          </w:p>
        </w:tc>
        <w:tc>
          <w:tcPr>
            <w:tcW w:w="540" w:type="dxa"/>
            <w:vAlign w:val="bottom"/>
            <w:tcBorders>
              <w:bottom w:val="single" w:sz="8" w:color="DCDDDE"/>
            </w:tcBorders>
          </w:tcPr>
          <w:p>
            <w:pPr>
              <w:spacing w:after="0"/>
              <w:rPr>
                <w:sz w:val="2"/>
                <w:szCs w:val="2"/>
                <w:color w:val="auto"/>
              </w:rPr>
            </w:pPr>
          </w:p>
        </w:tc>
        <w:tc>
          <w:tcPr>
            <w:tcW w:w="240" w:type="dxa"/>
            <w:vAlign w:val="bottom"/>
            <w:tcBorders>
              <w:bottom w:val="single" w:sz="8" w:color="DCDDDE"/>
            </w:tcBorders>
          </w:tcPr>
          <w:p>
            <w:pPr>
              <w:spacing w:after="0"/>
              <w:rPr>
                <w:sz w:val="2"/>
                <w:szCs w:val="2"/>
                <w:color w:val="auto"/>
              </w:rPr>
            </w:pPr>
          </w:p>
        </w:tc>
        <w:tc>
          <w:tcPr>
            <w:tcW w:w="680" w:type="dxa"/>
            <w:vAlign w:val="bottom"/>
            <w:tcBorders>
              <w:bottom w:val="single" w:sz="8" w:color="DCDDDE"/>
            </w:tcBorders>
          </w:tcPr>
          <w:p>
            <w:pPr>
              <w:spacing w:after="0"/>
              <w:rPr>
                <w:sz w:val="2"/>
                <w:szCs w:val="2"/>
                <w:color w:val="auto"/>
              </w:rPr>
            </w:pPr>
          </w:p>
        </w:tc>
        <w:tc>
          <w:tcPr>
            <w:tcW w:w="220" w:type="dxa"/>
            <w:vAlign w:val="bottom"/>
            <w:tcBorders>
              <w:bottom w:val="single" w:sz="8" w:color="DCDDDE"/>
            </w:tcBorders>
          </w:tcPr>
          <w:p>
            <w:pPr>
              <w:spacing w:after="0"/>
              <w:rPr>
                <w:sz w:val="2"/>
                <w:szCs w:val="2"/>
                <w:color w:val="auto"/>
              </w:rPr>
            </w:pPr>
          </w:p>
        </w:tc>
        <w:tc>
          <w:tcPr>
            <w:tcW w:w="520" w:type="dxa"/>
            <w:vAlign w:val="bottom"/>
            <w:tcBorders>
              <w:bottom w:val="single" w:sz="8" w:color="DCDDDE"/>
            </w:tcBorders>
          </w:tcPr>
          <w:p>
            <w:pPr>
              <w:spacing w:after="0"/>
              <w:rPr>
                <w:sz w:val="2"/>
                <w:szCs w:val="2"/>
                <w:color w:val="auto"/>
              </w:rPr>
            </w:pPr>
          </w:p>
        </w:tc>
        <w:tc>
          <w:tcPr>
            <w:tcW w:w="540" w:type="dxa"/>
            <w:vAlign w:val="bottom"/>
            <w:tcBorders>
              <w:bottom w:val="single" w:sz="8" w:color="DCDDDE"/>
            </w:tcBorders>
          </w:tcPr>
          <w:p>
            <w:pPr>
              <w:spacing w:after="0"/>
              <w:rPr>
                <w:sz w:val="2"/>
                <w:szCs w:val="2"/>
                <w:color w:val="auto"/>
              </w:rPr>
            </w:pPr>
          </w:p>
        </w:tc>
        <w:tc>
          <w:tcPr>
            <w:tcW w:w="480" w:type="dxa"/>
            <w:vAlign w:val="bottom"/>
            <w:tcBorders>
              <w:right w:val="single" w:sz="8" w:color="D9D9D8"/>
            </w:tcBorders>
          </w:tcPr>
          <w:p>
            <w:pPr>
              <w:spacing w:after="0"/>
              <w:rPr>
                <w:sz w:val="2"/>
                <w:szCs w:val="2"/>
                <w:color w:val="auto"/>
              </w:rPr>
            </w:pPr>
          </w:p>
        </w:tc>
        <w:tc>
          <w:tcPr>
            <w:tcW w:w="760" w:type="dxa"/>
            <w:vAlign w:val="bottom"/>
            <w:tcBorders>
              <w:right w:val="single" w:sz="8" w:color="D9D9D8"/>
            </w:tcBorders>
            <w:vMerge w:val="restart"/>
          </w:tcPr>
          <w:p>
            <w:pPr>
              <w:spacing w:after="0"/>
              <w:rPr>
                <w:sz w:val="2"/>
                <w:szCs w:val="2"/>
                <w:color w:val="auto"/>
              </w:rPr>
            </w:pPr>
          </w:p>
        </w:tc>
        <w:tc>
          <w:tcPr>
            <w:tcW w:w="760" w:type="dxa"/>
            <w:vAlign w:val="bottom"/>
            <w:vMerge w:val="continue"/>
          </w:tcPr>
          <w:p>
            <w:pPr>
              <w:spacing w:after="0"/>
              <w:rPr>
                <w:sz w:val="2"/>
                <w:szCs w:val="2"/>
                <w:color w:val="auto"/>
              </w:rPr>
            </w:pPr>
          </w:p>
        </w:tc>
        <w:tc>
          <w:tcPr>
            <w:tcW w:w="200" w:type="dxa"/>
            <w:vAlign w:val="bottom"/>
            <w:tcBorders>
              <w:bottom w:val="single" w:sz="8" w:color="DCDDDE"/>
            </w:tcBorders>
          </w:tcPr>
          <w:p>
            <w:pPr>
              <w:spacing w:after="0"/>
              <w:rPr>
                <w:sz w:val="2"/>
                <w:szCs w:val="2"/>
                <w:color w:val="auto"/>
              </w:rPr>
            </w:pPr>
          </w:p>
        </w:tc>
        <w:tc>
          <w:tcPr>
            <w:tcW w:w="220" w:type="dxa"/>
            <w:vAlign w:val="bottom"/>
            <w:tcBorders>
              <w:bottom w:val="single" w:sz="8" w:color="DCDDDE"/>
            </w:tcBorders>
          </w:tcPr>
          <w:p>
            <w:pPr>
              <w:spacing w:after="0"/>
              <w:rPr>
                <w:sz w:val="2"/>
                <w:szCs w:val="2"/>
                <w:color w:val="auto"/>
              </w:rPr>
            </w:pPr>
          </w:p>
        </w:tc>
        <w:tc>
          <w:tcPr>
            <w:tcW w:w="300" w:type="dxa"/>
            <w:vAlign w:val="bottom"/>
            <w:tcBorders>
              <w:bottom w:val="single" w:sz="8" w:color="DCDDDE"/>
            </w:tcBorders>
          </w:tcPr>
          <w:p>
            <w:pPr>
              <w:spacing w:after="0"/>
              <w:rPr>
                <w:sz w:val="2"/>
                <w:szCs w:val="2"/>
                <w:color w:val="auto"/>
              </w:rPr>
            </w:pPr>
          </w:p>
        </w:tc>
        <w:tc>
          <w:tcPr>
            <w:tcW w:w="480" w:type="dxa"/>
            <w:vAlign w:val="bottom"/>
            <w:tcBorders>
              <w:bottom w:val="single" w:sz="8" w:color="DCDDDE"/>
            </w:tcBorders>
          </w:tcPr>
          <w:p>
            <w:pPr>
              <w:spacing w:after="0"/>
              <w:rPr>
                <w:sz w:val="2"/>
                <w:szCs w:val="2"/>
                <w:color w:val="auto"/>
              </w:rPr>
            </w:pPr>
          </w:p>
        </w:tc>
        <w:tc>
          <w:tcPr>
            <w:tcW w:w="240" w:type="dxa"/>
            <w:vAlign w:val="bottom"/>
            <w:tcBorders>
              <w:bottom w:val="single" w:sz="8" w:color="DCDDDE"/>
            </w:tcBorders>
          </w:tcPr>
          <w:p>
            <w:pPr>
              <w:spacing w:after="0"/>
              <w:rPr>
                <w:sz w:val="2"/>
                <w:szCs w:val="2"/>
                <w:color w:val="auto"/>
              </w:rPr>
            </w:pPr>
          </w:p>
        </w:tc>
        <w:tc>
          <w:tcPr>
            <w:tcW w:w="660" w:type="dxa"/>
            <w:vAlign w:val="bottom"/>
            <w:tcBorders>
              <w:bottom w:val="single" w:sz="8" w:color="DCDDDE"/>
            </w:tcBorders>
          </w:tcPr>
          <w:p>
            <w:pPr>
              <w:spacing w:after="0"/>
              <w:rPr>
                <w:sz w:val="2"/>
                <w:szCs w:val="2"/>
                <w:color w:val="auto"/>
              </w:rPr>
            </w:pPr>
          </w:p>
        </w:tc>
        <w:tc>
          <w:tcPr>
            <w:tcW w:w="240" w:type="dxa"/>
            <w:vAlign w:val="bottom"/>
            <w:tcBorders>
              <w:bottom w:val="single" w:sz="8" w:color="DCDDDE"/>
            </w:tcBorders>
          </w:tcPr>
          <w:p>
            <w:pPr>
              <w:spacing w:after="0"/>
              <w:rPr>
                <w:sz w:val="2"/>
                <w:szCs w:val="2"/>
                <w:color w:val="auto"/>
              </w:rPr>
            </w:pPr>
          </w:p>
        </w:tc>
        <w:tc>
          <w:tcPr>
            <w:tcW w:w="220" w:type="dxa"/>
            <w:vAlign w:val="bottom"/>
            <w:tcBorders>
              <w:bottom w:val="single" w:sz="8" w:color="DCDDDE"/>
            </w:tcBorders>
          </w:tcPr>
          <w:p>
            <w:pPr>
              <w:spacing w:after="0"/>
              <w:rPr>
                <w:sz w:val="2"/>
                <w:szCs w:val="2"/>
                <w:color w:val="auto"/>
              </w:rPr>
            </w:pPr>
          </w:p>
        </w:tc>
        <w:tc>
          <w:tcPr>
            <w:tcW w:w="720" w:type="dxa"/>
            <w:vAlign w:val="bottom"/>
            <w:tcBorders>
              <w:bottom w:val="single" w:sz="8" w:color="DCDDDE"/>
            </w:tcBorders>
          </w:tcPr>
          <w:p>
            <w:pPr>
              <w:spacing w:after="0"/>
              <w:rPr>
                <w:sz w:val="2"/>
                <w:szCs w:val="2"/>
                <w:color w:val="auto"/>
              </w:rPr>
            </w:pPr>
          </w:p>
        </w:tc>
        <w:tc>
          <w:tcPr>
            <w:tcW w:w="480" w:type="dxa"/>
            <w:vAlign w:val="bottom"/>
            <w:tcBorders>
              <w:right w:val="single" w:sz="8" w:color="D9D9D8"/>
            </w:tcBorders>
          </w:tcPr>
          <w:p>
            <w:pPr>
              <w:spacing w:after="0"/>
              <w:rPr>
                <w:sz w:val="2"/>
                <w:szCs w:val="2"/>
                <w:color w:val="auto"/>
              </w:rPr>
            </w:pPr>
          </w:p>
        </w:tc>
        <w:tc>
          <w:tcPr>
            <w:tcW w:w="0" w:type="dxa"/>
            <w:vAlign w:val="bottom"/>
          </w:tcPr>
          <w:p>
            <w:pPr>
              <w:spacing w:after="0"/>
              <w:rPr>
                <w:sz w:val="1"/>
                <w:szCs w:val="1"/>
                <w:color w:val="auto"/>
              </w:rPr>
            </w:pPr>
          </w:p>
        </w:tc>
      </w:tr>
      <w:tr>
        <w:trPr>
          <w:trHeight w:val="47"/>
        </w:trPr>
        <w:tc>
          <w:tcPr>
            <w:tcW w:w="780" w:type="dxa"/>
            <w:vAlign w:val="bottom"/>
            <w:tcBorders>
              <w:left w:val="single" w:sz="8" w:color="D9D9D8"/>
            </w:tcBorders>
            <w:vMerge w:val="continue"/>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20" w:type="dxa"/>
            <w:vAlign w:val="bottom"/>
            <w:tcBorders>
              <w:right w:val="single" w:sz="8" w:color="D9D9D8"/>
            </w:tcBorders>
            <w:gridSpan w:val="2"/>
            <w:vMerge w:val="restart"/>
          </w:tcPr>
          <w:p>
            <w:pPr>
              <w:jc w:val="right"/>
              <w:ind w:right="43"/>
              <w:spacing w:after="0"/>
              <w:rPr>
                <w:sz w:val="20"/>
                <w:szCs w:val="20"/>
                <w:color w:val="auto"/>
              </w:rPr>
            </w:pPr>
            <w:r>
              <w:rPr>
                <w:rFonts w:ascii="Calibri" w:cs="Calibri" w:eastAsia="Calibri" w:hAnsi="Calibri"/>
                <w:sz w:val="11"/>
                <w:szCs w:val="11"/>
                <w:color w:val="4C4C4E"/>
              </w:rPr>
              <w:t>$5.50</w:t>
            </w:r>
          </w:p>
        </w:tc>
        <w:tc>
          <w:tcPr>
            <w:tcW w:w="760" w:type="dxa"/>
            <w:vAlign w:val="bottom"/>
            <w:tcBorders>
              <w:right w:val="single" w:sz="8" w:color="D9D9D8"/>
            </w:tcBorders>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300" w:type="dxa"/>
            <w:vAlign w:val="bottom"/>
          </w:tcPr>
          <w:p>
            <w:pPr>
              <w:spacing w:after="0"/>
              <w:rPr>
                <w:sz w:val="4"/>
                <w:szCs w:val="4"/>
                <w:color w:val="auto"/>
              </w:rPr>
            </w:pPr>
          </w:p>
        </w:tc>
        <w:tc>
          <w:tcPr>
            <w:tcW w:w="480" w:type="dxa"/>
            <w:vAlign w:val="bottom"/>
          </w:tcPr>
          <w:p>
            <w:pPr>
              <w:spacing w:after="0"/>
              <w:rPr>
                <w:sz w:val="4"/>
                <w:szCs w:val="4"/>
                <w:color w:val="auto"/>
              </w:rPr>
            </w:pPr>
          </w:p>
        </w:tc>
        <w:tc>
          <w:tcPr>
            <w:tcW w:w="2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0" w:type="dxa"/>
            <w:vAlign w:val="bottom"/>
            <w:tcBorders>
              <w:right w:val="single" w:sz="8" w:color="D9D9D8"/>
            </w:tcBorders>
            <w:gridSpan w:val="2"/>
            <w:vMerge w:val="restart"/>
          </w:tcPr>
          <w:p>
            <w:pPr>
              <w:jc w:val="right"/>
              <w:ind w:right="43"/>
              <w:spacing w:after="0"/>
              <w:rPr>
                <w:sz w:val="20"/>
                <w:szCs w:val="20"/>
                <w:color w:val="auto"/>
              </w:rPr>
            </w:pPr>
            <w:r>
              <w:rPr>
                <w:rFonts w:ascii="Calibri" w:cs="Calibri" w:eastAsia="Calibri" w:hAnsi="Calibri"/>
                <w:sz w:val="11"/>
                <w:szCs w:val="11"/>
                <w:color w:val="4C4C4E"/>
              </w:rPr>
              <w:t>$5.50</w:t>
            </w:r>
          </w:p>
        </w:tc>
        <w:tc>
          <w:tcPr>
            <w:tcW w:w="0" w:type="dxa"/>
            <w:vAlign w:val="bottom"/>
          </w:tcPr>
          <w:p>
            <w:pPr>
              <w:spacing w:after="0"/>
              <w:rPr>
                <w:sz w:val="1"/>
                <w:szCs w:val="1"/>
                <w:color w:val="auto"/>
              </w:rPr>
            </w:pPr>
          </w:p>
        </w:tc>
      </w:tr>
      <w:tr>
        <w:trPr>
          <w:trHeight w:val="98"/>
        </w:trPr>
        <w:tc>
          <w:tcPr>
            <w:tcW w:w="780" w:type="dxa"/>
            <w:vAlign w:val="bottom"/>
            <w:tcBorders>
              <w:left w:val="single" w:sz="8" w:color="D9D9D8"/>
            </w:tcBorders>
            <w:vMerge w:val="restart"/>
          </w:tcPr>
          <w:p>
            <w:pPr>
              <w:jc w:val="right"/>
              <w:ind w:right="40"/>
              <w:spacing w:after="0"/>
              <w:rPr>
                <w:sz w:val="20"/>
                <w:szCs w:val="20"/>
                <w:color w:val="auto"/>
              </w:rPr>
            </w:pPr>
            <w:r>
              <w:rPr>
                <w:rFonts w:ascii="Calibri" w:cs="Calibri" w:eastAsia="Calibri" w:hAnsi="Calibri"/>
                <w:sz w:val="11"/>
                <w:szCs w:val="11"/>
                <w:color w:val="4C4C4E"/>
              </w:rPr>
              <w:t>$15,000,000</w:t>
            </w: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20" w:type="dxa"/>
            <w:vAlign w:val="bottom"/>
            <w:tcBorders>
              <w:right w:val="single" w:sz="8" w:color="D9D9D8"/>
            </w:tcBorders>
            <w:gridSpan w:val="2"/>
            <w:vMerge w:val="continue"/>
          </w:tcPr>
          <w:p>
            <w:pPr>
              <w:spacing w:after="0"/>
              <w:rPr>
                <w:sz w:val="8"/>
                <w:szCs w:val="8"/>
                <w:color w:val="auto"/>
              </w:rPr>
            </w:pPr>
          </w:p>
        </w:tc>
        <w:tc>
          <w:tcPr>
            <w:tcW w:w="760" w:type="dxa"/>
            <w:vAlign w:val="bottom"/>
            <w:tcBorders>
              <w:right w:val="single" w:sz="8" w:color="D9D9D8"/>
            </w:tcBorders>
          </w:tcPr>
          <w:p>
            <w:pPr>
              <w:spacing w:after="0"/>
              <w:rPr>
                <w:sz w:val="8"/>
                <w:szCs w:val="8"/>
                <w:color w:val="auto"/>
              </w:rPr>
            </w:pPr>
          </w:p>
        </w:tc>
        <w:tc>
          <w:tcPr>
            <w:tcW w:w="760" w:type="dxa"/>
            <w:vAlign w:val="bottom"/>
            <w:vMerge w:val="restart"/>
          </w:tcPr>
          <w:p>
            <w:pPr>
              <w:jc w:val="right"/>
              <w:ind w:right="40"/>
              <w:spacing w:after="0"/>
              <w:rPr>
                <w:sz w:val="20"/>
                <w:szCs w:val="20"/>
                <w:color w:val="auto"/>
              </w:rPr>
            </w:pPr>
            <w:r>
              <w:rPr>
                <w:rFonts w:ascii="Calibri" w:cs="Calibri" w:eastAsia="Calibri" w:hAnsi="Calibri"/>
                <w:sz w:val="11"/>
                <w:szCs w:val="11"/>
                <w:color w:val="4C4C4E"/>
              </w:rPr>
              <w:t>$15,000,000</w:t>
            </w: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0" w:type="dxa"/>
            <w:vAlign w:val="bottom"/>
            <w:tcBorders>
              <w:right w:val="single" w:sz="8" w:color="D9D9D8"/>
            </w:tcBorders>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780" w:type="dxa"/>
            <w:vAlign w:val="bottom"/>
            <w:tcBorders>
              <w:left w:val="single" w:sz="8" w:color="D9D9D8"/>
            </w:tcBorders>
            <w:vMerge w:val="continue"/>
          </w:tcPr>
          <w:p>
            <w:pPr>
              <w:spacing w:after="0"/>
              <w:rPr>
                <w:sz w:val="5"/>
                <w:szCs w:val="5"/>
                <w:color w:val="auto"/>
              </w:rPr>
            </w:pPr>
          </w:p>
        </w:tc>
        <w:tc>
          <w:tcPr>
            <w:tcW w:w="300" w:type="dxa"/>
            <w:vAlign w:val="bottom"/>
            <w:tcBorders>
              <w:bottom w:val="single" w:sz="8" w:color="DCDDDE"/>
            </w:tcBorders>
          </w:tcPr>
          <w:p>
            <w:pPr>
              <w:spacing w:after="0"/>
              <w:rPr>
                <w:sz w:val="5"/>
                <w:szCs w:val="5"/>
                <w:color w:val="auto"/>
              </w:rPr>
            </w:pPr>
          </w:p>
        </w:tc>
        <w:tc>
          <w:tcPr>
            <w:tcW w:w="240" w:type="dxa"/>
            <w:vAlign w:val="bottom"/>
            <w:tcBorders>
              <w:bottom w:val="single" w:sz="8" w:color="DCDDDE"/>
            </w:tcBorders>
          </w:tcPr>
          <w:p>
            <w:pPr>
              <w:spacing w:after="0"/>
              <w:rPr>
                <w:sz w:val="5"/>
                <w:szCs w:val="5"/>
                <w:color w:val="auto"/>
              </w:rPr>
            </w:pPr>
          </w:p>
        </w:tc>
        <w:tc>
          <w:tcPr>
            <w:tcW w:w="540" w:type="dxa"/>
            <w:vAlign w:val="bottom"/>
            <w:tcBorders>
              <w:bottom w:val="single" w:sz="8" w:color="DCDDDE"/>
            </w:tcBorders>
          </w:tcPr>
          <w:p>
            <w:pPr>
              <w:spacing w:after="0"/>
              <w:rPr>
                <w:sz w:val="5"/>
                <w:szCs w:val="5"/>
                <w:color w:val="auto"/>
              </w:rPr>
            </w:pPr>
          </w:p>
        </w:tc>
        <w:tc>
          <w:tcPr>
            <w:tcW w:w="240" w:type="dxa"/>
            <w:vAlign w:val="bottom"/>
            <w:tcBorders>
              <w:bottom w:val="single" w:sz="8" w:color="DCDDDE"/>
            </w:tcBorders>
          </w:tcPr>
          <w:p>
            <w:pPr>
              <w:spacing w:after="0"/>
              <w:rPr>
                <w:sz w:val="5"/>
                <w:szCs w:val="5"/>
                <w:color w:val="auto"/>
              </w:rPr>
            </w:pPr>
          </w:p>
        </w:tc>
        <w:tc>
          <w:tcPr>
            <w:tcW w:w="680" w:type="dxa"/>
            <w:vAlign w:val="bottom"/>
            <w:tcBorders>
              <w:bottom w:val="single" w:sz="8" w:color="DCDDDE"/>
            </w:tcBorders>
          </w:tcPr>
          <w:p>
            <w:pPr>
              <w:spacing w:after="0"/>
              <w:rPr>
                <w:sz w:val="5"/>
                <w:szCs w:val="5"/>
                <w:color w:val="auto"/>
              </w:rPr>
            </w:pPr>
          </w:p>
        </w:tc>
        <w:tc>
          <w:tcPr>
            <w:tcW w:w="220" w:type="dxa"/>
            <w:vAlign w:val="bottom"/>
            <w:tcBorders>
              <w:bottom w:val="single" w:sz="8" w:color="DCDDDE"/>
            </w:tcBorders>
          </w:tcPr>
          <w:p>
            <w:pPr>
              <w:spacing w:after="0"/>
              <w:rPr>
                <w:sz w:val="5"/>
                <w:szCs w:val="5"/>
                <w:color w:val="auto"/>
              </w:rPr>
            </w:pPr>
          </w:p>
        </w:tc>
        <w:tc>
          <w:tcPr>
            <w:tcW w:w="520" w:type="dxa"/>
            <w:vAlign w:val="bottom"/>
            <w:tcBorders>
              <w:bottom w:val="single" w:sz="8" w:color="DCDDDE"/>
            </w:tcBorders>
          </w:tcPr>
          <w:p>
            <w:pPr>
              <w:spacing w:after="0"/>
              <w:rPr>
                <w:sz w:val="5"/>
                <w:szCs w:val="5"/>
                <w:color w:val="auto"/>
              </w:rPr>
            </w:pPr>
          </w:p>
        </w:tc>
        <w:tc>
          <w:tcPr>
            <w:tcW w:w="540" w:type="dxa"/>
            <w:vAlign w:val="bottom"/>
            <w:tcBorders>
              <w:bottom w:val="single" w:sz="8" w:color="DCDDDE"/>
            </w:tcBorders>
          </w:tcPr>
          <w:p>
            <w:pPr>
              <w:spacing w:after="0"/>
              <w:rPr>
                <w:sz w:val="5"/>
                <w:szCs w:val="5"/>
                <w:color w:val="auto"/>
              </w:rPr>
            </w:pPr>
          </w:p>
        </w:tc>
        <w:tc>
          <w:tcPr>
            <w:tcW w:w="480" w:type="dxa"/>
            <w:vAlign w:val="bottom"/>
            <w:tcBorders>
              <w:right w:val="single" w:sz="8" w:color="D9D9D8"/>
            </w:tcBorders>
          </w:tcPr>
          <w:p>
            <w:pPr>
              <w:spacing w:after="0"/>
              <w:rPr>
                <w:sz w:val="5"/>
                <w:szCs w:val="5"/>
                <w:color w:val="auto"/>
              </w:rPr>
            </w:pPr>
          </w:p>
        </w:tc>
        <w:tc>
          <w:tcPr>
            <w:tcW w:w="760" w:type="dxa"/>
            <w:vAlign w:val="bottom"/>
            <w:tcBorders>
              <w:right w:val="single" w:sz="8" w:color="D9D9D8"/>
            </w:tcBorders>
            <w:vMerge w:val="restart"/>
          </w:tcPr>
          <w:p>
            <w:pPr>
              <w:spacing w:after="0"/>
              <w:rPr>
                <w:sz w:val="5"/>
                <w:szCs w:val="5"/>
                <w:color w:val="auto"/>
              </w:rPr>
            </w:pPr>
          </w:p>
        </w:tc>
        <w:tc>
          <w:tcPr>
            <w:tcW w:w="760" w:type="dxa"/>
            <w:vAlign w:val="bottom"/>
            <w:vMerge w:val="continue"/>
          </w:tcPr>
          <w:p>
            <w:pPr>
              <w:spacing w:after="0"/>
              <w:rPr>
                <w:sz w:val="5"/>
                <w:szCs w:val="5"/>
                <w:color w:val="auto"/>
              </w:rPr>
            </w:pPr>
          </w:p>
        </w:tc>
        <w:tc>
          <w:tcPr>
            <w:tcW w:w="200" w:type="dxa"/>
            <w:vAlign w:val="bottom"/>
            <w:tcBorders>
              <w:bottom w:val="single" w:sz="8" w:color="DCDDDE"/>
            </w:tcBorders>
          </w:tcPr>
          <w:p>
            <w:pPr>
              <w:spacing w:after="0"/>
              <w:rPr>
                <w:sz w:val="5"/>
                <w:szCs w:val="5"/>
                <w:color w:val="auto"/>
              </w:rPr>
            </w:pPr>
          </w:p>
        </w:tc>
        <w:tc>
          <w:tcPr>
            <w:tcW w:w="220" w:type="dxa"/>
            <w:vAlign w:val="bottom"/>
            <w:tcBorders>
              <w:bottom w:val="single" w:sz="8" w:color="DCDDDE"/>
            </w:tcBorders>
          </w:tcPr>
          <w:p>
            <w:pPr>
              <w:spacing w:after="0"/>
              <w:rPr>
                <w:sz w:val="5"/>
                <w:szCs w:val="5"/>
                <w:color w:val="auto"/>
              </w:rPr>
            </w:pPr>
          </w:p>
        </w:tc>
        <w:tc>
          <w:tcPr>
            <w:tcW w:w="300" w:type="dxa"/>
            <w:vAlign w:val="bottom"/>
            <w:tcBorders>
              <w:bottom w:val="single" w:sz="8" w:color="DCDDDE"/>
            </w:tcBorders>
          </w:tcPr>
          <w:p>
            <w:pPr>
              <w:spacing w:after="0"/>
              <w:rPr>
                <w:sz w:val="5"/>
                <w:szCs w:val="5"/>
                <w:color w:val="auto"/>
              </w:rPr>
            </w:pPr>
          </w:p>
        </w:tc>
        <w:tc>
          <w:tcPr>
            <w:tcW w:w="480" w:type="dxa"/>
            <w:vAlign w:val="bottom"/>
            <w:tcBorders>
              <w:bottom w:val="single" w:sz="8" w:color="DCDDDE"/>
            </w:tcBorders>
          </w:tcPr>
          <w:p>
            <w:pPr>
              <w:spacing w:after="0"/>
              <w:rPr>
                <w:sz w:val="5"/>
                <w:szCs w:val="5"/>
                <w:color w:val="auto"/>
              </w:rPr>
            </w:pPr>
          </w:p>
        </w:tc>
        <w:tc>
          <w:tcPr>
            <w:tcW w:w="240" w:type="dxa"/>
            <w:vAlign w:val="bottom"/>
            <w:tcBorders>
              <w:bottom w:val="single" w:sz="8" w:color="DCDDDE"/>
            </w:tcBorders>
          </w:tcPr>
          <w:p>
            <w:pPr>
              <w:spacing w:after="0"/>
              <w:rPr>
                <w:sz w:val="5"/>
                <w:szCs w:val="5"/>
                <w:color w:val="auto"/>
              </w:rPr>
            </w:pPr>
          </w:p>
        </w:tc>
        <w:tc>
          <w:tcPr>
            <w:tcW w:w="660" w:type="dxa"/>
            <w:vAlign w:val="bottom"/>
            <w:tcBorders>
              <w:bottom w:val="single" w:sz="8" w:color="DCDDDE"/>
            </w:tcBorders>
          </w:tcPr>
          <w:p>
            <w:pPr>
              <w:spacing w:after="0"/>
              <w:rPr>
                <w:sz w:val="5"/>
                <w:szCs w:val="5"/>
                <w:color w:val="auto"/>
              </w:rPr>
            </w:pPr>
          </w:p>
        </w:tc>
        <w:tc>
          <w:tcPr>
            <w:tcW w:w="240" w:type="dxa"/>
            <w:vAlign w:val="bottom"/>
            <w:tcBorders>
              <w:bottom w:val="single" w:sz="8" w:color="DCDDDE"/>
            </w:tcBorders>
          </w:tcPr>
          <w:p>
            <w:pPr>
              <w:spacing w:after="0"/>
              <w:rPr>
                <w:sz w:val="5"/>
                <w:szCs w:val="5"/>
                <w:color w:val="auto"/>
              </w:rPr>
            </w:pPr>
          </w:p>
        </w:tc>
        <w:tc>
          <w:tcPr>
            <w:tcW w:w="220" w:type="dxa"/>
            <w:vAlign w:val="bottom"/>
            <w:tcBorders>
              <w:bottom w:val="single" w:sz="8" w:color="DCDDDE"/>
            </w:tcBorders>
          </w:tcPr>
          <w:p>
            <w:pPr>
              <w:spacing w:after="0"/>
              <w:rPr>
                <w:sz w:val="5"/>
                <w:szCs w:val="5"/>
                <w:color w:val="auto"/>
              </w:rPr>
            </w:pPr>
          </w:p>
        </w:tc>
        <w:tc>
          <w:tcPr>
            <w:tcW w:w="720" w:type="dxa"/>
            <w:vAlign w:val="bottom"/>
            <w:tcBorders>
              <w:bottom w:val="single" w:sz="8" w:color="DCDDDE"/>
            </w:tcBorders>
          </w:tcPr>
          <w:p>
            <w:pPr>
              <w:spacing w:after="0"/>
              <w:rPr>
                <w:sz w:val="5"/>
                <w:szCs w:val="5"/>
                <w:color w:val="auto"/>
              </w:rPr>
            </w:pPr>
          </w:p>
        </w:tc>
        <w:tc>
          <w:tcPr>
            <w:tcW w:w="480" w:type="dxa"/>
            <w:vAlign w:val="bottom"/>
            <w:tcBorders>
              <w:right w:val="single" w:sz="8" w:color="D9D9D8"/>
            </w:tcBorders>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780" w:type="dxa"/>
            <w:vAlign w:val="bottom"/>
            <w:tcBorders>
              <w:left w:val="single" w:sz="8" w:color="D9D9D8"/>
            </w:tcBorders>
            <w:vMerge w:val="continue"/>
          </w:tcPr>
          <w:p>
            <w:pPr>
              <w:spacing w:after="0"/>
              <w:rPr>
                <w:sz w:val="3"/>
                <w:szCs w:val="3"/>
                <w:color w:val="auto"/>
              </w:rPr>
            </w:pPr>
          </w:p>
        </w:tc>
        <w:tc>
          <w:tcPr>
            <w:tcW w:w="300" w:type="dxa"/>
            <w:vAlign w:val="bottom"/>
          </w:tcPr>
          <w:p>
            <w:pPr>
              <w:spacing w:after="0"/>
              <w:rPr>
                <w:sz w:val="3"/>
                <w:szCs w:val="3"/>
                <w:color w:val="auto"/>
              </w:rPr>
            </w:pPr>
          </w:p>
        </w:tc>
        <w:tc>
          <w:tcPr>
            <w:tcW w:w="2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20" w:type="dxa"/>
            <w:vAlign w:val="bottom"/>
            <w:tcBorders>
              <w:right w:val="single" w:sz="8" w:color="D9D9D8"/>
            </w:tcBorders>
            <w:gridSpan w:val="2"/>
            <w:vMerge w:val="restart"/>
          </w:tcPr>
          <w:p>
            <w:pPr>
              <w:jc w:val="right"/>
              <w:ind w:right="43"/>
              <w:spacing w:after="0" w:line="125" w:lineRule="exact"/>
              <w:rPr>
                <w:sz w:val="20"/>
                <w:szCs w:val="20"/>
                <w:color w:val="auto"/>
              </w:rPr>
            </w:pPr>
            <w:r>
              <w:rPr>
                <w:rFonts w:ascii="Calibri" w:cs="Calibri" w:eastAsia="Calibri" w:hAnsi="Calibri"/>
                <w:sz w:val="11"/>
                <w:szCs w:val="11"/>
                <w:color w:val="4C4C4E"/>
              </w:rPr>
              <w:t>$5.00</w:t>
            </w:r>
          </w:p>
        </w:tc>
        <w:tc>
          <w:tcPr>
            <w:tcW w:w="760" w:type="dxa"/>
            <w:vAlign w:val="bottom"/>
            <w:tcBorders>
              <w:right w:val="single" w:sz="8" w:color="D9D9D8"/>
            </w:tcBorders>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80" w:type="dxa"/>
            <w:vAlign w:val="bottom"/>
          </w:tcPr>
          <w:p>
            <w:pPr>
              <w:spacing w:after="0"/>
              <w:rPr>
                <w:sz w:val="3"/>
                <w:szCs w:val="3"/>
                <w:color w:val="auto"/>
              </w:rPr>
            </w:pPr>
          </w:p>
        </w:tc>
        <w:tc>
          <w:tcPr>
            <w:tcW w:w="2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0" w:type="dxa"/>
            <w:vAlign w:val="bottom"/>
            <w:tcBorders>
              <w:right w:val="single" w:sz="8" w:color="D9D9D8"/>
            </w:tcBorders>
            <w:gridSpan w:val="2"/>
            <w:vMerge w:val="restart"/>
          </w:tcPr>
          <w:p>
            <w:pPr>
              <w:jc w:val="right"/>
              <w:ind w:right="43"/>
              <w:spacing w:after="0" w:line="125" w:lineRule="exact"/>
              <w:rPr>
                <w:sz w:val="20"/>
                <w:szCs w:val="20"/>
                <w:color w:val="auto"/>
              </w:rPr>
            </w:pPr>
            <w:r>
              <w:rPr>
                <w:rFonts w:ascii="Calibri" w:cs="Calibri" w:eastAsia="Calibri" w:hAnsi="Calibri"/>
                <w:sz w:val="11"/>
                <w:szCs w:val="11"/>
                <w:color w:val="4C4C4E"/>
              </w:rPr>
              <w:t>$5.00</w:t>
            </w:r>
          </w:p>
        </w:tc>
        <w:tc>
          <w:tcPr>
            <w:tcW w:w="0" w:type="dxa"/>
            <w:vAlign w:val="bottom"/>
          </w:tcPr>
          <w:p>
            <w:pPr>
              <w:spacing w:after="0"/>
              <w:rPr>
                <w:sz w:val="1"/>
                <w:szCs w:val="1"/>
                <w:color w:val="auto"/>
              </w:rPr>
            </w:pPr>
          </w:p>
        </w:tc>
      </w:tr>
      <w:tr>
        <w:trPr>
          <w:trHeight w:val="80"/>
        </w:trPr>
        <w:tc>
          <w:tcPr>
            <w:tcW w:w="780" w:type="dxa"/>
            <w:vAlign w:val="bottom"/>
            <w:tcBorders>
              <w:left w:val="single" w:sz="8" w:color="D9D9D8"/>
            </w:tcBorders>
          </w:tcPr>
          <w:p>
            <w:pPr>
              <w:spacing w:after="0"/>
              <w:rPr>
                <w:sz w:val="6"/>
                <w:szCs w:val="6"/>
                <w:color w:val="auto"/>
              </w:rPr>
            </w:pPr>
          </w:p>
        </w:tc>
        <w:tc>
          <w:tcPr>
            <w:tcW w:w="300" w:type="dxa"/>
            <w:vAlign w:val="bottom"/>
          </w:tcPr>
          <w:p>
            <w:pPr>
              <w:spacing w:after="0"/>
              <w:rPr>
                <w:sz w:val="6"/>
                <w:szCs w:val="6"/>
                <w:color w:val="auto"/>
              </w:rPr>
            </w:pPr>
          </w:p>
        </w:tc>
        <w:tc>
          <w:tcPr>
            <w:tcW w:w="2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20" w:type="dxa"/>
            <w:vAlign w:val="bottom"/>
            <w:tcBorders>
              <w:right w:val="single" w:sz="8" w:color="D9D9D8"/>
            </w:tcBorders>
            <w:gridSpan w:val="2"/>
            <w:vMerge w:val="continue"/>
          </w:tcPr>
          <w:p>
            <w:pPr>
              <w:spacing w:after="0"/>
              <w:rPr>
                <w:sz w:val="6"/>
                <w:szCs w:val="6"/>
                <w:color w:val="auto"/>
              </w:rPr>
            </w:pPr>
          </w:p>
        </w:tc>
        <w:tc>
          <w:tcPr>
            <w:tcW w:w="760" w:type="dxa"/>
            <w:vAlign w:val="bottom"/>
            <w:tcBorders>
              <w:right w:val="single" w:sz="8" w:color="D9D9D8"/>
            </w:tcBorders>
          </w:tcPr>
          <w:p>
            <w:pPr>
              <w:spacing w:after="0"/>
              <w:rPr>
                <w:sz w:val="6"/>
                <w:szCs w:val="6"/>
                <w:color w:val="auto"/>
              </w:rPr>
            </w:pPr>
          </w:p>
        </w:tc>
        <w:tc>
          <w:tcPr>
            <w:tcW w:w="7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0" w:type="dxa"/>
            <w:vAlign w:val="bottom"/>
            <w:tcBorders>
              <w:right w:val="single" w:sz="8" w:color="D9D9D8"/>
            </w:tcBorders>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780" w:type="dxa"/>
            <w:vAlign w:val="bottom"/>
            <w:tcBorders>
              <w:left w:val="single" w:sz="8" w:color="D9D9D8"/>
            </w:tcBorders>
            <w:vMerge w:val="restart"/>
          </w:tcPr>
          <w:p>
            <w:pPr>
              <w:jc w:val="right"/>
              <w:ind w:right="40"/>
              <w:spacing w:after="0"/>
              <w:rPr>
                <w:sz w:val="20"/>
                <w:szCs w:val="20"/>
                <w:color w:val="auto"/>
              </w:rPr>
            </w:pPr>
            <w:r>
              <w:rPr>
                <w:rFonts w:ascii="Calibri" w:cs="Calibri" w:eastAsia="Calibri" w:hAnsi="Calibri"/>
                <w:sz w:val="11"/>
                <w:szCs w:val="11"/>
                <w:color w:val="4C4C4E"/>
              </w:rPr>
              <w:t>$7,500,000</w:t>
            </w:r>
          </w:p>
        </w:tc>
        <w:tc>
          <w:tcPr>
            <w:tcW w:w="300" w:type="dxa"/>
            <w:vAlign w:val="bottom"/>
            <w:tcBorders>
              <w:bottom w:val="single" w:sz="8" w:color="DCDDDE"/>
            </w:tcBorders>
          </w:tcPr>
          <w:p>
            <w:pPr>
              <w:spacing w:after="0"/>
              <w:rPr>
                <w:sz w:val="6"/>
                <w:szCs w:val="6"/>
                <w:color w:val="auto"/>
              </w:rPr>
            </w:pPr>
          </w:p>
        </w:tc>
        <w:tc>
          <w:tcPr>
            <w:tcW w:w="240" w:type="dxa"/>
            <w:vAlign w:val="bottom"/>
            <w:tcBorders>
              <w:bottom w:val="single" w:sz="8" w:color="DCDDDE"/>
            </w:tcBorders>
          </w:tcPr>
          <w:p>
            <w:pPr>
              <w:spacing w:after="0"/>
              <w:rPr>
                <w:sz w:val="6"/>
                <w:szCs w:val="6"/>
                <w:color w:val="auto"/>
              </w:rPr>
            </w:pPr>
          </w:p>
        </w:tc>
        <w:tc>
          <w:tcPr>
            <w:tcW w:w="540" w:type="dxa"/>
            <w:vAlign w:val="bottom"/>
            <w:tcBorders>
              <w:bottom w:val="single" w:sz="8" w:color="DCDDDE"/>
            </w:tcBorders>
          </w:tcPr>
          <w:p>
            <w:pPr>
              <w:spacing w:after="0"/>
              <w:rPr>
                <w:sz w:val="6"/>
                <w:szCs w:val="6"/>
                <w:color w:val="auto"/>
              </w:rPr>
            </w:pPr>
          </w:p>
        </w:tc>
        <w:tc>
          <w:tcPr>
            <w:tcW w:w="240" w:type="dxa"/>
            <w:vAlign w:val="bottom"/>
            <w:tcBorders>
              <w:bottom w:val="single" w:sz="8" w:color="DCDDDE"/>
            </w:tcBorders>
          </w:tcPr>
          <w:p>
            <w:pPr>
              <w:spacing w:after="0"/>
              <w:rPr>
                <w:sz w:val="6"/>
                <w:szCs w:val="6"/>
                <w:color w:val="auto"/>
              </w:rPr>
            </w:pPr>
          </w:p>
        </w:tc>
        <w:tc>
          <w:tcPr>
            <w:tcW w:w="680" w:type="dxa"/>
            <w:vAlign w:val="bottom"/>
            <w:tcBorders>
              <w:bottom w:val="single" w:sz="8" w:color="DCDDDE"/>
            </w:tcBorders>
          </w:tcPr>
          <w:p>
            <w:pPr>
              <w:spacing w:after="0"/>
              <w:rPr>
                <w:sz w:val="6"/>
                <w:szCs w:val="6"/>
                <w:color w:val="auto"/>
              </w:rPr>
            </w:pPr>
          </w:p>
        </w:tc>
        <w:tc>
          <w:tcPr>
            <w:tcW w:w="220" w:type="dxa"/>
            <w:vAlign w:val="bottom"/>
            <w:tcBorders>
              <w:bottom w:val="single" w:sz="8" w:color="DCDDDE"/>
            </w:tcBorders>
          </w:tcPr>
          <w:p>
            <w:pPr>
              <w:spacing w:after="0"/>
              <w:rPr>
                <w:sz w:val="6"/>
                <w:szCs w:val="6"/>
                <w:color w:val="auto"/>
              </w:rPr>
            </w:pPr>
          </w:p>
        </w:tc>
        <w:tc>
          <w:tcPr>
            <w:tcW w:w="520" w:type="dxa"/>
            <w:vAlign w:val="bottom"/>
            <w:tcBorders>
              <w:bottom w:val="single" w:sz="8" w:color="DCDDDE"/>
            </w:tcBorders>
          </w:tcPr>
          <w:p>
            <w:pPr>
              <w:spacing w:after="0"/>
              <w:rPr>
                <w:sz w:val="6"/>
                <w:szCs w:val="6"/>
                <w:color w:val="auto"/>
              </w:rPr>
            </w:pPr>
          </w:p>
        </w:tc>
        <w:tc>
          <w:tcPr>
            <w:tcW w:w="540" w:type="dxa"/>
            <w:vAlign w:val="bottom"/>
            <w:tcBorders>
              <w:bottom w:val="single" w:sz="8" w:color="DCDDDE"/>
            </w:tcBorders>
          </w:tcPr>
          <w:p>
            <w:pPr>
              <w:spacing w:after="0"/>
              <w:rPr>
                <w:sz w:val="6"/>
                <w:szCs w:val="6"/>
                <w:color w:val="auto"/>
              </w:rPr>
            </w:pPr>
          </w:p>
        </w:tc>
        <w:tc>
          <w:tcPr>
            <w:tcW w:w="480" w:type="dxa"/>
            <w:vAlign w:val="bottom"/>
            <w:tcBorders>
              <w:right w:val="single" w:sz="8" w:color="D9D9D8"/>
            </w:tcBorders>
            <w:vMerge w:val="restart"/>
          </w:tcPr>
          <w:p>
            <w:pPr>
              <w:jc w:val="right"/>
              <w:ind w:right="43"/>
              <w:spacing w:after="0"/>
              <w:rPr>
                <w:sz w:val="20"/>
                <w:szCs w:val="20"/>
                <w:color w:val="auto"/>
              </w:rPr>
            </w:pPr>
            <w:r>
              <w:rPr>
                <w:rFonts w:ascii="Calibri" w:cs="Calibri" w:eastAsia="Calibri" w:hAnsi="Calibri"/>
                <w:sz w:val="11"/>
                <w:szCs w:val="11"/>
                <w:color w:val="4C4C4E"/>
              </w:rPr>
              <w:t>$4.50</w:t>
            </w:r>
          </w:p>
        </w:tc>
        <w:tc>
          <w:tcPr>
            <w:tcW w:w="760" w:type="dxa"/>
            <w:vAlign w:val="bottom"/>
            <w:tcBorders>
              <w:right w:val="single" w:sz="8" w:color="D9D9D8"/>
            </w:tcBorders>
            <w:vMerge w:val="restart"/>
          </w:tcPr>
          <w:p>
            <w:pPr>
              <w:spacing w:after="0"/>
              <w:rPr>
                <w:sz w:val="6"/>
                <w:szCs w:val="6"/>
                <w:color w:val="auto"/>
              </w:rPr>
            </w:pPr>
          </w:p>
        </w:tc>
        <w:tc>
          <w:tcPr>
            <w:tcW w:w="760" w:type="dxa"/>
            <w:vAlign w:val="bottom"/>
            <w:vMerge w:val="restart"/>
          </w:tcPr>
          <w:p>
            <w:pPr>
              <w:jc w:val="right"/>
              <w:ind w:right="40"/>
              <w:spacing w:after="0"/>
              <w:rPr>
                <w:sz w:val="20"/>
                <w:szCs w:val="20"/>
                <w:color w:val="auto"/>
              </w:rPr>
            </w:pPr>
            <w:r>
              <w:rPr>
                <w:rFonts w:ascii="Calibri" w:cs="Calibri" w:eastAsia="Calibri" w:hAnsi="Calibri"/>
                <w:sz w:val="11"/>
                <w:szCs w:val="11"/>
                <w:color w:val="4C4C4E"/>
              </w:rPr>
              <w:t>$7,500,000</w:t>
            </w:r>
          </w:p>
        </w:tc>
        <w:tc>
          <w:tcPr>
            <w:tcW w:w="200" w:type="dxa"/>
            <w:vAlign w:val="bottom"/>
            <w:tcBorders>
              <w:bottom w:val="single" w:sz="8" w:color="DCDDDE"/>
            </w:tcBorders>
          </w:tcPr>
          <w:p>
            <w:pPr>
              <w:spacing w:after="0"/>
              <w:rPr>
                <w:sz w:val="6"/>
                <w:szCs w:val="6"/>
                <w:color w:val="auto"/>
              </w:rPr>
            </w:pPr>
          </w:p>
        </w:tc>
        <w:tc>
          <w:tcPr>
            <w:tcW w:w="220" w:type="dxa"/>
            <w:vAlign w:val="bottom"/>
            <w:tcBorders>
              <w:bottom w:val="single" w:sz="8" w:color="DCDDDE"/>
            </w:tcBorders>
          </w:tcPr>
          <w:p>
            <w:pPr>
              <w:spacing w:after="0"/>
              <w:rPr>
                <w:sz w:val="6"/>
                <w:szCs w:val="6"/>
                <w:color w:val="auto"/>
              </w:rPr>
            </w:pPr>
          </w:p>
        </w:tc>
        <w:tc>
          <w:tcPr>
            <w:tcW w:w="300" w:type="dxa"/>
            <w:vAlign w:val="bottom"/>
            <w:tcBorders>
              <w:bottom w:val="single" w:sz="8" w:color="DCDDDE"/>
            </w:tcBorders>
          </w:tcPr>
          <w:p>
            <w:pPr>
              <w:spacing w:after="0"/>
              <w:rPr>
                <w:sz w:val="6"/>
                <w:szCs w:val="6"/>
                <w:color w:val="auto"/>
              </w:rPr>
            </w:pPr>
          </w:p>
        </w:tc>
        <w:tc>
          <w:tcPr>
            <w:tcW w:w="480" w:type="dxa"/>
            <w:vAlign w:val="bottom"/>
            <w:tcBorders>
              <w:bottom w:val="single" w:sz="8" w:color="DCDDDE"/>
            </w:tcBorders>
          </w:tcPr>
          <w:p>
            <w:pPr>
              <w:spacing w:after="0"/>
              <w:rPr>
                <w:sz w:val="6"/>
                <w:szCs w:val="6"/>
                <w:color w:val="auto"/>
              </w:rPr>
            </w:pPr>
          </w:p>
        </w:tc>
        <w:tc>
          <w:tcPr>
            <w:tcW w:w="240" w:type="dxa"/>
            <w:vAlign w:val="bottom"/>
            <w:tcBorders>
              <w:bottom w:val="single" w:sz="8" w:color="DCDDDE"/>
            </w:tcBorders>
          </w:tcPr>
          <w:p>
            <w:pPr>
              <w:spacing w:after="0"/>
              <w:rPr>
                <w:sz w:val="6"/>
                <w:szCs w:val="6"/>
                <w:color w:val="auto"/>
              </w:rPr>
            </w:pPr>
          </w:p>
        </w:tc>
        <w:tc>
          <w:tcPr>
            <w:tcW w:w="660" w:type="dxa"/>
            <w:vAlign w:val="bottom"/>
            <w:tcBorders>
              <w:bottom w:val="single" w:sz="8" w:color="DCDDDE"/>
            </w:tcBorders>
          </w:tcPr>
          <w:p>
            <w:pPr>
              <w:spacing w:after="0"/>
              <w:rPr>
                <w:sz w:val="6"/>
                <w:szCs w:val="6"/>
                <w:color w:val="auto"/>
              </w:rPr>
            </w:pPr>
          </w:p>
        </w:tc>
        <w:tc>
          <w:tcPr>
            <w:tcW w:w="240" w:type="dxa"/>
            <w:vAlign w:val="bottom"/>
            <w:tcBorders>
              <w:bottom w:val="single" w:sz="8" w:color="DCDDDE"/>
            </w:tcBorders>
          </w:tcPr>
          <w:p>
            <w:pPr>
              <w:spacing w:after="0"/>
              <w:rPr>
                <w:sz w:val="6"/>
                <w:szCs w:val="6"/>
                <w:color w:val="auto"/>
              </w:rPr>
            </w:pPr>
          </w:p>
        </w:tc>
        <w:tc>
          <w:tcPr>
            <w:tcW w:w="220" w:type="dxa"/>
            <w:vAlign w:val="bottom"/>
            <w:tcBorders>
              <w:bottom w:val="single" w:sz="8" w:color="DCDDDE"/>
            </w:tcBorders>
          </w:tcPr>
          <w:p>
            <w:pPr>
              <w:spacing w:after="0"/>
              <w:rPr>
                <w:sz w:val="6"/>
                <w:szCs w:val="6"/>
                <w:color w:val="auto"/>
              </w:rPr>
            </w:pPr>
          </w:p>
        </w:tc>
        <w:tc>
          <w:tcPr>
            <w:tcW w:w="720" w:type="dxa"/>
            <w:vAlign w:val="bottom"/>
            <w:tcBorders>
              <w:bottom w:val="single" w:sz="8" w:color="DCDDDE"/>
            </w:tcBorders>
          </w:tcPr>
          <w:p>
            <w:pPr>
              <w:spacing w:after="0"/>
              <w:rPr>
                <w:sz w:val="6"/>
                <w:szCs w:val="6"/>
                <w:color w:val="auto"/>
              </w:rPr>
            </w:pPr>
          </w:p>
        </w:tc>
        <w:tc>
          <w:tcPr>
            <w:tcW w:w="480" w:type="dxa"/>
            <w:vAlign w:val="bottom"/>
            <w:tcBorders>
              <w:right w:val="single" w:sz="8" w:color="D9D9D8"/>
            </w:tcBorders>
            <w:vMerge w:val="restart"/>
          </w:tcPr>
          <w:p>
            <w:pPr>
              <w:jc w:val="right"/>
              <w:ind w:right="43"/>
              <w:spacing w:after="0"/>
              <w:rPr>
                <w:sz w:val="20"/>
                <w:szCs w:val="20"/>
                <w:color w:val="auto"/>
              </w:rPr>
            </w:pPr>
            <w:r>
              <w:rPr>
                <w:rFonts w:ascii="Calibri" w:cs="Calibri" w:eastAsia="Calibri" w:hAnsi="Calibri"/>
                <w:sz w:val="11"/>
                <w:szCs w:val="11"/>
                <w:color w:val="4C4C4E"/>
              </w:rPr>
              <w:t>$4.50</w:t>
            </w:r>
          </w:p>
        </w:tc>
        <w:tc>
          <w:tcPr>
            <w:tcW w:w="0" w:type="dxa"/>
            <w:vAlign w:val="bottom"/>
          </w:tcPr>
          <w:p>
            <w:pPr>
              <w:spacing w:after="0"/>
              <w:rPr>
                <w:sz w:val="1"/>
                <w:szCs w:val="1"/>
                <w:color w:val="auto"/>
              </w:rPr>
            </w:pPr>
          </w:p>
        </w:tc>
      </w:tr>
      <w:tr>
        <w:trPr>
          <w:trHeight w:val="83"/>
        </w:trPr>
        <w:tc>
          <w:tcPr>
            <w:tcW w:w="780" w:type="dxa"/>
            <w:vAlign w:val="bottom"/>
            <w:tcBorders>
              <w:left w:val="single" w:sz="8" w:color="D9D9D8"/>
            </w:tcBorders>
            <w:vMerge w:val="continue"/>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540" w:type="dxa"/>
            <w:vAlign w:val="bottom"/>
          </w:tcPr>
          <w:p>
            <w:pPr>
              <w:spacing w:after="0"/>
              <w:rPr>
                <w:sz w:val="7"/>
                <w:szCs w:val="7"/>
                <w:color w:val="auto"/>
              </w:rPr>
            </w:pPr>
          </w:p>
        </w:tc>
        <w:tc>
          <w:tcPr>
            <w:tcW w:w="480" w:type="dxa"/>
            <w:vAlign w:val="bottom"/>
            <w:tcBorders>
              <w:right w:val="single" w:sz="8" w:color="D9D9D8"/>
            </w:tcBorders>
            <w:vMerge w:val="continue"/>
          </w:tcPr>
          <w:p>
            <w:pPr>
              <w:spacing w:after="0"/>
              <w:rPr>
                <w:sz w:val="7"/>
                <w:szCs w:val="7"/>
                <w:color w:val="auto"/>
              </w:rPr>
            </w:pPr>
          </w:p>
        </w:tc>
        <w:tc>
          <w:tcPr>
            <w:tcW w:w="760" w:type="dxa"/>
            <w:vAlign w:val="bottom"/>
            <w:tcBorders>
              <w:right w:val="single" w:sz="8" w:color="D9D9D8"/>
            </w:tcBorders>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20" w:type="dxa"/>
            <w:vAlign w:val="bottom"/>
          </w:tcPr>
          <w:p>
            <w:pPr>
              <w:spacing w:after="0"/>
              <w:rPr>
                <w:sz w:val="7"/>
                <w:szCs w:val="7"/>
                <w:color w:val="auto"/>
              </w:rPr>
            </w:pPr>
          </w:p>
        </w:tc>
        <w:tc>
          <w:tcPr>
            <w:tcW w:w="480" w:type="dxa"/>
            <w:vAlign w:val="bottom"/>
            <w:tcBorders>
              <w:right w:val="single" w:sz="8" w:color="D9D9D8"/>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780" w:type="dxa"/>
            <w:vAlign w:val="bottom"/>
            <w:tcBorders>
              <w:left w:val="single" w:sz="8" w:color="D9D9D8"/>
            </w:tcBorders>
            <w:vMerge w:val="restart"/>
          </w:tcPr>
          <w:p>
            <w:pPr>
              <w:jc w:val="right"/>
              <w:ind w:right="40"/>
              <w:spacing w:after="0"/>
              <w:rPr>
                <w:sz w:val="20"/>
                <w:szCs w:val="20"/>
                <w:color w:val="auto"/>
              </w:rPr>
            </w:pPr>
            <w:r>
              <w:rPr>
                <w:rFonts w:ascii="Calibri" w:cs="Calibri" w:eastAsia="Calibri" w:hAnsi="Calibri"/>
                <w:sz w:val="11"/>
                <w:szCs w:val="11"/>
                <w:color w:val="4C4C4E"/>
              </w:rPr>
              <w:t>$-</w:t>
            </w:r>
          </w:p>
        </w:tc>
        <w:tc>
          <w:tcPr>
            <w:tcW w:w="300" w:type="dxa"/>
            <w:vAlign w:val="bottom"/>
            <w:tcBorders>
              <w:bottom w:val="single" w:sz="8" w:color="DCDDDE"/>
            </w:tcBorders>
          </w:tcPr>
          <w:p>
            <w:pPr>
              <w:spacing w:after="0"/>
              <w:rPr>
                <w:sz w:val="11"/>
                <w:szCs w:val="11"/>
                <w:color w:val="auto"/>
              </w:rPr>
            </w:pPr>
          </w:p>
        </w:tc>
        <w:tc>
          <w:tcPr>
            <w:tcW w:w="240" w:type="dxa"/>
            <w:vAlign w:val="bottom"/>
            <w:tcBorders>
              <w:bottom w:val="single" w:sz="8" w:color="DCDDDE"/>
            </w:tcBorders>
          </w:tcPr>
          <w:p>
            <w:pPr>
              <w:spacing w:after="0"/>
              <w:rPr>
                <w:sz w:val="11"/>
                <w:szCs w:val="11"/>
                <w:color w:val="auto"/>
              </w:rPr>
            </w:pPr>
          </w:p>
        </w:tc>
        <w:tc>
          <w:tcPr>
            <w:tcW w:w="540" w:type="dxa"/>
            <w:vAlign w:val="bottom"/>
            <w:tcBorders>
              <w:bottom w:val="single" w:sz="8" w:color="DCDDDE"/>
            </w:tcBorders>
          </w:tcPr>
          <w:p>
            <w:pPr>
              <w:spacing w:after="0"/>
              <w:rPr>
                <w:sz w:val="11"/>
                <w:szCs w:val="11"/>
                <w:color w:val="auto"/>
              </w:rPr>
            </w:pPr>
          </w:p>
        </w:tc>
        <w:tc>
          <w:tcPr>
            <w:tcW w:w="240" w:type="dxa"/>
            <w:vAlign w:val="bottom"/>
            <w:tcBorders>
              <w:bottom w:val="single" w:sz="8" w:color="DCDDDE"/>
            </w:tcBorders>
          </w:tcPr>
          <w:p>
            <w:pPr>
              <w:spacing w:after="0"/>
              <w:rPr>
                <w:sz w:val="11"/>
                <w:szCs w:val="11"/>
                <w:color w:val="auto"/>
              </w:rPr>
            </w:pPr>
          </w:p>
        </w:tc>
        <w:tc>
          <w:tcPr>
            <w:tcW w:w="680" w:type="dxa"/>
            <w:vAlign w:val="bottom"/>
            <w:tcBorders>
              <w:bottom w:val="single" w:sz="8" w:color="DCDDDE"/>
            </w:tcBorders>
          </w:tcPr>
          <w:p>
            <w:pPr>
              <w:spacing w:after="0"/>
              <w:rPr>
                <w:sz w:val="11"/>
                <w:szCs w:val="11"/>
                <w:color w:val="auto"/>
              </w:rPr>
            </w:pPr>
          </w:p>
        </w:tc>
        <w:tc>
          <w:tcPr>
            <w:tcW w:w="220" w:type="dxa"/>
            <w:vAlign w:val="bottom"/>
            <w:tcBorders>
              <w:bottom w:val="single" w:sz="8" w:color="DCDDDE"/>
            </w:tcBorders>
          </w:tcPr>
          <w:p>
            <w:pPr>
              <w:spacing w:after="0"/>
              <w:rPr>
                <w:sz w:val="11"/>
                <w:szCs w:val="11"/>
                <w:color w:val="auto"/>
              </w:rPr>
            </w:pPr>
          </w:p>
        </w:tc>
        <w:tc>
          <w:tcPr>
            <w:tcW w:w="520" w:type="dxa"/>
            <w:vAlign w:val="bottom"/>
            <w:tcBorders>
              <w:bottom w:val="single" w:sz="8" w:color="DCDDDE"/>
            </w:tcBorders>
          </w:tcPr>
          <w:p>
            <w:pPr>
              <w:spacing w:after="0"/>
              <w:rPr>
                <w:sz w:val="11"/>
                <w:szCs w:val="11"/>
                <w:color w:val="auto"/>
              </w:rPr>
            </w:pPr>
          </w:p>
        </w:tc>
        <w:tc>
          <w:tcPr>
            <w:tcW w:w="540" w:type="dxa"/>
            <w:vAlign w:val="bottom"/>
            <w:tcBorders>
              <w:bottom w:val="single" w:sz="8" w:color="DCDDDE"/>
            </w:tcBorders>
          </w:tcPr>
          <w:p>
            <w:pPr>
              <w:spacing w:after="0"/>
              <w:rPr>
                <w:sz w:val="11"/>
                <w:szCs w:val="11"/>
                <w:color w:val="auto"/>
              </w:rPr>
            </w:pPr>
          </w:p>
        </w:tc>
        <w:tc>
          <w:tcPr>
            <w:tcW w:w="480" w:type="dxa"/>
            <w:vAlign w:val="bottom"/>
            <w:tcBorders>
              <w:right w:val="single" w:sz="8" w:color="D9D9D8"/>
            </w:tcBorders>
            <w:vMerge w:val="restart"/>
          </w:tcPr>
          <w:p>
            <w:pPr>
              <w:jc w:val="right"/>
              <w:ind w:right="43"/>
              <w:spacing w:after="0"/>
              <w:rPr>
                <w:sz w:val="20"/>
                <w:szCs w:val="20"/>
                <w:color w:val="auto"/>
              </w:rPr>
            </w:pPr>
            <w:r>
              <w:rPr>
                <w:rFonts w:ascii="Calibri" w:cs="Calibri" w:eastAsia="Calibri" w:hAnsi="Calibri"/>
                <w:sz w:val="11"/>
                <w:szCs w:val="11"/>
                <w:color w:val="4C4C4E"/>
              </w:rPr>
              <w:t>$4.00</w:t>
            </w:r>
          </w:p>
        </w:tc>
        <w:tc>
          <w:tcPr>
            <w:tcW w:w="760" w:type="dxa"/>
            <w:vAlign w:val="bottom"/>
            <w:tcBorders>
              <w:right w:val="single" w:sz="8" w:color="D9D9D8"/>
            </w:tcBorders>
            <w:vMerge w:val="restart"/>
          </w:tcPr>
          <w:p>
            <w:pPr>
              <w:spacing w:after="0"/>
              <w:rPr>
                <w:sz w:val="11"/>
                <w:szCs w:val="11"/>
                <w:color w:val="auto"/>
              </w:rPr>
            </w:pPr>
          </w:p>
        </w:tc>
        <w:tc>
          <w:tcPr>
            <w:tcW w:w="760" w:type="dxa"/>
            <w:vAlign w:val="bottom"/>
            <w:vMerge w:val="restart"/>
          </w:tcPr>
          <w:p>
            <w:pPr>
              <w:jc w:val="right"/>
              <w:ind w:right="40"/>
              <w:spacing w:after="0"/>
              <w:rPr>
                <w:sz w:val="20"/>
                <w:szCs w:val="20"/>
                <w:color w:val="auto"/>
              </w:rPr>
            </w:pPr>
            <w:r>
              <w:rPr>
                <w:rFonts w:ascii="Calibri" w:cs="Calibri" w:eastAsia="Calibri" w:hAnsi="Calibri"/>
                <w:sz w:val="11"/>
                <w:szCs w:val="11"/>
                <w:color w:val="4C4C4E"/>
              </w:rPr>
              <w:t>$-</w:t>
            </w:r>
          </w:p>
        </w:tc>
        <w:tc>
          <w:tcPr>
            <w:tcW w:w="200" w:type="dxa"/>
            <w:vAlign w:val="bottom"/>
            <w:tcBorders>
              <w:bottom w:val="single" w:sz="8" w:color="DCDDDE"/>
            </w:tcBorders>
          </w:tcPr>
          <w:p>
            <w:pPr>
              <w:spacing w:after="0"/>
              <w:rPr>
                <w:sz w:val="11"/>
                <w:szCs w:val="11"/>
                <w:color w:val="auto"/>
              </w:rPr>
            </w:pPr>
          </w:p>
        </w:tc>
        <w:tc>
          <w:tcPr>
            <w:tcW w:w="220" w:type="dxa"/>
            <w:vAlign w:val="bottom"/>
            <w:tcBorders>
              <w:bottom w:val="single" w:sz="8" w:color="DCDDDE"/>
            </w:tcBorders>
          </w:tcPr>
          <w:p>
            <w:pPr>
              <w:spacing w:after="0"/>
              <w:rPr>
                <w:sz w:val="11"/>
                <w:szCs w:val="11"/>
                <w:color w:val="auto"/>
              </w:rPr>
            </w:pPr>
          </w:p>
        </w:tc>
        <w:tc>
          <w:tcPr>
            <w:tcW w:w="300" w:type="dxa"/>
            <w:vAlign w:val="bottom"/>
            <w:tcBorders>
              <w:bottom w:val="single" w:sz="8" w:color="DCDDDE"/>
            </w:tcBorders>
          </w:tcPr>
          <w:p>
            <w:pPr>
              <w:spacing w:after="0"/>
              <w:rPr>
                <w:sz w:val="11"/>
                <w:szCs w:val="11"/>
                <w:color w:val="auto"/>
              </w:rPr>
            </w:pPr>
          </w:p>
        </w:tc>
        <w:tc>
          <w:tcPr>
            <w:tcW w:w="480" w:type="dxa"/>
            <w:vAlign w:val="bottom"/>
            <w:tcBorders>
              <w:bottom w:val="single" w:sz="8" w:color="DCDDDE"/>
            </w:tcBorders>
          </w:tcPr>
          <w:p>
            <w:pPr>
              <w:spacing w:after="0"/>
              <w:rPr>
                <w:sz w:val="11"/>
                <w:szCs w:val="11"/>
                <w:color w:val="auto"/>
              </w:rPr>
            </w:pPr>
          </w:p>
        </w:tc>
        <w:tc>
          <w:tcPr>
            <w:tcW w:w="240" w:type="dxa"/>
            <w:vAlign w:val="bottom"/>
            <w:tcBorders>
              <w:bottom w:val="single" w:sz="8" w:color="DCDDDE"/>
            </w:tcBorders>
          </w:tcPr>
          <w:p>
            <w:pPr>
              <w:spacing w:after="0"/>
              <w:rPr>
                <w:sz w:val="11"/>
                <w:szCs w:val="11"/>
                <w:color w:val="auto"/>
              </w:rPr>
            </w:pPr>
          </w:p>
        </w:tc>
        <w:tc>
          <w:tcPr>
            <w:tcW w:w="660" w:type="dxa"/>
            <w:vAlign w:val="bottom"/>
            <w:tcBorders>
              <w:bottom w:val="single" w:sz="8" w:color="DCDDDE"/>
            </w:tcBorders>
          </w:tcPr>
          <w:p>
            <w:pPr>
              <w:spacing w:after="0"/>
              <w:rPr>
                <w:sz w:val="11"/>
                <w:szCs w:val="11"/>
                <w:color w:val="auto"/>
              </w:rPr>
            </w:pPr>
          </w:p>
        </w:tc>
        <w:tc>
          <w:tcPr>
            <w:tcW w:w="240" w:type="dxa"/>
            <w:vAlign w:val="bottom"/>
            <w:tcBorders>
              <w:bottom w:val="single" w:sz="8" w:color="DCDDDE"/>
            </w:tcBorders>
          </w:tcPr>
          <w:p>
            <w:pPr>
              <w:spacing w:after="0"/>
              <w:rPr>
                <w:sz w:val="11"/>
                <w:szCs w:val="11"/>
                <w:color w:val="auto"/>
              </w:rPr>
            </w:pPr>
          </w:p>
        </w:tc>
        <w:tc>
          <w:tcPr>
            <w:tcW w:w="220" w:type="dxa"/>
            <w:vAlign w:val="bottom"/>
            <w:tcBorders>
              <w:bottom w:val="single" w:sz="8" w:color="DCDDDE"/>
            </w:tcBorders>
          </w:tcPr>
          <w:p>
            <w:pPr>
              <w:spacing w:after="0"/>
              <w:rPr>
                <w:sz w:val="11"/>
                <w:szCs w:val="11"/>
                <w:color w:val="auto"/>
              </w:rPr>
            </w:pPr>
          </w:p>
        </w:tc>
        <w:tc>
          <w:tcPr>
            <w:tcW w:w="720" w:type="dxa"/>
            <w:vAlign w:val="bottom"/>
            <w:tcBorders>
              <w:bottom w:val="single" w:sz="8" w:color="DCDDDE"/>
            </w:tcBorders>
          </w:tcPr>
          <w:p>
            <w:pPr>
              <w:spacing w:after="0"/>
              <w:rPr>
                <w:sz w:val="11"/>
                <w:szCs w:val="11"/>
                <w:color w:val="auto"/>
              </w:rPr>
            </w:pPr>
          </w:p>
        </w:tc>
        <w:tc>
          <w:tcPr>
            <w:tcW w:w="480" w:type="dxa"/>
            <w:vAlign w:val="bottom"/>
            <w:tcBorders>
              <w:right w:val="single" w:sz="8" w:color="D9D9D8"/>
            </w:tcBorders>
            <w:vMerge w:val="restart"/>
          </w:tcPr>
          <w:p>
            <w:pPr>
              <w:jc w:val="right"/>
              <w:ind w:right="43"/>
              <w:spacing w:after="0"/>
              <w:rPr>
                <w:sz w:val="20"/>
                <w:szCs w:val="20"/>
                <w:color w:val="auto"/>
              </w:rPr>
            </w:pPr>
            <w:r>
              <w:rPr>
                <w:rFonts w:ascii="Calibri" w:cs="Calibri" w:eastAsia="Calibri" w:hAnsi="Calibri"/>
                <w:sz w:val="11"/>
                <w:szCs w:val="11"/>
                <w:color w:val="4C4C4E"/>
              </w:rPr>
              <w:t>$4.00</w:t>
            </w:r>
          </w:p>
        </w:tc>
        <w:tc>
          <w:tcPr>
            <w:tcW w:w="0" w:type="dxa"/>
            <w:vAlign w:val="bottom"/>
          </w:tcPr>
          <w:p>
            <w:pPr>
              <w:spacing w:after="0"/>
              <w:rPr>
                <w:sz w:val="1"/>
                <w:szCs w:val="1"/>
                <w:color w:val="auto"/>
              </w:rPr>
            </w:pPr>
          </w:p>
        </w:tc>
      </w:tr>
      <w:tr>
        <w:trPr>
          <w:trHeight w:val="37"/>
        </w:trPr>
        <w:tc>
          <w:tcPr>
            <w:tcW w:w="780" w:type="dxa"/>
            <w:vAlign w:val="bottom"/>
            <w:tcBorders>
              <w:left w:val="single" w:sz="8" w:color="D9D9D8"/>
            </w:tcBorders>
            <w:vMerge w:val="continue"/>
          </w:tcPr>
          <w:p>
            <w:pPr>
              <w:spacing w:after="0"/>
              <w:rPr>
                <w:sz w:val="3"/>
                <w:szCs w:val="3"/>
                <w:color w:val="auto"/>
              </w:rPr>
            </w:pPr>
          </w:p>
        </w:tc>
        <w:tc>
          <w:tcPr>
            <w:tcW w:w="300" w:type="dxa"/>
            <w:vAlign w:val="bottom"/>
          </w:tcPr>
          <w:p>
            <w:pPr>
              <w:spacing w:after="0"/>
              <w:rPr>
                <w:sz w:val="3"/>
                <w:szCs w:val="3"/>
                <w:color w:val="auto"/>
              </w:rPr>
            </w:pPr>
          </w:p>
        </w:tc>
        <w:tc>
          <w:tcPr>
            <w:tcW w:w="2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40" w:type="dxa"/>
            <w:vAlign w:val="bottom"/>
            <w:gridSpan w:val="2"/>
            <w:vMerge w:val="restart"/>
          </w:tcPr>
          <w:p>
            <w:pPr>
              <w:jc w:val="right"/>
              <w:ind w:right="323"/>
              <w:spacing w:after="0"/>
              <w:rPr>
                <w:sz w:val="20"/>
                <w:szCs w:val="20"/>
                <w:color w:val="auto"/>
              </w:rPr>
            </w:pPr>
            <w:r>
              <w:rPr>
                <w:rFonts w:ascii="Calibri" w:cs="Calibri" w:eastAsia="Calibri" w:hAnsi="Calibri"/>
                <w:sz w:val="11"/>
                <w:szCs w:val="11"/>
                <w:color w:val="4C4C4E"/>
              </w:rPr>
              <w:t>2024</w:t>
            </w:r>
          </w:p>
        </w:tc>
        <w:tc>
          <w:tcPr>
            <w:tcW w:w="540" w:type="dxa"/>
            <w:vAlign w:val="bottom"/>
          </w:tcPr>
          <w:p>
            <w:pPr>
              <w:spacing w:after="0"/>
              <w:rPr>
                <w:sz w:val="3"/>
                <w:szCs w:val="3"/>
                <w:color w:val="auto"/>
              </w:rPr>
            </w:pPr>
          </w:p>
        </w:tc>
        <w:tc>
          <w:tcPr>
            <w:tcW w:w="480" w:type="dxa"/>
            <w:vAlign w:val="bottom"/>
            <w:tcBorders>
              <w:right w:val="single" w:sz="8" w:color="D9D9D8"/>
            </w:tcBorders>
            <w:vMerge w:val="continue"/>
          </w:tcPr>
          <w:p>
            <w:pPr>
              <w:spacing w:after="0"/>
              <w:rPr>
                <w:sz w:val="3"/>
                <w:szCs w:val="3"/>
                <w:color w:val="auto"/>
              </w:rPr>
            </w:pPr>
          </w:p>
        </w:tc>
        <w:tc>
          <w:tcPr>
            <w:tcW w:w="760" w:type="dxa"/>
            <w:vAlign w:val="bottom"/>
            <w:tcBorders>
              <w:right w:val="single" w:sz="8" w:color="D9D9D8"/>
            </w:tcBorders>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80" w:type="dxa"/>
            <w:vAlign w:val="bottom"/>
          </w:tcPr>
          <w:p>
            <w:pPr>
              <w:spacing w:after="0"/>
              <w:rPr>
                <w:sz w:val="3"/>
                <w:szCs w:val="3"/>
                <w:color w:val="auto"/>
              </w:rPr>
            </w:pPr>
          </w:p>
        </w:tc>
        <w:tc>
          <w:tcPr>
            <w:tcW w:w="2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480" w:type="dxa"/>
            <w:vAlign w:val="bottom"/>
            <w:tcBorders>
              <w:right w:val="single" w:sz="8" w:color="D9D9D8"/>
            </w:tcBorders>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9"/>
        </w:trPr>
        <w:tc>
          <w:tcPr>
            <w:tcW w:w="1320" w:type="dxa"/>
            <w:vAlign w:val="bottom"/>
            <w:tcBorders>
              <w:left w:val="single" w:sz="8" w:color="D9D9D8"/>
            </w:tcBorders>
            <w:gridSpan w:val="3"/>
          </w:tcPr>
          <w:p>
            <w:pPr>
              <w:jc w:val="right"/>
              <w:ind w:right="20"/>
              <w:spacing w:after="0"/>
              <w:rPr>
                <w:sz w:val="20"/>
                <w:szCs w:val="20"/>
                <w:color w:val="auto"/>
              </w:rPr>
            </w:pPr>
            <w:r>
              <w:rPr>
                <w:rFonts w:ascii="Calibri" w:cs="Calibri" w:eastAsia="Calibri" w:hAnsi="Calibri"/>
                <w:sz w:val="11"/>
                <w:szCs w:val="11"/>
                <w:color w:val="4C4C4E"/>
              </w:rPr>
              <w:t>2021</w:t>
            </w:r>
          </w:p>
        </w:tc>
        <w:tc>
          <w:tcPr>
            <w:tcW w:w="780" w:type="dxa"/>
            <w:vAlign w:val="bottom"/>
            <w:gridSpan w:val="2"/>
          </w:tcPr>
          <w:p>
            <w:pPr>
              <w:jc w:val="right"/>
              <w:ind w:right="180"/>
              <w:spacing w:after="0"/>
              <w:rPr>
                <w:sz w:val="20"/>
                <w:szCs w:val="20"/>
                <w:color w:val="auto"/>
              </w:rPr>
            </w:pPr>
            <w:r>
              <w:rPr>
                <w:rFonts w:ascii="Calibri" w:cs="Calibri" w:eastAsia="Calibri" w:hAnsi="Calibri"/>
                <w:sz w:val="11"/>
                <w:szCs w:val="11"/>
                <w:color w:val="4C4C4E"/>
              </w:rPr>
              <w:t>2022</w:t>
            </w:r>
          </w:p>
        </w:tc>
        <w:tc>
          <w:tcPr>
            <w:tcW w:w="680" w:type="dxa"/>
            <w:vAlign w:val="bottom"/>
          </w:tcPr>
          <w:p>
            <w:pPr>
              <w:jc w:val="right"/>
              <w:ind w:right="183"/>
              <w:spacing w:after="0"/>
              <w:rPr>
                <w:sz w:val="20"/>
                <w:szCs w:val="20"/>
                <w:color w:val="auto"/>
              </w:rPr>
            </w:pPr>
            <w:r>
              <w:rPr>
                <w:rFonts w:ascii="Calibri" w:cs="Calibri" w:eastAsia="Calibri" w:hAnsi="Calibri"/>
                <w:sz w:val="11"/>
                <w:szCs w:val="11"/>
                <w:color w:val="4C4C4E"/>
              </w:rPr>
              <w:t>2023</w:t>
            </w:r>
          </w:p>
        </w:tc>
        <w:tc>
          <w:tcPr>
            <w:tcW w:w="740" w:type="dxa"/>
            <w:vAlign w:val="bottom"/>
            <w:gridSpan w:val="2"/>
            <w:vMerge w:val="continue"/>
          </w:tcPr>
          <w:p>
            <w:pPr>
              <w:spacing w:after="0"/>
              <w:rPr>
                <w:sz w:val="12"/>
                <w:szCs w:val="12"/>
                <w:color w:val="auto"/>
              </w:rPr>
            </w:pPr>
          </w:p>
        </w:tc>
        <w:tc>
          <w:tcPr>
            <w:tcW w:w="540" w:type="dxa"/>
            <w:vAlign w:val="bottom"/>
          </w:tcPr>
          <w:p>
            <w:pPr>
              <w:jc w:val="right"/>
              <w:ind w:right="243"/>
              <w:spacing w:after="0"/>
              <w:rPr>
                <w:sz w:val="20"/>
                <w:szCs w:val="20"/>
                <w:color w:val="auto"/>
              </w:rPr>
            </w:pPr>
            <w:r>
              <w:rPr>
                <w:rFonts w:ascii="Calibri" w:cs="Calibri" w:eastAsia="Calibri" w:hAnsi="Calibri"/>
                <w:sz w:val="11"/>
                <w:szCs w:val="11"/>
                <w:color w:val="4C4C4E"/>
                <w:w w:val="98"/>
              </w:rPr>
              <w:t>2025</w:t>
            </w:r>
          </w:p>
        </w:tc>
        <w:tc>
          <w:tcPr>
            <w:tcW w:w="480" w:type="dxa"/>
            <w:vAlign w:val="bottom"/>
            <w:tcBorders>
              <w:right w:val="single" w:sz="8" w:color="D9D9D8"/>
            </w:tcBorders>
          </w:tcPr>
          <w:p>
            <w:pPr>
              <w:spacing w:after="0"/>
              <w:rPr>
                <w:sz w:val="12"/>
                <w:szCs w:val="12"/>
                <w:color w:val="auto"/>
              </w:rPr>
            </w:pPr>
          </w:p>
        </w:tc>
        <w:tc>
          <w:tcPr>
            <w:tcW w:w="760" w:type="dxa"/>
            <w:vAlign w:val="bottom"/>
            <w:tcBorders>
              <w:right w:val="single" w:sz="8" w:color="D9D9D8"/>
            </w:tcBorders>
          </w:tcPr>
          <w:p>
            <w:pPr>
              <w:spacing w:after="0"/>
              <w:rPr>
                <w:sz w:val="12"/>
                <w:szCs w:val="12"/>
                <w:color w:val="auto"/>
              </w:rPr>
            </w:pPr>
          </w:p>
        </w:tc>
        <w:tc>
          <w:tcPr>
            <w:tcW w:w="1480" w:type="dxa"/>
            <w:vAlign w:val="bottom"/>
            <w:gridSpan w:val="4"/>
          </w:tcPr>
          <w:p>
            <w:pPr>
              <w:jc w:val="right"/>
              <w:ind w:right="143"/>
              <w:spacing w:after="0"/>
              <w:rPr>
                <w:sz w:val="20"/>
                <w:szCs w:val="20"/>
                <w:color w:val="auto"/>
              </w:rPr>
            </w:pPr>
            <w:r>
              <w:rPr>
                <w:rFonts w:ascii="Calibri" w:cs="Calibri" w:eastAsia="Calibri" w:hAnsi="Calibri"/>
                <w:sz w:val="11"/>
                <w:szCs w:val="11"/>
                <w:color w:val="4C4C4E"/>
              </w:rPr>
              <w:t>2021</w:t>
            </w:r>
          </w:p>
        </w:tc>
        <w:tc>
          <w:tcPr>
            <w:tcW w:w="480" w:type="dxa"/>
            <w:vAlign w:val="bottom"/>
          </w:tcPr>
          <w:p>
            <w:pPr>
              <w:jc w:val="right"/>
              <w:spacing w:after="0"/>
              <w:rPr>
                <w:sz w:val="20"/>
                <w:szCs w:val="20"/>
                <w:color w:val="auto"/>
              </w:rPr>
            </w:pPr>
            <w:r>
              <w:rPr>
                <w:rFonts w:ascii="Calibri" w:cs="Calibri" w:eastAsia="Calibri" w:hAnsi="Calibri"/>
                <w:sz w:val="11"/>
                <w:szCs w:val="11"/>
                <w:color w:val="4C4C4E"/>
              </w:rPr>
              <w:t>2022</w:t>
            </w:r>
          </w:p>
        </w:tc>
        <w:tc>
          <w:tcPr>
            <w:tcW w:w="900" w:type="dxa"/>
            <w:vAlign w:val="bottom"/>
            <w:gridSpan w:val="2"/>
          </w:tcPr>
          <w:p>
            <w:pPr>
              <w:jc w:val="right"/>
              <w:ind w:right="283"/>
              <w:spacing w:after="0"/>
              <w:rPr>
                <w:sz w:val="20"/>
                <w:szCs w:val="20"/>
                <w:color w:val="auto"/>
              </w:rPr>
            </w:pPr>
            <w:r>
              <w:rPr>
                <w:rFonts w:ascii="Calibri" w:cs="Calibri" w:eastAsia="Calibri" w:hAnsi="Calibri"/>
                <w:sz w:val="11"/>
                <w:szCs w:val="11"/>
                <w:color w:val="4C4C4E"/>
              </w:rPr>
              <w:t>2023</w:t>
            </w:r>
          </w:p>
        </w:tc>
        <w:tc>
          <w:tcPr>
            <w:tcW w:w="460" w:type="dxa"/>
            <w:vAlign w:val="bottom"/>
            <w:gridSpan w:val="2"/>
          </w:tcPr>
          <w:p>
            <w:pPr>
              <w:jc w:val="right"/>
              <w:ind w:right="143"/>
              <w:spacing w:after="0"/>
              <w:rPr>
                <w:sz w:val="20"/>
                <w:szCs w:val="20"/>
                <w:color w:val="auto"/>
              </w:rPr>
            </w:pPr>
            <w:r>
              <w:rPr>
                <w:rFonts w:ascii="Calibri" w:cs="Calibri" w:eastAsia="Calibri" w:hAnsi="Calibri"/>
                <w:sz w:val="11"/>
                <w:szCs w:val="11"/>
                <w:color w:val="4C4C4E"/>
              </w:rPr>
              <w:t>2024</w:t>
            </w:r>
          </w:p>
        </w:tc>
        <w:tc>
          <w:tcPr>
            <w:tcW w:w="720" w:type="dxa"/>
            <w:vAlign w:val="bottom"/>
          </w:tcPr>
          <w:p>
            <w:pPr>
              <w:jc w:val="right"/>
              <w:ind w:right="243"/>
              <w:spacing w:after="0"/>
              <w:rPr>
                <w:sz w:val="20"/>
                <w:szCs w:val="20"/>
                <w:color w:val="auto"/>
              </w:rPr>
            </w:pPr>
            <w:r>
              <w:rPr>
                <w:rFonts w:ascii="Calibri" w:cs="Calibri" w:eastAsia="Calibri" w:hAnsi="Calibri"/>
                <w:sz w:val="11"/>
                <w:szCs w:val="11"/>
                <w:color w:val="4C4C4E"/>
              </w:rPr>
              <w:t>2025</w:t>
            </w:r>
          </w:p>
        </w:tc>
        <w:tc>
          <w:tcPr>
            <w:tcW w:w="480" w:type="dxa"/>
            <w:vAlign w:val="bottom"/>
            <w:tcBorders>
              <w:right w:val="single" w:sz="8" w:color="D9D9D8"/>
            </w:tcBorders>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780" w:type="dxa"/>
            <w:vAlign w:val="bottom"/>
            <w:tcBorders>
              <w:left w:val="single" w:sz="8" w:color="D9D9D8"/>
            </w:tcBorders>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Borders>
              <w:bottom w:val="single" w:sz="8" w:color="231F20"/>
            </w:tcBorders>
          </w:tcPr>
          <w:p>
            <w:pPr>
              <w:spacing w:after="0"/>
              <w:rPr>
                <w:sz w:val="15"/>
                <w:szCs w:val="15"/>
                <w:color w:val="auto"/>
              </w:rPr>
            </w:pPr>
          </w:p>
        </w:tc>
        <w:tc>
          <w:tcPr>
            <w:tcW w:w="540" w:type="dxa"/>
            <w:vAlign w:val="bottom"/>
            <w:vMerge w:val="restart"/>
          </w:tcPr>
          <w:p>
            <w:pPr>
              <w:ind w:left="20"/>
              <w:spacing w:after="0"/>
              <w:rPr>
                <w:sz w:val="20"/>
                <w:szCs w:val="20"/>
                <w:color w:val="auto"/>
              </w:rPr>
            </w:pPr>
            <w:r>
              <w:rPr>
                <w:rFonts w:ascii="Calibri" w:cs="Calibri" w:eastAsia="Calibri" w:hAnsi="Calibri"/>
                <w:sz w:val="11"/>
                <w:szCs w:val="11"/>
                <w:color w:val="4C4C4E"/>
              </w:rPr>
              <w:t>CEO CAP</w:t>
            </w:r>
          </w:p>
        </w:tc>
        <w:tc>
          <w:tcPr>
            <w:tcW w:w="240" w:type="dxa"/>
            <w:vAlign w:val="bottom"/>
            <w:tcBorders>
              <w:bottom w:val="single" w:sz="8" w:color="EF3E29"/>
            </w:tcBorders>
          </w:tcPr>
          <w:p>
            <w:pPr>
              <w:spacing w:after="0"/>
              <w:rPr>
                <w:sz w:val="15"/>
                <w:szCs w:val="15"/>
                <w:color w:val="auto"/>
              </w:rPr>
            </w:pPr>
          </w:p>
        </w:tc>
        <w:tc>
          <w:tcPr>
            <w:tcW w:w="680" w:type="dxa"/>
            <w:vAlign w:val="bottom"/>
            <w:vMerge w:val="restart"/>
          </w:tcPr>
          <w:p>
            <w:pPr>
              <w:jc w:val="right"/>
              <w:ind w:right="63"/>
              <w:spacing w:after="0"/>
              <w:rPr>
                <w:sz w:val="20"/>
                <w:szCs w:val="20"/>
                <w:color w:val="auto"/>
              </w:rPr>
            </w:pPr>
            <w:r>
              <w:rPr>
                <w:rFonts w:ascii="Calibri" w:cs="Calibri" w:eastAsia="Calibri" w:hAnsi="Calibri"/>
                <w:sz w:val="11"/>
                <w:szCs w:val="11"/>
                <w:color w:val="4C4C4E"/>
              </w:rPr>
              <w:t>Net Income</w:t>
            </w:r>
          </w:p>
        </w:tc>
        <w:tc>
          <w:tcPr>
            <w:tcW w:w="220" w:type="dxa"/>
            <w:vAlign w:val="bottom"/>
            <w:tcBorders>
              <w:bottom w:val="single" w:sz="8" w:color="B6B8BA"/>
            </w:tcBorders>
          </w:tcPr>
          <w:p>
            <w:pPr>
              <w:spacing w:after="0"/>
              <w:rPr>
                <w:sz w:val="15"/>
                <w:szCs w:val="15"/>
                <w:color w:val="auto"/>
              </w:rPr>
            </w:pPr>
          </w:p>
        </w:tc>
        <w:tc>
          <w:tcPr>
            <w:tcW w:w="520" w:type="dxa"/>
            <w:vAlign w:val="bottom"/>
            <w:vMerge w:val="restart"/>
          </w:tcPr>
          <w:p>
            <w:pPr>
              <w:jc w:val="right"/>
              <w:spacing w:after="0"/>
              <w:rPr>
                <w:sz w:val="20"/>
                <w:szCs w:val="20"/>
                <w:color w:val="auto"/>
              </w:rPr>
            </w:pPr>
            <w:r>
              <w:rPr>
                <w:rFonts w:ascii="Calibri" w:cs="Calibri" w:eastAsia="Calibri" w:hAnsi="Calibri"/>
                <w:sz w:val="11"/>
                <w:szCs w:val="11"/>
                <w:color w:val="4C4C4E"/>
              </w:rPr>
              <w:t>FFO/share</w:t>
            </w:r>
          </w:p>
        </w:tc>
        <w:tc>
          <w:tcPr>
            <w:tcW w:w="540" w:type="dxa"/>
            <w:vAlign w:val="bottom"/>
          </w:tcPr>
          <w:p>
            <w:pPr>
              <w:spacing w:after="0"/>
              <w:rPr>
                <w:sz w:val="15"/>
                <w:szCs w:val="15"/>
                <w:color w:val="auto"/>
              </w:rPr>
            </w:pPr>
          </w:p>
        </w:tc>
        <w:tc>
          <w:tcPr>
            <w:tcW w:w="480" w:type="dxa"/>
            <w:vAlign w:val="bottom"/>
            <w:tcBorders>
              <w:right w:val="single" w:sz="8" w:color="D9D9D8"/>
            </w:tcBorders>
          </w:tcPr>
          <w:p>
            <w:pPr>
              <w:spacing w:after="0"/>
              <w:rPr>
                <w:sz w:val="15"/>
                <w:szCs w:val="15"/>
                <w:color w:val="auto"/>
              </w:rPr>
            </w:pPr>
          </w:p>
        </w:tc>
        <w:tc>
          <w:tcPr>
            <w:tcW w:w="760" w:type="dxa"/>
            <w:vAlign w:val="bottom"/>
            <w:tcBorders>
              <w:right w:val="single" w:sz="8" w:color="D9D9D8"/>
            </w:tcBorders>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Borders>
              <w:bottom w:val="single" w:sz="8" w:color="231F20"/>
            </w:tcBorders>
          </w:tcPr>
          <w:p>
            <w:pPr>
              <w:spacing w:after="0"/>
              <w:rPr>
                <w:sz w:val="15"/>
                <w:szCs w:val="15"/>
                <w:color w:val="auto"/>
              </w:rPr>
            </w:pPr>
          </w:p>
        </w:tc>
        <w:tc>
          <w:tcPr>
            <w:tcW w:w="780" w:type="dxa"/>
            <w:vAlign w:val="bottom"/>
            <w:gridSpan w:val="2"/>
            <w:vMerge w:val="restart"/>
          </w:tcPr>
          <w:p>
            <w:pPr>
              <w:jc w:val="right"/>
              <w:ind w:right="50"/>
              <w:spacing w:after="0"/>
              <w:rPr>
                <w:sz w:val="20"/>
                <w:szCs w:val="20"/>
                <w:color w:val="auto"/>
              </w:rPr>
            </w:pPr>
            <w:r>
              <w:rPr>
                <w:rFonts w:ascii="Calibri" w:cs="Calibri" w:eastAsia="Calibri" w:hAnsi="Calibri"/>
                <w:sz w:val="11"/>
                <w:szCs w:val="11"/>
                <w:color w:val="4C4C4E"/>
              </w:rPr>
              <w:t>Avg. NEO CAP</w:t>
            </w:r>
          </w:p>
        </w:tc>
        <w:tc>
          <w:tcPr>
            <w:tcW w:w="240" w:type="dxa"/>
            <w:vAlign w:val="bottom"/>
            <w:tcBorders>
              <w:bottom w:val="single" w:sz="8" w:color="EF3E29"/>
            </w:tcBorders>
          </w:tcPr>
          <w:p>
            <w:pPr>
              <w:spacing w:after="0"/>
              <w:rPr>
                <w:sz w:val="15"/>
                <w:szCs w:val="15"/>
                <w:color w:val="auto"/>
              </w:rPr>
            </w:pPr>
          </w:p>
        </w:tc>
        <w:tc>
          <w:tcPr>
            <w:tcW w:w="660" w:type="dxa"/>
            <w:vAlign w:val="bottom"/>
            <w:vMerge w:val="restart"/>
          </w:tcPr>
          <w:p>
            <w:pPr>
              <w:jc w:val="right"/>
              <w:ind w:right="63"/>
              <w:spacing w:after="0"/>
              <w:rPr>
                <w:sz w:val="20"/>
                <w:szCs w:val="20"/>
                <w:color w:val="auto"/>
              </w:rPr>
            </w:pPr>
            <w:r>
              <w:rPr>
                <w:rFonts w:ascii="Calibri" w:cs="Calibri" w:eastAsia="Calibri" w:hAnsi="Calibri"/>
                <w:sz w:val="11"/>
                <w:szCs w:val="11"/>
                <w:color w:val="4C4C4E"/>
                <w:w w:val="99"/>
              </w:rPr>
              <w:t>Net Income</w:t>
            </w:r>
          </w:p>
        </w:tc>
        <w:tc>
          <w:tcPr>
            <w:tcW w:w="240" w:type="dxa"/>
            <w:vAlign w:val="bottom"/>
            <w:tcBorders>
              <w:bottom w:val="single" w:sz="8" w:color="B6B8BA"/>
            </w:tcBorders>
          </w:tcPr>
          <w:p>
            <w:pPr>
              <w:spacing w:after="0"/>
              <w:rPr>
                <w:sz w:val="15"/>
                <w:szCs w:val="15"/>
                <w:color w:val="auto"/>
              </w:rPr>
            </w:pPr>
          </w:p>
        </w:tc>
        <w:tc>
          <w:tcPr>
            <w:tcW w:w="1420" w:type="dxa"/>
            <w:vAlign w:val="bottom"/>
            <w:tcBorders>
              <w:right w:val="single" w:sz="8" w:color="D9D9D8"/>
            </w:tcBorders>
            <w:gridSpan w:val="3"/>
            <w:vMerge w:val="restart"/>
          </w:tcPr>
          <w:p>
            <w:pPr>
              <w:jc w:val="right"/>
              <w:ind w:right="863"/>
              <w:spacing w:after="0"/>
              <w:rPr>
                <w:sz w:val="20"/>
                <w:szCs w:val="20"/>
                <w:color w:val="auto"/>
              </w:rPr>
            </w:pPr>
            <w:r>
              <w:rPr>
                <w:rFonts w:ascii="Calibri" w:cs="Calibri" w:eastAsia="Calibri" w:hAnsi="Calibri"/>
                <w:sz w:val="11"/>
                <w:szCs w:val="11"/>
                <w:color w:val="4C4C4E"/>
              </w:rPr>
              <w:t>FFO/share</w:t>
            </w:r>
          </w:p>
        </w:tc>
        <w:tc>
          <w:tcPr>
            <w:tcW w:w="0" w:type="dxa"/>
            <w:vAlign w:val="bottom"/>
          </w:tcPr>
          <w:p>
            <w:pPr>
              <w:spacing w:after="0"/>
              <w:rPr>
                <w:sz w:val="1"/>
                <w:szCs w:val="1"/>
                <w:color w:val="auto"/>
              </w:rPr>
            </w:pPr>
          </w:p>
        </w:tc>
      </w:tr>
      <w:tr>
        <w:trPr>
          <w:trHeight w:val="38"/>
        </w:trPr>
        <w:tc>
          <w:tcPr>
            <w:tcW w:w="780" w:type="dxa"/>
            <w:vAlign w:val="bottom"/>
            <w:tcBorders>
              <w:left w:val="single" w:sz="8" w:color="D9D9D8"/>
            </w:tcBorders>
          </w:tcPr>
          <w:p>
            <w:pPr>
              <w:spacing w:after="0"/>
              <w:rPr>
                <w:sz w:val="3"/>
                <w:szCs w:val="3"/>
                <w:color w:val="auto"/>
              </w:rPr>
            </w:pPr>
          </w:p>
        </w:tc>
        <w:tc>
          <w:tcPr>
            <w:tcW w:w="300" w:type="dxa"/>
            <w:vAlign w:val="bottom"/>
          </w:tcPr>
          <w:p>
            <w:pPr>
              <w:spacing w:after="0"/>
              <w:rPr>
                <w:sz w:val="3"/>
                <w:szCs w:val="3"/>
                <w:color w:val="auto"/>
              </w:rPr>
            </w:pPr>
          </w:p>
        </w:tc>
        <w:tc>
          <w:tcPr>
            <w:tcW w:w="240" w:type="dxa"/>
            <w:vAlign w:val="bottom"/>
          </w:tcPr>
          <w:p>
            <w:pPr>
              <w:spacing w:after="0"/>
              <w:rPr>
                <w:sz w:val="3"/>
                <w:szCs w:val="3"/>
                <w:color w:val="auto"/>
              </w:rPr>
            </w:pPr>
          </w:p>
        </w:tc>
        <w:tc>
          <w:tcPr>
            <w:tcW w:w="540" w:type="dxa"/>
            <w:vAlign w:val="bottom"/>
            <w:vMerge w:val="continue"/>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480" w:type="dxa"/>
            <w:vAlign w:val="bottom"/>
            <w:tcBorders>
              <w:right w:val="single" w:sz="8" w:color="D9D9D8"/>
            </w:tcBorders>
          </w:tcPr>
          <w:p>
            <w:pPr>
              <w:spacing w:after="0"/>
              <w:rPr>
                <w:sz w:val="3"/>
                <w:szCs w:val="3"/>
                <w:color w:val="auto"/>
              </w:rPr>
            </w:pPr>
          </w:p>
        </w:tc>
        <w:tc>
          <w:tcPr>
            <w:tcW w:w="760" w:type="dxa"/>
            <w:vAlign w:val="bottom"/>
            <w:tcBorders>
              <w:right w:val="single" w:sz="8" w:color="D9D9D8"/>
            </w:tcBorders>
          </w:tcPr>
          <w:p>
            <w:pPr>
              <w:spacing w:after="0"/>
              <w:rPr>
                <w:sz w:val="3"/>
                <w:szCs w:val="3"/>
                <w:color w:val="auto"/>
              </w:rPr>
            </w:pPr>
          </w:p>
        </w:tc>
        <w:tc>
          <w:tcPr>
            <w:tcW w:w="7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24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240" w:type="dxa"/>
            <w:vAlign w:val="bottom"/>
          </w:tcPr>
          <w:p>
            <w:pPr>
              <w:spacing w:after="0"/>
              <w:rPr>
                <w:sz w:val="3"/>
                <w:szCs w:val="3"/>
                <w:color w:val="auto"/>
              </w:rPr>
            </w:pPr>
          </w:p>
        </w:tc>
        <w:tc>
          <w:tcPr>
            <w:tcW w:w="1420" w:type="dxa"/>
            <w:vAlign w:val="bottom"/>
            <w:tcBorders>
              <w:right w:val="single" w:sz="8" w:color="D9D9D8"/>
            </w:tcBorders>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17"/>
        </w:trPr>
        <w:tc>
          <w:tcPr>
            <w:tcW w:w="780" w:type="dxa"/>
            <w:vAlign w:val="bottom"/>
            <w:tcBorders>
              <w:left w:val="single" w:sz="8" w:color="D9D9D8"/>
              <w:bottom w:val="single" w:sz="8" w:color="D9D9D8"/>
            </w:tcBorders>
          </w:tcPr>
          <w:p>
            <w:pPr>
              <w:spacing w:after="0"/>
              <w:rPr>
                <w:sz w:val="10"/>
                <w:szCs w:val="10"/>
                <w:color w:val="auto"/>
              </w:rPr>
            </w:pPr>
          </w:p>
        </w:tc>
        <w:tc>
          <w:tcPr>
            <w:tcW w:w="300" w:type="dxa"/>
            <w:vAlign w:val="bottom"/>
            <w:tcBorders>
              <w:bottom w:val="single" w:sz="8" w:color="D9D9D8"/>
            </w:tcBorders>
          </w:tcPr>
          <w:p>
            <w:pPr>
              <w:spacing w:after="0"/>
              <w:rPr>
                <w:sz w:val="10"/>
                <w:szCs w:val="10"/>
                <w:color w:val="auto"/>
              </w:rPr>
            </w:pPr>
          </w:p>
        </w:tc>
        <w:tc>
          <w:tcPr>
            <w:tcW w:w="240" w:type="dxa"/>
            <w:vAlign w:val="bottom"/>
            <w:tcBorders>
              <w:bottom w:val="single" w:sz="8" w:color="D9D9D8"/>
            </w:tcBorders>
          </w:tcPr>
          <w:p>
            <w:pPr>
              <w:spacing w:after="0"/>
              <w:rPr>
                <w:sz w:val="10"/>
                <w:szCs w:val="10"/>
                <w:color w:val="auto"/>
              </w:rPr>
            </w:pPr>
          </w:p>
        </w:tc>
        <w:tc>
          <w:tcPr>
            <w:tcW w:w="540" w:type="dxa"/>
            <w:vAlign w:val="bottom"/>
            <w:tcBorders>
              <w:bottom w:val="single" w:sz="8" w:color="D9D9D8"/>
            </w:tcBorders>
          </w:tcPr>
          <w:p>
            <w:pPr>
              <w:spacing w:after="0"/>
              <w:rPr>
                <w:sz w:val="10"/>
                <w:szCs w:val="10"/>
                <w:color w:val="auto"/>
              </w:rPr>
            </w:pPr>
          </w:p>
        </w:tc>
        <w:tc>
          <w:tcPr>
            <w:tcW w:w="240" w:type="dxa"/>
            <w:vAlign w:val="bottom"/>
            <w:tcBorders>
              <w:bottom w:val="single" w:sz="8" w:color="D9D9D8"/>
            </w:tcBorders>
          </w:tcPr>
          <w:p>
            <w:pPr>
              <w:spacing w:after="0"/>
              <w:rPr>
                <w:sz w:val="10"/>
                <w:szCs w:val="10"/>
                <w:color w:val="auto"/>
              </w:rPr>
            </w:pPr>
          </w:p>
        </w:tc>
        <w:tc>
          <w:tcPr>
            <w:tcW w:w="680" w:type="dxa"/>
            <w:vAlign w:val="bottom"/>
            <w:tcBorders>
              <w:bottom w:val="single" w:sz="8" w:color="D9D9D8"/>
            </w:tcBorders>
          </w:tcPr>
          <w:p>
            <w:pPr>
              <w:spacing w:after="0"/>
              <w:rPr>
                <w:sz w:val="10"/>
                <w:szCs w:val="10"/>
                <w:color w:val="auto"/>
              </w:rPr>
            </w:pPr>
          </w:p>
        </w:tc>
        <w:tc>
          <w:tcPr>
            <w:tcW w:w="220" w:type="dxa"/>
            <w:vAlign w:val="bottom"/>
            <w:tcBorders>
              <w:bottom w:val="single" w:sz="8" w:color="D9D9D8"/>
            </w:tcBorders>
          </w:tcPr>
          <w:p>
            <w:pPr>
              <w:spacing w:after="0"/>
              <w:rPr>
                <w:sz w:val="10"/>
                <w:szCs w:val="10"/>
                <w:color w:val="auto"/>
              </w:rPr>
            </w:pPr>
          </w:p>
        </w:tc>
        <w:tc>
          <w:tcPr>
            <w:tcW w:w="520" w:type="dxa"/>
            <w:vAlign w:val="bottom"/>
            <w:tcBorders>
              <w:bottom w:val="single" w:sz="8" w:color="D9D9D8"/>
            </w:tcBorders>
          </w:tcPr>
          <w:p>
            <w:pPr>
              <w:spacing w:after="0"/>
              <w:rPr>
                <w:sz w:val="10"/>
                <w:szCs w:val="10"/>
                <w:color w:val="auto"/>
              </w:rPr>
            </w:pPr>
          </w:p>
        </w:tc>
        <w:tc>
          <w:tcPr>
            <w:tcW w:w="540" w:type="dxa"/>
            <w:vAlign w:val="bottom"/>
            <w:tcBorders>
              <w:bottom w:val="single" w:sz="8" w:color="D9D9D8"/>
            </w:tcBorders>
          </w:tcPr>
          <w:p>
            <w:pPr>
              <w:spacing w:after="0"/>
              <w:rPr>
                <w:sz w:val="10"/>
                <w:szCs w:val="10"/>
                <w:color w:val="auto"/>
              </w:rPr>
            </w:pPr>
          </w:p>
        </w:tc>
        <w:tc>
          <w:tcPr>
            <w:tcW w:w="480" w:type="dxa"/>
            <w:vAlign w:val="bottom"/>
            <w:tcBorders>
              <w:bottom w:val="single" w:sz="8" w:color="D9D9D8"/>
              <w:right w:val="single" w:sz="8" w:color="D9D9D8"/>
            </w:tcBorders>
          </w:tcPr>
          <w:p>
            <w:pPr>
              <w:spacing w:after="0"/>
              <w:rPr>
                <w:sz w:val="10"/>
                <w:szCs w:val="10"/>
                <w:color w:val="auto"/>
              </w:rPr>
            </w:pPr>
          </w:p>
        </w:tc>
        <w:tc>
          <w:tcPr>
            <w:tcW w:w="760" w:type="dxa"/>
            <w:vAlign w:val="bottom"/>
            <w:tcBorders>
              <w:right w:val="single" w:sz="8" w:color="D9D9D8"/>
            </w:tcBorders>
          </w:tcPr>
          <w:p>
            <w:pPr>
              <w:spacing w:after="0"/>
              <w:rPr>
                <w:sz w:val="10"/>
                <w:szCs w:val="10"/>
                <w:color w:val="auto"/>
              </w:rPr>
            </w:pPr>
          </w:p>
        </w:tc>
        <w:tc>
          <w:tcPr>
            <w:tcW w:w="760" w:type="dxa"/>
            <w:vAlign w:val="bottom"/>
            <w:tcBorders>
              <w:bottom w:val="single" w:sz="8" w:color="D9D9D8"/>
            </w:tcBorders>
          </w:tcPr>
          <w:p>
            <w:pPr>
              <w:spacing w:after="0"/>
              <w:rPr>
                <w:sz w:val="10"/>
                <w:szCs w:val="10"/>
                <w:color w:val="auto"/>
              </w:rPr>
            </w:pPr>
          </w:p>
        </w:tc>
        <w:tc>
          <w:tcPr>
            <w:tcW w:w="200" w:type="dxa"/>
            <w:vAlign w:val="bottom"/>
            <w:tcBorders>
              <w:bottom w:val="single" w:sz="8" w:color="D9D9D8"/>
            </w:tcBorders>
          </w:tcPr>
          <w:p>
            <w:pPr>
              <w:spacing w:after="0"/>
              <w:rPr>
                <w:sz w:val="10"/>
                <w:szCs w:val="10"/>
                <w:color w:val="auto"/>
              </w:rPr>
            </w:pPr>
          </w:p>
        </w:tc>
        <w:tc>
          <w:tcPr>
            <w:tcW w:w="220" w:type="dxa"/>
            <w:vAlign w:val="bottom"/>
            <w:tcBorders>
              <w:bottom w:val="single" w:sz="8" w:color="D9D9D8"/>
            </w:tcBorders>
          </w:tcPr>
          <w:p>
            <w:pPr>
              <w:spacing w:after="0"/>
              <w:rPr>
                <w:sz w:val="10"/>
                <w:szCs w:val="10"/>
                <w:color w:val="auto"/>
              </w:rPr>
            </w:pPr>
          </w:p>
        </w:tc>
        <w:tc>
          <w:tcPr>
            <w:tcW w:w="300" w:type="dxa"/>
            <w:vAlign w:val="bottom"/>
            <w:tcBorders>
              <w:bottom w:val="single" w:sz="8" w:color="D9D9D8"/>
            </w:tcBorders>
          </w:tcPr>
          <w:p>
            <w:pPr>
              <w:spacing w:after="0"/>
              <w:rPr>
                <w:sz w:val="10"/>
                <w:szCs w:val="10"/>
                <w:color w:val="auto"/>
              </w:rPr>
            </w:pPr>
          </w:p>
        </w:tc>
        <w:tc>
          <w:tcPr>
            <w:tcW w:w="480" w:type="dxa"/>
            <w:vAlign w:val="bottom"/>
            <w:tcBorders>
              <w:bottom w:val="single" w:sz="8" w:color="D9D9D8"/>
            </w:tcBorders>
          </w:tcPr>
          <w:p>
            <w:pPr>
              <w:spacing w:after="0"/>
              <w:rPr>
                <w:sz w:val="10"/>
                <w:szCs w:val="10"/>
                <w:color w:val="auto"/>
              </w:rPr>
            </w:pPr>
          </w:p>
        </w:tc>
        <w:tc>
          <w:tcPr>
            <w:tcW w:w="240" w:type="dxa"/>
            <w:vAlign w:val="bottom"/>
            <w:tcBorders>
              <w:bottom w:val="single" w:sz="8" w:color="D9D9D8"/>
            </w:tcBorders>
          </w:tcPr>
          <w:p>
            <w:pPr>
              <w:spacing w:after="0"/>
              <w:rPr>
                <w:sz w:val="10"/>
                <w:szCs w:val="10"/>
                <w:color w:val="auto"/>
              </w:rPr>
            </w:pPr>
          </w:p>
        </w:tc>
        <w:tc>
          <w:tcPr>
            <w:tcW w:w="660" w:type="dxa"/>
            <w:vAlign w:val="bottom"/>
            <w:tcBorders>
              <w:bottom w:val="single" w:sz="8" w:color="D9D9D8"/>
            </w:tcBorders>
          </w:tcPr>
          <w:p>
            <w:pPr>
              <w:spacing w:after="0"/>
              <w:rPr>
                <w:sz w:val="10"/>
                <w:szCs w:val="10"/>
                <w:color w:val="auto"/>
              </w:rPr>
            </w:pPr>
          </w:p>
        </w:tc>
        <w:tc>
          <w:tcPr>
            <w:tcW w:w="240" w:type="dxa"/>
            <w:vAlign w:val="bottom"/>
            <w:tcBorders>
              <w:bottom w:val="single" w:sz="8" w:color="D9D9D8"/>
            </w:tcBorders>
          </w:tcPr>
          <w:p>
            <w:pPr>
              <w:spacing w:after="0"/>
              <w:rPr>
                <w:sz w:val="10"/>
                <w:szCs w:val="10"/>
                <w:color w:val="auto"/>
              </w:rPr>
            </w:pPr>
          </w:p>
        </w:tc>
        <w:tc>
          <w:tcPr>
            <w:tcW w:w="220" w:type="dxa"/>
            <w:vAlign w:val="bottom"/>
            <w:tcBorders>
              <w:bottom w:val="single" w:sz="8" w:color="D9D9D8"/>
            </w:tcBorders>
          </w:tcPr>
          <w:p>
            <w:pPr>
              <w:spacing w:after="0"/>
              <w:rPr>
                <w:sz w:val="10"/>
                <w:szCs w:val="10"/>
                <w:color w:val="auto"/>
              </w:rPr>
            </w:pPr>
          </w:p>
        </w:tc>
        <w:tc>
          <w:tcPr>
            <w:tcW w:w="720" w:type="dxa"/>
            <w:vAlign w:val="bottom"/>
            <w:tcBorders>
              <w:bottom w:val="single" w:sz="8" w:color="D9D9D8"/>
            </w:tcBorders>
          </w:tcPr>
          <w:p>
            <w:pPr>
              <w:spacing w:after="0"/>
              <w:rPr>
                <w:sz w:val="10"/>
                <w:szCs w:val="10"/>
                <w:color w:val="auto"/>
              </w:rPr>
            </w:pPr>
          </w:p>
        </w:tc>
        <w:tc>
          <w:tcPr>
            <w:tcW w:w="480" w:type="dxa"/>
            <w:vAlign w:val="bottom"/>
            <w:tcBorders>
              <w:bottom w:val="single" w:sz="8" w:color="D9D9D8"/>
              <w:right w:val="single" w:sz="8" w:color="D9D9D8"/>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wp:posOffset>
            </wp:positionH>
            <wp:positionV relativeFrom="paragraph">
              <wp:posOffset>-1221105</wp:posOffset>
            </wp:positionV>
            <wp:extent cx="1642110" cy="77470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109">
                      <a:extLst>
                        <a:ext uri="{28A0092B-C50C-407E-A947-70E740481C1C}"/>
                      </a:extLst>
                    </a:blip>
                    <a:srcRect/>
                    <a:stretch>
                      <a:fillRect/>
                    </a:stretch>
                  </pic:blipFill>
                  <pic:spPr bwMode="auto">
                    <a:xfrm>
                      <a:off x="0" y="0"/>
                      <a:ext cx="1642110" cy="774700"/>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-466090</wp:posOffset>
            </wp:positionV>
            <wp:extent cx="1639570" cy="10922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110">
                      <a:extLst>
                        <a:ext uri="{28A0092B-C50C-407E-A947-70E740481C1C}"/>
                      </a:extLst>
                    </a:blip>
                    <a:srcRect/>
                    <a:stretch>
                      <a:fillRect/>
                    </a:stretch>
                  </pic:blipFill>
                  <pic:spPr bwMode="auto">
                    <a:xfrm>
                      <a:off x="0" y="0"/>
                      <a:ext cx="1639570" cy="109220"/>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-1219200</wp:posOffset>
            </wp:positionV>
            <wp:extent cx="1639570" cy="50292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111">
                      <a:extLst>
                        <a:ext uri="{28A0092B-C50C-407E-A947-70E740481C1C}"/>
                      </a:extLst>
                    </a:blip>
                    <a:srcRect/>
                    <a:stretch>
                      <a:fillRect/>
                    </a:stretch>
                  </pic:blipFill>
                  <pic:spPr bwMode="auto">
                    <a:xfrm>
                      <a:off x="0" y="0"/>
                      <a:ext cx="1639570" cy="502920"/>
                    </a:xfrm>
                    <a:prstGeom prst="rect">
                      <a:avLst/>
                    </a:prstGeom>
                    <a:noFill/>
                  </pic:spPr>
                </pic:pic>
              </a:graphicData>
            </a:graphic>
          </wp:anchor>
        </w:drawing>
      </w:r>
    </w:p>
    <w:p>
      <w:pPr>
        <w:spacing w:after="0" w:line="269" w:lineRule="exact"/>
        <w:rPr>
          <w:sz w:val="20"/>
          <w:szCs w:val="20"/>
          <w:color w:val="auto"/>
        </w:rPr>
      </w:pPr>
    </w:p>
    <w:p>
      <w:pPr>
        <w:ind w:left="360" w:hanging="360"/>
        <w:spacing w:after="0"/>
        <w:tabs>
          <w:tab w:leader="none" w:pos="360" w:val="left"/>
        </w:tabs>
        <w:numPr>
          <w:ilvl w:val="0"/>
          <w:numId w:val="156"/>
        </w:numPr>
        <w:rPr>
          <w:rFonts w:ascii="Arial" w:cs="Arial" w:eastAsia="Arial" w:hAnsi="Arial"/>
          <w:sz w:val="18"/>
          <w:szCs w:val="18"/>
          <w:color w:val="231F20"/>
        </w:rPr>
      </w:pPr>
      <w:r>
        <w:rPr>
          <w:rFonts w:ascii="Arial" w:cs="Arial" w:eastAsia="Arial" w:hAnsi="Arial"/>
          <w:sz w:val="18"/>
          <w:szCs w:val="18"/>
          <w:color w:val="231F20"/>
        </w:rPr>
        <w:t>Net income is shown in ten thousands.</w:t>
      </w:r>
    </w:p>
    <w:p>
      <w:pPr>
        <w:spacing w:after="0" w:line="261"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231F20"/>
        </w:rPr>
        <w:t>One of our primary compensation objectives is to align the financial interests of our NEOs with our shareholders. The high correlation shown above between the compensation actually paid to our CEO and other NEOs and the total shareholder return for us and the BBRESHOP Index reflects our success in achieving that objective. This is a direct result of the high percentage of our NEOs’ compensation that is paid in the form of Company shares and our equity retention policies which directly align the interests of our NEOs with the interests of our shareholders. There is a less direct correlation between the compensation of our NEOs and our net income because no portion of our compensation program is linked directly to net income. There is also little correlation between the compensation of our NEOs and NAREIT FFO per diluted share because NAREIT FFO per diluted share metric is directly used only for our annual bonus plan which is a relatively modest portion of our NEOs’ total compensation package and is only a component of the calculation that determines only a third of our NEOs’ awards under our long-term incentive plan.</w:t>
      </w:r>
    </w:p>
    <w:p>
      <w:pPr>
        <w:spacing w:after="0" w:line="371"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Other Important Financial Performance Measures for Executive Compensation</w:t>
      </w:r>
    </w:p>
    <w:p>
      <w:pPr>
        <w:spacing w:after="0" w:line="135"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231F20"/>
        </w:rPr>
        <w:t>Following is a list of the most important financial and non-financial measures used to link executive compensation and company performance.</w:t>
      </w:r>
    </w:p>
    <w:p>
      <w:pPr>
        <w:spacing w:after="0" w:line="246" w:lineRule="exact"/>
        <w:rPr>
          <w:sz w:val="20"/>
          <w:szCs w:val="20"/>
          <w:color w:val="auto"/>
        </w:rPr>
      </w:pPr>
    </w:p>
    <w:p>
      <w:pPr>
        <w:ind w:left="800" w:hanging="300"/>
        <w:spacing w:after="0"/>
        <w:tabs>
          <w:tab w:leader="none" w:pos="800" w:val="left"/>
        </w:tabs>
        <w:numPr>
          <w:ilvl w:val="0"/>
          <w:numId w:val="157"/>
        </w:numPr>
        <w:rPr>
          <w:rFonts w:ascii="Arial" w:cs="Arial" w:eastAsia="Arial" w:hAnsi="Arial"/>
          <w:sz w:val="20"/>
          <w:szCs w:val="20"/>
          <w:color w:val="231F20"/>
        </w:rPr>
      </w:pPr>
      <w:r>
        <w:rPr>
          <w:rFonts w:ascii="Arial" w:cs="Arial" w:eastAsia="Arial" w:hAnsi="Arial"/>
          <w:sz w:val="20"/>
          <w:szCs w:val="20"/>
          <w:color w:val="231F20"/>
        </w:rPr>
        <w:t>Return on invested capital</w:t>
      </w:r>
    </w:p>
    <w:p>
      <w:pPr>
        <w:spacing w:after="0" w:line="130" w:lineRule="exact"/>
        <w:rPr>
          <w:rFonts w:ascii="Arial" w:cs="Arial" w:eastAsia="Arial" w:hAnsi="Arial"/>
          <w:sz w:val="20"/>
          <w:szCs w:val="20"/>
          <w:color w:val="231F20"/>
        </w:rPr>
      </w:pPr>
    </w:p>
    <w:p>
      <w:pPr>
        <w:ind w:left="800" w:hanging="300"/>
        <w:spacing w:after="0"/>
        <w:tabs>
          <w:tab w:leader="none" w:pos="800" w:val="left"/>
        </w:tabs>
        <w:numPr>
          <w:ilvl w:val="0"/>
          <w:numId w:val="157"/>
        </w:numPr>
        <w:rPr>
          <w:rFonts w:ascii="Arial" w:cs="Arial" w:eastAsia="Arial" w:hAnsi="Arial"/>
          <w:sz w:val="20"/>
          <w:szCs w:val="20"/>
          <w:color w:val="231F20"/>
        </w:rPr>
      </w:pPr>
      <w:r>
        <w:rPr>
          <w:rFonts w:ascii="Arial" w:cs="Arial" w:eastAsia="Arial" w:hAnsi="Arial"/>
          <w:sz w:val="20"/>
          <w:szCs w:val="20"/>
          <w:color w:val="231F20"/>
        </w:rPr>
        <w:t>Relative total shareholder return compared to the BBRESHOP Index</w:t>
      </w:r>
    </w:p>
    <w:p>
      <w:pPr>
        <w:spacing w:after="0" w:line="130" w:lineRule="exact"/>
        <w:rPr>
          <w:rFonts w:ascii="Arial" w:cs="Arial" w:eastAsia="Arial" w:hAnsi="Arial"/>
          <w:sz w:val="20"/>
          <w:szCs w:val="20"/>
          <w:color w:val="231F20"/>
        </w:rPr>
      </w:pPr>
    </w:p>
    <w:p>
      <w:pPr>
        <w:ind w:left="800" w:hanging="300"/>
        <w:spacing w:after="0"/>
        <w:tabs>
          <w:tab w:leader="none" w:pos="800" w:val="left"/>
        </w:tabs>
        <w:numPr>
          <w:ilvl w:val="0"/>
          <w:numId w:val="157"/>
        </w:numPr>
        <w:rPr>
          <w:rFonts w:ascii="Arial" w:cs="Arial" w:eastAsia="Arial" w:hAnsi="Arial"/>
          <w:sz w:val="20"/>
          <w:szCs w:val="20"/>
          <w:color w:val="231F20"/>
        </w:rPr>
      </w:pPr>
      <w:r>
        <w:rPr>
          <w:rFonts w:ascii="Arial" w:cs="Arial" w:eastAsia="Arial" w:hAnsi="Arial"/>
          <w:sz w:val="20"/>
          <w:szCs w:val="20"/>
          <w:color w:val="231F20"/>
        </w:rPr>
        <w:t>Relative NAREIT FFO per diluted share multiple premium</w:t>
      </w:r>
    </w:p>
    <w:p>
      <w:pPr>
        <w:spacing w:after="0" w:line="134" w:lineRule="exact"/>
        <w:rPr>
          <w:rFonts w:ascii="Arial" w:cs="Arial" w:eastAsia="Arial" w:hAnsi="Arial"/>
          <w:sz w:val="20"/>
          <w:szCs w:val="20"/>
          <w:color w:val="231F20"/>
        </w:rPr>
      </w:pPr>
    </w:p>
    <w:p>
      <w:pPr>
        <w:ind w:left="800" w:hanging="300"/>
        <w:spacing w:after="0" w:line="245" w:lineRule="auto"/>
        <w:tabs>
          <w:tab w:leader="none" w:pos="800" w:val="left"/>
        </w:tabs>
        <w:numPr>
          <w:ilvl w:val="0"/>
          <w:numId w:val="157"/>
        </w:numPr>
        <w:rPr>
          <w:rFonts w:ascii="Arial" w:cs="Arial" w:eastAsia="Arial" w:hAnsi="Arial"/>
          <w:sz w:val="20"/>
          <w:szCs w:val="20"/>
          <w:color w:val="231F20"/>
        </w:rPr>
      </w:pPr>
      <w:r>
        <w:rPr>
          <w:rFonts w:ascii="Arial" w:cs="Arial" w:eastAsia="Arial" w:hAnsi="Arial"/>
          <w:sz w:val="20"/>
          <w:szCs w:val="20"/>
          <w:color w:val="231F20"/>
        </w:rPr>
        <w:t>Individual performance including consideration of things such as leasing and occupancy activity, investment activity and advancement of ESG objectives</w:t>
      </w:r>
    </w:p>
    <w:p>
      <w:pPr>
        <w:spacing w:after="0" w:line="250" w:lineRule="exact"/>
        <w:rPr>
          <w:sz w:val="20"/>
          <w:szCs w:val="20"/>
          <w:color w:val="auto"/>
        </w:rPr>
      </w:pPr>
    </w:p>
    <w:p>
      <w:pPr>
        <w:spacing w:after="0" w:line="245" w:lineRule="auto"/>
        <w:rPr>
          <w:sz w:val="20"/>
          <w:szCs w:val="20"/>
          <w:color w:val="auto"/>
        </w:rPr>
      </w:pPr>
      <w:r>
        <w:rPr>
          <w:rFonts w:ascii="Arial" w:cs="Arial" w:eastAsia="Arial" w:hAnsi="Arial"/>
          <w:sz w:val="20"/>
          <w:szCs w:val="20"/>
          <w:color w:val="231F20"/>
        </w:rPr>
        <w:t>Please see the Compensation Discussion and Analysis for more information on these measures and how they are taken into account in determining compensation for each of our NEOs.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1278255</wp:posOffset>
                </wp:positionV>
                <wp:extent cx="6400800" cy="177800"/>
                <wp:wrapNone/>
                <wp:docPr id="480" name="Shape 4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177800"/>
                        </a:xfrm>
                        <a:prstGeom prst="rect">
                          <a:avLst/>
                        </a:prstGeom>
                        <a:solidFill>
                          <a:srgbClr val="E8E7E5"/>
                        </a:solidFill>
                      </wps:spPr>
                      <wps:bodyPr/>
                    </wps:wsp>
                  </a:graphicData>
                </a:graphic>
              </wp:anchor>
            </w:drawing>
          </mc:Choice>
          <mc:Fallback>
            <w:pict>
              <v:rect id="Shape 480" o:spid="_x0000_s1505" style="position:absolute;margin-left:0pt;margin-top:100.65pt;width:504pt;height:1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8E7E5" stroked="f"/>
            </w:pict>
          </mc:Fallback>
        </mc:AlternateContent>
        <mc:AlternateContent>
          <mc:Choice Requires="wps">
            <w:drawing>
              <wp:anchor simplePos="0" relativeHeight="251657728" behindDoc="1" locked="0" layoutInCell="0" allowOverlap="1">
                <wp:simplePos x="0" y="0"/>
                <wp:positionH relativeFrom="column">
                  <wp:posOffset>6350</wp:posOffset>
                </wp:positionH>
                <wp:positionV relativeFrom="paragraph">
                  <wp:posOffset>1278255</wp:posOffset>
                </wp:positionV>
                <wp:extent cx="0" cy="177800"/>
                <wp:wrapNone/>
                <wp:docPr id="481" name="Shape 4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481" o:spid="_x0000_s150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pt,100.65pt" to="0.5pt,114.65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1284605</wp:posOffset>
                </wp:positionV>
                <wp:extent cx="6400800" cy="0"/>
                <wp:wrapNone/>
                <wp:docPr id="482" name="Shape 4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482" o:spid="_x0000_s150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01.15pt" to="504pt,101.15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6394450</wp:posOffset>
                </wp:positionH>
                <wp:positionV relativeFrom="paragraph">
                  <wp:posOffset>1278255</wp:posOffset>
                </wp:positionV>
                <wp:extent cx="0" cy="177800"/>
                <wp:wrapNone/>
                <wp:docPr id="483" name="Shape 4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483" o:spid="_x0000_s150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3.5pt,100.65pt" to="503.5pt,114.65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1449705</wp:posOffset>
                </wp:positionV>
                <wp:extent cx="6400800" cy="0"/>
                <wp:wrapNone/>
                <wp:docPr id="484" name="Shape 4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484" o:spid="_x0000_s150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4.15pt" to="504pt,114.15pt" o:allowincell="f" strokecolor="#231F20" strokeweight="1pt"/>
            </w:pict>
          </mc:Fallback>
        </mc:AlternateContent>
      </w:r>
    </w:p>
    <w:p>
      <w:pPr>
        <w:sectPr>
          <w:pgSz w:w="11880" w:h="15480" w:orient="portrait"/>
          <w:cols w:equalWidth="0" w:num="1">
            <w:col w:w="10080"/>
          </w:cols>
          <w:pgMar w:left="900" w:top="1316" w:right="900" w:bottom="76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6720"/>
        <w:spacing w:after="0"/>
        <w:tabs>
          <w:tab w:leader="none" w:pos="8060" w:val="left"/>
          <w:tab w:leader="none" w:pos="9800" w:val="left"/>
        </w:tabs>
        <w:rPr>
          <w:sz w:val="20"/>
          <w:szCs w:val="20"/>
          <w:color w:val="auto"/>
        </w:rPr>
      </w:pPr>
      <w:r>
        <w:rPr>
          <w:rFonts w:ascii="Arial" w:cs="Arial" w:eastAsia="Arial" w:hAnsi="Arial"/>
          <w:sz w:val="16"/>
          <w:szCs w:val="16"/>
          <w:color w:val="EF3E2A"/>
        </w:rPr>
        <w:t>Federal Realty</w:t>
      </w:r>
      <w:r>
        <w:rPr>
          <w:sz w:val="20"/>
          <w:szCs w:val="20"/>
          <w:color w:val="auto"/>
        </w:rPr>
        <w:tab/>
      </w:r>
      <w:r>
        <w:rPr>
          <w:rFonts w:ascii="Arial" w:cs="Arial" w:eastAsia="Arial" w:hAnsi="Arial"/>
          <w:sz w:val="16"/>
          <w:szCs w:val="16"/>
          <w:color w:val="231F20"/>
        </w:rPr>
        <w:t>2026 Proxy Statement</w:t>
        <w:tab/>
        <w:t>39</w:t>
      </w:r>
    </w:p>
    <w:p>
      <w:pPr>
        <w:sectPr>
          <w:pgSz w:w="11880" w:h="15480" w:orient="portrait"/>
          <w:cols w:equalWidth="0" w:num="1">
            <w:col w:w="10080"/>
          </w:cols>
          <w:pgMar w:left="900" w:top="1316" w:right="900" w:bottom="763" w:gutter="0" w:footer="0" w:header="0"/>
          <w:type w:val="continuous"/>
        </w:sectPr>
      </w:pPr>
    </w:p>
    <w:bookmarkStart w:id="159" w:name="page160"/>
    <w:bookmarkEnd w:id="159"/>
    <w:p>
      <w:pPr>
        <w:spacing w:after="0" w:line="268" w:lineRule="exact"/>
        <w:rPr>
          <w:sz w:val="20"/>
          <w:szCs w:val="20"/>
          <w:color w:val="auto"/>
        </w:rPr>
      </w:pPr>
      <w:r>
        <w:rPr>
          <w:rFonts w:ascii="Arial Unicode MS" w:cs="Arial Unicode MS" w:eastAsia="Arial Unicode MS" w:hAnsi="Arial Unicode MS"/>
          <w:sz w:val="20"/>
          <w:szCs w:val="20"/>
          <w:color w:val="EF3E2A"/>
        </w:rPr>
        <w:t>➣</w:t>
      </w:r>
      <w:r>
        <w:rPr>
          <w:rFonts w:ascii="Arial" w:cs="Arial" w:eastAsia="Arial" w:hAnsi="Arial"/>
          <w:sz w:val="20"/>
          <w:szCs w:val="20"/>
          <w:b w:val="1"/>
          <w:bCs w:val="1"/>
          <w:color w:val="231F20"/>
        </w:rPr>
        <w:t xml:space="preserve"> EQUITY COMPENSATION PLAN INFORMATION</w:t>
      </w:r>
    </w:p>
    <w:p>
      <w:pPr>
        <w:spacing w:after="0" w:line="290"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231F20"/>
        </w:rPr>
        <w:t>The following table sets forth certain information on the 2020 Plan, our only active equity compensation plan, as of December 31, 2025.</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320" w:type="dxa"/>
            <w:vAlign w:val="bottom"/>
            <w:shd w:val="clear" w:color="auto" w:fill="EF3E2A"/>
          </w:tcPr>
          <w:p>
            <w:pPr>
              <w:spacing w:after="0"/>
              <w:rPr>
                <w:sz w:val="19"/>
                <w:szCs w:val="19"/>
                <w:color w:val="auto"/>
              </w:rPr>
            </w:pPr>
          </w:p>
        </w:tc>
        <w:tc>
          <w:tcPr>
            <w:tcW w:w="1720" w:type="dxa"/>
            <w:vAlign w:val="bottom"/>
            <w:shd w:val="clear" w:color="auto" w:fill="EF3E2A"/>
          </w:tcPr>
          <w:p>
            <w:pPr>
              <w:jc w:val="center"/>
              <w:ind w:left="17"/>
              <w:spacing w:after="0"/>
              <w:rPr>
                <w:sz w:val="20"/>
                <w:szCs w:val="20"/>
                <w:color w:val="auto"/>
              </w:rPr>
            </w:pPr>
            <w:r>
              <w:rPr>
                <w:rFonts w:ascii="Calibri" w:cs="Calibri" w:eastAsia="Calibri" w:hAnsi="Calibri"/>
                <w:sz w:val="16"/>
                <w:szCs w:val="16"/>
                <w:b w:val="1"/>
                <w:bCs w:val="1"/>
                <w:color w:val="FFFFFF"/>
                <w:w w:val="99"/>
              </w:rPr>
              <w:t>Number of securities</w:t>
            </w:r>
          </w:p>
        </w:tc>
        <w:tc>
          <w:tcPr>
            <w:tcW w:w="1420" w:type="dxa"/>
            <w:vAlign w:val="bottom"/>
            <w:shd w:val="clear" w:color="auto" w:fill="EF3E2A"/>
          </w:tcPr>
          <w:p>
            <w:pPr>
              <w:spacing w:after="0"/>
              <w:rPr>
                <w:sz w:val="19"/>
                <w:szCs w:val="19"/>
                <w:color w:val="auto"/>
              </w:rPr>
            </w:pPr>
          </w:p>
        </w:tc>
        <w:tc>
          <w:tcPr>
            <w:tcW w:w="1620" w:type="dxa"/>
            <w:vAlign w:val="bottom"/>
            <w:shd w:val="clear" w:color="auto" w:fill="EF3E2A"/>
          </w:tcPr>
          <w:p>
            <w:pPr>
              <w:spacing w:after="0"/>
              <w:rPr>
                <w:sz w:val="19"/>
                <w:szCs w:val="19"/>
                <w:color w:val="auto"/>
              </w:rPr>
            </w:pPr>
          </w:p>
        </w:tc>
      </w:tr>
      <w:tr>
        <w:trPr>
          <w:trHeight w:val="200"/>
        </w:trPr>
        <w:tc>
          <w:tcPr>
            <w:tcW w:w="5320" w:type="dxa"/>
            <w:vAlign w:val="bottom"/>
            <w:shd w:val="clear" w:color="auto" w:fill="EF3E2A"/>
          </w:tcPr>
          <w:p>
            <w:pPr>
              <w:spacing w:after="0"/>
              <w:rPr>
                <w:sz w:val="17"/>
                <w:szCs w:val="17"/>
                <w:color w:val="auto"/>
              </w:rPr>
            </w:pPr>
          </w:p>
        </w:tc>
        <w:tc>
          <w:tcPr>
            <w:tcW w:w="1720" w:type="dxa"/>
            <w:vAlign w:val="bottom"/>
            <w:shd w:val="clear" w:color="auto" w:fill="EF3E2A"/>
          </w:tcPr>
          <w:p>
            <w:pPr>
              <w:jc w:val="center"/>
              <w:ind w:left="17"/>
              <w:spacing w:after="0"/>
              <w:rPr>
                <w:sz w:val="20"/>
                <w:szCs w:val="20"/>
                <w:color w:val="auto"/>
              </w:rPr>
            </w:pPr>
            <w:r>
              <w:rPr>
                <w:rFonts w:ascii="Calibri" w:cs="Calibri" w:eastAsia="Calibri" w:hAnsi="Calibri"/>
                <w:sz w:val="16"/>
                <w:szCs w:val="16"/>
                <w:b w:val="1"/>
                <w:bCs w:val="1"/>
                <w:color w:val="FFFFFF"/>
                <w:w w:val="99"/>
              </w:rPr>
              <w:t>to be issued upon</w:t>
            </w:r>
          </w:p>
        </w:tc>
        <w:tc>
          <w:tcPr>
            <w:tcW w:w="1420" w:type="dxa"/>
            <w:vAlign w:val="bottom"/>
            <w:shd w:val="clear" w:color="auto" w:fill="EF3E2A"/>
          </w:tcPr>
          <w:p>
            <w:pPr>
              <w:jc w:val="center"/>
              <w:spacing w:after="0"/>
              <w:rPr>
                <w:sz w:val="20"/>
                <w:szCs w:val="20"/>
                <w:color w:val="auto"/>
              </w:rPr>
            </w:pPr>
            <w:r>
              <w:rPr>
                <w:rFonts w:ascii="Calibri" w:cs="Calibri" w:eastAsia="Calibri" w:hAnsi="Calibri"/>
                <w:sz w:val="16"/>
                <w:szCs w:val="16"/>
                <w:b w:val="1"/>
                <w:bCs w:val="1"/>
                <w:color w:val="FFFFFF"/>
              </w:rPr>
              <w:t>Weighted average</w:t>
            </w:r>
          </w:p>
        </w:tc>
        <w:tc>
          <w:tcPr>
            <w:tcW w:w="1620" w:type="dxa"/>
            <w:vAlign w:val="bottom"/>
            <w:shd w:val="clear" w:color="auto" w:fill="EF3E2A"/>
          </w:tcPr>
          <w:p>
            <w:pPr>
              <w:jc w:val="center"/>
              <w:ind w:left="16"/>
              <w:spacing w:after="0"/>
              <w:rPr>
                <w:sz w:val="20"/>
                <w:szCs w:val="20"/>
                <w:color w:val="auto"/>
              </w:rPr>
            </w:pPr>
            <w:r>
              <w:rPr>
                <w:rFonts w:ascii="Calibri" w:cs="Calibri" w:eastAsia="Calibri" w:hAnsi="Calibri"/>
                <w:sz w:val="16"/>
                <w:szCs w:val="16"/>
                <w:b w:val="1"/>
                <w:bCs w:val="1"/>
                <w:color w:val="FFFFFF"/>
              </w:rPr>
              <w:t>Number of securities</w:t>
            </w:r>
          </w:p>
        </w:tc>
      </w:tr>
      <w:tr>
        <w:trPr>
          <w:trHeight w:val="200"/>
        </w:trPr>
        <w:tc>
          <w:tcPr>
            <w:tcW w:w="5320" w:type="dxa"/>
            <w:vAlign w:val="bottom"/>
            <w:shd w:val="clear" w:color="auto" w:fill="EF3E2A"/>
          </w:tcPr>
          <w:p>
            <w:pPr>
              <w:spacing w:after="0"/>
              <w:rPr>
                <w:sz w:val="17"/>
                <w:szCs w:val="17"/>
                <w:color w:val="auto"/>
              </w:rPr>
            </w:pPr>
          </w:p>
        </w:tc>
        <w:tc>
          <w:tcPr>
            <w:tcW w:w="1720" w:type="dxa"/>
            <w:vAlign w:val="bottom"/>
            <w:shd w:val="clear" w:color="auto" w:fill="EF3E2A"/>
          </w:tcPr>
          <w:p>
            <w:pPr>
              <w:jc w:val="center"/>
              <w:ind w:left="37"/>
              <w:spacing w:after="0"/>
              <w:rPr>
                <w:sz w:val="20"/>
                <w:szCs w:val="20"/>
                <w:color w:val="auto"/>
              </w:rPr>
            </w:pPr>
            <w:r>
              <w:rPr>
                <w:rFonts w:ascii="Calibri" w:cs="Calibri" w:eastAsia="Calibri" w:hAnsi="Calibri"/>
                <w:sz w:val="16"/>
                <w:szCs w:val="16"/>
                <w:b w:val="1"/>
                <w:bCs w:val="1"/>
                <w:color w:val="FFFFFF"/>
              </w:rPr>
              <w:t>exercise of</w:t>
            </w:r>
          </w:p>
        </w:tc>
        <w:tc>
          <w:tcPr>
            <w:tcW w:w="1420" w:type="dxa"/>
            <w:vAlign w:val="bottom"/>
            <w:shd w:val="clear" w:color="auto" w:fill="EF3E2A"/>
          </w:tcPr>
          <w:p>
            <w:pPr>
              <w:jc w:val="center"/>
              <w:spacing w:after="0"/>
              <w:rPr>
                <w:sz w:val="20"/>
                <w:szCs w:val="20"/>
                <w:color w:val="auto"/>
              </w:rPr>
            </w:pPr>
            <w:r>
              <w:rPr>
                <w:rFonts w:ascii="Calibri" w:cs="Calibri" w:eastAsia="Calibri" w:hAnsi="Calibri"/>
                <w:sz w:val="16"/>
                <w:szCs w:val="16"/>
                <w:b w:val="1"/>
                <w:bCs w:val="1"/>
                <w:color w:val="FFFFFF"/>
                <w:w w:val="98"/>
              </w:rPr>
              <w:t>exercise price of</w:t>
            </w:r>
          </w:p>
        </w:tc>
        <w:tc>
          <w:tcPr>
            <w:tcW w:w="1620" w:type="dxa"/>
            <w:vAlign w:val="bottom"/>
            <w:shd w:val="clear" w:color="auto" w:fill="EF3E2A"/>
          </w:tcPr>
          <w:p>
            <w:pPr>
              <w:jc w:val="center"/>
              <w:ind w:left="16"/>
              <w:spacing w:after="0"/>
              <w:rPr>
                <w:sz w:val="20"/>
                <w:szCs w:val="20"/>
                <w:color w:val="auto"/>
              </w:rPr>
            </w:pPr>
            <w:r>
              <w:rPr>
                <w:rFonts w:ascii="Calibri" w:cs="Calibri" w:eastAsia="Calibri" w:hAnsi="Calibri"/>
                <w:sz w:val="16"/>
                <w:szCs w:val="16"/>
                <w:b w:val="1"/>
                <w:bCs w:val="1"/>
                <w:color w:val="FFFFFF"/>
              </w:rPr>
              <w:t>remaining available</w:t>
            </w:r>
          </w:p>
        </w:tc>
      </w:tr>
      <w:tr>
        <w:trPr>
          <w:trHeight w:val="200"/>
        </w:trPr>
        <w:tc>
          <w:tcPr>
            <w:tcW w:w="5320" w:type="dxa"/>
            <w:vAlign w:val="bottom"/>
            <w:shd w:val="clear" w:color="auto" w:fill="EF3E2A"/>
          </w:tcPr>
          <w:p>
            <w:pPr>
              <w:spacing w:after="0"/>
              <w:rPr>
                <w:sz w:val="17"/>
                <w:szCs w:val="17"/>
                <w:color w:val="auto"/>
              </w:rPr>
            </w:pPr>
          </w:p>
        </w:tc>
        <w:tc>
          <w:tcPr>
            <w:tcW w:w="1720" w:type="dxa"/>
            <w:vAlign w:val="bottom"/>
            <w:shd w:val="clear" w:color="auto" w:fill="EF3E2A"/>
          </w:tcPr>
          <w:p>
            <w:pPr>
              <w:jc w:val="center"/>
              <w:ind w:left="17"/>
              <w:spacing w:after="0"/>
              <w:rPr>
                <w:sz w:val="20"/>
                <w:szCs w:val="20"/>
                <w:color w:val="auto"/>
              </w:rPr>
            </w:pPr>
            <w:r>
              <w:rPr>
                <w:rFonts w:ascii="Calibri" w:cs="Calibri" w:eastAsia="Calibri" w:hAnsi="Calibri"/>
                <w:sz w:val="16"/>
                <w:szCs w:val="16"/>
                <w:b w:val="1"/>
                <w:bCs w:val="1"/>
                <w:color w:val="FFFFFF"/>
              </w:rPr>
              <w:t>outstanding options,</w:t>
            </w:r>
          </w:p>
        </w:tc>
        <w:tc>
          <w:tcPr>
            <w:tcW w:w="1420" w:type="dxa"/>
            <w:vAlign w:val="bottom"/>
            <w:shd w:val="clear" w:color="auto" w:fill="EF3E2A"/>
          </w:tcPr>
          <w:p>
            <w:pPr>
              <w:jc w:val="center"/>
              <w:spacing w:after="0"/>
              <w:rPr>
                <w:sz w:val="20"/>
                <w:szCs w:val="20"/>
                <w:color w:val="auto"/>
              </w:rPr>
            </w:pPr>
            <w:r>
              <w:rPr>
                <w:rFonts w:ascii="Calibri" w:cs="Calibri" w:eastAsia="Calibri" w:hAnsi="Calibri"/>
                <w:sz w:val="16"/>
                <w:szCs w:val="16"/>
                <w:b w:val="1"/>
                <w:bCs w:val="1"/>
                <w:color w:val="FFFFFF"/>
              </w:rPr>
              <w:t>outstanding</w:t>
            </w:r>
          </w:p>
        </w:tc>
        <w:tc>
          <w:tcPr>
            <w:tcW w:w="1620" w:type="dxa"/>
            <w:vAlign w:val="bottom"/>
            <w:shd w:val="clear" w:color="auto" w:fill="EF3E2A"/>
          </w:tcPr>
          <w:p>
            <w:pPr>
              <w:jc w:val="center"/>
              <w:ind w:left="16"/>
              <w:spacing w:after="0"/>
              <w:rPr>
                <w:sz w:val="20"/>
                <w:szCs w:val="20"/>
                <w:color w:val="auto"/>
              </w:rPr>
            </w:pPr>
            <w:r>
              <w:rPr>
                <w:rFonts w:ascii="Calibri" w:cs="Calibri" w:eastAsia="Calibri" w:hAnsi="Calibri"/>
                <w:sz w:val="16"/>
                <w:szCs w:val="16"/>
                <w:b w:val="1"/>
                <w:bCs w:val="1"/>
                <w:color w:val="FFFFFF"/>
                <w:w w:val="99"/>
              </w:rPr>
              <w:t>for future issuance</w:t>
            </w:r>
          </w:p>
        </w:tc>
      </w:tr>
      <w:tr>
        <w:trPr>
          <w:trHeight w:val="200"/>
        </w:trPr>
        <w:tc>
          <w:tcPr>
            <w:tcW w:w="5320" w:type="dxa"/>
            <w:vAlign w:val="bottom"/>
            <w:shd w:val="clear" w:color="auto" w:fill="EF3E2A"/>
          </w:tcPr>
          <w:p>
            <w:pPr>
              <w:spacing w:after="0"/>
              <w:rPr>
                <w:sz w:val="17"/>
                <w:szCs w:val="17"/>
                <w:color w:val="auto"/>
              </w:rPr>
            </w:pPr>
          </w:p>
        </w:tc>
        <w:tc>
          <w:tcPr>
            <w:tcW w:w="1720" w:type="dxa"/>
            <w:vAlign w:val="bottom"/>
            <w:shd w:val="clear" w:color="auto" w:fill="EF3E2A"/>
          </w:tcPr>
          <w:p>
            <w:pPr>
              <w:jc w:val="center"/>
              <w:ind w:left="17"/>
              <w:spacing w:after="0"/>
              <w:rPr>
                <w:sz w:val="20"/>
                <w:szCs w:val="20"/>
                <w:color w:val="auto"/>
              </w:rPr>
            </w:pPr>
            <w:r>
              <w:rPr>
                <w:rFonts w:ascii="Calibri" w:cs="Calibri" w:eastAsia="Calibri" w:hAnsi="Calibri"/>
                <w:sz w:val="16"/>
                <w:szCs w:val="16"/>
                <w:b w:val="1"/>
                <w:bCs w:val="1"/>
                <w:color w:val="FFFFFF"/>
              </w:rPr>
              <w:t>warrants and rights</w:t>
            </w:r>
          </w:p>
        </w:tc>
        <w:tc>
          <w:tcPr>
            <w:tcW w:w="1420" w:type="dxa"/>
            <w:vAlign w:val="bottom"/>
            <w:shd w:val="clear" w:color="auto" w:fill="EF3E2A"/>
          </w:tcPr>
          <w:p>
            <w:pPr>
              <w:jc w:val="center"/>
              <w:spacing w:after="0"/>
              <w:rPr>
                <w:sz w:val="20"/>
                <w:szCs w:val="20"/>
                <w:color w:val="auto"/>
              </w:rPr>
            </w:pPr>
            <w:r>
              <w:rPr>
                <w:rFonts w:ascii="Calibri" w:cs="Calibri" w:eastAsia="Calibri" w:hAnsi="Calibri"/>
                <w:sz w:val="16"/>
                <w:szCs w:val="16"/>
                <w:b w:val="1"/>
                <w:bCs w:val="1"/>
                <w:color w:val="FFFFFF"/>
              </w:rPr>
              <w:t>options, warrants</w:t>
            </w:r>
          </w:p>
        </w:tc>
        <w:tc>
          <w:tcPr>
            <w:tcW w:w="1620" w:type="dxa"/>
            <w:vAlign w:val="bottom"/>
            <w:shd w:val="clear" w:color="auto" w:fill="EF3E2A"/>
          </w:tcPr>
          <w:p>
            <w:pPr>
              <w:jc w:val="center"/>
              <w:ind w:left="16"/>
              <w:spacing w:after="0"/>
              <w:rPr>
                <w:sz w:val="20"/>
                <w:szCs w:val="20"/>
                <w:color w:val="auto"/>
              </w:rPr>
            </w:pPr>
            <w:r>
              <w:rPr>
                <w:rFonts w:ascii="Calibri" w:cs="Calibri" w:eastAsia="Calibri" w:hAnsi="Calibri"/>
                <w:sz w:val="16"/>
                <w:szCs w:val="16"/>
                <w:b w:val="1"/>
                <w:bCs w:val="1"/>
                <w:color w:val="FFFFFF"/>
              </w:rPr>
              <w:t>(excluding securities</w:t>
            </w:r>
          </w:p>
        </w:tc>
      </w:tr>
      <w:tr>
        <w:trPr>
          <w:trHeight w:val="212"/>
        </w:trPr>
        <w:tc>
          <w:tcPr>
            <w:tcW w:w="5320" w:type="dxa"/>
            <w:vAlign w:val="bottom"/>
            <w:tcBorders>
              <w:bottom w:val="single" w:sz="8" w:color="EF3E2A"/>
            </w:tcBorders>
            <w:shd w:val="clear" w:color="auto" w:fill="EF3E2A"/>
          </w:tcPr>
          <w:p>
            <w:pPr>
              <w:spacing w:after="0"/>
              <w:rPr>
                <w:sz w:val="20"/>
                <w:szCs w:val="20"/>
                <w:color w:val="auto"/>
              </w:rPr>
            </w:pPr>
            <w:r>
              <w:rPr>
                <w:rFonts w:ascii="Calibri" w:cs="Calibri" w:eastAsia="Calibri" w:hAnsi="Calibri"/>
                <w:sz w:val="16"/>
                <w:szCs w:val="16"/>
                <w:b w:val="1"/>
                <w:bCs w:val="1"/>
                <w:color w:val="FFFFFF"/>
              </w:rPr>
              <w:t>Plan Category</w:t>
            </w:r>
          </w:p>
        </w:tc>
        <w:tc>
          <w:tcPr>
            <w:tcW w:w="1720" w:type="dxa"/>
            <w:vAlign w:val="bottom"/>
            <w:tcBorders>
              <w:bottom w:val="single" w:sz="8" w:color="EF3E2A"/>
            </w:tcBorders>
            <w:shd w:val="clear" w:color="auto" w:fill="EF3E2A"/>
          </w:tcPr>
          <w:p>
            <w:pPr>
              <w:jc w:val="center"/>
              <w:ind w:left="17"/>
              <w:spacing w:after="0"/>
              <w:rPr>
                <w:sz w:val="20"/>
                <w:szCs w:val="20"/>
                <w:color w:val="auto"/>
              </w:rPr>
            </w:pPr>
            <w:r>
              <w:rPr>
                <w:rFonts w:ascii="Calibri" w:cs="Calibri" w:eastAsia="Calibri" w:hAnsi="Calibri"/>
                <w:sz w:val="16"/>
                <w:szCs w:val="16"/>
                <w:b w:val="1"/>
                <w:bCs w:val="1"/>
                <w:color w:val="FFFFFF"/>
                <w:w w:val="99"/>
              </w:rPr>
              <w:t>(Column A)</w:t>
            </w:r>
          </w:p>
        </w:tc>
        <w:tc>
          <w:tcPr>
            <w:tcW w:w="1420" w:type="dxa"/>
            <w:vAlign w:val="bottom"/>
            <w:tcBorders>
              <w:bottom w:val="single" w:sz="8" w:color="EF3E2A"/>
            </w:tcBorders>
            <w:shd w:val="clear" w:color="auto" w:fill="EF3E2A"/>
          </w:tcPr>
          <w:p>
            <w:pPr>
              <w:jc w:val="center"/>
              <w:spacing w:after="0"/>
              <w:rPr>
                <w:sz w:val="20"/>
                <w:szCs w:val="20"/>
                <w:color w:val="auto"/>
              </w:rPr>
            </w:pPr>
            <w:r>
              <w:rPr>
                <w:rFonts w:ascii="Calibri" w:cs="Calibri" w:eastAsia="Calibri" w:hAnsi="Calibri"/>
                <w:sz w:val="16"/>
                <w:szCs w:val="16"/>
                <w:b w:val="1"/>
                <w:bCs w:val="1"/>
                <w:color w:val="FFFFFF"/>
                <w:w w:val="99"/>
              </w:rPr>
              <w:t>and rights</w:t>
            </w:r>
          </w:p>
        </w:tc>
        <w:tc>
          <w:tcPr>
            <w:tcW w:w="1620" w:type="dxa"/>
            <w:vAlign w:val="bottom"/>
            <w:tcBorders>
              <w:bottom w:val="single" w:sz="8" w:color="EF3E2A"/>
            </w:tcBorders>
            <w:shd w:val="clear" w:color="auto" w:fill="EF3E2A"/>
          </w:tcPr>
          <w:p>
            <w:pPr>
              <w:jc w:val="center"/>
              <w:ind w:left="16"/>
              <w:spacing w:after="0"/>
              <w:rPr>
                <w:sz w:val="20"/>
                <w:szCs w:val="20"/>
                <w:color w:val="auto"/>
              </w:rPr>
            </w:pPr>
            <w:r>
              <w:rPr>
                <w:rFonts w:ascii="Calibri" w:cs="Calibri" w:eastAsia="Calibri" w:hAnsi="Calibri"/>
                <w:sz w:val="16"/>
                <w:szCs w:val="16"/>
                <w:b w:val="1"/>
                <w:bCs w:val="1"/>
                <w:color w:val="FFFFFF"/>
                <w:w w:val="99"/>
              </w:rPr>
              <w:t>reflected in Column A)</w:t>
            </w:r>
          </w:p>
        </w:tc>
      </w:tr>
      <w:tr>
        <w:trPr>
          <w:trHeight w:val="254"/>
        </w:trPr>
        <w:tc>
          <w:tcPr>
            <w:tcW w:w="5320" w:type="dxa"/>
            <w:vAlign w:val="bottom"/>
            <w:shd w:val="clear" w:color="auto" w:fill="DCDDDE"/>
          </w:tcPr>
          <w:p>
            <w:pPr>
              <w:spacing w:after="0"/>
              <w:rPr>
                <w:sz w:val="20"/>
                <w:szCs w:val="20"/>
                <w:color w:val="auto"/>
              </w:rPr>
            </w:pPr>
            <w:r>
              <w:rPr>
                <w:rFonts w:ascii="Calibri" w:cs="Calibri" w:eastAsia="Calibri" w:hAnsi="Calibri"/>
                <w:sz w:val="18"/>
                <w:szCs w:val="18"/>
                <w:color w:val="231F20"/>
              </w:rPr>
              <w:t>Equity compensation plans approved by security holders</w:t>
            </w:r>
          </w:p>
        </w:tc>
        <w:tc>
          <w:tcPr>
            <w:tcW w:w="1720" w:type="dxa"/>
            <w:vAlign w:val="bottom"/>
          </w:tcPr>
          <w:p>
            <w:pPr>
              <w:jc w:val="right"/>
              <w:ind w:right="517"/>
              <w:spacing w:after="0"/>
              <w:rPr>
                <w:sz w:val="20"/>
                <w:szCs w:val="20"/>
                <w:color w:val="auto"/>
              </w:rPr>
            </w:pPr>
            <w:r>
              <w:rPr>
                <w:rFonts w:ascii="Calibri" w:cs="Calibri" w:eastAsia="Calibri" w:hAnsi="Calibri"/>
                <w:sz w:val="18"/>
                <w:szCs w:val="18"/>
                <w:color w:val="231F20"/>
              </w:rPr>
              <w:t>3,019</w:t>
            </w:r>
          </w:p>
        </w:tc>
        <w:tc>
          <w:tcPr>
            <w:tcW w:w="1420" w:type="dxa"/>
            <w:vAlign w:val="bottom"/>
          </w:tcPr>
          <w:p>
            <w:pPr>
              <w:jc w:val="right"/>
              <w:ind w:right="376"/>
              <w:spacing w:after="0"/>
              <w:rPr>
                <w:sz w:val="20"/>
                <w:szCs w:val="20"/>
                <w:color w:val="auto"/>
              </w:rPr>
            </w:pPr>
            <w:r>
              <w:rPr>
                <w:rFonts w:ascii="Calibri" w:cs="Calibri" w:eastAsia="Calibri" w:hAnsi="Calibri"/>
                <w:sz w:val="18"/>
                <w:szCs w:val="18"/>
                <w:color w:val="231F20"/>
              </w:rPr>
              <w:t>$98.09</w:t>
            </w:r>
          </w:p>
        </w:tc>
        <w:tc>
          <w:tcPr>
            <w:tcW w:w="1620" w:type="dxa"/>
            <w:vAlign w:val="bottom"/>
          </w:tcPr>
          <w:p>
            <w:pPr>
              <w:jc w:val="right"/>
              <w:ind w:right="316"/>
              <w:spacing w:after="0"/>
              <w:rPr>
                <w:sz w:val="20"/>
                <w:szCs w:val="20"/>
                <w:color w:val="auto"/>
              </w:rPr>
            </w:pPr>
            <w:r>
              <w:rPr>
                <w:rFonts w:ascii="Calibri" w:cs="Calibri" w:eastAsia="Calibri" w:hAnsi="Calibri"/>
                <w:sz w:val="18"/>
                <w:szCs w:val="18"/>
                <w:color w:val="231F20"/>
              </w:rPr>
              <w:t>1,006,719</w:t>
            </w:r>
          </w:p>
        </w:tc>
      </w:tr>
      <w:tr>
        <w:trPr>
          <w:trHeight w:val="246"/>
        </w:trPr>
        <w:tc>
          <w:tcPr>
            <w:tcW w:w="5320" w:type="dxa"/>
            <w:vAlign w:val="bottom"/>
            <w:tcBorders>
              <w:bottom w:val="single" w:sz="8" w:color="DCDDDE"/>
            </w:tcBorders>
            <w:shd w:val="clear" w:color="auto" w:fill="DCDDDE"/>
          </w:tcPr>
          <w:p>
            <w:pPr>
              <w:spacing w:after="0"/>
              <w:rPr>
                <w:sz w:val="20"/>
                <w:szCs w:val="20"/>
                <w:color w:val="auto"/>
              </w:rPr>
            </w:pPr>
            <w:r>
              <w:rPr>
                <w:rFonts w:ascii="Calibri" w:cs="Calibri" w:eastAsia="Calibri" w:hAnsi="Calibri"/>
                <w:sz w:val="18"/>
                <w:szCs w:val="18"/>
                <w:color w:val="231F20"/>
              </w:rPr>
              <w:t>Equity compensation plans not approved by security holders</w:t>
            </w:r>
          </w:p>
        </w:tc>
        <w:tc>
          <w:tcPr>
            <w:tcW w:w="1720" w:type="dxa"/>
            <w:vAlign w:val="bottom"/>
          </w:tcPr>
          <w:p>
            <w:pPr>
              <w:jc w:val="right"/>
              <w:ind w:right="517"/>
              <w:spacing w:after="0"/>
              <w:rPr>
                <w:sz w:val="20"/>
                <w:szCs w:val="20"/>
                <w:color w:val="auto"/>
              </w:rPr>
            </w:pPr>
            <w:r>
              <w:rPr>
                <w:rFonts w:ascii="Calibri" w:cs="Calibri" w:eastAsia="Calibri" w:hAnsi="Calibri"/>
                <w:sz w:val="18"/>
                <w:szCs w:val="18"/>
                <w:color w:val="231F20"/>
              </w:rPr>
              <w:t>-</w:t>
            </w:r>
          </w:p>
        </w:tc>
        <w:tc>
          <w:tcPr>
            <w:tcW w:w="1420" w:type="dxa"/>
            <w:vAlign w:val="bottom"/>
          </w:tcPr>
          <w:p>
            <w:pPr>
              <w:jc w:val="right"/>
              <w:ind w:right="376"/>
              <w:spacing w:after="0"/>
              <w:rPr>
                <w:sz w:val="20"/>
                <w:szCs w:val="20"/>
                <w:color w:val="auto"/>
              </w:rPr>
            </w:pPr>
            <w:r>
              <w:rPr>
                <w:rFonts w:ascii="Calibri" w:cs="Calibri" w:eastAsia="Calibri" w:hAnsi="Calibri"/>
                <w:sz w:val="18"/>
                <w:szCs w:val="18"/>
                <w:color w:val="231F20"/>
              </w:rPr>
              <w:t>-</w:t>
            </w:r>
          </w:p>
        </w:tc>
        <w:tc>
          <w:tcPr>
            <w:tcW w:w="1620" w:type="dxa"/>
            <w:vAlign w:val="bottom"/>
          </w:tcPr>
          <w:p>
            <w:pPr>
              <w:jc w:val="right"/>
              <w:ind w:right="316"/>
              <w:spacing w:after="0"/>
              <w:rPr>
                <w:sz w:val="20"/>
                <w:szCs w:val="20"/>
                <w:color w:val="auto"/>
              </w:rPr>
            </w:pPr>
            <w:r>
              <w:rPr>
                <w:rFonts w:ascii="Calibri" w:cs="Calibri" w:eastAsia="Calibri" w:hAnsi="Calibri"/>
                <w:sz w:val="18"/>
                <w:szCs w:val="18"/>
                <w:color w:val="231F20"/>
              </w:rPr>
              <w:t>-</w:t>
            </w:r>
          </w:p>
        </w:tc>
      </w:tr>
      <w:tr>
        <w:trPr>
          <w:trHeight w:val="252"/>
        </w:trPr>
        <w:tc>
          <w:tcPr>
            <w:tcW w:w="5320" w:type="dxa"/>
            <w:vAlign w:val="bottom"/>
            <w:tcBorders>
              <w:top w:val="single" w:sz="8" w:color="231F20"/>
            </w:tcBorders>
            <w:shd w:val="clear" w:color="auto" w:fill="DCDDDE"/>
          </w:tcPr>
          <w:p>
            <w:pPr>
              <w:spacing w:after="0"/>
              <w:rPr>
                <w:sz w:val="20"/>
                <w:szCs w:val="20"/>
                <w:color w:val="auto"/>
              </w:rPr>
            </w:pPr>
            <w:r>
              <w:rPr>
                <w:rFonts w:ascii="Calibri" w:cs="Calibri" w:eastAsia="Calibri" w:hAnsi="Calibri"/>
                <w:sz w:val="18"/>
                <w:szCs w:val="18"/>
                <w:b w:val="1"/>
                <w:bCs w:val="1"/>
                <w:color w:val="231F20"/>
              </w:rPr>
              <w:t>Total</w:t>
            </w:r>
          </w:p>
        </w:tc>
        <w:tc>
          <w:tcPr>
            <w:tcW w:w="1720" w:type="dxa"/>
            <w:vAlign w:val="bottom"/>
            <w:tcBorders>
              <w:top w:val="single" w:sz="8" w:color="231F20"/>
            </w:tcBorders>
          </w:tcPr>
          <w:p>
            <w:pPr>
              <w:jc w:val="right"/>
              <w:ind w:right="517"/>
              <w:spacing w:after="0"/>
              <w:rPr>
                <w:sz w:val="20"/>
                <w:szCs w:val="20"/>
                <w:color w:val="auto"/>
              </w:rPr>
            </w:pPr>
            <w:r>
              <w:rPr>
                <w:rFonts w:ascii="Calibri" w:cs="Calibri" w:eastAsia="Calibri" w:hAnsi="Calibri"/>
                <w:sz w:val="18"/>
                <w:szCs w:val="18"/>
                <w:b w:val="1"/>
                <w:bCs w:val="1"/>
                <w:color w:val="231F20"/>
              </w:rPr>
              <w:t>3,019</w:t>
            </w:r>
          </w:p>
        </w:tc>
        <w:tc>
          <w:tcPr>
            <w:tcW w:w="1420" w:type="dxa"/>
            <w:vAlign w:val="bottom"/>
            <w:tcBorders>
              <w:top w:val="single" w:sz="8" w:color="231F20"/>
            </w:tcBorders>
          </w:tcPr>
          <w:p>
            <w:pPr>
              <w:jc w:val="right"/>
              <w:ind w:right="376"/>
              <w:spacing w:after="0"/>
              <w:rPr>
                <w:sz w:val="20"/>
                <w:szCs w:val="20"/>
                <w:color w:val="auto"/>
              </w:rPr>
            </w:pPr>
            <w:r>
              <w:rPr>
                <w:rFonts w:ascii="Calibri" w:cs="Calibri" w:eastAsia="Calibri" w:hAnsi="Calibri"/>
                <w:sz w:val="18"/>
                <w:szCs w:val="18"/>
                <w:b w:val="1"/>
                <w:bCs w:val="1"/>
                <w:color w:val="231F20"/>
              </w:rPr>
              <w:t>$98.09</w:t>
            </w:r>
          </w:p>
        </w:tc>
        <w:tc>
          <w:tcPr>
            <w:tcW w:w="1620" w:type="dxa"/>
            <w:vAlign w:val="bottom"/>
            <w:tcBorders>
              <w:top w:val="single" w:sz="8" w:color="231F20"/>
            </w:tcBorders>
          </w:tcPr>
          <w:p>
            <w:pPr>
              <w:jc w:val="right"/>
              <w:ind w:right="316"/>
              <w:spacing w:after="0"/>
              <w:rPr>
                <w:sz w:val="20"/>
                <w:szCs w:val="20"/>
                <w:color w:val="auto"/>
              </w:rPr>
            </w:pPr>
            <w:r>
              <w:rPr>
                <w:rFonts w:ascii="Calibri" w:cs="Calibri" w:eastAsia="Calibri" w:hAnsi="Calibri"/>
                <w:sz w:val="18"/>
                <w:szCs w:val="18"/>
                <w:b w:val="1"/>
                <w:bCs w:val="1"/>
                <w:color w:val="231F20"/>
              </w:rPr>
              <w:t>1,006,719</w:t>
            </w:r>
          </w:p>
        </w:tc>
      </w:tr>
      <w:tr>
        <w:trPr>
          <w:trHeight w:val="48"/>
        </w:trPr>
        <w:tc>
          <w:tcPr>
            <w:tcW w:w="5320" w:type="dxa"/>
            <w:vAlign w:val="bottom"/>
            <w:shd w:val="clear" w:color="auto" w:fill="DCDDDE"/>
          </w:tcPr>
          <w:p>
            <w:pPr>
              <w:spacing w:after="0"/>
              <w:rPr>
                <w:sz w:val="4"/>
                <w:szCs w:val="4"/>
                <w:color w:val="auto"/>
              </w:rPr>
            </w:pPr>
          </w:p>
        </w:tc>
        <w:tc>
          <w:tcPr>
            <w:tcW w:w="172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620" w:type="dxa"/>
            <w:vAlign w:val="bottom"/>
          </w:tcPr>
          <w:p>
            <w:pPr>
              <w:spacing w:after="0"/>
              <w:rPr>
                <w:sz w:val="4"/>
                <w:szCs w:val="4"/>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385445</wp:posOffset>
                </wp:positionV>
                <wp:extent cx="6400800" cy="0"/>
                <wp:wrapNone/>
                <wp:docPr id="485" name="Shape 4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38100">
                          <a:solidFill>
                            <a:srgbClr val="EF3E2A"/>
                          </a:solidFill>
                          <a:miter lim="800000"/>
                          <a:headEnd/>
                          <a:tailEnd/>
                        </a:ln>
                      </wps:spPr>
                      <wps:bodyPr/>
                    </wps:wsp>
                  </a:graphicData>
                </a:graphic>
              </wp:anchor>
            </w:drawing>
          </mc:Choice>
          <mc:Fallback>
            <w:pict>
              <v:line id="Shape 485" o:spid="_x0000_s151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0.35pt" to="504pt,30.35pt" o:allowincell="f" strokecolor="#EF3E2A" strokeweight="3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00"/>
        <w:spacing w:after="0" w:line="235" w:lineRule="auto"/>
        <w:rPr>
          <w:sz w:val="20"/>
          <w:szCs w:val="20"/>
          <w:color w:val="auto"/>
        </w:rPr>
      </w:pPr>
      <w:r>
        <w:rPr>
          <w:rFonts w:ascii="Arial" w:cs="Arial" w:eastAsia="Arial" w:hAnsi="Arial"/>
          <w:sz w:val="36"/>
          <w:szCs w:val="36"/>
          <w:b w:val="1"/>
          <w:bCs w:val="1"/>
          <w:color w:val="231F20"/>
        </w:rPr>
        <w:t>Proposal 3: Ratification of Independent Registered Public Accounting Firm</w:t>
      </w:r>
    </w:p>
    <w:p>
      <w:pPr>
        <w:spacing w:after="0" w:line="256"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231F20"/>
        </w:rPr>
        <w:t>Shareholders are being asked to ratify in a non-binding vote the selection of Grant Thornton, LLP (“GT”) as our independent registered public accounting firm for the fiscal year ending December 31, 2026. Shareholder ratification of GT is not required by our governance documents; however, the Board is soliciting shareholder views on this matter. GT has served in this role since 2002 and the Board believes it is in the best interests of the Company and our shareholders for GT to continue in this role. If the selection of GT is not ratified, the Audit Committee may (but will not be required to) reconsider whether to retain GT. Even if the selection of GT is ratified, the Audit Committee may change the appointment of GT at any time if it determines such a change would be in the best interests of the Company and our shareholders. A representative of GT will be present at the Annual Meeting and will have the opportunity to make a statement if they so desire and answer appropriate questions from shareholders.</w:t>
      </w:r>
    </w:p>
    <w:p>
      <w:pPr>
        <w:spacing w:after="0" w:line="287"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231F20"/>
        </w:rPr>
        <w:t>The Audit Committee reviews and approves in advance all audit and permissible non-audit services provided by GT to the Company as required by and in accordance with the rules and regulations of the SEC and the Sarbanes-Oxley Act of 2002.</w:t>
      </w:r>
    </w:p>
    <w:p>
      <w:pPr>
        <w:spacing w:after="0" w:line="286"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231F20"/>
        </w:rPr>
        <w:t>The following table sets forth the fees for services rendered by GT for the years ended December 31, 2025 and 2024:</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960" w:type="dxa"/>
            <w:vAlign w:val="bottom"/>
            <w:shd w:val="clear" w:color="auto" w:fill="EF3E2A"/>
          </w:tcPr>
          <w:p>
            <w:pPr>
              <w:spacing w:after="0"/>
              <w:rPr>
                <w:sz w:val="22"/>
                <w:szCs w:val="22"/>
                <w:color w:val="auto"/>
              </w:rPr>
            </w:pPr>
          </w:p>
        </w:tc>
        <w:tc>
          <w:tcPr>
            <w:tcW w:w="6040" w:type="dxa"/>
            <w:vAlign w:val="bottom"/>
            <w:shd w:val="clear" w:color="auto" w:fill="EF3E2A"/>
          </w:tcPr>
          <w:p>
            <w:pPr>
              <w:spacing w:after="0"/>
              <w:rPr>
                <w:sz w:val="22"/>
                <w:szCs w:val="22"/>
                <w:color w:val="auto"/>
              </w:rPr>
            </w:pPr>
          </w:p>
        </w:tc>
        <w:tc>
          <w:tcPr>
            <w:tcW w:w="300" w:type="dxa"/>
            <w:vAlign w:val="bottom"/>
            <w:shd w:val="clear" w:color="auto" w:fill="EF3E2A"/>
          </w:tcPr>
          <w:p>
            <w:pPr>
              <w:spacing w:after="0"/>
              <w:rPr>
                <w:sz w:val="22"/>
                <w:szCs w:val="22"/>
                <w:color w:val="auto"/>
              </w:rPr>
            </w:pPr>
          </w:p>
        </w:tc>
        <w:tc>
          <w:tcPr>
            <w:tcW w:w="900" w:type="dxa"/>
            <w:vAlign w:val="bottom"/>
            <w:shd w:val="clear" w:color="auto" w:fill="EF3E2A"/>
          </w:tcPr>
          <w:p>
            <w:pPr>
              <w:jc w:val="right"/>
              <w:spacing w:after="0"/>
              <w:rPr>
                <w:sz w:val="20"/>
                <w:szCs w:val="20"/>
                <w:color w:val="auto"/>
              </w:rPr>
            </w:pPr>
            <w:r>
              <w:rPr>
                <w:rFonts w:ascii="Arial" w:cs="Arial" w:eastAsia="Arial" w:hAnsi="Arial"/>
                <w:sz w:val="20"/>
                <w:szCs w:val="20"/>
                <w:b w:val="1"/>
                <w:bCs w:val="1"/>
                <w:color w:val="FFFFFF"/>
              </w:rPr>
              <w:t>2025</w:t>
            </w:r>
          </w:p>
        </w:tc>
        <w:tc>
          <w:tcPr>
            <w:tcW w:w="200" w:type="dxa"/>
            <w:vAlign w:val="bottom"/>
            <w:shd w:val="clear" w:color="auto" w:fill="EF3E2A"/>
          </w:tcPr>
          <w:p>
            <w:pPr>
              <w:spacing w:after="0"/>
              <w:rPr>
                <w:sz w:val="22"/>
                <w:szCs w:val="22"/>
                <w:color w:val="auto"/>
              </w:rPr>
            </w:pPr>
          </w:p>
        </w:tc>
        <w:tc>
          <w:tcPr>
            <w:tcW w:w="880" w:type="dxa"/>
            <w:vAlign w:val="bottom"/>
            <w:shd w:val="clear" w:color="auto" w:fill="EF3E2A"/>
          </w:tcPr>
          <w:p>
            <w:pPr>
              <w:jc w:val="right"/>
              <w:spacing w:after="0"/>
              <w:rPr>
                <w:sz w:val="20"/>
                <w:szCs w:val="20"/>
                <w:color w:val="auto"/>
              </w:rPr>
            </w:pPr>
            <w:r>
              <w:rPr>
                <w:rFonts w:ascii="Arial" w:cs="Arial" w:eastAsia="Arial" w:hAnsi="Arial"/>
                <w:sz w:val="20"/>
                <w:szCs w:val="20"/>
                <w:b w:val="1"/>
                <w:bCs w:val="1"/>
                <w:color w:val="FFFFFF"/>
              </w:rPr>
              <w:t>2024</w:t>
            </w:r>
          </w:p>
        </w:tc>
      </w:tr>
      <w:tr>
        <w:trPr>
          <w:trHeight w:val="342"/>
        </w:trPr>
        <w:tc>
          <w:tcPr>
            <w:tcW w:w="7000" w:type="dxa"/>
            <w:vAlign w:val="bottom"/>
            <w:gridSpan w:val="2"/>
            <w:shd w:val="clear" w:color="auto" w:fill="DCDDDE"/>
          </w:tcPr>
          <w:p>
            <w:pPr>
              <w:ind w:left="60"/>
              <w:spacing w:after="0"/>
              <w:rPr>
                <w:sz w:val="20"/>
                <w:szCs w:val="20"/>
                <w:color w:val="auto"/>
              </w:rPr>
            </w:pPr>
            <w:r>
              <w:rPr>
                <w:rFonts w:ascii="Calibri" w:cs="Calibri" w:eastAsia="Calibri" w:hAnsi="Calibri"/>
                <w:sz w:val="20"/>
                <w:szCs w:val="20"/>
                <w:color w:val="231F20"/>
              </w:rPr>
              <w:t>Audit Fees</w:t>
            </w:r>
            <w:r>
              <w:rPr>
                <w:rFonts w:ascii="Calibri" w:cs="Calibri" w:eastAsia="Calibri" w:hAnsi="Calibri"/>
                <w:sz w:val="26"/>
                <w:szCs w:val="26"/>
                <w:color w:val="231F20"/>
                <w:vertAlign w:val="superscript"/>
              </w:rPr>
              <w:t>(1)</w:t>
            </w:r>
          </w:p>
        </w:tc>
        <w:tc>
          <w:tcPr>
            <w:tcW w:w="300" w:type="dxa"/>
            <w:vAlign w:val="bottom"/>
          </w:tcPr>
          <w:p>
            <w:pPr>
              <w:jc w:val="right"/>
              <w:spacing w:after="0"/>
              <w:rPr>
                <w:sz w:val="20"/>
                <w:szCs w:val="20"/>
                <w:color w:val="auto"/>
              </w:rPr>
            </w:pPr>
            <w:r>
              <w:rPr>
                <w:rFonts w:ascii="Calibri" w:cs="Calibri" w:eastAsia="Calibri" w:hAnsi="Calibri"/>
                <w:sz w:val="20"/>
                <w:szCs w:val="20"/>
                <w:color w:val="231F20"/>
              </w:rPr>
              <w:t>$</w:t>
            </w:r>
          </w:p>
        </w:tc>
        <w:tc>
          <w:tcPr>
            <w:tcW w:w="900" w:type="dxa"/>
            <w:vAlign w:val="bottom"/>
          </w:tcPr>
          <w:p>
            <w:pPr>
              <w:jc w:val="right"/>
              <w:spacing w:after="0"/>
              <w:rPr>
                <w:sz w:val="20"/>
                <w:szCs w:val="20"/>
                <w:color w:val="auto"/>
              </w:rPr>
            </w:pPr>
            <w:r>
              <w:rPr>
                <w:rFonts w:ascii="Calibri" w:cs="Calibri" w:eastAsia="Calibri" w:hAnsi="Calibri"/>
                <w:sz w:val="20"/>
                <w:szCs w:val="20"/>
                <w:color w:val="231F20"/>
                <w:w w:val="98"/>
              </w:rPr>
              <w:t>1,021,650</w:t>
            </w:r>
          </w:p>
        </w:tc>
        <w:tc>
          <w:tcPr>
            <w:tcW w:w="200" w:type="dxa"/>
            <w:vAlign w:val="bottom"/>
          </w:tcPr>
          <w:p>
            <w:pPr>
              <w:jc w:val="right"/>
              <w:spacing w:after="0"/>
              <w:rPr>
                <w:sz w:val="20"/>
                <w:szCs w:val="20"/>
                <w:color w:val="auto"/>
              </w:rPr>
            </w:pPr>
            <w:r>
              <w:rPr>
                <w:rFonts w:ascii="Calibri" w:cs="Calibri" w:eastAsia="Calibri" w:hAnsi="Calibri"/>
                <w:sz w:val="20"/>
                <w:szCs w:val="20"/>
                <w:color w:val="231F20"/>
              </w:rPr>
              <w:t>$</w:t>
            </w:r>
          </w:p>
        </w:tc>
        <w:tc>
          <w:tcPr>
            <w:tcW w:w="880" w:type="dxa"/>
            <w:vAlign w:val="bottom"/>
          </w:tcPr>
          <w:p>
            <w:pPr>
              <w:jc w:val="right"/>
              <w:spacing w:after="0"/>
              <w:rPr>
                <w:sz w:val="20"/>
                <w:szCs w:val="20"/>
                <w:color w:val="auto"/>
              </w:rPr>
            </w:pPr>
            <w:r>
              <w:rPr>
                <w:rFonts w:ascii="Calibri" w:cs="Calibri" w:eastAsia="Calibri" w:hAnsi="Calibri"/>
                <w:sz w:val="20"/>
                <w:szCs w:val="20"/>
                <w:color w:val="231F20"/>
              </w:rPr>
              <w:t>948,975</w:t>
            </w:r>
          </w:p>
        </w:tc>
      </w:tr>
      <w:tr>
        <w:trPr>
          <w:trHeight w:val="300"/>
        </w:trPr>
        <w:tc>
          <w:tcPr>
            <w:tcW w:w="7000" w:type="dxa"/>
            <w:vAlign w:val="bottom"/>
            <w:gridSpan w:val="2"/>
            <w:shd w:val="clear" w:color="auto" w:fill="DCDDDE"/>
          </w:tcPr>
          <w:p>
            <w:pPr>
              <w:ind w:left="60"/>
              <w:spacing w:after="0" w:line="299" w:lineRule="exact"/>
              <w:rPr>
                <w:sz w:val="20"/>
                <w:szCs w:val="20"/>
                <w:color w:val="auto"/>
              </w:rPr>
            </w:pPr>
            <w:r>
              <w:rPr>
                <w:rFonts w:ascii="Calibri" w:cs="Calibri" w:eastAsia="Calibri" w:hAnsi="Calibri"/>
                <w:sz w:val="20"/>
                <w:szCs w:val="20"/>
                <w:color w:val="231F20"/>
              </w:rPr>
              <w:t>Audit-Related Fees</w:t>
            </w:r>
            <w:r>
              <w:rPr>
                <w:rFonts w:ascii="Calibri" w:cs="Calibri" w:eastAsia="Calibri" w:hAnsi="Calibri"/>
                <w:sz w:val="26"/>
                <w:szCs w:val="26"/>
                <w:color w:val="231F20"/>
                <w:vertAlign w:val="superscript"/>
              </w:rPr>
              <w:t>(2)</w:t>
            </w:r>
          </w:p>
        </w:tc>
        <w:tc>
          <w:tcPr>
            <w:tcW w:w="300" w:type="dxa"/>
            <w:vAlign w:val="bottom"/>
          </w:tcPr>
          <w:p>
            <w:pPr>
              <w:jc w:val="right"/>
              <w:spacing w:after="0" w:line="236" w:lineRule="exact"/>
              <w:rPr>
                <w:sz w:val="20"/>
                <w:szCs w:val="20"/>
                <w:color w:val="auto"/>
              </w:rPr>
            </w:pPr>
            <w:r>
              <w:rPr>
                <w:rFonts w:ascii="Calibri" w:cs="Calibri" w:eastAsia="Calibri" w:hAnsi="Calibri"/>
                <w:sz w:val="20"/>
                <w:szCs w:val="20"/>
                <w:color w:val="231F20"/>
              </w:rPr>
              <w:t>$</w:t>
            </w:r>
          </w:p>
        </w:tc>
        <w:tc>
          <w:tcPr>
            <w:tcW w:w="900" w:type="dxa"/>
            <w:vAlign w:val="bottom"/>
          </w:tcPr>
          <w:p>
            <w:pPr>
              <w:jc w:val="right"/>
              <w:spacing w:after="0" w:line="236" w:lineRule="exact"/>
              <w:rPr>
                <w:sz w:val="20"/>
                <w:szCs w:val="20"/>
                <w:color w:val="auto"/>
              </w:rPr>
            </w:pPr>
            <w:r>
              <w:rPr>
                <w:rFonts w:ascii="Calibri" w:cs="Calibri" w:eastAsia="Calibri" w:hAnsi="Calibri"/>
                <w:sz w:val="20"/>
                <w:szCs w:val="20"/>
                <w:color w:val="231F20"/>
              </w:rPr>
              <w:t>60,900</w:t>
            </w:r>
          </w:p>
        </w:tc>
        <w:tc>
          <w:tcPr>
            <w:tcW w:w="200" w:type="dxa"/>
            <w:vAlign w:val="bottom"/>
          </w:tcPr>
          <w:p>
            <w:pPr>
              <w:jc w:val="right"/>
              <w:spacing w:after="0" w:line="236" w:lineRule="exact"/>
              <w:rPr>
                <w:sz w:val="20"/>
                <w:szCs w:val="20"/>
                <w:color w:val="auto"/>
              </w:rPr>
            </w:pPr>
            <w:r>
              <w:rPr>
                <w:rFonts w:ascii="Calibri" w:cs="Calibri" w:eastAsia="Calibri" w:hAnsi="Calibri"/>
                <w:sz w:val="20"/>
                <w:szCs w:val="20"/>
                <w:color w:val="231F20"/>
              </w:rPr>
              <w:t>$</w:t>
            </w:r>
          </w:p>
        </w:tc>
        <w:tc>
          <w:tcPr>
            <w:tcW w:w="880" w:type="dxa"/>
            <w:vAlign w:val="bottom"/>
          </w:tcPr>
          <w:p>
            <w:pPr>
              <w:jc w:val="right"/>
              <w:spacing w:after="0" w:line="236" w:lineRule="exact"/>
              <w:rPr>
                <w:sz w:val="20"/>
                <w:szCs w:val="20"/>
                <w:color w:val="auto"/>
              </w:rPr>
            </w:pPr>
            <w:r>
              <w:rPr>
                <w:rFonts w:ascii="Calibri" w:cs="Calibri" w:eastAsia="Calibri" w:hAnsi="Calibri"/>
                <w:sz w:val="20"/>
                <w:szCs w:val="20"/>
                <w:color w:val="231F20"/>
              </w:rPr>
              <w:t>83,275</w:t>
            </w:r>
          </w:p>
        </w:tc>
      </w:tr>
      <w:tr>
        <w:trPr>
          <w:trHeight w:val="245"/>
        </w:trPr>
        <w:tc>
          <w:tcPr>
            <w:tcW w:w="7000" w:type="dxa"/>
            <w:vAlign w:val="bottom"/>
            <w:tcBorders>
              <w:bottom w:val="single" w:sz="8" w:color="231F20"/>
            </w:tcBorders>
            <w:gridSpan w:val="2"/>
            <w:shd w:val="clear" w:color="auto" w:fill="DCDDDE"/>
          </w:tcPr>
          <w:p>
            <w:pPr>
              <w:ind w:left="60"/>
              <w:spacing w:after="0" w:line="236" w:lineRule="exact"/>
              <w:rPr>
                <w:sz w:val="20"/>
                <w:szCs w:val="20"/>
                <w:color w:val="auto"/>
              </w:rPr>
            </w:pPr>
            <w:r>
              <w:rPr>
                <w:rFonts w:ascii="Calibri" w:cs="Calibri" w:eastAsia="Calibri" w:hAnsi="Calibri"/>
                <w:sz w:val="20"/>
                <w:szCs w:val="20"/>
                <w:color w:val="231F20"/>
              </w:rPr>
              <w:t>All Other Fees</w:t>
            </w:r>
          </w:p>
        </w:tc>
        <w:tc>
          <w:tcPr>
            <w:tcW w:w="300" w:type="dxa"/>
            <w:vAlign w:val="bottom"/>
            <w:tcBorders>
              <w:bottom w:val="single" w:sz="8" w:color="231F20"/>
            </w:tcBorders>
          </w:tcPr>
          <w:p>
            <w:pPr>
              <w:jc w:val="right"/>
              <w:spacing w:after="0" w:line="236" w:lineRule="exact"/>
              <w:rPr>
                <w:sz w:val="20"/>
                <w:szCs w:val="20"/>
                <w:color w:val="auto"/>
              </w:rPr>
            </w:pPr>
            <w:r>
              <w:rPr>
                <w:rFonts w:ascii="Calibri" w:cs="Calibri" w:eastAsia="Calibri" w:hAnsi="Calibri"/>
                <w:sz w:val="20"/>
                <w:szCs w:val="20"/>
                <w:color w:val="231F20"/>
              </w:rPr>
              <w:t>$</w:t>
            </w:r>
          </w:p>
        </w:tc>
        <w:tc>
          <w:tcPr>
            <w:tcW w:w="900" w:type="dxa"/>
            <w:vAlign w:val="bottom"/>
            <w:tcBorders>
              <w:bottom w:val="single" w:sz="8" w:color="231F20"/>
            </w:tcBorders>
          </w:tcPr>
          <w:p>
            <w:pPr>
              <w:jc w:val="right"/>
              <w:ind w:right="200"/>
              <w:spacing w:after="0" w:line="236" w:lineRule="exact"/>
              <w:rPr>
                <w:sz w:val="20"/>
                <w:szCs w:val="20"/>
                <w:color w:val="auto"/>
              </w:rPr>
            </w:pPr>
            <w:r>
              <w:rPr>
                <w:rFonts w:ascii="Calibri" w:cs="Calibri" w:eastAsia="Calibri" w:hAnsi="Calibri"/>
                <w:sz w:val="20"/>
                <w:szCs w:val="20"/>
                <w:color w:val="231F20"/>
              </w:rPr>
              <w:t>-</w:t>
            </w:r>
          </w:p>
        </w:tc>
        <w:tc>
          <w:tcPr>
            <w:tcW w:w="200" w:type="dxa"/>
            <w:vAlign w:val="bottom"/>
            <w:tcBorders>
              <w:bottom w:val="single" w:sz="8" w:color="231F20"/>
            </w:tcBorders>
          </w:tcPr>
          <w:p>
            <w:pPr>
              <w:jc w:val="right"/>
              <w:spacing w:after="0" w:line="236" w:lineRule="exact"/>
              <w:rPr>
                <w:sz w:val="20"/>
                <w:szCs w:val="20"/>
                <w:color w:val="auto"/>
              </w:rPr>
            </w:pPr>
            <w:r>
              <w:rPr>
                <w:rFonts w:ascii="Calibri" w:cs="Calibri" w:eastAsia="Calibri" w:hAnsi="Calibri"/>
                <w:sz w:val="20"/>
                <w:szCs w:val="20"/>
                <w:color w:val="231F20"/>
              </w:rPr>
              <w:t>$</w:t>
            </w:r>
          </w:p>
        </w:tc>
        <w:tc>
          <w:tcPr>
            <w:tcW w:w="880" w:type="dxa"/>
            <w:vAlign w:val="bottom"/>
            <w:tcBorders>
              <w:bottom w:val="single" w:sz="8" w:color="231F20"/>
            </w:tcBorders>
          </w:tcPr>
          <w:p>
            <w:pPr>
              <w:jc w:val="right"/>
              <w:ind w:right="160"/>
              <w:spacing w:after="0" w:line="236" w:lineRule="exact"/>
              <w:rPr>
                <w:sz w:val="20"/>
                <w:szCs w:val="20"/>
                <w:color w:val="auto"/>
              </w:rPr>
            </w:pPr>
            <w:r>
              <w:rPr>
                <w:rFonts w:ascii="Calibri" w:cs="Calibri" w:eastAsia="Calibri" w:hAnsi="Calibri"/>
                <w:sz w:val="20"/>
                <w:szCs w:val="20"/>
                <w:color w:val="231F20"/>
              </w:rPr>
              <w:t>-</w:t>
            </w:r>
          </w:p>
        </w:tc>
      </w:tr>
      <w:tr>
        <w:trPr>
          <w:trHeight w:val="273"/>
        </w:trPr>
        <w:tc>
          <w:tcPr>
            <w:tcW w:w="7000" w:type="dxa"/>
            <w:vAlign w:val="bottom"/>
            <w:tcBorders>
              <w:bottom w:val="single" w:sz="8" w:color="DCDDDE"/>
            </w:tcBorders>
            <w:gridSpan w:val="2"/>
            <w:shd w:val="clear" w:color="auto" w:fill="DCDDDE"/>
          </w:tcPr>
          <w:p>
            <w:pPr>
              <w:ind w:left="60"/>
              <w:spacing w:after="0"/>
              <w:rPr>
                <w:sz w:val="20"/>
                <w:szCs w:val="20"/>
                <w:color w:val="auto"/>
              </w:rPr>
            </w:pPr>
            <w:r>
              <w:rPr>
                <w:rFonts w:ascii="Calibri" w:cs="Calibri" w:eastAsia="Calibri" w:hAnsi="Calibri"/>
                <w:sz w:val="20"/>
                <w:szCs w:val="20"/>
                <w:b w:val="1"/>
                <w:bCs w:val="1"/>
                <w:color w:val="231F20"/>
              </w:rPr>
              <w:t>Total Fees</w:t>
            </w:r>
          </w:p>
        </w:tc>
        <w:tc>
          <w:tcPr>
            <w:tcW w:w="300" w:type="dxa"/>
            <w:vAlign w:val="bottom"/>
          </w:tcPr>
          <w:p>
            <w:pPr>
              <w:jc w:val="right"/>
              <w:spacing w:after="0"/>
              <w:rPr>
                <w:sz w:val="20"/>
                <w:szCs w:val="20"/>
                <w:color w:val="auto"/>
              </w:rPr>
            </w:pPr>
            <w:r>
              <w:rPr>
                <w:rFonts w:ascii="Calibri" w:cs="Calibri" w:eastAsia="Calibri" w:hAnsi="Calibri"/>
                <w:sz w:val="20"/>
                <w:szCs w:val="20"/>
                <w:b w:val="1"/>
                <w:bCs w:val="1"/>
                <w:color w:val="231F20"/>
              </w:rPr>
              <w:t>$</w:t>
            </w:r>
          </w:p>
        </w:tc>
        <w:tc>
          <w:tcPr>
            <w:tcW w:w="900" w:type="dxa"/>
            <w:vAlign w:val="bottom"/>
          </w:tcPr>
          <w:p>
            <w:pPr>
              <w:jc w:val="right"/>
              <w:spacing w:after="0"/>
              <w:rPr>
                <w:sz w:val="20"/>
                <w:szCs w:val="20"/>
                <w:color w:val="auto"/>
              </w:rPr>
            </w:pPr>
            <w:r>
              <w:rPr>
                <w:rFonts w:ascii="Calibri" w:cs="Calibri" w:eastAsia="Calibri" w:hAnsi="Calibri"/>
                <w:sz w:val="20"/>
                <w:szCs w:val="20"/>
                <w:b w:val="1"/>
                <w:bCs w:val="1"/>
                <w:color w:val="231F20"/>
                <w:w w:val="98"/>
              </w:rPr>
              <w:t>1,082,550</w:t>
            </w:r>
          </w:p>
        </w:tc>
        <w:tc>
          <w:tcPr>
            <w:tcW w:w="200" w:type="dxa"/>
            <w:vAlign w:val="bottom"/>
          </w:tcPr>
          <w:p>
            <w:pPr>
              <w:jc w:val="right"/>
              <w:spacing w:after="0"/>
              <w:rPr>
                <w:sz w:val="20"/>
                <w:szCs w:val="20"/>
                <w:color w:val="auto"/>
              </w:rPr>
            </w:pPr>
            <w:r>
              <w:rPr>
                <w:rFonts w:ascii="Calibri" w:cs="Calibri" w:eastAsia="Calibri" w:hAnsi="Calibri"/>
                <w:sz w:val="20"/>
                <w:szCs w:val="20"/>
                <w:b w:val="1"/>
                <w:bCs w:val="1"/>
                <w:color w:val="231F20"/>
              </w:rPr>
              <w:t>$</w:t>
            </w:r>
          </w:p>
        </w:tc>
        <w:tc>
          <w:tcPr>
            <w:tcW w:w="880" w:type="dxa"/>
            <w:vAlign w:val="bottom"/>
          </w:tcPr>
          <w:p>
            <w:pPr>
              <w:jc w:val="right"/>
              <w:spacing w:after="0"/>
              <w:rPr>
                <w:sz w:val="20"/>
                <w:szCs w:val="20"/>
                <w:color w:val="auto"/>
              </w:rPr>
            </w:pPr>
            <w:r>
              <w:rPr>
                <w:rFonts w:ascii="Calibri" w:cs="Calibri" w:eastAsia="Calibri" w:hAnsi="Calibri"/>
                <w:sz w:val="20"/>
                <w:szCs w:val="20"/>
                <w:b w:val="1"/>
                <w:bCs w:val="1"/>
                <w:color w:val="231F20"/>
                <w:w w:val="98"/>
              </w:rPr>
              <w:t>1,032,250</w:t>
            </w:r>
          </w:p>
        </w:tc>
      </w:tr>
      <w:tr>
        <w:trPr>
          <w:trHeight w:val="150"/>
        </w:trPr>
        <w:tc>
          <w:tcPr>
            <w:tcW w:w="960" w:type="dxa"/>
            <w:vAlign w:val="bottom"/>
            <w:tcBorders>
              <w:bottom w:val="single" w:sz="8" w:color="231F20"/>
            </w:tcBorders>
          </w:tcPr>
          <w:p>
            <w:pPr>
              <w:spacing w:after="0"/>
              <w:rPr>
                <w:sz w:val="13"/>
                <w:szCs w:val="13"/>
                <w:color w:val="auto"/>
              </w:rPr>
            </w:pPr>
          </w:p>
        </w:tc>
        <w:tc>
          <w:tcPr>
            <w:tcW w:w="60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r>
    </w:tbl>
    <w:p>
      <w:pPr>
        <w:spacing w:after="0" w:line="55" w:lineRule="exact"/>
        <w:rPr>
          <w:sz w:val="20"/>
          <w:szCs w:val="20"/>
          <w:color w:val="auto"/>
        </w:rPr>
      </w:pPr>
    </w:p>
    <w:p>
      <w:pPr>
        <w:jc w:val="both"/>
        <w:ind w:left="480" w:hanging="360"/>
        <w:spacing w:after="0" w:line="233" w:lineRule="auto"/>
        <w:tabs>
          <w:tab w:leader="none" w:pos="480" w:val="left"/>
        </w:tabs>
        <w:numPr>
          <w:ilvl w:val="0"/>
          <w:numId w:val="159"/>
        </w:numPr>
        <w:rPr>
          <w:rFonts w:ascii="Arial" w:cs="Arial" w:eastAsia="Arial" w:hAnsi="Arial"/>
          <w:sz w:val="23"/>
          <w:szCs w:val="23"/>
          <w:color w:val="231F20"/>
          <w:vertAlign w:val="superscript"/>
        </w:rPr>
      </w:pPr>
      <w:r>
        <w:rPr>
          <w:rFonts w:ascii="Arial" w:cs="Arial" w:eastAsia="Arial" w:hAnsi="Arial"/>
          <w:sz w:val="18"/>
          <w:szCs w:val="18"/>
          <w:color w:val="231F20"/>
        </w:rPr>
        <w:t>Audit fees include all fees and expenses for services in connection with: (a) the audit of our financial statements included in our annual reports on Form 10-K; (b) Sarbanes-Oxley Section 404 relating to our annual audit; (c) the review of the financial statements included in our quarterly reports on Form 10-Q; and (d) consents and comfort letters issued in connection with securities offerings.</w:t>
      </w:r>
    </w:p>
    <w:p>
      <w:pPr>
        <w:spacing w:after="0" w:line="20" w:lineRule="exact"/>
        <w:rPr>
          <w:rFonts w:ascii="Arial" w:cs="Arial" w:eastAsia="Arial" w:hAnsi="Arial"/>
          <w:sz w:val="23"/>
          <w:szCs w:val="23"/>
          <w:color w:val="231F20"/>
          <w:vertAlign w:val="superscript"/>
        </w:rPr>
      </w:pPr>
    </w:p>
    <w:p>
      <w:pPr>
        <w:ind w:left="480" w:hanging="360"/>
        <w:spacing w:after="0" w:line="214" w:lineRule="auto"/>
        <w:tabs>
          <w:tab w:leader="none" w:pos="480" w:val="left"/>
        </w:tabs>
        <w:numPr>
          <w:ilvl w:val="0"/>
          <w:numId w:val="159"/>
        </w:numPr>
        <w:rPr>
          <w:rFonts w:ascii="Arial" w:cs="Arial" w:eastAsia="Arial" w:hAnsi="Arial"/>
          <w:sz w:val="23"/>
          <w:szCs w:val="23"/>
          <w:color w:val="231F20"/>
          <w:vertAlign w:val="superscript"/>
        </w:rPr>
      </w:pPr>
      <w:r>
        <w:rPr>
          <w:rFonts w:ascii="Arial" w:cs="Arial" w:eastAsia="Arial" w:hAnsi="Arial"/>
          <w:sz w:val="18"/>
          <w:szCs w:val="18"/>
          <w:color w:val="231F20"/>
        </w:rPr>
        <w:t>Audit-related fees primarily include the audit of our employee benefit plan, which are paid by the plan and not the Company, and certain property level audits.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132715</wp:posOffset>
                </wp:positionV>
                <wp:extent cx="6400800" cy="177800"/>
                <wp:wrapNone/>
                <wp:docPr id="486" name="Shape 4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177800"/>
                        </a:xfrm>
                        <a:prstGeom prst="rect">
                          <a:avLst/>
                        </a:prstGeom>
                        <a:solidFill>
                          <a:srgbClr val="E8E7E5"/>
                        </a:solidFill>
                      </wps:spPr>
                      <wps:bodyPr/>
                    </wps:wsp>
                  </a:graphicData>
                </a:graphic>
              </wp:anchor>
            </w:drawing>
          </mc:Choice>
          <mc:Fallback>
            <w:pict>
              <v:rect id="Shape 486" o:spid="_x0000_s1511" style="position:absolute;margin-left:0pt;margin-top:10.45pt;width:504pt;height:1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8E7E5" stroked="f"/>
            </w:pict>
          </mc:Fallback>
        </mc:AlternateContent>
        <mc:AlternateContent>
          <mc:Choice Requires="wps">
            <w:drawing>
              <wp:anchor simplePos="0" relativeHeight="251657728" behindDoc="1" locked="0" layoutInCell="0" allowOverlap="1">
                <wp:simplePos x="0" y="0"/>
                <wp:positionH relativeFrom="column">
                  <wp:posOffset>6350</wp:posOffset>
                </wp:positionH>
                <wp:positionV relativeFrom="paragraph">
                  <wp:posOffset>132715</wp:posOffset>
                </wp:positionV>
                <wp:extent cx="0" cy="177800"/>
                <wp:wrapNone/>
                <wp:docPr id="487" name="Shape 4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487" o:spid="_x0000_s151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pt,10.45pt" to="0.5pt,24.45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139065</wp:posOffset>
                </wp:positionV>
                <wp:extent cx="6400800" cy="0"/>
                <wp:wrapNone/>
                <wp:docPr id="488" name="Shape 4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488" o:spid="_x0000_s151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0.95pt" to="504pt,10.95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6394450</wp:posOffset>
                </wp:positionH>
                <wp:positionV relativeFrom="paragraph">
                  <wp:posOffset>132715</wp:posOffset>
                </wp:positionV>
                <wp:extent cx="0" cy="177800"/>
                <wp:wrapNone/>
                <wp:docPr id="489" name="Shape 4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489" o:spid="_x0000_s151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3.5pt,10.45pt" to="503.5pt,24.45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304165</wp:posOffset>
                </wp:positionV>
                <wp:extent cx="6400800" cy="0"/>
                <wp:wrapNone/>
                <wp:docPr id="490" name="Shape 4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490" o:spid="_x0000_s151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3.95pt" to="504pt,23.95pt" o:allowincell="f" strokecolor="#231F20" strokeweight="1pt"/>
            </w:pict>
          </mc:Fallback>
        </mc:AlternateContent>
      </w:r>
    </w:p>
    <w:p>
      <w:pPr>
        <w:sectPr>
          <w:pgSz w:w="11880" w:h="15480" w:orient="portrait"/>
          <w:cols w:equalWidth="0" w:num="1">
            <w:col w:w="10080"/>
          </w:cols>
          <w:pgMar w:left="900" w:top="1272" w:right="900" w:bottom="763" w:gutter="0" w:footer="0" w:header="0"/>
        </w:sectPr>
      </w:pPr>
    </w:p>
    <w:p>
      <w:pPr>
        <w:spacing w:after="0" w:line="258" w:lineRule="exact"/>
        <w:rPr>
          <w:sz w:val="20"/>
          <w:szCs w:val="20"/>
          <w:color w:val="auto"/>
        </w:rPr>
      </w:pPr>
    </w:p>
    <w:p>
      <w:pPr>
        <w:ind w:left="80"/>
        <w:spacing w:after="0"/>
        <w:tabs>
          <w:tab w:leader="none" w:pos="1420" w:val="left"/>
          <w:tab w:leader="none" w:pos="3160" w:val="left"/>
        </w:tabs>
        <w:rPr>
          <w:sz w:val="20"/>
          <w:szCs w:val="20"/>
          <w:color w:val="auto"/>
        </w:rPr>
      </w:pPr>
      <w:r>
        <w:rPr>
          <w:rFonts w:ascii="Arial" w:cs="Arial" w:eastAsia="Arial" w:hAnsi="Arial"/>
          <w:sz w:val="16"/>
          <w:szCs w:val="16"/>
          <w:color w:val="EF3E2A"/>
        </w:rPr>
        <w:t>Federal Realty</w:t>
      </w:r>
      <w:r>
        <w:rPr>
          <w:sz w:val="20"/>
          <w:szCs w:val="20"/>
          <w:color w:val="auto"/>
        </w:rPr>
        <w:tab/>
      </w:r>
      <w:r>
        <w:rPr>
          <w:rFonts w:ascii="Arial" w:cs="Arial" w:eastAsia="Arial" w:hAnsi="Arial"/>
          <w:sz w:val="16"/>
          <w:szCs w:val="16"/>
          <w:color w:val="231F20"/>
        </w:rPr>
        <w:t>2026 Proxy Statement</w:t>
        <w:tab/>
        <w:t>40</w:t>
      </w:r>
    </w:p>
    <w:p>
      <w:pPr>
        <w:sectPr>
          <w:pgSz w:w="11880" w:h="15480" w:orient="portrait"/>
          <w:cols w:equalWidth="0" w:num="1">
            <w:col w:w="10080"/>
          </w:cols>
          <w:pgMar w:left="900" w:top="1272" w:right="900" w:bottom="763" w:gutter="0" w:footer="0" w:header="0"/>
          <w:type w:val="continuous"/>
        </w:sectPr>
      </w:pPr>
    </w:p>
    <w:bookmarkStart w:id="160" w:name="page161"/>
    <w:bookmarkEnd w:id="160"/>
    <w:p>
      <w:pPr>
        <w:jc w:val="both"/>
        <w:spacing w:after="0" w:line="246" w:lineRule="auto"/>
        <w:rPr>
          <w:sz w:val="20"/>
          <w:szCs w:val="20"/>
          <w:color w:val="auto"/>
        </w:rPr>
      </w:pPr>
      <w:r>
        <w:rPr>
          <w:rFonts w:ascii="Arial" w:cs="Arial" w:eastAsia="Arial" w:hAnsi="Arial"/>
          <w:sz w:val="20"/>
          <w:szCs w:val="20"/>
          <w:color w:val="231F20"/>
        </w:rPr>
        <w:t>The affirmative vote of a majority of votes cast at the Annual Meeting, in person or by proxy, is required to approve this proposal. An “abstention” or “broker non-vote” will have no effect on the outcome of the vote for this proposal.</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124460</wp:posOffset>
                </wp:positionV>
                <wp:extent cx="0" cy="584200"/>
                <wp:wrapNone/>
                <wp:docPr id="491" name="Shape 4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84200"/>
                        </a:xfrm>
                        <a:prstGeom prst="line">
                          <a:avLst/>
                        </a:prstGeom>
                        <a:solidFill>
                          <a:srgbClr val="FFFFFF"/>
                        </a:solidFill>
                        <a:ln w="6350">
                          <a:solidFill>
                            <a:srgbClr val="231F20"/>
                          </a:solidFill>
                          <a:miter lim="800000"/>
                          <a:headEnd/>
                          <a:tailEnd/>
                        </a:ln>
                      </wps:spPr>
                      <wps:bodyPr/>
                    </wps:wsp>
                  </a:graphicData>
                </a:graphic>
              </wp:anchor>
            </w:drawing>
          </mc:Choice>
          <mc:Fallback>
            <w:pict>
              <v:line id="Shape 491" o:spid="_x0000_s151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5pt,9.8pt" to="0.25pt,55.8pt" o:allowincell="f" strokecolor="#231F20" strokeweight="0.5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127635</wp:posOffset>
                </wp:positionV>
                <wp:extent cx="6400800" cy="0"/>
                <wp:wrapNone/>
                <wp:docPr id="492" name="Shape 4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492" o:spid="_x0000_s151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0.05pt" to="504pt,10.05pt" o:allowincell="f" strokecolor="#231F20" strokeweight="0.5pt"/>
            </w:pict>
          </mc:Fallback>
        </mc:AlternateContent>
        <mc:AlternateContent>
          <mc:Choice Requires="wps">
            <w:drawing>
              <wp:anchor simplePos="0" relativeHeight="251657728" behindDoc="1" locked="0" layoutInCell="0" allowOverlap="1">
                <wp:simplePos x="0" y="0"/>
                <wp:positionH relativeFrom="column">
                  <wp:posOffset>6397625</wp:posOffset>
                </wp:positionH>
                <wp:positionV relativeFrom="paragraph">
                  <wp:posOffset>124460</wp:posOffset>
                </wp:positionV>
                <wp:extent cx="0" cy="584200"/>
                <wp:wrapNone/>
                <wp:docPr id="493" name="Shape 4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84200"/>
                        </a:xfrm>
                        <a:prstGeom prst="line">
                          <a:avLst/>
                        </a:prstGeom>
                        <a:solidFill>
                          <a:srgbClr val="FFFFFF"/>
                        </a:solidFill>
                        <a:ln w="6350">
                          <a:solidFill>
                            <a:srgbClr val="231F20"/>
                          </a:solidFill>
                          <a:miter lim="800000"/>
                          <a:headEnd/>
                          <a:tailEnd/>
                        </a:ln>
                      </wps:spPr>
                      <wps:bodyPr/>
                    </wps:wsp>
                  </a:graphicData>
                </a:graphic>
              </wp:anchor>
            </w:drawing>
          </mc:Choice>
          <mc:Fallback>
            <w:pict>
              <v:line id="Shape 493" o:spid="_x0000_s151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3.75pt,9.8pt" to="503.75pt,55.8pt" o:allowincell="f" strokecolor="#231F20" strokeweight="0.5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705485</wp:posOffset>
                </wp:positionV>
                <wp:extent cx="6400800" cy="0"/>
                <wp:wrapNone/>
                <wp:docPr id="494" name="Shape 4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494" o:spid="_x0000_s151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5.55pt" to="504pt,55.55pt" o:allowincell="f" strokecolor="#231F20" strokeweight="0.5pt"/>
            </w:pict>
          </mc:Fallback>
        </mc:AlternateContent>
      </w:r>
    </w:p>
    <w:p>
      <w:pPr>
        <w:spacing w:after="0" w:line="195" w:lineRule="exact"/>
        <w:rPr>
          <w:sz w:val="20"/>
          <w:szCs w:val="20"/>
          <w:color w:val="auto"/>
        </w:rPr>
      </w:pPr>
    </w:p>
    <w:p>
      <w:pPr>
        <w:jc w:val="both"/>
        <w:ind w:left="1000" w:right="160"/>
        <w:spacing w:after="0" w:line="218" w:lineRule="auto"/>
        <w:rPr>
          <w:sz w:val="20"/>
          <w:szCs w:val="20"/>
          <w:color w:val="auto"/>
        </w:rPr>
      </w:pPr>
      <w:r>
        <w:rPr>
          <w:rFonts w:ascii="Arial" w:cs="Arial" w:eastAsia="Arial" w:hAnsi="Arial"/>
          <w:sz w:val="28"/>
          <w:szCs w:val="28"/>
          <w:color w:val="231F20"/>
        </w:rPr>
        <w:t xml:space="preserve">Our Board recommends a vote </w:t>
      </w:r>
      <w:r>
        <w:rPr>
          <w:rFonts w:ascii="Arial" w:cs="Arial" w:eastAsia="Arial" w:hAnsi="Arial"/>
          <w:sz w:val="28"/>
          <w:szCs w:val="28"/>
          <w:b w:val="1"/>
          <w:bCs w:val="1"/>
          <w:color w:val="231F20"/>
        </w:rPr>
        <w:t>FOR</w:t>
      </w:r>
      <w:r>
        <w:rPr>
          <w:rFonts w:ascii="Arial" w:cs="Arial" w:eastAsia="Arial" w:hAnsi="Arial"/>
          <w:sz w:val="28"/>
          <w:szCs w:val="28"/>
          <w:color w:val="231F20"/>
        </w:rPr>
        <w:t xml:space="preserve"> the ratification of the appointment of GT as our independent registered public accounting firm for fiscal year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-501015</wp:posOffset>
            </wp:positionV>
            <wp:extent cx="440690" cy="41592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112">
                      <a:clrChange>
                        <a:clrFrom>
                          <a:srgbClr val="000000"/>
                        </a:clrFrom>
                        <a:clrTo>
                          <a:srgbClr val="000000">
                            <a:alpha val="0"/>
                          </a:srgbClr>
                        </a:clrTo>
                      </a:clrChange>
                      <a:extLst>
                        <a:ext uri="{28A0092B-C50C-407E-A947-70E740481C1C}"/>
                      </a:extLst>
                    </a:blip>
                    <a:srcRect/>
                    <a:stretch>
                      <a:fillRect/>
                    </a:stretch>
                  </pic:blipFill>
                  <pic:spPr bwMode="auto">
                    <a:xfrm>
                      <a:off x="0" y="0"/>
                      <a:ext cx="440690" cy="415925"/>
                    </a:xfrm>
                    <a:prstGeom prst="rect">
                      <a:avLst/>
                    </a:prstGeom>
                    <a:noFill/>
                  </pic:spPr>
                </pic:pic>
              </a:graphicData>
            </a:graphic>
          </wp:anchor>
        </w:drawing>
        <w:drawing>
          <wp:anchor simplePos="0" relativeHeight="251657728" behindDoc="1" locked="0" layoutInCell="0" allowOverlap="1">
            <wp:simplePos x="0" y="0"/>
            <wp:positionH relativeFrom="column">
              <wp:posOffset>88265</wp:posOffset>
            </wp:positionH>
            <wp:positionV relativeFrom="paragraph">
              <wp:posOffset>-501015</wp:posOffset>
            </wp:positionV>
            <wp:extent cx="440690" cy="41592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113">
                      <a:clrChange>
                        <a:clrFrom>
                          <a:srgbClr val="FFFFFF"/>
                        </a:clrFrom>
                        <a:clrTo>
                          <a:srgbClr val="FFFFFF">
                            <a:alpha val="0"/>
                          </a:srgbClr>
                        </a:clrTo>
                      </a:clrChange>
                      <a:extLst>
                        <a:ext uri="{28A0092B-C50C-407E-A947-70E740481C1C}"/>
                      </a:extLst>
                    </a:blip>
                    <a:srcRect/>
                    <a:stretch>
                      <a:fillRect/>
                    </a:stretch>
                  </pic:blipFill>
                  <pic:spPr bwMode="auto">
                    <a:xfrm>
                      <a:off x="0" y="0"/>
                      <a:ext cx="440690" cy="415925"/>
                    </a:xfrm>
                    <a:prstGeom prst="rect">
                      <a:avLst/>
                    </a:prstGeom>
                    <a:noFill/>
                  </pic:spPr>
                </pic:pic>
              </a:graphicData>
            </a:graphic>
          </wp:anchor>
        </w:drawing>
      </w:r>
    </w:p>
    <w:p>
      <w:pPr>
        <w:spacing w:after="0" w:line="256" w:lineRule="exact"/>
        <w:rPr>
          <w:sz w:val="20"/>
          <w:szCs w:val="20"/>
          <w:color w:val="auto"/>
        </w:rPr>
      </w:pPr>
    </w:p>
    <w:p>
      <w:pPr>
        <w:spacing w:after="0" w:line="268" w:lineRule="exact"/>
        <w:rPr>
          <w:sz w:val="20"/>
          <w:szCs w:val="20"/>
          <w:color w:val="auto"/>
        </w:rPr>
      </w:pPr>
      <w:r>
        <w:rPr>
          <w:rFonts w:ascii="Arial Unicode MS" w:cs="Arial Unicode MS" w:eastAsia="Arial Unicode MS" w:hAnsi="Arial Unicode MS"/>
          <w:sz w:val="20"/>
          <w:szCs w:val="20"/>
          <w:color w:val="EF3E2A"/>
        </w:rPr>
        <w:t>➣</w:t>
      </w:r>
      <w:r>
        <w:rPr>
          <w:rFonts w:ascii="Arial" w:cs="Arial" w:eastAsia="Arial" w:hAnsi="Arial"/>
          <w:sz w:val="20"/>
          <w:szCs w:val="20"/>
          <w:b w:val="1"/>
          <w:bCs w:val="1"/>
          <w:color w:val="231F20"/>
        </w:rPr>
        <w:t xml:space="preserve"> AUDIT COMMITTEE REPORT</w:t>
      </w:r>
    </w:p>
    <w:p>
      <w:pPr>
        <w:spacing w:after="0" w:line="133" w:lineRule="exact"/>
        <w:rPr>
          <w:sz w:val="20"/>
          <w:szCs w:val="20"/>
          <w:color w:val="auto"/>
        </w:rPr>
      </w:pPr>
    </w:p>
    <w:p>
      <w:pPr>
        <w:jc w:val="both"/>
        <w:spacing w:after="0" w:line="268" w:lineRule="auto"/>
        <w:rPr>
          <w:sz w:val="20"/>
          <w:szCs w:val="20"/>
          <w:color w:val="auto"/>
        </w:rPr>
      </w:pPr>
      <w:r>
        <w:rPr>
          <w:rFonts w:ascii="Arial" w:cs="Arial" w:eastAsia="Arial" w:hAnsi="Arial"/>
          <w:sz w:val="19"/>
          <w:szCs w:val="19"/>
          <w:i w:val="1"/>
          <w:iCs w:val="1"/>
          <w:color w:val="231F20"/>
        </w:rPr>
        <w:t>The following Report of the Audit Committee does not constitute soliciting material and should not be deemed filed or incorporated by reference into any other filing by us under the Securities Act of 1933 or the Securities Exchange Act of 1934, except to the extent the Company specifically incorporates this Report by reference therein.</w:t>
      </w:r>
    </w:p>
    <w:p>
      <w:pPr>
        <w:spacing w:after="0" w:line="232"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231F20"/>
        </w:rPr>
        <w:t xml:space="preserve">The Audit Committee is made up entirely of trustees who meet all independence requirements under the rules of the SEC and NYSE and have the requisite financial competence to serve on the Audit Committee. The Audit Committee meets at least quarterly and operates pursuant to a written charter that is reviewed at least every three years. That charter can be accessed under the Investors/Corporate Governance section of our website at </w:t>
      </w:r>
      <w:r>
        <w:rPr>
          <w:rFonts w:ascii="Arial" w:cs="Arial" w:eastAsia="Arial" w:hAnsi="Arial"/>
          <w:sz w:val="20"/>
          <w:szCs w:val="20"/>
          <w:i w:val="1"/>
          <w:iCs w:val="1"/>
          <w:u w:val="single" w:color="auto"/>
          <w:color w:val="231F20"/>
        </w:rPr>
        <w:t>www.federalrealty.com</w:t>
      </w:r>
      <w:r>
        <w:rPr>
          <w:rFonts w:ascii="Arial" w:cs="Arial" w:eastAsia="Arial" w:hAnsi="Arial"/>
          <w:sz w:val="20"/>
          <w:szCs w:val="20"/>
          <w:color w:val="231F20"/>
        </w:rPr>
        <w:t>. In 2025, the Audit Committee met four times and each meeting included an executive</w:t>
      </w:r>
      <w:r>
        <w:rPr>
          <w:rFonts w:ascii="Arial" w:cs="Arial" w:eastAsia="Arial" w:hAnsi="Arial"/>
          <w:sz w:val="20"/>
          <w:szCs w:val="20"/>
          <w:i w:val="1"/>
          <w:iCs w:val="1"/>
          <w:color w:val="231F20"/>
        </w:rPr>
        <w:t xml:space="preserve"> </w:t>
      </w:r>
      <w:r>
        <w:rPr>
          <w:rFonts w:ascii="Arial" w:cs="Arial" w:eastAsia="Arial" w:hAnsi="Arial"/>
          <w:sz w:val="20"/>
          <w:szCs w:val="20"/>
          <w:color w:val="231F20"/>
        </w:rPr>
        <w:t>session with our independent registered public accounting firm and no members of management present.</w:t>
      </w:r>
    </w:p>
    <w:p>
      <w:pPr>
        <w:spacing w:after="0" w:line="248"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231F20"/>
        </w:rPr>
        <w:t>The Audit Committee is directly responsible for the appointment, retention and oversight of GT, the independent registered public accounting firm retained to audit our financial statements, and also oversees management of our internal audit firm in performance of their financial functions. Specifically, management is responsible for the financial reporting process, including the system of internal controls, for the preparation of consolidated financial statements in accordance with generally accepted accounting principles in the United States and for reporting on internal control over financial reporting. Management uses Pricewaterhouse Coopers, LLC (“PwC”) to provide its internal audit function, including oversight of the ongoing testing of the effectiveness of our internal controls. The Audit Committee met regularly with PwC in 2025 and one meeting included an executive session with PwC with no members of GT or management present. GT is responsible for auditing the consolidated financial statements of the Company and expressing an opinion on the financial statements and the effectiveness of internal controls over financial reporting.</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231F20"/>
        </w:rPr>
        <w:t>As part of its oversight function, the Audit Committee:</w:t>
      </w:r>
    </w:p>
    <w:p>
      <w:pPr>
        <w:spacing w:after="0" w:line="257" w:lineRule="exact"/>
        <w:rPr>
          <w:sz w:val="20"/>
          <w:szCs w:val="20"/>
          <w:color w:val="auto"/>
        </w:rPr>
      </w:pPr>
    </w:p>
    <w:p>
      <w:pPr>
        <w:ind w:left="1100" w:hanging="366"/>
        <w:spacing w:after="0" w:line="243" w:lineRule="auto"/>
        <w:tabs>
          <w:tab w:leader="none" w:pos="1100" w:val="left"/>
        </w:tabs>
        <w:numPr>
          <w:ilvl w:val="0"/>
          <w:numId w:val="161"/>
        </w:numPr>
        <w:rPr>
          <w:rFonts w:ascii="Arial" w:cs="Arial" w:eastAsia="Arial" w:hAnsi="Arial"/>
          <w:sz w:val="20"/>
          <w:szCs w:val="20"/>
          <w:color w:val="231F20"/>
        </w:rPr>
      </w:pPr>
      <w:r>
        <w:rPr>
          <w:rFonts w:ascii="Arial" w:cs="Arial" w:eastAsia="Arial" w:hAnsi="Arial"/>
          <w:sz w:val="20"/>
          <w:szCs w:val="20"/>
          <w:color w:val="231F20"/>
        </w:rPr>
        <w:t>Met with management and GT and reviewed and discussed the Company’s December 31, 2025 audited financial statements;</w:t>
      </w:r>
    </w:p>
    <w:p>
      <w:pPr>
        <w:spacing w:after="0" w:line="254" w:lineRule="exact"/>
        <w:rPr>
          <w:rFonts w:ascii="Arial" w:cs="Arial" w:eastAsia="Arial" w:hAnsi="Arial"/>
          <w:sz w:val="20"/>
          <w:szCs w:val="20"/>
          <w:color w:val="231F20"/>
        </w:rPr>
      </w:pPr>
    </w:p>
    <w:p>
      <w:pPr>
        <w:ind w:left="1100" w:hanging="366"/>
        <w:spacing w:after="0" w:line="245" w:lineRule="auto"/>
        <w:tabs>
          <w:tab w:leader="none" w:pos="1100" w:val="left"/>
        </w:tabs>
        <w:numPr>
          <w:ilvl w:val="0"/>
          <w:numId w:val="161"/>
        </w:numPr>
        <w:rPr>
          <w:rFonts w:ascii="Arial" w:cs="Arial" w:eastAsia="Arial" w:hAnsi="Arial"/>
          <w:sz w:val="20"/>
          <w:szCs w:val="20"/>
          <w:color w:val="231F20"/>
        </w:rPr>
      </w:pPr>
      <w:r>
        <w:rPr>
          <w:rFonts w:ascii="Arial" w:cs="Arial" w:eastAsia="Arial" w:hAnsi="Arial"/>
          <w:sz w:val="20"/>
          <w:szCs w:val="20"/>
          <w:color w:val="231F20"/>
        </w:rPr>
        <w:t>Worked with GT to oversee the audit of the Company’s financial statements beginning with fiscal year 2025;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1863090</wp:posOffset>
                </wp:positionV>
                <wp:extent cx="6400800" cy="177800"/>
                <wp:wrapNone/>
                <wp:docPr id="497" name="Shape 4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177800"/>
                        </a:xfrm>
                        <a:prstGeom prst="rect">
                          <a:avLst/>
                        </a:prstGeom>
                        <a:solidFill>
                          <a:srgbClr val="E8E7E5"/>
                        </a:solidFill>
                      </wps:spPr>
                      <wps:bodyPr/>
                    </wps:wsp>
                  </a:graphicData>
                </a:graphic>
              </wp:anchor>
            </w:drawing>
          </mc:Choice>
          <mc:Fallback>
            <w:pict>
              <v:rect id="Shape 497" o:spid="_x0000_s1522" style="position:absolute;margin-left:0pt;margin-top:146.7pt;width:504pt;height:1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8E7E5" stroked="f"/>
            </w:pict>
          </mc:Fallback>
        </mc:AlternateContent>
        <mc:AlternateContent>
          <mc:Choice Requires="wps">
            <w:drawing>
              <wp:anchor simplePos="0" relativeHeight="251657728" behindDoc="1" locked="0" layoutInCell="0" allowOverlap="1">
                <wp:simplePos x="0" y="0"/>
                <wp:positionH relativeFrom="column">
                  <wp:posOffset>6350</wp:posOffset>
                </wp:positionH>
                <wp:positionV relativeFrom="paragraph">
                  <wp:posOffset>1862455</wp:posOffset>
                </wp:positionV>
                <wp:extent cx="0" cy="177800"/>
                <wp:wrapNone/>
                <wp:docPr id="498" name="Shape 4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498" o:spid="_x0000_s152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pt,146.65pt" to="0.5pt,160.65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1868805</wp:posOffset>
                </wp:positionV>
                <wp:extent cx="6400800" cy="0"/>
                <wp:wrapNone/>
                <wp:docPr id="499" name="Shape 4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499" o:spid="_x0000_s152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47.15pt" to="504pt,147.15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6394450</wp:posOffset>
                </wp:positionH>
                <wp:positionV relativeFrom="paragraph">
                  <wp:posOffset>1862455</wp:posOffset>
                </wp:positionV>
                <wp:extent cx="0" cy="177800"/>
                <wp:wrapNone/>
                <wp:docPr id="500" name="Shape 5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500" o:spid="_x0000_s152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3.5pt,146.65pt" to="503.5pt,160.65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2033905</wp:posOffset>
                </wp:positionV>
                <wp:extent cx="6400800" cy="0"/>
                <wp:wrapNone/>
                <wp:docPr id="501" name="Shape 5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501" o:spid="_x0000_s152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60.15pt" to="504pt,160.15pt" o:allowincell="f" strokecolor="#231F20" strokeweight="1pt"/>
            </w:pict>
          </mc:Fallback>
        </mc:AlternateContent>
      </w:r>
    </w:p>
    <w:p>
      <w:pPr>
        <w:sectPr>
          <w:pgSz w:w="11880" w:h="15480" w:orient="portrait"/>
          <w:cols w:equalWidth="0" w:num="1">
            <w:col w:w="10080"/>
          </w:cols>
          <w:pgMar w:left="900" w:top="1316" w:right="900" w:bottom="76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6720"/>
        <w:spacing w:after="0"/>
        <w:tabs>
          <w:tab w:leader="none" w:pos="8060" w:val="left"/>
          <w:tab w:leader="none" w:pos="9800" w:val="left"/>
        </w:tabs>
        <w:rPr>
          <w:sz w:val="20"/>
          <w:szCs w:val="20"/>
          <w:color w:val="auto"/>
        </w:rPr>
      </w:pPr>
      <w:r>
        <w:rPr>
          <w:rFonts w:ascii="Arial" w:cs="Arial" w:eastAsia="Arial" w:hAnsi="Arial"/>
          <w:sz w:val="16"/>
          <w:szCs w:val="16"/>
          <w:color w:val="EF3E2A"/>
        </w:rPr>
        <w:t>Federal Realty</w:t>
      </w:r>
      <w:r>
        <w:rPr>
          <w:sz w:val="20"/>
          <w:szCs w:val="20"/>
          <w:color w:val="auto"/>
        </w:rPr>
        <w:tab/>
      </w:r>
      <w:r>
        <w:rPr>
          <w:rFonts w:ascii="Arial" w:cs="Arial" w:eastAsia="Arial" w:hAnsi="Arial"/>
          <w:sz w:val="16"/>
          <w:szCs w:val="16"/>
          <w:color w:val="231F20"/>
        </w:rPr>
        <w:t>2026 Proxy Statement</w:t>
        <w:tab/>
        <w:t>41</w:t>
      </w:r>
    </w:p>
    <w:p>
      <w:pPr>
        <w:sectPr>
          <w:pgSz w:w="11880" w:h="15480" w:orient="portrait"/>
          <w:cols w:equalWidth="0" w:num="1">
            <w:col w:w="10080"/>
          </w:cols>
          <w:pgMar w:left="900" w:top="1316" w:right="900" w:bottom="763" w:gutter="0" w:footer="0" w:header="0"/>
          <w:type w:val="continuous"/>
        </w:sectPr>
      </w:pPr>
    </w:p>
    <w:bookmarkStart w:id="161" w:name="page162"/>
    <w:bookmarkEnd w:id="161"/>
    <w:p>
      <w:pPr>
        <w:ind w:left="1100" w:hanging="366"/>
        <w:spacing w:after="0" w:line="243" w:lineRule="auto"/>
        <w:tabs>
          <w:tab w:leader="none" w:pos="1100" w:val="left"/>
        </w:tabs>
        <w:numPr>
          <w:ilvl w:val="0"/>
          <w:numId w:val="162"/>
        </w:numPr>
        <w:rPr>
          <w:rFonts w:ascii="Arial" w:cs="Arial" w:eastAsia="Arial" w:hAnsi="Arial"/>
          <w:sz w:val="20"/>
          <w:szCs w:val="20"/>
          <w:color w:val="231F20"/>
        </w:rPr>
      </w:pPr>
      <w:r>
        <w:rPr>
          <w:rFonts w:ascii="Arial" w:cs="Arial" w:eastAsia="Arial" w:hAnsi="Arial"/>
          <w:sz w:val="20"/>
          <w:szCs w:val="20"/>
          <w:color w:val="231F20"/>
        </w:rPr>
        <w:t>Discussed with GT the matters required to be discussed by the applicable requirements of the Public Company Accounting Oversight Board (“PCAOB”) and the SEC;</w:t>
      </w:r>
    </w:p>
    <w:p>
      <w:pPr>
        <w:spacing w:after="0" w:line="254" w:lineRule="exact"/>
        <w:rPr>
          <w:rFonts w:ascii="Arial" w:cs="Arial" w:eastAsia="Arial" w:hAnsi="Arial"/>
          <w:sz w:val="20"/>
          <w:szCs w:val="20"/>
          <w:color w:val="231F20"/>
        </w:rPr>
      </w:pPr>
    </w:p>
    <w:p>
      <w:pPr>
        <w:ind w:left="1100" w:hanging="366"/>
        <w:spacing w:after="0" w:line="243" w:lineRule="auto"/>
        <w:tabs>
          <w:tab w:leader="none" w:pos="1100" w:val="left"/>
        </w:tabs>
        <w:numPr>
          <w:ilvl w:val="0"/>
          <w:numId w:val="162"/>
        </w:numPr>
        <w:rPr>
          <w:rFonts w:ascii="Arial" w:cs="Arial" w:eastAsia="Arial" w:hAnsi="Arial"/>
          <w:sz w:val="20"/>
          <w:szCs w:val="20"/>
          <w:color w:val="231F20"/>
        </w:rPr>
      </w:pPr>
      <w:r>
        <w:rPr>
          <w:rFonts w:ascii="Arial" w:cs="Arial" w:eastAsia="Arial" w:hAnsi="Arial"/>
          <w:sz w:val="20"/>
          <w:szCs w:val="20"/>
          <w:color w:val="231F20"/>
        </w:rPr>
        <w:t>Reviewed and discussed with management and GT, individually and collectively, all annual and quarterly financial statements and operating results prior to their issuance;</w:t>
      </w:r>
    </w:p>
    <w:p>
      <w:pPr>
        <w:spacing w:after="0" w:line="254" w:lineRule="exact"/>
        <w:rPr>
          <w:rFonts w:ascii="Arial" w:cs="Arial" w:eastAsia="Arial" w:hAnsi="Arial"/>
          <w:sz w:val="20"/>
          <w:szCs w:val="20"/>
          <w:color w:val="231F20"/>
        </w:rPr>
      </w:pPr>
    </w:p>
    <w:p>
      <w:pPr>
        <w:jc w:val="both"/>
        <w:ind w:left="1100" w:hanging="366"/>
        <w:spacing w:after="0" w:line="246" w:lineRule="auto"/>
        <w:tabs>
          <w:tab w:leader="none" w:pos="1100" w:val="left"/>
        </w:tabs>
        <w:numPr>
          <w:ilvl w:val="0"/>
          <w:numId w:val="162"/>
        </w:numPr>
        <w:rPr>
          <w:rFonts w:ascii="Arial" w:cs="Arial" w:eastAsia="Arial" w:hAnsi="Arial"/>
          <w:sz w:val="20"/>
          <w:szCs w:val="20"/>
          <w:color w:val="231F20"/>
        </w:rPr>
      </w:pPr>
      <w:r>
        <w:rPr>
          <w:rFonts w:ascii="Arial" w:cs="Arial" w:eastAsia="Arial" w:hAnsi="Arial"/>
          <w:sz w:val="20"/>
          <w:szCs w:val="20"/>
          <w:color w:val="231F20"/>
        </w:rPr>
        <w:t>Received the written disclosures and the letter from GT required by applicable requirements of the PCAOB regarding GT’s communications with the audit committee concerning independence, and has discussed with GT its independence;</w:t>
      </w:r>
    </w:p>
    <w:p>
      <w:pPr>
        <w:spacing w:after="0" w:line="132" w:lineRule="exact"/>
        <w:rPr>
          <w:rFonts w:ascii="Arial" w:cs="Arial" w:eastAsia="Arial" w:hAnsi="Arial"/>
          <w:sz w:val="20"/>
          <w:szCs w:val="20"/>
          <w:color w:val="231F20"/>
        </w:rPr>
      </w:pPr>
    </w:p>
    <w:p>
      <w:pPr>
        <w:ind w:left="1100" w:hanging="366"/>
        <w:spacing w:after="0" w:line="243" w:lineRule="auto"/>
        <w:tabs>
          <w:tab w:leader="none" w:pos="1100" w:val="left"/>
        </w:tabs>
        <w:numPr>
          <w:ilvl w:val="0"/>
          <w:numId w:val="162"/>
        </w:numPr>
        <w:rPr>
          <w:rFonts w:ascii="Arial" w:cs="Arial" w:eastAsia="Arial" w:hAnsi="Arial"/>
          <w:sz w:val="20"/>
          <w:szCs w:val="20"/>
          <w:color w:val="231F20"/>
        </w:rPr>
      </w:pPr>
      <w:r>
        <w:rPr>
          <w:rFonts w:ascii="Arial" w:cs="Arial" w:eastAsia="Arial" w:hAnsi="Arial"/>
          <w:sz w:val="20"/>
          <w:szCs w:val="20"/>
          <w:color w:val="231F20"/>
        </w:rPr>
        <w:t>Discussed with GT matters required to be discussed pursuant to applicable audit standards, including the reasonableness of judgments and the clarity and completeness of financial disclosures;</w:t>
      </w:r>
    </w:p>
    <w:p>
      <w:pPr>
        <w:spacing w:after="0" w:line="134" w:lineRule="exact"/>
        <w:rPr>
          <w:rFonts w:ascii="Arial" w:cs="Arial" w:eastAsia="Arial" w:hAnsi="Arial"/>
          <w:sz w:val="20"/>
          <w:szCs w:val="20"/>
          <w:color w:val="231F20"/>
        </w:rPr>
      </w:pPr>
    </w:p>
    <w:p>
      <w:pPr>
        <w:ind w:left="1100" w:hanging="366"/>
        <w:spacing w:after="0" w:line="243" w:lineRule="auto"/>
        <w:tabs>
          <w:tab w:leader="none" w:pos="1100" w:val="left"/>
        </w:tabs>
        <w:numPr>
          <w:ilvl w:val="0"/>
          <w:numId w:val="162"/>
        </w:numPr>
        <w:rPr>
          <w:rFonts w:ascii="Arial" w:cs="Arial" w:eastAsia="Arial" w:hAnsi="Arial"/>
          <w:sz w:val="20"/>
          <w:szCs w:val="20"/>
          <w:color w:val="231F20"/>
        </w:rPr>
      </w:pPr>
      <w:r>
        <w:rPr>
          <w:rFonts w:ascii="Arial" w:cs="Arial" w:eastAsia="Arial" w:hAnsi="Arial"/>
          <w:sz w:val="20"/>
          <w:szCs w:val="20"/>
          <w:color w:val="231F20"/>
        </w:rPr>
        <w:t>Monitored the non-audit services provided by GT to ensure that performance of such services did not adversely impact GT’s independence; and</w:t>
      </w:r>
    </w:p>
    <w:p>
      <w:pPr>
        <w:spacing w:after="0" w:line="134" w:lineRule="exact"/>
        <w:rPr>
          <w:rFonts w:ascii="Arial" w:cs="Arial" w:eastAsia="Arial" w:hAnsi="Arial"/>
          <w:sz w:val="20"/>
          <w:szCs w:val="20"/>
          <w:color w:val="231F20"/>
        </w:rPr>
      </w:pPr>
    </w:p>
    <w:p>
      <w:pPr>
        <w:jc w:val="both"/>
        <w:ind w:left="1100" w:hanging="366"/>
        <w:spacing w:after="0" w:line="248" w:lineRule="auto"/>
        <w:tabs>
          <w:tab w:leader="none" w:pos="1100" w:val="left"/>
        </w:tabs>
        <w:numPr>
          <w:ilvl w:val="0"/>
          <w:numId w:val="162"/>
        </w:numPr>
        <w:rPr>
          <w:rFonts w:ascii="Arial" w:cs="Arial" w:eastAsia="Arial" w:hAnsi="Arial"/>
          <w:sz w:val="20"/>
          <w:szCs w:val="20"/>
          <w:color w:val="231F20"/>
        </w:rPr>
      </w:pPr>
      <w:r>
        <w:rPr>
          <w:rFonts w:ascii="Arial" w:cs="Arial" w:eastAsia="Arial" w:hAnsi="Arial"/>
          <w:sz w:val="20"/>
          <w:szCs w:val="20"/>
          <w:color w:val="231F20"/>
        </w:rPr>
        <w:t>Discussed with management cybersecurity various cybersecurity matters including use of artificial intelligence (“AI”) and the company’s AI policy. The Committee was advised that there were no known material cybersecurity incidents, including third-party incidents, during 2025 and that cybersecurity insurance had been procured.</w:t>
      </w:r>
    </w:p>
    <w:p>
      <w:pPr>
        <w:spacing w:after="0" w:line="249"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231F20"/>
        </w:rPr>
        <w:t>Based on the Audit Committee’s reviews and discussions with GT, PwC and management, the Audit Committee recommended to the Board of Trustees that the Board approve the inclusion of our audited financial statements in our Annual Report on Form 10-K for the fiscal year ended December 31, 2025 for filing with the SEC.</w:t>
      </w: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color w:val="231F20"/>
        </w:rPr>
        <w:t>Submitted by the Audit Committee:</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color w:val="231F20"/>
        </w:rPr>
        <w:t>Gail P. Steinel, Chairperson</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231F20"/>
        </w:rPr>
        <w:t>David W. Faeder</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231F20"/>
        </w:rPr>
        <w:t>Jospeh D. Fisher (joined the Audit Committee on January 1, 2026)</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231F20"/>
        </w:rPr>
        <w:t>Elizabeth I. Holland</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231F20"/>
        </w:rPr>
        <w:t>Anthony P. Nader, III</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3364230</wp:posOffset>
                </wp:positionV>
                <wp:extent cx="6400800" cy="177800"/>
                <wp:wrapNone/>
                <wp:docPr id="502" name="Shape 5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177800"/>
                        </a:xfrm>
                        <a:prstGeom prst="rect">
                          <a:avLst/>
                        </a:prstGeom>
                        <a:solidFill>
                          <a:srgbClr val="E8E7E5"/>
                        </a:solidFill>
                      </wps:spPr>
                      <wps:bodyPr/>
                    </wps:wsp>
                  </a:graphicData>
                </a:graphic>
              </wp:anchor>
            </w:drawing>
          </mc:Choice>
          <mc:Fallback>
            <w:pict>
              <v:rect id="Shape 502" o:spid="_x0000_s1527" style="position:absolute;margin-left:0pt;margin-top:264.9pt;width:504pt;height:1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8E7E5" stroked="f"/>
            </w:pict>
          </mc:Fallback>
        </mc:AlternateContent>
        <mc:AlternateContent>
          <mc:Choice Requires="wps">
            <w:drawing>
              <wp:anchor simplePos="0" relativeHeight="251657728" behindDoc="1" locked="0" layoutInCell="0" allowOverlap="1">
                <wp:simplePos x="0" y="0"/>
                <wp:positionH relativeFrom="column">
                  <wp:posOffset>6350</wp:posOffset>
                </wp:positionH>
                <wp:positionV relativeFrom="paragraph">
                  <wp:posOffset>3364230</wp:posOffset>
                </wp:positionV>
                <wp:extent cx="0" cy="177800"/>
                <wp:wrapNone/>
                <wp:docPr id="503" name="Shape 5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503" o:spid="_x0000_s15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pt,264.9pt" to="0.5pt,278.9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3370580</wp:posOffset>
                </wp:positionV>
                <wp:extent cx="6400800" cy="0"/>
                <wp:wrapNone/>
                <wp:docPr id="504" name="Shape 5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504" o:spid="_x0000_s15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65.4pt" to="504pt,265.4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6394450</wp:posOffset>
                </wp:positionH>
                <wp:positionV relativeFrom="paragraph">
                  <wp:posOffset>3364230</wp:posOffset>
                </wp:positionV>
                <wp:extent cx="0" cy="177800"/>
                <wp:wrapNone/>
                <wp:docPr id="505" name="Shape 5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505" o:spid="_x0000_s15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3.5pt,264.9pt" to="503.5pt,278.9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3535680</wp:posOffset>
                </wp:positionV>
                <wp:extent cx="6400800" cy="0"/>
                <wp:wrapNone/>
                <wp:docPr id="506" name="Shape 5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506" o:spid="_x0000_s15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78.4pt" to="504pt,278.4pt" o:allowincell="f" strokecolor="#231F20" strokeweight="1pt"/>
            </w:pict>
          </mc:Fallback>
        </mc:AlternateContent>
      </w:r>
    </w:p>
    <w:p>
      <w:pPr>
        <w:sectPr>
          <w:pgSz w:w="11880" w:h="15480" w:orient="portrait"/>
          <w:cols w:equalWidth="0" w:num="1">
            <w:col w:w="10080"/>
          </w:cols>
          <w:pgMar w:left="900" w:top="1316" w:right="900" w:bottom="76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80"/>
        <w:spacing w:after="0"/>
        <w:tabs>
          <w:tab w:leader="none" w:pos="1420" w:val="left"/>
          <w:tab w:leader="none" w:pos="3160" w:val="left"/>
        </w:tabs>
        <w:rPr>
          <w:sz w:val="20"/>
          <w:szCs w:val="20"/>
          <w:color w:val="auto"/>
        </w:rPr>
      </w:pPr>
      <w:r>
        <w:rPr>
          <w:rFonts w:ascii="Arial" w:cs="Arial" w:eastAsia="Arial" w:hAnsi="Arial"/>
          <w:sz w:val="16"/>
          <w:szCs w:val="16"/>
          <w:color w:val="EF3E2A"/>
        </w:rPr>
        <w:t>Federal Realty</w:t>
      </w:r>
      <w:r>
        <w:rPr>
          <w:sz w:val="20"/>
          <w:szCs w:val="20"/>
          <w:color w:val="auto"/>
        </w:rPr>
        <w:tab/>
      </w:r>
      <w:r>
        <w:rPr>
          <w:rFonts w:ascii="Arial" w:cs="Arial" w:eastAsia="Arial" w:hAnsi="Arial"/>
          <w:sz w:val="16"/>
          <w:szCs w:val="16"/>
          <w:color w:val="231F20"/>
        </w:rPr>
        <w:t>2026 Proxy Statement</w:t>
        <w:tab/>
        <w:t>42</w:t>
      </w:r>
    </w:p>
    <w:p>
      <w:pPr>
        <w:sectPr>
          <w:pgSz w:w="11880" w:h="15480" w:orient="portrait"/>
          <w:cols w:equalWidth="0" w:num="1">
            <w:col w:w="10080"/>
          </w:cols>
          <w:pgMar w:left="900" w:top="1316" w:right="900" w:bottom="763" w:gutter="0" w:footer="0" w:header="0"/>
          <w:type w:val="continuous"/>
        </w:sectPr>
      </w:pPr>
    </w:p>
    <w:bookmarkStart w:id="162" w:name="page163"/>
    <w:bookmarkEnd w:id="162"/>
    <w:p>
      <w:pPr>
        <w:spacing w:after="0"/>
        <w:rPr>
          <w:sz w:val="20"/>
          <w:szCs w:val="20"/>
          <w:color w:val="auto"/>
        </w:rPr>
      </w:pPr>
      <w:r>
        <w:rPr>
          <w:rFonts w:ascii="Arial" w:cs="Arial" w:eastAsia="Arial" w:hAnsi="Arial"/>
          <w:sz w:val="36"/>
          <w:szCs w:val="36"/>
          <w:b w:val="1"/>
          <w:bCs w:val="1"/>
          <w:color w:val="231F20"/>
        </w:rPr>
        <mc:AlternateContent>
          <mc:Choice Requires="wps">
            <w:drawing>
              <wp:anchor simplePos="0" relativeHeight="251657728" behindDoc="1" locked="0" layoutInCell="0" allowOverlap="1">
                <wp:simplePos x="0" y="0"/>
                <wp:positionH relativeFrom="page">
                  <wp:posOffset>571500</wp:posOffset>
                </wp:positionH>
                <wp:positionV relativeFrom="page">
                  <wp:posOffset>838200</wp:posOffset>
                </wp:positionV>
                <wp:extent cx="6400800" cy="0"/>
                <wp:wrapNone/>
                <wp:docPr id="507" name="Shape 5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38100">
                          <a:solidFill>
                            <a:srgbClr val="EF3E2A"/>
                          </a:solidFill>
                          <a:miter lim="800000"/>
                          <a:headEnd/>
                          <a:tailEnd/>
                        </a:ln>
                      </wps:spPr>
                      <wps:bodyPr/>
                    </wps:wsp>
                  </a:graphicData>
                </a:graphic>
              </wp:anchor>
            </w:drawing>
          </mc:Choice>
          <mc:Fallback>
            <w:pict>
              <v:line id="Shape 507" o:spid="_x0000_s153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5pt,66pt" to="549pt,66pt" o:allowincell="f" strokecolor="#EF3E2A" strokeweight="3pt">
                <w10:wrap anchorx="page" anchory="page"/>
              </v:line>
            </w:pict>
          </mc:Fallback>
        </mc:AlternateContent>
        <w:t>Beneficial Ownership</w:t>
      </w:r>
    </w:p>
    <w:p>
      <w:pPr>
        <w:spacing w:after="0" w:line="24" w:lineRule="exact"/>
        <w:rPr>
          <w:sz w:val="20"/>
          <w:szCs w:val="20"/>
          <w:color w:val="auto"/>
        </w:rPr>
      </w:pPr>
    </w:p>
    <w:p>
      <w:pPr>
        <w:spacing w:after="0" w:line="304" w:lineRule="exact"/>
        <w:tabs>
          <w:tab w:leader="none" w:pos="380" w:val="left"/>
        </w:tabs>
        <w:rPr>
          <w:sz w:val="20"/>
          <w:szCs w:val="20"/>
          <w:color w:val="auto"/>
        </w:rPr>
      </w:pPr>
      <w:r>
        <w:rPr>
          <w:rFonts w:ascii="Arial Unicode MS" w:cs="Arial Unicode MS" w:eastAsia="Arial Unicode MS" w:hAnsi="Arial Unicode MS"/>
          <w:sz w:val="20"/>
          <w:szCs w:val="20"/>
          <w:color w:val="EF3E2A"/>
        </w:rPr>
        <w:t>➣</w:t>
      </w:r>
      <w:r>
        <w:rPr>
          <w:rFonts w:ascii="Arial" w:cs="Arial" w:eastAsia="Arial" w:hAnsi="Arial"/>
          <w:sz w:val="20"/>
          <w:szCs w:val="20"/>
          <w:b w:val="1"/>
          <w:bCs w:val="1"/>
          <w:color w:val="231F20"/>
        </w:rPr>
        <w:tab/>
        <w:t>OWNERSHIP OF PRINCIPAL SHAREHOLDERS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960" w:type="dxa"/>
            <w:vAlign w:val="bottom"/>
            <w:shd w:val="clear" w:color="auto" w:fill="EF3E2A"/>
          </w:tcPr>
          <w:p>
            <w:pPr>
              <w:spacing w:after="0"/>
              <w:rPr>
                <w:sz w:val="21"/>
                <w:szCs w:val="21"/>
                <w:color w:val="auto"/>
              </w:rPr>
            </w:pPr>
          </w:p>
        </w:tc>
        <w:tc>
          <w:tcPr>
            <w:tcW w:w="4300" w:type="dxa"/>
            <w:vAlign w:val="bottom"/>
            <w:shd w:val="clear" w:color="auto" w:fill="EF3E2A"/>
          </w:tcPr>
          <w:p>
            <w:pPr>
              <w:spacing w:after="0"/>
              <w:rPr>
                <w:sz w:val="21"/>
                <w:szCs w:val="21"/>
                <w:color w:val="auto"/>
              </w:rPr>
            </w:pPr>
          </w:p>
        </w:tc>
        <w:tc>
          <w:tcPr>
            <w:tcW w:w="2420" w:type="dxa"/>
            <w:vAlign w:val="bottom"/>
            <w:shd w:val="clear" w:color="auto" w:fill="EF3E2A"/>
          </w:tcPr>
          <w:p>
            <w:pPr>
              <w:jc w:val="right"/>
              <w:ind w:right="20"/>
              <w:spacing w:after="0"/>
              <w:rPr>
                <w:sz w:val="20"/>
                <w:szCs w:val="20"/>
                <w:color w:val="auto"/>
              </w:rPr>
            </w:pPr>
            <w:r>
              <w:rPr>
                <w:rFonts w:ascii="Arial" w:cs="Arial" w:eastAsia="Arial" w:hAnsi="Arial"/>
                <w:sz w:val="20"/>
                <w:szCs w:val="20"/>
                <w:b w:val="1"/>
                <w:bCs w:val="1"/>
                <w:color w:val="FFFFFF"/>
              </w:rPr>
              <w:t>Amount and Nature of</w:t>
            </w:r>
          </w:p>
        </w:tc>
        <w:tc>
          <w:tcPr>
            <w:tcW w:w="2400" w:type="dxa"/>
            <w:vAlign w:val="bottom"/>
            <w:shd w:val="clear" w:color="auto" w:fill="EF3E2A"/>
          </w:tcPr>
          <w:p>
            <w:pPr>
              <w:jc w:val="right"/>
              <w:ind w:right="300"/>
              <w:spacing w:after="0"/>
              <w:rPr>
                <w:sz w:val="20"/>
                <w:szCs w:val="20"/>
                <w:color w:val="auto"/>
              </w:rPr>
            </w:pPr>
            <w:r>
              <w:rPr>
                <w:rFonts w:ascii="Arial" w:cs="Arial" w:eastAsia="Arial" w:hAnsi="Arial"/>
                <w:sz w:val="20"/>
                <w:szCs w:val="20"/>
                <w:b w:val="1"/>
                <w:bCs w:val="1"/>
                <w:color w:val="FFFFFF"/>
              </w:rPr>
              <w:t>Percentage of Our</w:t>
            </w:r>
          </w:p>
        </w:tc>
      </w:tr>
      <w:tr>
        <w:trPr>
          <w:trHeight w:val="248"/>
        </w:trPr>
        <w:tc>
          <w:tcPr>
            <w:tcW w:w="5260" w:type="dxa"/>
            <w:vAlign w:val="bottom"/>
            <w:gridSpan w:val="2"/>
            <w:shd w:val="clear" w:color="auto" w:fill="EF3E2A"/>
          </w:tcPr>
          <w:p>
            <w:pPr>
              <w:ind w:left="60"/>
              <w:spacing w:after="0" w:line="228" w:lineRule="exact"/>
              <w:rPr>
                <w:sz w:val="20"/>
                <w:szCs w:val="20"/>
                <w:color w:val="auto"/>
              </w:rPr>
            </w:pPr>
            <w:r>
              <w:rPr>
                <w:rFonts w:ascii="Arial" w:cs="Arial" w:eastAsia="Arial" w:hAnsi="Arial"/>
                <w:sz w:val="20"/>
                <w:szCs w:val="20"/>
                <w:b w:val="1"/>
                <w:bCs w:val="1"/>
                <w:color w:val="FFFFFF"/>
              </w:rPr>
              <w:t>Name and Address of Beneficial Owner</w:t>
            </w:r>
          </w:p>
        </w:tc>
        <w:tc>
          <w:tcPr>
            <w:tcW w:w="2420" w:type="dxa"/>
            <w:vAlign w:val="bottom"/>
            <w:shd w:val="clear" w:color="auto" w:fill="EF3E2A"/>
          </w:tcPr>
          <w:p>
            <w:pPr>
              <w:jc w:val="right"/>
              <w:ind w:right="40"/>
              <w:spacing w:after="0" w:line="228" w:lineRule="exact"/>
              <w:rPr>
                <w:sz w:val="20"/>
                <w:szCs w:val="20"/>
                <w:color w:val="auto"/>
              </w:rPr>
            </w:pPr>
            <w:r>
              <w:rPr>
                <w:rFonts w:ascii="Arial" w:cs="Arial" w:eastAsia="Arial" w:hAnsi="Arial"/>
                <w:sz w:val="20"/>
                <w:szCs w:val="20"/>
                <w:b w:val="1"/>
                <w:bCs w:val="1"/>
                <w:color w:val="FFFFFF"/>
              </w:rPr>
              <w:t>Beneficial Ownership</w:t>
            </w:r>
          </w:p>
        </w:tc>
        <w:tc>
          <w:tcPr>
            <w:tcW w:w="2400" w:type="dxa"/>
            <w:vAlign w:val="bottom"/>
            <w:shd w:val="clear" w:color="auto" w:fill="EF3E2A"/>
          </w:tcPr>
          <w:p>
            <w:pPr>
              <w:jc w:val="right"/>
              <w:ind w:right="120"/>
              <w:spacing w:after="0" w:line="247" w:lineRule="exact"/>
              <w:rPr>
                <w:sz w:val="20"/>
                <w:szCs w:val="20"/>
                <w:color w:val="auto"/>
              </w:rPr>
            </w:pPr>
            <w:r>
              <w:rPr>
                <w:rFonts w:ascii="Arial" w:cs="Arial" w:eastAsia="Arial" w:hAnsi="Arial"/>
                <w:sz w:val="20"/>
                <w:szCs w:val="20"/>
                <w:b w:val="1"/>
                <w:bCs w:val="1"/>
                <w:color w:val="FFFFFF"/>
              </w:rPr>
              <w:t>Outstanding Shares</w:t>
            </w:r>
            <w:r>
              <w:rPr>
                <w:rFonts w:ascii="Arial" w:cs="Arial" w:eastAsia="Arial" w:hAnsi="Arial"/>
                <w:sz w:val="26"/>
                <w:szCs w:val="26"/>
                <w:b w:val="1"/>
                <w:bCs w:val="1"/>
                <w:color w:val="FFFFFF"/>
                <w:vertAlign w:val="superscript"/>
              </w:rPr>
              <w:t>(1)</w:t>
            </w:r>
          </w:p>
        </w:tc>
      </w:tr>
      <w:tr>
        <w:trPr>
          <w:trHeight w:val="342"/>
        </w:trPr>
        <w:tc>
          <w:tcPr>
            <w:tcW w:w="5260" w:type="dxa"/>
            <w:vAlign w:val="bottom"/>
            <w:gridSpan w:val="2"/>
            <w:shd w:val="clear" w:color="auto" w:fill="DCDDDE"/>
          </w:tcPr>
          <w:p>
            <w:pPr>
              <w:ind w:left="60"/>
              <w:spacing w:after="0"/>
              <w:rPr>
                <w:sz w:val="20"/>
                <w:szCs w:val="20"/>
                <w:color w:val="auto"/>
              </w:rPr>
            </w:pPr>
            <w:r>
              <w:rPr>
                <w:rFonts w:ascii="Calibri" w:cs="Calibri" w:eastAsia="Calibri" w:hAnsi="Calibri"/>
                <w:sz w:val="20"/>
                <w:szCs w:val="20"/>
                <w:color w:val="231F20"/>
              </w:rPr>
              <w:t>The Vanguard Group, Inc</w:t>
            </w:r>
            <w:r>
              <w:rPr>
                <w:rFonts w:ascii="Calibri" w:cs="Calibri" w:eastAsia="Calibri" w:hAnsi="Calibri"/>
                <w:sz w:val="26"/>
                <w:szCs w:val="26"/>
                <w:color w:val="231F20"/>
                <w:vertAlign w:val="superscript"/>
              </w:rPr>
              <w:t>.(2)</w:t>
            </w:r>
          </w:p>
        </w:tc>
        <w:tc>
          <w:tcPr>
            <w:tcW w:w="2420" w:type="dxa"/>
            <w:vAlign w:val="bottom"/>
          </w:tcPr>
          <w:p>
            <w:pPr>
              <w:jc w:val="right"/>
              <w:ind w:right="600"/>
              <w:spacing w:after="0"/>
              <w:rPr>
                <w:sz w:val="20"/>
                <w:szCs w:val="20"/>
                <w:color w:val="auto"/>
              </w:rPr>
            </w:pPr>
            <w:r>
              <w:rPr>
                <w:rFonts w:ascii="Calibri" w:cs="Calibri" w:eastAsia="Calibri" w:hAnsi="Calibri"/>
                <w:sz w:val="20"/>
                <w:szCs w:val="20"/>
                <w:color w:val="231F20"/>
              </w:rPr>
              <w:t>12,537,358</w:t>
            </w:r>
          </w:p>
        </w:tc>
        <w:tc>
          <w:tcPr>
            <w:tcW w:w="2400" w:type="dxa"/>
            <w:vAlign w:val="bottom"/>
          </w:tcPr>
          <w:p>
            <w:pPr>
              <w:jc w:val="right"/>
              <w:ind w:right="840"/>
              <w:spacing w:after="0"/>
              <w:rPr>
                <w:sz w:val="20"/>
                <w:szCs w:val="20"/>
                <w:color w:val="auto"/>
              </w:rPr>
            </w:pPr>
            <w:r>
              <w:rPr>
                <w:rFonts w:ascii="Calibri" w:cs="Calibri" w:eastAsia="Calibri" w:hAnsi="Calibri"/>
                <w:sz w:val="20"/>
                <w:szCs w:val="20"/>
                <w:color w:val="231F20"/>
              </w:rPr>
              <w:t>14.5%</w:t>
            </w:r>
          </w:p>
        </w:tc>
      </w:tr>
      <w:tr>
        <w:trPr>
          <w:trHeight w:val="236"/>
        </w:trPr>
        <w:tc>
          <w:tcPr>
            <w:tcW w:w="5260" w:type="dxa"/>
            <w:vAlign w:val="bottom"/>
            <w:gridSpan w:val="2"/>
            <w:shd w:val="clear" w:color="auto" w:fill="DCDDDE"/>
          </w:tcPr>
          <w:p>
            <w:pPr>
              <w:ind w:left="60"/>
              <w:spacing w:after="0" w:line="236" w:lineRule="exact"/>
              <w:rPr>
                <w:sz w:val="20"/>
                <w:szCs w:val="20"/>
                <w:color w:val="auto"/>
              </w:rPr>
            </w:pPr>
            <w:r>
              <w:rPr>
                <w:rFonts w:ascii="Calibri" w:cs="Calibri" w:eastAsia="Calibri" w:hAnsi="Calibri"/>
                <w:sz w:val="20"/>
                <w:szCs w:val="20"/>
                <w:color w:val="231F20"/>
              </w:rPr>
              <w:t>100 Vanguard Blvd.</w:t>
            </w:r>
          </w:p>
        </w:tc>
        <w:tc>
          <w:tcPr>
            <w:tcW w:w="2420" w:type="dxa"/>
            <w:vAlign w:val="bottom"/>
          </w:tcPr>
          <w:p>
            <w:pPr>
              <w:spacing w:after="0"/>
              <w:rPr>
                <w:sz w:val="20"/>
                <w:szCs w:val="20"/>
                <w:color w:val="auto"/>
              </w:rPr>
            </w:pPr>
          </w:p>
        </w:tc>
        <w:tc>
          <w:tcPr>
            <w:tcW w:w="2400" w:type="dxa"/>
            <w:vAlign w:val="bottom"/>
          </w:tcPr>
          <w:p>
            <w:pPr>
              <w:spacing w:after="0"/>
              <w:rPr>
                <w:sz w:val="20"/>
                <w:szCs w:val="20"/>
                <w:color w:val="auto"/>
              </w:rPr>
            </w:pPr>
          </w:p>
        </w:tc>
      </w:tr>
      <w:tr>
        <w:trPr>
          <w:trHeight w:val="309"/>
        </w:trPr>
        <w:tc>
          <w:tcPr>
            <w:tcW w:w="5260" w:type="dxa"/>
            <w:vAlign w:val="bottom"/>
            <w:tcBorders>
              <w:bottom w:val="single" w:sz="8" w:color="231F20"/>
            </w:tcBorders>
            <w:gridSpan w:val="2"/>
            <w:shd w:val="clear" w:color="auto" w:fill="DCDDDE"/>
          </w:tcPr>
          <w:p>
            <w:pPr>
              <w:ind w:left="60"/>
              <w:spacing w:after="0"/>
              <w:rPr>
                <w:sz w:val="20"/>
                <w:szCs w:val="20"/>
                <w:color w:val="auto"/>
              </w:rPr>
            </w:pPr>
            <w:r>
              <w:rPr>
                <w:rFonts w:ascii="Calibri" w:cs="Calibri" w:eastAsia="Calibri" w:hAnsi="Calibri"/>
                <w:sz w:val="20"/>
                <w:szCs w:val="20"/>
                <w:color w:val="231F20"/>
              </w:rPr>
              <w:t>Malvern, PA 19355</w:t>
            </w:r>
          </w:p>
        </w:tc>
        <w:tc>
          <w:tcPr>
            <w:tcW w:w="2420" w:type="dxa"/>
            <w:vAlign w:val="bottom"/>
            <w:tcBorders>
              <w:bottom w:val="single" w:sz="8" w:color="231F20"/>
            </w:tcBorders>
          </w:tcPr>
          <w:p>
            <w:pPr>
              <w:spacing w:after="0"/>
              <w:rPr>
                <w:sz w:val="24"/>
                <w:szCs w:val="24"/>
                <w:color w:val="auto"/>
              </w:rPr>
            </w:pPr>
          </w:p>
        </w:tc>
        <w:tc>
          <w:tcPr>
            <w:tcW w:w="2400" w:type="dxa"/>
            <w:vAlign w:val="bottom"/>
            <w:tcBorders>
              <w:bottom w:val="single" w:sz="8" w:color="231F20"/>
            </w:tcBorders>
          </w:tcPr>
          <w:p>
            <w:pPr>
              <w:spacing w:after="0"/>
              <w:rPr>
                <w:sz w:val="24"/>
                <w:szCs w:val="24"/>
                <w:color w:val="auto"/>
              </w:rPr>
            </w:pPr>
          </w:p>
        </w:tc>
      </w:tr>
      <w:tr>
        <w:trPr>
          <w:trHeight w:val="335"/>
        </w:trPr>
        <w:tc>
          <w:tcPr>
            <w:tcW w:w="5260" w:type="dxa"/>
            <w:vAlign w:val="bottom"/>
            <w:gridSpan w:val="2"/>
            <w:shd w:val="clear" w:color="auto" w:fill="DCDDDE"/>
          </w:tcPr>
          <w:p>
            <w:pPr>
              <w:ind w:left="60"/>
              <w:spacing w:after="0"/>
              <w:rPr>
                <w:sz w:val="20"/>
                <w:szCs w:val="20"/>
                <w:color w:val="auto"/>
              </w:rPr>
            </w:pPr>
            <w:r>
              <w:rPr>
                <w:rFonts w:ascii="Calibri" w:cs="Calibri" w:eastAsia="Calibri" w:hAnsi="Calibri"/>
                <w:sz w:val="20"/>
                <w:szCs w:val="20"/>
                <w:color w:val="231F20"/>
              </w:rPr>
              <w:t>BlackRock, Inc.</w:t>
            </w:r>
            <w:r>
              <w:rPr>
                <w:rFonts w:ascii="Calibri" w:cs="Calibri" w:eastAsia="Calibri" w:hAnsi="Calibri"/>
                <w:sz w:val="26"/>
                <w:szCs w:val="26"/>
                <w:color w:val="231F20"/>
                <w:vertAlign w:val="superscript"/>
              </w:rPr>
              <w:t>(3)</w:t>
            </w:r>
          </w:p>
        </w:tc>
        <w:tc>
          <w:tcPr>
            <w:tcW w:w="2420" w:type="dxa"/>
            <w:vAlign w:val="bottom"/>
          </w:tcPr>
          <w:p>
            <w:pPr>
              <w:jc w:val="right"/>
              <w:ind w:right="600"/>
              <w:spacing w:after="0"/>
              <w:rPr>
                <w:sz w:val="20"/>
                <w:szCs w:val="20"/>
                <w:color w:val="auto"/>
              </w:rPr>
            </w:pPr>
            <w:r>
              <w:rPr>
                <w:rFonts w:ascii="Calibri" w:cs="Calibri" w:eastAsia="Calibri" w:hAnsi="Calibri"/>
                <w:sz w:val="20"/>
                <w:szCs w:val="20"/>
                <w:color w:val="231F20"/>
              </w:rPr>
              <w:t>7,614,616</w:t>
            </w:r>
          </w:p>
        </w:tc>
        <w:tc>
          <w:tcPr>
            <w:tcW w:w="2400" w:type="dxa"/>
            <w:vAlign w:val="bottom"/>
          </w:tcPr>
          <w:p>
            <w:pPr>
              <w:jc w:val="right"/>
              <w:ind w:right="840"/>
              <w:spacing w:after="0"/>
              <w:rPr>
                <w:sz w:val="20"/>
                <w:szCs w:val="20"/>
                <w:color w:val="auto"/>
              </w:rPr>
            </w:pPr>
            <w:r>
              <w:rPr>
                <w:rFonts w:ascii="Calibri" w:cs="Calibri" w:eastAsia="Calibri" w:hAnsi="Calibri"/>
                <w:sz w:val="20"/>
                <w:szCs w:val="20"/>
                <w:color w:val="231F20"/>
              </w:rPr>
              <w:t>8.8%</w:t>
            </w:r>
          </w:p>
        </w:tc>
      </w:tr>
      <w:tr>
        <w:trPr>
          <w:trHeight w:val="300"/>
        </w:trPr>
        <w:tc>
          <w:tcPr>
            <w:tcW w:w="5260" w:type="dxa"/>
            <w:vAlign w:val="bottom"/>
            <w:gridSpan w:val="2"/>
            <w:shd w:val="clear" w:color="auto" w:fill="DCDDDE"/>
          </w:tcPr>
          <w:p>
            <w:pPr>
              <w:ind w:left="60"/>
              <w:spacing w:after="0" w:line="299" w:lineRule="exact"/>
              <w:rPr>
                <w:sz w:val="20"/>
                <w:szCs w:val="20"/>
                <w:color w:val="auto"/>
              </w:rPr>
            </w:pPr>
            <w:r>
              <w:rPr>
                <w:rFonts w:ascii="Calibri" w:cs="Calibri" w:eastAsia="Calibri" w:hAnsi="Calibri"/>
                <w:sz w:val="20"/>
                <w:szCs w:val="20"/>
                <w:color w:val="231F20"/>
              </w:rPr>
              <w:t>55 East 52</w:t>
            </w:r>
            <w:r>
              <w:rPr>
                <w:rFonts w:ascii="Calibri" w:cs="Calibri" w:eastAsia="Calibri" w:hAnsi="Calibri"/>
                <w:sz w:val="26"/>
                <w:szCs w:val="26"/>
                <w:color w:val="231F20"/>
                <w:vertAlign w:val="superscript"/>
              </w:rPr>
              <w:t>nd</w:t>
            </w:r>
            <w:r>
              <w:rPr>
                <w:rFonts w:ascii="Calibri" w:cs="Calibri" w:eastAsia="Calibri" w:hAnsi="Calibri"/>
                <w:sz w:val="20"/>
                <w:szCs w:val="20"/>
                <w:color w:val="231F20"/>
              </w:rPr>
              <w:t xml:space="preserve"> Street</w:t>
            </w:r>
          </w:p>
        </w:tc>
        <w:tc>
          <w:tcPr>
            <w:tcW w:w="242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245"/>
        </w:trPr>
        <w:tc>
          <w:tcPr>
            <w:tcW w:w="5260" w:type="dxa"/>
            <w:vAlign w:val="bottom"/>
            <w:tcBorders>
              <w:bottom w:val="single" w:sz="8" w:color="231F20"/>
            </w:tcBorders>
            <w:gridSpan w:val="2"/>
            <w:shd w:val="clear" w:color="auto" w:fill="DCDDDE"/>
          </w:tcPr>
          <w:p>
            <w:pPr>
              <w:ind w:left="60"/>
              <w:spacing w:after="0" w:line="236" w:lineRule="exact"/>
              <w:rPr>
                <w:sz w:val="20"/>
                <w:szCs w:val="20"/>
                <w:color w:val="auto"/>
              </w:rPr>
            </w:pPr>
            <w:r>
              <w:rPr>
                <w:rFonts w:ascii="Calibri" w:cs="Calibri" w:eastAsia="Calibri" w:hAnsi="Calibri"/>
                <w:sz w:val="20"/>
                <w:szCs w:val="20"/>
                <w:color w:val="231F20"/>
              </w:rPr>
              <w:t>New York, NY 10055</w:t>
            </w:r>
          </w:p>
        </w:tc>
        <w:tc>
          <w:tcPr>
            <w:tcW w:w="2420" w:type="dxa"/>
            <w:vAlign w:val="bottom"/>
            <w:tcBorders>
              <w:bottom w:val="single" w:sz="8" w:color="231F20"/>
            </w:tcBorders>
          </w:tcPr>
          <w:p>
            <w:pPr>
              <w:spacing w:after="0"/>
              <w:rPr>
                <w:sz w:val="21"/>
                <w:szCs w:val="21"/>
                <w:color w:val="auto"/>
              </w:rPr>
            </w:pPr>
          </w:p>
        </w:tc>
        <w:tc>
          <w:tcPr>
            <w:tcW w:w="2400" w:type="dxa"/>
            <w:vAlign w:val="bottom"/>
            <w:tcBorders>
              <w:bottom w:val="single" w:sz="8" w:color="231F20"/>
            </w:tcBorders>
          </w:tcPr>
          <w:p>
            <w:pPr>
              <w:spacing w:after="0"/>
              <w:rPr>
                <w:sz w:val="21"/>
                <w:szCs w:val="21"/>
                <w:color w:val="auto"/>
              </w:rPr>
            </w:pPr>
          </w:p>
        </w:tc>
      </w:tr>
      <w:tr>
        <w:trPr>
          <w:trHeight w:val="335"/>
        </w:trPr>
        <w:tc>
          <w:tcPr>
            <w:tcW w:w="5260" w:type="dxa"/>
            <w:vAlign w:val="bottom"/>
            <w:gridSpan w:val="2"/>
            <w:shd w:val="clear" w:color="auto" w:fill="DCDDDE"/>
          </w:tcPr>
          <w:p>
            <w:pPr>
              <w:ind w:left="60"/>
              <w:spacing w:after="0"/>
              <w:rPr>
                <w:sz w:val="20"/>
                <w:szCs w:val="20"/>
                <w:color w:val="auto"/>
              </w:rPr>
            </w:pPr>
            <w:r>
              <w:rPr>
                <w:rFonts w:ascii="Calibri" w:cs="Calibri" w:eastAsia="Calibri" w:hAnsi="Calibri"/>
                <w:sz w:val="20"/>
                <w:szCs w:val="20"/>
                <w:color w:val="231F20"/>
              </w:rPr>
              <w:t>Norges Bank (The Central Bank of Norway)</w:t>
            </w:r>
            <w:r>
              <w:rPr>
                <w:rFonts w:ascii="Calibri" w:cs="Calibri" w:eastAsia="Calibri" w:hAnsi="Calibri"/>
                <w:sz w:val="26"/>
                <w:szCs w:val="26"/>
                <w:color w:val="231F20"/>
                <w:vertAlign w:val="superscript"/>
              </w:rPr>
              <w:t>(4)</w:t>
            </w:r>
          </w:p>
        </w:tc>
        <w:tc>
          <w:tcPr>
            <w:tcW w:w="2420" w:type="dxa"/>
            <w:vAlign w:val="bottom"/>
          </w:tcPr>
          <w:p>
            <w:pPr>
              <w:jc w:val="right"/>
              <w:ind w:right="600"/>
              <w:spacing w:after="0"/>
              <w:rPr>
                <w:sz w:val="20"/>
                <w:szCs w:val="20"/>
                <w:color w:val="auto"/>
              </w:rPr>
            </w:pPr>
            <w:r>
              <w:rPr>
                <w:rFonts w:ascii="Calibri" w:cs="Calibri" w:eastAsia="Calibri" w:hAnsi="Calibri"/>
                <w:sz w:val="20"/>
                <w:szCs w:val="20"/>
                <w:color w:val="231F20"/>
              </w:rPr>
              <w:t>7,213,760</w:t>
            </w:r>
          </w:p>
        </w:tc>
        <w:tc>
          <w:tcPr>
            <w:tcW w:w="2400" w:type="dxa"/>
            <w:vAlign w:val="bottom"/>
          </w:tcPr>
          <w:p>
            <w:pPr>
              <w:jc w:val="right"/>
              <w:ind w:right="840"/>
              <w:spacing w:after="0"/>
              <w:rPr>
                <w:sz w:val="20"/>
                <w:szCs w:val="20"/>
                <w:color w:val="auto"/>
              </w:rPr>
            </w:pPr>
            <w:r>
              <w:rPr>
                <w:rFonts w:ascii="Calibri" w:cs="Calibri" w:eastAsia="Calibri" w:hAnsi="Calibri"/>
                <w:sz w:val="20"/>
                <w:szCs w:val="20"/>
                <w:color w:val="231F20"/>
              </w:rPr>
              <w:t>8.4%</w:t>
            </w:r>
          </w:p>
        </w:tc>
      </w:tr>
      <w:tr>
        <w:trPr>
          <w:trHeight w:val="236"/>
        </w:trPr>
        <w:tc>
          <w:tcPr>
            <w:tcW w:w="5260" w:type="dxa"/>
            <w:vAlign w:val="bottom"/>
            <w:gridSpan w:val="2"/>
            <w:shd w:val="clear" w:color="auto" w:fill="DCDDDE"/>
          </w:tcPr>
          <w:p>
            <w:pPr>
              <w:ind w:left="60"/>
              <w:spacing w:after="0" w:line="236" w:lineRule="exact"/>
              <w:rPr>
                <w:sz w:val="20"/>
                <w:szCs w:val="20"/>
                <w:color w:val="auto"/>
              </w:rPr>
            </w:pPr>
            <w:r>
              <w:rPr>
                <w:rFonts w:ascii="Calibri" w:cs="Calibri" w:eastAsia="Calibri" w:hAnsi="Calibri"/>
                <w:sz w:val="20"/>
                <w:szCs w:val="20"/>
                <w:color w:val="231F20"/>
              </w:rPr>
              <w:t>Bankplassen 2, PO Box 1179 Sentrum</w:t>
            </w:r>
          </w:p>
        </w:tc>
        <w:tc>
          <w:tcPr>
            <w:tcW w:w="2420" w:type="dxa"/>
            <w:vAlign w:val="bottom"/>
          </w:tcPr>
          <w:p>
            <w:pPr>
              <w:spacing w:after="0"/>
              <w:rPr>
                <w:sz w:val="20"/>
                <w:szCs w:val="20"/>
                <w:color w:val="auto"/>
              </w:rPr>
            </w:pPr>
          </w:p>
        </w:tc>
        <w:tc>
          <w:tcPr>
            <w:tcW w:w="2400" w:type="dxa"/>
            <w:vAlign w:val="bottom"/>
          </w:tcPr>
          <w:p>
            <w:pPr>
              <w:spacing w:after="0"/>
              <w:rPr>
                <w:sz w:val="20"/>
                <w:szCs w:val="20"/>
                <w:color w:val="auto"/>
              </w:rPr>
            </w:pPr>
          </w:p>
        </w:tc>
      </w:tr>
      <w:tr>
        <w:trPr>
          <w:trHeight w:val="309"/>
        </w:trPr>
        <w:tc>
          <w:tcPr>
            <w:tcW w:w="5260" w:type="dxa"/>
            <w:vAlign w:val="bottom"/>
            <w:tcBorders>
              <w:bottom w:val="single" w:sz="8" w:color="231F20"/>
            </w:tcBorders>
            <w:gridSpan w:val="2"/>
            <w:shd w:val="clear" w:color="auto" w:fill="DCDDDE"/>
          </w:tcPr>
          <w:p>
            <w:pPr>
              <w:ind w:left="60"/>
              <w:spacing w:after="0"/>
              <w:rPr>
                <w:sz w:val="20"/>
                <w:szCs w:val="20"/>
                <w:color w:val="auto"/>
              </w:rPr>
            </w:pPr>
            <w:r>
              <w:rPr>
                <w:rFonts w:ascii="Calibri" w:cs="Calibri" w:eastAsia="Calibri" w:hAnsi="Calibri"/>
                <w:sz w:val="20"/>
                <w:szCs w:val="20"/>
                <w:color w:val="231F20"/>
              </w:rPr>
              <w:t>NO 0107 Oslo Norway</w:t>
            </w:r>
          </w:p>
        </w:tc>
        <w:tc>
          <w:tcPr>
            <w:tcW w:w="2420" w:type="dxa"/>
            <w:vAlign w:val="bottom"/>
            <w:tcBorders>
              <w:bottom w:val="single" w:sz="8" w:color="231F20"/>
            </w:tcBorders>
          </w:tcPr>
          <w:p>
            <w:pPr>
              <w:spacing w:after="0"/>
              <w:rPr>
                <w:sz w:val="24"/>
                <w:szCs w:val="24"/>
                <w:color w:val="auto"/>
              </w:rPr>
            </w:pPr>
          </w:p>
        </w:tc>
        <w:tc>
          <w:tcPr>
            <w:tcW w:w="2400" w:type="dxa"/>
            <w:vAlign w:val="bottom"/>
            <w:tcBorders>
              <w:bottom w:val="single" w:sz="8" w:color="231F20"/>
            </w:tcBorders>
          </w:tcPr>
          <w:p>
            <w:pPr>
              <w:spacing w:after="0"/>
              <w:rPr>
                <w:sz w:val="24"/>
                <w:szCs w:val="24"/>
                <w:color w:val="auto"/>
              </w:rPr>
            </w:pPr>
          </w:p>
        </w:tc>
      </w:tr>
      <w:tr>
        <w:trPr>
          <w:trHeight w:val="335"/>
        </w:trPr>
        <w:tc>
          <w:tcPr>
            <w:tcW w:w="5260" w:type="dxa"/>
            <w:vAlign w:val="bottom"/>
            <w:gridSpan w:val="2"/>
            <w:shd w:val="clear" w:color="auto" w:fill="DCDDDE"/>
          </w:tcPr>
          <w:p>
            <w:pPr>
              <w:ind w:left="60"/>
              <w:spacing w:after="0"/>
              <w:rPr>
                <w:sz w:val="20"/>
                <w:szCs w:val="20"/>
                <w:color w:val="auto"/>
              </w:rPr>
            </w:pPr>
            <w:r>
              <w:rPr>
                <w:rFonts w:ascii="Calibri" w:cs="Calibri" w:eastAsia="Calibri" w:hAnsi="Calibri"/>
                <w:sz w:val="20"/>
                <w:szCs w:val="20"/>
                <w:color w:val="231F20"/>
              </w:rPr>
              <w:t>State Street Corporation</w:t>
            </w:r>
            <w:r>
              <w:rPr>
                <w:rFonts w:ascii="Calibri" w:cs="Calibri" w:eastAsia="Calibri" w:hAnsi="Calibri"/>
                <w:sz w:val="26"/>
                <w:szCs w:val="26"/>
                <w:color w:val="231F20"/>
                <w:vertAlign w:val="superscript"/>
              </w:rPr>
              <w:t>(5)</w:t>
            </w:r>
          </w:p>
        </w:tc>
        <w:tc>
          <w:tcPr>
            <w:tcW w:w="2420" w:type="dxa"/>
            <w:vAlign w:val="bottom"/>
          </w:tcPr>
          <w:p>
            <w:pPr>
              <w:jc w:val="right"/>
              <w:ind w:right="600"/>
              <w:spacing w:after="0"/>
              <w:rPr>
                <w:sz w:val="20"/>
                <w:szCs w:val="20"/>
                <w:color w:val="auto"/>
              </w:rPr>
            </w:pPr>
            <w:r>
              <w:rPr>
                <w:rFonts w:ascii="Calibri" w:cs="Calibri" w:eastAsia="Calibri" w:hAnsi="Calibri"/>
                <w:sz w:val="20"/>
                <w:szCs w:val="20"/>
                <w:color w:val="231F20"/>
              </w:rPr>
              <w:t>6,113,255</w:t>
            </w:r>
          </w:p>
        </w:tc>
        <w:tc>
          <w:tcPr>
            <w:tcW w:w="2400" w:type="dxa"/>
            <w:vAlign w:val="bottom"/>
          </w:tcPr>
          <w:p>
            <w:pPr>
              <w:jc w:val="right"/>
              <w:ind w:right="840"/>
              <w:spacing w:after="0"/>
              <w:rPr>
                <w:sz w:val="20"/>
                <w:szCs w:val="20"/>
                <w:color w:val="auto"/>
              </w:rPr>
            </w:pPr>
            <w:r>
              <w:rPr>
                <w:rFonts w:ascii="Calibri" w:cs="Calibri" w:eastAsia="Calibri" w:hAnsi="Calibri"/>
                <w:sz w:val="20"/>
                <w:szCs w:val="20"/>
                <w:color w:val="231F20"/>
              </w:rPr>
              <w:t>7.1%</w:t>
            </w:r>
          </w:p>
        </w:tc>
      </w:tr>
      <w:tr>
        <w:trPr>
          <w:trHeight w:val="236"/>
        </w:trPr>
        <w:tc>
          <w:tcPr>
            <w:tcW w:w="5260" w:type="dxa"/>
            <w:vAlign w:val="bottom"/>
            <w:gridSpan w:val="2"/>
            <w:shd w:val="clear" w:color="auto" w:fill="DCDDDE"/>
          </w:tcPr>
          <w:p>
            <w:pPr>
              <w:ind w:left="60"/>
              <w:spacing w:after="0" w:line="236" w:lineRule="exact"/>
              <w:rPr>
                <w:sz w:val="20"/>
                <w:szCs w:val="20"/>
                <w:color w:val="auto"/>
              </w:rPr>
            </w:pPr>
            <w:r>
              <w:rPr>
                <w:rFonts w:ascii="Calibri" w:cs="Calibri" w:eastAsia="Calibri" w:hAnsi="Calibri"/>
                <w:sz w:val="20"/>
                <w:szCs w:val="20"/>
                <w:color w:val="231F20"/>
              </w:rPr>
              <w:t>One Congress Street, Suite 1</w:t>
            </w:r>
          </w:p>
        </w:tc>
        <w:tc>
          <w:tcPr>
            <w:tcW w:w="2420" w:type="dxa"/>
            <w:vAlign w:val="bottom"/>
          </w:tcPr>
          <w:p>
            <w:pPr>
              <w:spacing w:after="0"/>
              <w:rPr>
                <w:sz w:val="20"/>
                <w:szCs w:val="20"/>
                <w:color w:val="auto"/>
              </w:rPr>
            </w:pPr>
          </w:p>
        </w:tc>
        <w:tc>
          <w:tcPr>
            <w:tcW w:w="2400" w:type="dxa"/>
            <w:vAlign w:val="bottom"/>
          </w:tcPr>
          <w:p>
            <w:pPr>
              <w:spacing w:after="0"/>
              <w:rPr>
                <w:sz w:val="20"/>
                <w:szCs w:val="20"/>
                <w:color w:val="auto"/>
              </w:rPr>
            </w:pPr>
          </w:p>
        </w:tc>
      </w:tr>
      <w:tr>
        <w:trPr>
          <w:trHeight w:val="309"/>
        </w:trPr>
        <w:tc>
          <w:tcPr>
            <w:tcW w:w="5260" w:type="dxa"/>
            <w:vAlign w:val="bottom"/>
            <w:tcBorders>
              <w:bottom w:val="single" w:sz="8" w:color="231F20"/>
            </w:tcBorders>
            <w:gridSpan w:val="2"/>
            <w:shd w:val="clear" w:color="auto" w:fill="DCDDDE"/>
          </w:tcPr>
          <w:p>
            <w:pPr>
              <w:ind w:left="60"/>
              <w:spacing w:after="0"/>
              <w:rPr>
                <w:sz w:val="20"/>
                <w:szCs w:val="20"/>
                <w:color w:val="auto"/>
              </w:rPr>
            </w:pPr>
            <w:r>
              <w:rPr>
                <w:rFonts w:ascii="Calibri" w:cs="Calibri" w:eastAsia="Calibri" w:hAnsi="Calibri"/>
                <w:sz w:val="20"/>
                <w:szCs w:val="20"/>
                <w:color w:val="231F20"/>
              </w:rPr>
              <w:t>Boston, MA 02114</w:t>
            </w:r>
          </w:p>
        </w:tc>
        <w:tc>
          <w:tcPr>
            <w:tcW w:w="2420" w:type="dxa"/>
            <w:vAlign w:val="bottom"/>
            <w:tcBorders>
              <w:bottom w:val="single" w:sz="8" w:color="231F20"/>
            </w:tcBorders>
          </w:tcPr>
          <w:p>
            <w:pPr>
              <w:spacing w:after="0"/>
              <w:rPr>
                <w:sz w:val="24"/>
                <w:szCs w:val="24"/>
                <w:color w:val="auto"/>
              </w:rPr>
            </w:pPr>
          </w:p>
        </w:tc>
        <w:tc>
          <w:tcPr>
            <w:tcW w:w="2400" w:type="dxa"/>
            <w:vAlign w:val="bottom"/>
            <w:tcBorders>
              <w:bottom w:val="single" w:sz="8" w:color="231F20"/>
            </w:tcBorders>
          </w:tcPr>
          <w:p>
            <w:pPr>
              <w:spacing w:after="0"/>
              <w:rPr>
                <w:sz w:val="24"/>
                <w:szCs w:val="24"/>
                <w:color w:val="auto"/>
              </w:rPr>
            </w:pPr>
          </w:p>
        </w:tc>
      </w:tr>
      <w:tr>
        <w:trPr>
          <w:trHeight w:val="335"/>
        </w:trPr>
        <w:tc>
          <w:tcPr>
            <w:tcW w:w="5260" w:type="dxa"/>
            <w:vAlign w:val="bottom"/>
            <w:gridSpan w:val="2"/>
            <w:shd w:val="clear" w:color="auto" w:fill="DCDDDE"/>
          </w:tcPr>
          <w:p>
            <w:pPr>
              <w:ind w:left="60"/>
              <w:spacing w:after="0"/>
              <w:rPr>
                <w:sz w:val="20"/>
                <w:szCs w:val="20"/>
                <w:color w:val="auto"/>
              </w:rPr>
            </w:pPr>
            <w:r>
              <w:rPr>
                <w:rFonts w:ascii="Calibri" w:cs="Calibri" w:eastAsia="Calibri" w:hAnsi="Calibri"/>
                <w:sz w:val="20"/>
                <w:szCs w:val="20"/>
                <w:color w:val="231F20"/>
              </w:rPr>
              <w:t>JP Morgan Chase &amp; Co.</w:t>
            </w:r>
            <w:r>
              <w:rPr>
                <w:rFonts w:ascii="Calibri" w:cs="Calibri" w:eastAsia="Calibri" w:hAnsi="Calibri"/>
                <w:sz w:val="26"/>
                <w:szCs w:val="26"/>
                <w:color w:val="231F20"/>
                <w:vertAlign w:val="superscript"/>
              </w:rPr>
              <w:t>(6)</w:t>
            </w:r>
          </w:p>
        </w:tc>
        <w:tc>
          <w:tcPr>
            <w:tcW w:w="2420" w:type="dxa"/>
            <w:vAlign w:val="bottom"/>
          </w:tcPr>
          <w:p>
            <w:pPr>
              <w:jc w:val="right"/>
              <w:ind w:right="600"/>
              <w:spacing w:after="0"/>
              <w:rPr>
                <w:sz w:val="20"/>
                <w:szCs w:val="20"/>
                <w:color w:val="auto"/>
              </w:rPr>
            </w:pPr>
            <w:r>
              <w:rPr>
                <w:rFonts w:ascii="Calibri" w:cs="Calibri" w:eastAsia="Calibri" w:hAnsi="Calibri"/>
                <w:sz w:val="20"/>
                <w:szCs w:val="20"/>
                <w:color w:val="231F20"/>
              </w:rPr>
              <w:t>4,530,657</w:t>
            </w:r>
          </w:p>
        </w:tc>
        <w:tc>
          <w:tcPr>
            <w:tcW w:w="2400" w:type="dxa"/>
            <w:vAlign w:val="bottom"/>
          </w:tcPr>
          <w:p>
            <w:pPr>
              <w:jc w:val="right"/>
              <w:ind w:right="840"/>
              <w:spacing w:after="0"/>
              <w:rPr>
                <w:sz w:val="20"/>
                <w:szCs w:val="20"/>
                <w:color w:val="auto"/>
              </w:rPr>
            </w:pPr>
            <w:r>
              <w:rPr>
                <w:rFonts w:ascii="Calibri" w:cs="Calibri" w:eastAsia="Calibri" w:hAnsi="Calibri"/>
                <w:sz w:val="20"/>
                <w:szCs w:val="20"/>
                <w:color w:val="231F20"/>
              </w:rPr>
              <w:t>5.2%</w:t>
            </w:r>
          </w:p>
        </w:tc>
      </w:tr>
      <w:tr>
        <w:trPr>
          <w:trHeight w:val="236"/>
        </w:trPr>
        <w:tc>
          <w:tcPr>
            <w:tcW w:w="5260" w:type="dxa"/>
            <w:vAlign w:val="bottom"/>
            <w:gridSpan w:val="2"/>
            <w:shd w:val="clear" w:color="auto" w:fill="DCDDDE"/>
          </w:tcPr>
          <w:p>
            <w:pPr>
              <w:ind w:left="60"/>
              <w:spacing w:after="0" w:line="236" w:lineRule="exact"/>
              <w:rPr>
                <w:sz w:val="20"/>
                <w:szCs w:val="20"/>
                <w:color w:val="auto"/>
              </w:rPr>
            </w:pPr>
            <w:r>
              <w:rPr>
                <w:rFonts w:ascii="Calibri" w:cs="Calibri" w:eastAsia="Calibri" w:hAnsi="Calibri"/>
                <w:sz w:val="20"/>
                <w:szCs w:val="20"/>
                <w:color w:val="231F20"/>
              </w:rPr>
              <w:t>383 Madison Avenue</w:t>
            </w:r>
          </w:p>
        </w:tc>
        <w:tc>
          <w:tcPr>
            <w:tcW w:w="2420" w:type="dxa"/>
            <w:vAlign w:val="bottom"/>
          </w:tcPr>
          <w:p>
            <w:pPr>
              <w:spacing w:after="0"/>
              <w:rPr>
                <w:sz w:val="20"/>
                <w:szCs w:val="20"/>
                <w:color w:val="auto"/>
              </w:rPr>
            </w:pPr>
          </w:p>
        </w:tc>
        <w:tc>
          <w:tcPr>
            <w:tcW w:w="2400" w:type="dxa"/>
            <w:vAlign w:val="bottom"/>
          </w:tcPr>
          <w:p>
            <w:pPr>
              <w:spacing w:after="0"/>
              <w:rPr>
                <w:sz w:val="20"/>
                <w:szCs w:val="20"/>
                <w:color w:val="auto"/>
              </w:rPr>
            </w:pPr>
          </w:p>
        </w:tc>
      </w:tr>
      <w:tr>
        <w:trPr>
          <w:trHeight w:val="309"/>
        </w:trPr>
        <w:tc>
          <w:tcPr>
            <w:tcW w:w="5260" w:type="dxa"/>
            <w:vAlign w:val="bottom"/>
            <w:tcBorders>
              <w:bottom w:val="single" w:sz="8" w:color="231F20"/>
            </w:tcBorders>
            <w:gridSpan w:val="2"/>
            <w:shd w:val="clear" w:color="auto" w:fill="DCDDDE"/>
          </w:tcPr>
          <w:p>
            <w:pPr>
              <w:ind w:left="60"/>
              <w:spacing w:after="0"/>
              <w:rPr>
                <w:sz w:val="20"/>
                <w:szCs w:val="20"/>
                <w:color w:val="auto"/>
              </w:rPr>
            </w:pPr>
            <w:r>
              <w:rPr>
                <w:rFonts w:ascii="Calibri" w:cs="Calibri" w:eastAsia="Calibri" w:hAnsi="Calibri"/>
                <w:sz w:val="20"/>
                <w:szCs w:val="20"/>
                <w:color w:val="231F20"/>
              </w:rPr>
              <w:t>New York, NY 10179</w:t>
            </w:r>
          </w:p>
        </w:tc>
        <w:tc>
          <w:tcPr>
            <w:tcW w:w="2420" w:type="dxa"/>
            <w:vAlign w:val="bottom"/>
            <w:tcBorders>
              <w:bottom w:val="single" w:sz="8" w:color="231F20"/>
            </w:tcBorders>
          </w:tcPr>
          <w:p>
            <w:pPr>
              <w:spacing w:after="0"/>
              <w:rPr>
                <w:sz w:val="24"/>
                <w:szCs w:val="24"/>
                <w:color w:val="auto"/>
              </w:rPr>
            </w:pPr>
          </w:p>
        </w:tc>
        <w:tc>
          <w:tcPr>
            <w:tcW w:w="2400" w:type="dxa"/>
            <w:vAlign w:val="bottom"/>
            <w:tcBorders>
              <w:bottom w:val="single" w:sz="8" w:color="231F20"/>
            </w:tcBorders>
          </w:tcPr>
          <w:p>
            <w:pPr>
              <w:spacing w:after="0"/>
              <w:rPr>
                <w:sz w:val="24"/>
                <w:szCs w:val="24"/>
                <w:color w:val="auto"/>
              </w:rPr>
            </w:pPr>
          </w:p>
        </w:tc>
      </w:tr>
      <w:tr>
        <w:trPr>
          <w:trHeight w:val="143"/>
        </w:trPr>
        <w:tc>
          <w:tcPr>
            <w:tcW w:w="960" w:type="dxa"/>
            <w:vAlign w:val="bottom"/>
            <w:tcBorders>
              <w:bottom w:val="single" w:sz="8" w:color="231F20"/>
            </w:tcBorders>
          </w:tcPr>
          <w:p>
            <w:pPr>
              <w:spacing w:after="0"/>
              <w:rPr>
                <w:sz w:val="12"/>
                <w:szCs w:val="12"/>
                <w:color w:val="auto"/>
              </w:rPr>
            </w:pPr>
          </w:p>
        </w:tc>
        <w:tc>
          <w:tcPr>
            <w:tcW w:w="430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2400" w:type="dxa"/>
            <w:vAlign w:val="bottom"/>
          </w:tcPr>
          <w:p>
            <w:pPr>
              <w:spacing w:after="0"/>
              <w:rPr>
                <w:sz w:val="12"/>
                <w:szCs w:val="12"/>
                <w:color w:val="auto"/>
              </w:rPr>
            </w:pPr>
          </w:p>
        </w:tc>
      </w:tr>
    </w:tbl>
    <w:p>
      <w:pPr>
        <w:spacing w:after="0" w:line="55" w:lineRule="exact"/>
        <w:rPr>
          <w:sz w:val="20"/>
          <w:szCs w:val="20"/>
          <w:color w:val="auto"/>
        </w:rPr>
      </w:pPr>
    </w:p>
    <w:p>
      <w:pPr>
        <w:jc w:val="both"/>
        <w:ind w:left="480" w:hanging="358"/>
        <w:spacing w:after="0" w:line="226" w:lineRule="auto"/>
        <w:tabs>
          <w:tab w:leader="none" w:pos="480" w:val="left"/>
        </w:tabs>
        <w:numPr>
          <w:ilvl w:val="0"/>
          <w:numId w:val="163"/>
        </w:numPr>
        <w:rPr>
          <w:rFonts w:ascii="Arial" w:cs="Arial" w:eastAsia="Arial" w:hAnsi="Arial"/>
          <w:sz w:val="23"/>
          <w:szCs w:val="23"/>
          <w:color w:val="231F20"/>
          <w:vertAlign w:val="superscript"/>
        </w:rPr>
      </w:pPr>
      <w:r>
        <w:rPr>
          <w:rFonts w:ascii="Arial" w:cs="Arial" w:eastAsia="Arial" w:hAnsi="Arial"/>
          <w:sz w:val="18"/>
          <w:szCs w:val="18"/>
          <w:color w:val="231F20"/>
        </w:rPr>
        <w:t>The percentage of outstanding shares is calculated by taking the number of shares stated in the Schedule 13G or 13G/A, as applicable, filed with the SEC divided by 86,388,213, the total number of shares outstanding on March 16, 2026.</w:t>
      </w:r>
    </w:p>
    <w:p>
      <w:pPr>
        <w:spacing w:after="0" w:line="21" w:lineRule="exact"/>
        <w:rPr>
          <w:rFonts w:ascii="Arial" w:cs="Arial" w:eastAsia="Arial" w:hAnsi="Arial"/>
          <w:sz w:val="23"/>
          <w:szCs w:val="23"/>
          <w:color w:val="231F20"/>
          <w:vertAlign w:val="superscript"/>
        </w:rPr>
      </w:pPr>
    </w:p>
    <w:p>
      <w:pPr>
        <w:jc w:val="both"/>
        <w:ind w:left="480" w:hanging="358"/>
        <w:spacing w:after="0" w:line="237" w:lineRule="auto"/>
        <w:tabs>
          <w:tab w:leader="none" w:pos="480" w:val="left"/>
        </w:tabs>
        <w:numPr>
          <w:ilvl w:val="0"/>
          <w:numId w:val="163"/>
        </w:numPr>
        <w:rPr>
          <w:rFonts w:ascii="Arial" w:cs="Arial" w:eastAsia="Arial" w:hAnsi="Arial"/>
          <w:sz w:val="23"/>
          <w:szCs w:val="23"/>
          <w:color w:val="231F20"/>
          <w:vertAlign w:val="superscript"/>
        </w:rPr>
      </w:pPr>
      <w:r>
        <w:rPr>
          <w:rFonts w:ascii="Arial" w:cs="Arial" w:eastAsia="Arial" w:hAnsi="Arial"/>
          <w:sz w:val="18"/>
          <w:szCs w:val="18"/>
          <w:color w:val="231F20"/>
        </w:rPr>
        <w:t>Information based on the most recently available Schedule 13G/A filed with the SEC on February 13, 2024 by The Vanguard Group which states that The Vanguard Group, an investment advisor, has shared voting power over 145,649 shares, sole dispositive power over 12,144,222 shares and shared dispositive power over 393,136 shares. The Schedule 13G/A contained information as of December 31, 2023 and may not reflect The Vanguard Group’s current holdings of our shares.</w:t>
      </w:r>
    </w:p>
    <w:p>
      <w:pPr>
        <w:spacing w:after="0" w:line="21" w:lineRule="exact"/>
        <w:rPr>
          <w:rFonts w:ascii="Arial" w:cs="Arial" w:eastAsia="Arial" w:hAnsi="Arial"/>
          <w:sz w:val="23"/>
          <w:szCs w:val="23"/>
          <w:color w:val="231F20"/>
          <w:vertAlign w:val="superscript"/>
        </w:rPr>
      </w:pPr>
    </w:p>
    <w:p>
      <w:pPr>
        <w:jc w:val="both"/>
        <w:ind w:left="480" w:hanging="358"/>
        <w:spacing w:after="0" w:line="233" w:lineRule="auto"/>
        <w:tabs>
          <w:tab w:leader="none" w:pos="480" w:val="left"/>
        </w:tabs>
        <w:numPr>
          <w:ilvl w:val="0"/>
          <w:numId w:val="163"/>
        </w:numPr>
        <w:rPr>
          <w:rFonts w:ascii="Arial" w:cs="Arial" w:eastAsia="Arial" w:hAnsi="Arial"/>
          <w:sz w:val="23"/>
          <w:szCs w:val="23"/>
          <w:color w:val="231F20"/>
          <w:vertAlign w:val="superscript"/>
        </w:rPr>
      </w:pPr>
      <w:r>
        <w:rPr>
          <w:rFonts w:ascii="Arial" w:cs="Arial" w:eastAsia="Arial" w:hAnsi="Arial"/>
          <w:sz w:val="18"/>
          <w:szCs w:val="18"/>
          <w:color w:val="231F20"/>
        </w:rPr>
        <w:t>Information based on the most recently available Schedule 13G/A filed with the SEC on April 24, 2025 by BlackRock, Inc., which states that BlackRock, Inc., a parent holding company, has sole voting power over 7,073,222 shares and sole dispositive power over 7,614,616 shares. The Schedule 13G/A contained information as of March 31, 2025 and may not reflect BlackRock, Inc.’s current holdings of our shares.</w:t>
      </w:r>
    </w:p>
    <w:p>
      <w:pPr>
        <w:spacing w:after="0" w:line="20" w:lineRule="exact"/>
        <w:rPr>
          <w:rFonts w:ascii="Arial" w:cs="Arial" w:eastAsia="Arial" w:hAnsi="Arial"/>
          <w:sz w:val="23"/>
          <w:szCs w:val="23"/>
          <w:color w:val="231F20"/>
          <w:vertAlign w:val="superscript"/>
        </w:rPr>
      </w:pPr>
    </w:p>
    <w:p>
      <w:pPr>
        <w:jc w:val="both"/>
        <w:ind w:left="480" w:hanging="358"/>
        <w:spacing w:after="0" w:line="233" w:lineRule="auto"/>
        <w:tabs>
          <w:tab w:leader="none" w:pos="480" w:val="left"/>
        </w:tabs>
        <w:numPr>
          <w:ilvl w:val="0"/>
          <w:numId w:val="163"/>
        </w:numPr>
        <w:rPr>
          <w:rFonts w:ascii="Arial" w:cs="Arial" w:eastAsia="Arial" w:hAnsi="Arial"/>
          <w:sz w:val="23"/>
          <w:szCs w:val="23"/>
          <w:color w:val="231F20"/>
          <w:vertAlign w:val="superscript"/>
        </w:rPr>
      </w:pPr>
      <w:r>
        <w:rPr>
          <w:rFonts w:ascii="Arial" w:cs="Arial" w:eastAsia="Arial" w:hAnsi="Arial"/>
          <w:sz w:val="18"/>
          <w:szCs w:val="18"/>
          <w:color w:val="231F20"/>
        </w:rPr>
        <w:t>Information based on the most recently available Schedule 13G/A filed with the SEC on February 13, 2024 by Norges Bank (The Central Bank of Norway) which states that Norges Bank (The Central Bank of Norway) has sole voting power and sole dispositive power over 7,213,760 shares. The Schedule 13G/A contained information as of December 31, 2023 and may not reflect Norges Bank’s current holdings of our shares.</w:t>
      </w:r>
    </w:p>
    <w:p>
      <w:pPr>
        <w:spacing w:after="0" w:line="20" w:lineRule="exact"/>
        <w:rPr>
          <w:rFonts w:ascii="Arial" w:cs="Arial" w:eastAsia="Arial" w:hAnsi="Arial"/>
          <w:sz w:val="23"/>
          <w:szCs w:val="23"/>
          <w:color w:val="231F20"/>
          <w:vertAlign w:val="superscript"/>
        </w:rPr>
      </w:pPr>
    </w:p>
    <w:p>
      <w:pPr>
        <w:jc w:val="both"/>
        <w:ind w:left="480" w:hanging="358"/>
        <w:spacing w:after="0" w:line="233" w:lineRule="auto"/>
        <w:tabs>
          <w:tab w:leader="none" w:pos="480" w:val="left"/>
        </w:tabs>
        <w:numPr>
          <w:ilvl w:val="0"/>
          <w:numId w:val="163"/>
        </w:numPr>
        <w:rPr>
          <w:rFonts w:ascii="Arial" w:cs="Arial" w:eastAsia="Arial" w:hAnsi="Arial"/>
          <w:sz w:val="23"/>
          <w:szCs w:val="23"/>
          <w:color w:val="231F20"/>
          <w:vertAlign w:val="superscript"/>
        </w:rPr>
      </w:pPr>
      <w:r>
        <w:rPr>
          <w:rFonts w:ascii="Arial" w:cs="Arial" w:eastAsia="Arial" w:hAnsi="Arial"/>
          <w:sz w:val="18"/>
          <w:szCs w:val="18"/>
          <w:color w:val="231F20"/>
        </w:rPr>
        <w:t>Information based on the most recently available Schedule 13G/A filed with the SEC on October 16, 2024 by State Street Corporation, which states that State Street Corporation, a parent holding company, has shared voting power over 4,381,569 shares and shared dispositive power over 6,112,938 shares. The Schedule 13G/A contained information as of September 30, 2024 and may not reflect State Street Corporation’s current holdings of our shares.</w:t>
      </w:r>
    </w:p>
    <w:p>
      <w:pPr>
        <w:spacing w:after="0" w:line="20" w:lineRule="exact"/>
        <w:rPr>
          <w:rFonts w:ascii="Arial" w:cs="Arial" w:eastAsia="Arial" w:hAnsi="Arial"/>
          <w:sz w:val="23"/>
          <w:szCs w:val="23"/>
          <w:color w:val="231F20"/>
          <w:vertAlign w:val="superscript"/>
        </w:rPr>
      </w:pPr>
    </w:p>
    <w:p>
      <w:pPr>
        <w:jc w:val="both"/>
        <w:ind w:left="480" w:hanging="358"/>
        <w:spacing w:after="0" w:line="237" w:lineRule="auto"/>
        <w:tabs>
          <w:tab w:leader="none" w:pos="480" w:val="left"/>
        </w:tabs>
        <w:numPr>
          <w:ilvl w:val="0"/>
          <w:numId w:val="163"/>
        </w:numPr>
        <w:rPr>
          <w:rFonts w:ascii="Arial" w:cs="Arial" w:eastAsia="Arial" w:hAnsi="Arial"/>
          <w:sz w:val="23"/>
          <w:szCs w:val="23"/>
          <w:color w:val="231F20"/>
          <w:vertAlign w:val="superscript"/>
        </w:rPr>
      </w:pPr>
      <w:r>
        <w:rPr>
          <w:rFonts w:ascii="Arial" w:cs="Arial" w:eastAsia="Arial" w:hAnsi="Arial"/>
          <w:sz w:val="18"/>
          <w:szCs w:val="18"/>
          <w:color w:val="231F20"/>
        </w:rPr>
        <w:t>Information based on the most recently available Schedule 13G filed with the SEC on October 9, 2024 by JP Morgan Chase &amp; Co., which states that JP Morgan Chase &amp; Co., a parent holding company, has sole voting power over 1,298,488, shared voting power over 1,389,113 shares, sole dispositive power over 3,138,895 and shared dispositive power over 1,389,708 shares. The Schedule 13G contained information as of September 30, 2024 and may not reflect JP Morgan Chase &amp; Co.’s current holdings of our shares.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556260</wp:posOffset>
                </wp:positionV>
                <wp:extent cx="6400800" cy="177800"/>
                <wp:wrapNone/>
                <wp:docPr id="508" name="Shape 5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177800"/>
                        </a:xfrm>
                        <a:prstGeom prst="rect">
                          <a:avLst/>
                        </a:prstGeom>
                        <a:solidFill>
                          <a:srgbClr val="E8E7E5"/>
                        </a:solidFill>
                      </wps:spPr>
                      <wps:bodyPr/>
                    </wps:wsp>
                  </a:graphicData>
                </a:graphic>
              </wp:anchor>
            </w:drawing>
          </mc:Choice>
          <mc:Fallback>
            <w:pict>
              <v:rect id="Shape 508" o:spid="_x0000_s1533" style="position:absolute;margin-left:0pt;margin-top:43.8pt;width:504pt;height:1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8E7E5" stroked="f"/>
            </w:pict>
          </mc:Fallback>
        </mc:AlternateContent>
        <mc:AlternateContent>
          <mc:Choice Requires="wps">
            <w:drawing>
              <wp:anchor simplePos="0" relativeHeight="251657728" behindDoc="1" locked="0" layoutInCell="0" allowOverlap="1">
                <wp:simplePos x="0" y="0"/>
                <wp:positionH relativeFrom="column">
                  <wp:posOffset>6350</wp:posOffset>
                </wp:positionH>
                <wp:positionV relativeFrom="paragraph">
                  <wp:posOffset>556260</wp:posOffset>
                </wp:positionV>
                <wp:extent cx="0" cy="177800"/>
                <wp:wrapNone/>
                <wp:docPr id="509" name="Shape 5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509" o:spid="_x0000_s15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pt,43.8pt" to="0.5pt,57.8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562610</wp:posOffset>
                </wp:positionV>
                <wp:extent cx="6400800" cy="0"/>
                <wp:wrapNone/>
                <wp:docPr id="510" name="Shape 5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510" o:spid="_x0000_s15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44.3pt" to="504pt,44.3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6394450</wp:posOffset>
                </wp:positionH>
                <wp:positionV relativeFrom="paragraph">
                  <wp:posOffset>556260</wp:posOffset>
                </wp:positionV>
                <wp:extent cx="0" cy="177800"/>
                <wp:wrapNone/>
                <wp:docPr id="511" name="Shape 5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511" o:spid="_x0000_s15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3.5pt,43.8pt" to="503.5pt,57.8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727710</wp:posOffset>
                </wp:positionV>
                <wp:extent cx="6400800" cy="0"/>
                <wp:wrapNone/>
                <wp:docPr id="512" name="Shape 5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512" o:spid="_x0000_s15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7.3pt" to="504pt,57.3pt" o:allowincell="f" strokecolor="#231F20" strokeweight="1pt"/>
            </w:pict>
          </mc:Fallback>
        </mc:AlternateContent>
      </w:r>
    </w:p>
    <w:p>
      <w:pPr>
        <w:sectPr>
          <w:pgSz w:w="11880" w:h="15480" w:orient="portrait"/>
          <w:cols w:equalWidth="0" w:num="1">
            <w:col w:w="10080"/>
          </w:cols>
          <w:pgMar w:left="900" w:top="1410" w:right="900" w:bottom="76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6720"/>
        <w:spacing w:after="0"/>
        <w:tabs>
          <w:tab w:leader="none" w:pos="8060" w:val="left"/>
          <w:tab w:leader="none" w:pos="9800" w:val="left"/>
        </w:tabs>
        <w:rPr>
          <w:sz w:val="20"/>
          <w:szCs w:val="20"/>
          <w:color w:val="auto"/>
        </w:rPr>
      </w:pPr>
      <w:r>
        <w:rPr>
          <w:rFonts w:ascii="Arial" w:cs="Arial" w:eastAsia="Arial" w:hAnsi="Arial"/>
          <w:sz w:val="16"/>
          <w:szCs w:val="16"/>
          <w:color w:val="EF3E2A"/>
        </w:rPr>
        <w:t>Federal Realty</w:t>
      </w:r>
      <w:r>
        <w:rPr>
          <w:sz w:val="20"/>
          <w:szCs w:val="20"/>
          <w:color w:val="auto"/>
        </w:rPr>
        <w:tab/>
      </w:r>
      <w:r>
        <w:rPr>
          <w:rFonts w:ascii="Arial" w:cs="Arial" w:eastAsia="Arial" w:hAnsi="Arial"/>
          <w:sz w:val="16"/>
          <w:szCs w:val="16"/>
          <w:color w:val="231F20"/>
        </w:rPr>
        <w:t>2026 Proxy Statement</w:t>
        <w:tab/>
        <w:t>43</w:t>
      </w:r>
    </w:p>
    <w:p>
      <w:pPr>
        <w:sectPr>
          <w:pgSz w:w="11880" w:h="15480" w:orient="portrait"/>
          <w:cols w:equalWidth="0" w:num="1">
            <w:col w:w="10080"/>
          </w:cols>
          <w:pgMar w:left="900" w:top="1410" w:right="900" w:bottom="763" w:gutter="0" w:footer="0" w:header="0"/>
          <w:type w:val="continuous"/>
        </w:sectPr>
      </w:pPr>
    </w:p>
    <w:bookmarkStart w:id="163" w:name="page164"/>
    <w:bookmarkEnd w:id="163"/>
    <w:p>
      <w:pPr>
        <w:spacing w:after="0" w:line="268" w:lineRule="exact"/>
        <w:rPr>
          <w:sz w:val="20"/>
          <w:szCs w:val="20"/>
          <w:color w:val="auto"/>
        </w:rPr>
      </w:pPr>
      <w:r>
        <w:rPr>
          <w:rFonts w:ascii="Arial Unicode MS" w:cs="Arial Unicode MS" w:eastAsia="Arial Unicode MS" w:hAnsi="Arial Unicode MS"/>
          <w:sz w:val="20"/>
          <w:szCs w:val="20"/>
          <w:color w:val="EF3E2A"/>
        </w:rPr>
        <w:t>➣</w:t>
      </w:r>
      <w:r>
        <w:rPr>
          <w:rFonts w:ascii="Arial" w:cs="Arial" w:eastAsia="Arial" w:hAnsi="Arial"/>
          <w:sz w:val="20"/>
          <w:szCs w:val="20"/>
          <w:b w:val="1"/>
          <w:bCs w:val="1"/>
          <w:color w:val="231F20"/>
        </w:rPr>
        <w:t xml:space="preserve"> OWNERSHIP OF TRUSTEES AND EXECUTIVE OFFICERS</w:t>
      </w:r>
    </w:p>
    <w:p>
      <w:pPr>
        <w:spacing w:after="0" w:line="222"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231F20"/>
        </w:rPr>
        <w:t>The table below reflects beneficial ownership of our Trustees and NEOs as of March 16, 2026 determined in accordance with Rule 13d-3 of the Securities Exchange Act of 1934, as amended. Unless noted in the footnotes following the table, each Trustee and NEO has sole voting and investment power as to all shares listed.</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80" w:type="dxa"/>
            <w:vAlign w:val="bottom"/>
            <w:shd w:val="clear" w:color="auto" w:fill="EF3E2A"/>
          </w:tcPr>
          <w:p>
            <w:pPr>
              <w:spacing w:after="0"/>
              <w:rPr>
                <w:sz w:val="19"/>
                <w:szCs w:val="19"/>
                <w:color w:val="auto"/>
              </w:rPr>
            </w:pPr>
          </w:p>
        </w:tc>
        <w:tc>
          <w:tcPr>
            <w:tcW w:w="980" w:type="dxa"/>
            <w:vAlign w:val="bottom"/>
            <w:shd w:val="clear" w:color="auto" w:fill="EF3E2A"/>
          </w:tcPr>
          <w:p>
            <w:pPr>
              <w:spacing w:after="0"/>
              <w:rPr>
                <w:sz w:val="19"/>
                <w:szCs w:val="19"/>
                <w:color w:val="auto"/>
              </w:rPr>
            </w:pPr>
          </w:p>
        </w:tc>
        <w:tc>
          <w:tcPr>
            <w:tcW w:w="1080" w:type="dxa"/>
            <w:vAlign w:val="bottom"/>
            <w:shd w:val="clear" w:color="auto" w:fill="EF3E2A"/>
          </w:tcPr>
          <w:p>
            <w:pPr>
              <w:spacing w:after="0"/>
              <w:rPr>
                <w:sz w:val="19"/>
                <w:szCs w:val="19"/>
                <w:color w:val="auto"/>
              </w:rPr>
            </w:pPr>
          </w:p>
        </w:tc>
        <w:tc>
          <w:tcPr>
            <w:tcW w:w="1320" w:type="dxa"/>
            <w:vAlign w:val="bottom"/>
            <w:shd w:val="clear" w:color="auto" w:fill="EF3E2A"/>
          </w:tcPr>
          <w:p>
            <w:pPr>
              <w:spacing w:after="0"/>
              <w:rPr>
                <w:sz w:val="19"/>
                <w:szCs w:val="19"/>
                <w:color w:val="auto"/>
              </w:rPr>
            </w:pPr>
          </w:p>
        </w:tc>
        <w:tc>
          <w:tcPr>
            <w:tcW w:w="1420" w:type="dxa"/>
            <w:vAlign w:val="bottom"/>
            <w:shd w:val="clear" w:color="auto" w:fill="EF3E2A"/>
          </w:tcPr>
          <w:p>
            <w:pPr>
              <w:jc w:val="center"/>
              <w:spacing w:after="0"/>
              <w:rPr>
                <w:sz w:val="20"/>
                <w:szCs w:val="20"/>
                <w:color w:val="auto"/>
              </w:rPr>
            </w:pPr>
            <w:r>
              <w:rPr>
                <w:rFonts w:ascii="Arial" w:cs="Arial" w:eastAsia="Arial" w:hAnsi="Arial"/>
                <w:sz w:val="20"/>
                <w:szCs w:val="20"/>
                <w:b w:val="1"/>
                <w:bCs w:val="1"/>
                <w:color w:val="FFFFFF"/>
                <w:w w:val="96"/>
              </w:rPr>
              <w:t>Percentage of</w:t>
            </w:r>
          </w:p>
        </w:tc>
        <w:tc>
          <w:tcPr>
            <w:tcW w:w="0" w:type="dxa"/>
            <w:vAlign w:val="bottom"/>
          </w:tcPr>
          <w:p>
            <w:pPr>
              <w:spacing w:after="0"/>
              <w:rPr>
                <w:sz w:val="1"/>
                <w:szCs w:val="1"/>
                <w:color w:val="auto"/>
              </w:rPr>
            </w:pPr>
          </w:p>
        </w:tc>
      </w:tr>
      <w:tr>
        <w:trPr>
          <w:trHeight w:val="195"/>
        </w:trPr>
        <w:tc>
          <w:tcPr>
            <w:tcW w:w="5280" w:type="dxa"/>
            <w:vAlign w:val="bottom"/>
            <w:shd w:val="clear" w:color="auto" w:fill="EF3E2A"/>
          </w:tcPr>
          <w:p>
            <w:pPr>
              <w:spacing w:after="0"/>
              <w:rPr>
                <w:sz w:val="16"/>
                <w:szCs w:val="16"/>
                <w:color w:val="auto"/>
              </w:rPr>
            </w:pPr>
          </w:p>
        </w:tc>
        <w:tc>
          <w:tcPr>
            <w:tcW w:w="980" w:type="dxa"/>
            <w:vAlign w:val="bottom"/>
            <w:shd w:val="clear" w:color="auto" w:fill="EF3E2A"/>
          </w:tcPr>
          <w:p>
            <w:pPr>
              <w:spacing w:after="0"/>
              <w:rPr>
                <w:sz w:val="16"/>
                <w:szCs w:val="16"/>
                <w:color w:val="auto"/>
              </w:rPr>
            </w:pPr>
          </w:p>
        </w:tc>
        <w:tc>
          <w:tcPr>
            <w:tcW w:w="1080" w:type="dxa"/>
            <w:vAlign w:val="bottom"/>
            <w:shd w:val="clear" w:color="auto" w:fill="EF3E2A"/>
          </w:tcPr>
          <w:p>
            <w:pPr>
              <w:jc w:val="right"/>
              <w:spacing w:after="0" w:line="195" w:lineRule="exact"/>
              <w:rPr>
                <w:sz w:val="20"/>
                <w:szCs w:val="20"/>
                <w:color w:val="auto"/>
              </w:rPr>
            </w:pPr>
            <w:r>
              <w:rPr>
                <w:rFonts w:ascii="Arial" w:cs="Arial" w:eastAsia="Arial" w:hAnsi="Arial"/>
                <w:sz w:val="20"/>
                <w:szCs w:val="20"/>
                <w:b w:val="1"/>
                <w:bCs w:val="1"/>
                <w:color w:val="FFFFFF"/>
              </w:rPr>
              <w:t>Unvested</w:t>
            </w:r>
          </w:p>
        </w:tc>
        <w:tc>
          <w:tcPr>
            <w:tcW w:w="1320" w:type="dxa"/>
            <w:vAlign w:val="bottom"/>
            <w:shd w:val="clear" w:color="auto" w:fill="EF3E2A"/>
          </w:tcPr>
          <w:p>
            <w:pPr>
              <w:jc w:val="right"/>
              <w:spacing w:after="0" w:line="195" w:lineRule="exact"/>
              <w:rPr>
                <w:sz w:val="20"/>
                <w:szCs w:val="20"/>
                <w:color w:val="auto"/>
              </w:rPr>
            </w:pPr>
            <w:r>
              <w:rPr>
                <w:rFonts w:ascii="Arial" w:cs="Arial" w:eastAsia="Arial" w:hAnsi="Arial"/>
                <w:sz w:val="20"/>
                <w:szCs w:val="20"/>
                <w:b w:val="1"/>
                <w:bCs w:val="1"/>
                <w:color w:val="FFFFFF"/>
              </w:rPr>
              <w:t>Total Shares</w:t>
            </w:r>
          </w:p>
        </w:tc>
        <w:tc>
          <w:tcPr>
            <w:tcW w:w="1420" w:type="dxa"/>
            <w:vAlign w:val="bottom"/>
            <w:shd w:val="clear" w:color="auto" w:fill="EF3E2A"/>
          </w:tcPr>
          <w:p>
            <w:pPr>
              <w:jc w:val="center"/>
              <w:spacing w:after="0" w:line="195" w:lineRule="exact"/>
              <w:rPr>
                <w:sz w:val="20"/>
                <w:szCs w:val="20"/>
                <w:color w:val="auto"/>
              </w:rPr>
            </w:pPr>
            <w:r>
              <w:rPr>
                <w:rFonts w:ascii="Arial" w:cs="Arial" w:eastAsia="Arial" w:hAnsi="Arial"/>
                <w:sz w:val="20"/>
                <w:szCs w:val="20"/>
                <w:b w:val="1"/>
                <w:bCs w:val="1"/>
                <w:color w:val="FFFFFF"/>
                <w:w w:val="98"/>
              </w:rPr>
              <w:t>Outstanding</w:t>
            </w:r>
          </w:p>
        </w:tc>
        <w:tc>
          <w:tcPr>
            <w:tcW w:w="0" w:type="dxa"/>
            <w:vAlign w:val="bottom"/>
          </w:tcPr>
          <w:p>
            <w:pPr>
              <w:spacing w:after="0"/>
              <w:rPr>
                <w:sz w:val="1"/>
                <w:szCs w:val="1"/>
                <w:color w:val="auto"/>
              </w:rPr>
            </w:pPr>
          </w:p>
        </w:tc>
      </w:tr>
      <w:tr>
        <w:trPr>
          <w:trHeight w:val="195"/>
        </w:trPr>
        <w:tc>
          <w:tcPr>
            <w:tcW w:w="5280" w:type="dxa"/>
            <w:vAlign w:val="bottom"/>
            <w:shd w:val="clear" w:color="auto" w:fill="EF3E2A"/>
          </w:tcPr>
          <w:p>
            <w:pPr>
              <w:spacing w:after="0"/>
              <w:rPr>
                <w:sz w:val="16"/>
                <w:szCs w:val="16"/>
                <w:color w:val="auto"/>
              </w:rPr>
            </w:pPr>
          </w:p>
        </w:tc>
        <w:tc>
          <w:tcPr>
            <w:tcW w:w="980" w:type="dxa"/>
            <w:vAlign w:val="bottom"/>
            <w:shd w:val="clear" w:color="auto" w:fill="EF3E2A"/>
          </w:tcPr>
          <w:p>
            <w:pPr>
              <w:spacing w:after="0"/>
              <w:rPr>
                <w:sz w:val="16"/>
                <w:szCs w:val="16"/>
                <w:color w:val="auto"/>
              </w:rPr>
            </w:pPr>
          </w:p>
        </w:tc>
        <w:tc>
          <w:tcPr>
            <w:tcW w:w="1080" w:type="dxa"/>
            <w:vAlign w:val="bottom"/>
            <w:shd w:val="clear" w:color="auto" w:fill="EF3E2A"/>
          </w:tcPr>
          <w:p>
            <w:pPr>
              <w:jc w:val="right"/>
              <w:spacing w:after="0" w:line="195" w:lineRule="exact"/>
              <w:rPr>
                <w:sz w:val="20"/>
                <w:szCs w:val="20"/>
                <w:color w:val="auto"/>
              </w:rPr>
            </w:pPr>
            <w:r>
              <w:rPr>
                <w:rFonts w:ascii="Arial" w:cs="Arial" w:eastAsia="Arial" w:hAnsi="Arial"/>
                <w:sz w:val="20"/>
                <w:szCs w:val="20"/>
                <w:b w:val="1"/>
                <w:bCs w:val="1"/>
                <w:color w:val="FFFFFF"/>
              </w:rPr>
              <w:t>Restricted</w:t>
            </w:r>
          </w:p>
        </w:tc>
        <w:tc>
          <w:tcPr>
            <w:tcW w:w="1320" w:type="dxa"/>
            <w:vAlign w:val="bottom"/>
            <w:shd w:val="clear" w:color="auto" w:fill="EF3E2A"/>
          </w:tcPr>
          <w:p>
            <w:pPr>
              <w:jc w:val="right"/>
              <w:spacing w:after="0" w:line="195" w:lineRule="exact"/>
              <w:rPr>
                <w:sz w:val="20"/>
                <w:szCs w:val="20"/>
                <w:color w:val="auto"/>
              </w:rPr>
            </w:pPr>
            <w:r>
              <w:rPr>
                <w:rFonts w:ascii="Arial" w:cs="Arial" w:eastAsia="Arial" w:hAnsi="Arial"/>
                <w:sz w:val="20"/>
                <w:szCs w:val="20"/>
                <w:b w:val="1"/>
                <w:bCs w:val="1"/>
                <w:color w:val="FFFFFF"/>
              </w:rPr>
              <w:t>Beneficially</w:t>
            </w:r>
          </w:p>
        </w:tc>
        <w:tc>
          <w:tcPr>
            <w:tcW w:w="1420" w:type="dxa"/>
            <w:vAlign w:val="bottom"/>
            <w:shd w:val="clear" w:color="auto" w:fill="EF3E2A"/>
          </w:tcPr>
          <w:p>
            <w:pPr>
              <w:jc w:val="center"/>
              <w:spacing w:after="0" w:line="195" w:lineRule="exact"/>
              <w:rPr>
                <w:sz w:val="20"/>
                <w:szCs w:val="20"/>
                <w:color w:val="auto"/>
              </w:rPr>
            </w:pPr>
            <w:r>
              <w:rPr>
                <w:rFonts w:ascii="Arial" w:cs="Arial" w:eastAsia="Arial" w:hAnsi="Arial"/>
                <w:sz w:val="20"/>
                <w:szCs w:val="20"/>
                <w:b w:val="1"/>
                <w:bCs w:val="1"/>
                <w:color w:val="FFFFFF"/>
                <w:w w:val="95"/>
              </w:rPr>
              <w:t>Shares</w:t>
            </w:r>
          </w:p>
        </w:tc>
        <w:tc>
          <w:tcPr>
            <w:tcW w:w="0" w:type="dxa"/>
            <w:vAlign w:val="bottom"/>
          </w:tcPr>
          <w:p>
            <w:pPr>
              <w:spacing w:after="0"/>
              <w:rPr>
                <w:sz w:val="1"/>
                <w:szCs w:val="1"/>
                <w:color w:val="auto"/>
              </w:rPr>
            </w:pPr>
          </w:p>
        </w:tc>
      </w:tr>
      <w:tr>
        <w:trPr>
          <w:trHeight w:val="242"/>
        </w:trPr>
        <w:tc>
          <w:tcPr>
            <w:tcW w:w="5280" w:type="dxa"/>
            <w:vAlign w:val="bottom"/>
            <w:shd w:val="clear" w:color="auto" w:fill="EF3E2A"/>
          </w:tcPr>
          <w:p>
            <w:pPr>
              <w:ind w:left="60"/>
              <w:spacing w:after="0" w:line="242" w:lineRule="exact"/>
              <w:rPr>
                <w:sz w:val="20"/>
                <w:szCs w:val="20"/>
                <w:color w:val="auto"/>
              </w:rPr>
            </w:pPr>
            <w:r>
              <w:rPr>
                <w:rFonts w:ascii="Arial" w:cs="Arial" w:eastAsia="Arial" w:hAnsi="Arial"/>
                <w:sz w:val="20"/>
                <w:szCs w:val="20"/>
                <w:b w:val="1"/>
                <w:bCs w:val="1"/>
                <w:color w:val="FFFFFF"/>
              </w:rPr>
              <w:t>Name and Address of Beneficial Owner</w:t>
            </w:r>
            <w:r>
              <w:rPr>
                <w:rFonts w:ascii="Arial" w:cs="Arial" w:eastAsia="Arial" w:hAnsi="Arial"/>
                <w:sz w:val="25"/>
                <w:szCs w:val="25"/>
                <w:b w:val="1"/>
                <w:bCs w:val="1"/>
                <w:color w:val="FFFFFF"/>
                <w:vertAlign w:val="superscript"/>
              </w:rPr>
              <w:t>(1)</w:t>
            </w:r>
          </w:p>
        </w:tc>
        <w:tc>
          <w:tcPr>
            <w:tcW w:w="980" w:type="dxa"/>
            <w:vAlign w:val="bottom"/>
            <w:shd w:val="clear" w:color="auto" w:fill="EF3E2A"/>
          </w:tcPr>
          <w:p>
            <w:pPr>
              <w:jc w:val="right"/>
              <w:spacing w:after="0" w:line="222" w:lineRule="exact"/>
              <w:rPr>
                <w:sz w:val="20"/>
                <w:szCs w:val="20"/>
                <w:color w:val="auto"/>
              </w:rPr>
            </w:pPr>
            <w:r>
              <w:rPr>
                <w:rFonts w:ascii="Arial" w:cs="Arial" w:eastAsia="Arial" w:hAnsi="Arial"/>
                <w:sz w:val="20"/>
                <w:szCs w:val="20"/>
                <w:b w:val="1"/>
                <w:bCs w:val="1"/>
                <w:color w:val="FFFFFF"/>
              </w:rPr>
              <w:t>Common</w:t>
            </w:r>
          </w:p>
        </w:tc>
        <w:tc>
          <w:tcPr>
            <w:tcW w:w="1080" w:type="dxa"/>
            <w:vAlign w:val="bottom"/>
            <w:shd w:val="clear" w:color="auto" w:fill="EF3E2A"/>
          </w:tcPr>
          <w:p>
            <w:pPr>
              <w:jc w:val="right"/>
              <w:spacing w:after="0" w:line="222" w:lineRule="exact"/>
              <w:rPr>
                <w:sz w:val="20"/>
                <w:szCs w:val="20"/>
                <w:color w:val="auto"/>
              </w:rPr>
            </w:pPr>
            <w:r>
              <w:rPr>
                <w:rFonts w:ascii="Arial" w:cs="Arial" w:eastAsia="Arial" w:hAnsi="Arial"/>
                <w:sz w:val="20"/>
                <w:szCs w:val="20"/>
                <w:b w:val="1"/>
                <w:bCs w:val="1"/>
                <w:color w:val="FFFFFF"/>
              </w:rPr>
              <w:t>Shares</w:t>
            </w:r>
          </w:p>
        </w:tc>
        <w:tc>
          <w:tcPr>
            <w:tcW w:w="1320" w:type="dxa"/>
            <w:vAlign w:val="bottom"/>
            <w:shd w:val="clear" w:color="auto" w:fill="EF3E2A"/>
          </w:tcPr>
          <w:p>
            <w:pPr>
              <w:jc w:val="right"/>
              <w:spacing w:after="0" w:line="222" w:lineRule="exact"/>
              <w:rPr>
                <w:sz w:val="20"/>
                <w:szCs w:val="20"/>
                <w:color w:val="auto"/>
              </w:rPr>
            </w:pPr>
            <w:r>
              <w:rPr>
                <w:rFonts w:ascii="Arial" w:cs="Arial" w:eastAsia="Arial" w:hAnsi="Arial"/>
                <w:sz w:val="20"/>
                <w:szCs w:val="20"/>
                <w:b w:val="1"/>
                <w:bCs w:val="1"/>
                <w:color w:val="FFFFFF"/>
              </w:rPr>
              <w:t>Owned</w:t>
            </w:r>
          </w:p>
        </w:tc>
        <w:tc>
          <w:tcPr>
            <w:tcW w:w="1420" w:type="dxa"/>
            <w:vAlign w:val="bottom"/>
            <w:shd w:val="clear" w:color="auto" w:fill="EF3E2A"/>
          </w:tcPr>
          <w:p>
            <w:pPr>
              <w:jc w:val="center"/>
              <w:spacing w:after="0" w:line="242" w:lineRule="exact"/>
              <w:rPr>
                <w:sz w:val="20"/>
                <w:szCs w:val="20"/>
                <w:color w:val="auto"/>
              </w:rPr>
            </w:pPr>
            <w:r>
              <w:rPr>
                <w:rFonts w:ascii="Arial" w:cs="Arial" w:eastAsia="Arial" w:hAnsi="Arial"/>
                <w:sz w:val="20"/>
                <w:szCs w:val="20"/>
                <w:b w:val="1"/>
                <w:bCs w:val="1"/>
                <w:color w:val="FFFFFF"/>
                <w:w w:val="91"/>
              </w:rPr>
              <w:t>Owned</w:t>
            </w:r>
            <w:r>
              <w:rPr>
                <w:rFonts w:ascii="Arial" w:cs="Arial" w:eastAsia="Arial" w:hAnsi="Arial"/>
                <w:sz w:val="25"/>
                <w:szCs w:val="25"/>
                <w:b w:val="1"/>
                <w:bCs w:val="1"/>
                <w:color w:val="FFFFFF"/>
                <w:w w:val="91"/>
                <w:vertAlign w:val="superscript"/>
              </w:rPr>
              <w:t>(2)</w:t>
            </w:r>
          </w:p>
        </w:tc>
        <w:tc>
          <w:tcPr>
            <w:tcW w:w="0" w:type="dxa"/>
            <w:vAlign w:val="bottom"/>
          </w:tcPr>
          <w:p>
            <w:pPr>
              <w:spacing w:after="0"/>
              <w:rPr>
                <w:sz w:val="1"/>
                <w:szCs w:val="1"/>
                <w:color w:val="auto"/>
              </w:rPr>
            </w:pPr>
          </w:p>
        </w:tc>
      </w:tr>
      <w:tr>
        <w:trPr>
          <w:trHeight w:val="275"/>
        </w:trPr>
        <w:tc>
          <w:tcPr>
            <w:tcW w:w="5280" w:type="dxa"/>
            <w:vAlign w:val="bottom"/>
          </w:tcPr>
          <w:p>
            <w:pPr>
              <w:ind w:left="60"/>
              <w:spacing w:after="0"/>
              <w:rPr>
                <w:sz w:val="20"/>
                <w:szCs w:val="20"/>
                <w:color w:val="auto"/>
              </w:rPr>
            </w:pPr>
            <w:r>
              <w:rPr>
                <w:rFonts w:ascii="Arial" w:cs="Arial" w:eastAsia="Arial" w:hAnsi="Arial"/>
                <w:sz w:val="20"/>
                <w:szCs w:val="20"/>
                <w:color w:val="231F20"/>
              </w:rPr>
              <w:t>Dawn M. Becker</w:t>
            </w:r>
          </w:p>
        </w:tc>
        <w:tc>
          <w:tcPr>
            <w:tcW w:w="980" w:type="dxa"/>
            <w:vAlign w:val="bottom"/>
          </w:tcPr>
          <w:p>
            <w:pPr>
              <w:jc w:val="right"/>
              <w:spacing w:after="0"/>
              <w:rPr>
                <w:sz w:val="20"/>
                <w:szCs w:val="20"/>
                <w:color w:val="auto"/>
              </w:rPr>
            </w:pPr>
            <w:r>
              <w:rPr>
                <w:rFonts w:ascii="Arial" w:cs="Arial" w:eastAsia="Arial" w:hAnsi="Arial"/>
                <w:sz w:val="20"/>
                <w:szCs w:val="20"/>
                <w:color w:val="231F20"/>
              </w:rPr>
              <w:t>172,456</w:t>
            </w:r>
          </w:p>
        </w:tc>
        <w:tc>
          <w:tcPr>
            <w:tcW w:w="1080" w:type="dxa"/>
            <w:vAlign w:val="bottom"/>
          </w:tcPr>
          <w:p>
            <w:pPr>
              <w:jc w:val="right"/>
              <w:spacing w:after="0"/>
              <w:rPr>
                <w:sz w:val="20"/>
                <w:szCs w:val="20"/>
                <w:color w:val="auto"/>
              </w:rPr>
            </w:pPr>
            <w:r>
              <w:rPr>
                <w:rFonts w:ascii="Arial" w:cs="Arial" w:eastAsia="Arial" w:hAnsi="Arial"/>
                <w:sz w:val="20"/>
                <w:szCs w:val="20"/>
                <w:color w:val="231F20"/>
              </w:rPr>
              <w:t>24,162</w:t>
            </w:r>
          </w:p>
        </w:tc>
        <w:tc>
          <w:tcPr>
            <w:tcW w:w="1320" w:type="dxa"/>
            <w:vAlign w:val="bottom"/>
          </w:tcPr>
          <w:p>
            <w:pPr>
              <w:jc w:val="right"/>
              <w:spacing w:after="0"/>
              <w:rPr>
                <w:sz w:val="20"/>
                <w:szCs w:val="20"/>
                <w:color w:val="auto"/>
              </w:rPr>
            </w:pPr>
            <w:r>
              <w:rPr>
                <w:rFonts w:ascii="Arial" w:cs="Arial" w:eastAsia="Arial" w:hAnsi="Arial"/>
                <w:sz w:val="20"/>
                <w:szCs w:val="20"/>
                <w:color w:val="231F20"/>
              </w:rPr>
              <w:t>196,618</w:t>
            </w:r>
          </w:p>
        </w:tc>
        <w:tc>
          <w:tcPr>
            <w:tcW w:w="1420" w:type="dxa"/>
            <w:vAlign w:val="bottom"/>
          </w:tcPr>
          <w:p>
            <w:pPr>
              <w:jc w:val="right"/>
              <w:ind w:right="463"/>
              <w:spacing w:after="0"/>
              <w:rPr>
                <w:sz w:val="20"/>
                <w:szCs w:val="20"/>
                <w:color w:val="auto"/>
              </w:rPr>
            </w:pPr>
            <w:r>
              <w:rPr>
                <w:rFonts w:ascii="Arial" w:cs="Arial" w:eastAsia="Arial" w:hAnsi="Arial"/>
                <w:sz w:val="20"/>
                <w:szCs w:val="20"/>
                <w:color w:val="231F20"/>
              </w:rPr>
              <w:t>*</w:t>
            </w:r>
          </w:p>
        </w:tc>
        <w:tc>
          <w:tcPr>
            <w:tcW w:w="0" w:type="dxa"/>
            <w:vAlign w:val="bottom"/>
          </w:tcPr>
          <w:p>
            <w:pPr>
              <w:spacing w:after="0"/>
              <w:rPr>
                <w:sz w:val="1"/>
                <w:szCs w:val="1"/>
                <w:color w:val="auto"/>
              </w:rPr>
            </w:pPr>
          </w:p>
        </w:tc>
      </w:tr>
      <w:tr>
        <w:trPr>
          <w:trHeight w:val="295"/>
        </w:trPr>
        <w:tc>
          <w:tcPr>
            <w:tcW w:w="5280" w:type="dxa"/>
            <w:vAlign w:val="bottom"/>
          </w:tcPr>
          <w:p>
            <w:pPr>
              <w:ind w:left="60"/>
              <w:spacing w:after="0"/>
              <w:rPr>
                <w:sz w:val="20"/>
                <w:szCs w:val="20"/>
                <w:color w:val="auto"/>
              </w:rPr>
            </w:pPr>
            <w:r>
              <w:rPr>
                <w:rFonts w:ascii="Arial" w:cs="Arial" w:eastAsia="Arial" w:hAnsi="Arial"/>
                <w:sz w:val="20"/>
                <w:szCs w:val="20"/>
                <w:color w:val="231F20"/>
              </w:rPr>
              <w:t>David W. Faeder</w:t>
            </w:r>
          </w:p>
        </w:tc>
        <w:tc>
          <w:tcPr>
            <w:tcW w:w="980" w:type="dxa"/>
            <w:vAlign w:val="bottom"/>
          </w:tcPr>
          <w:p>
            <w:pPr>
              <w:jc w:val="right"/>
              <w:spacing w:after="0"/>
              <w:rPr>
                <w:sz w:val="20"/>
                <w:szCs w:val="20"/>
                <w:color w:val="auto"/>
              </w:rPr>
            </w:pPr>
            <w:r>
              <w:rPr>
                <w:rFonts w:ascii="Arial" w:cs="Arial" w:eastAsia="Arial" w:hAnsi="Arial"/>
                <w:sz w:val="20"/>
                <w:szCs w:val="20"/>
                <w:color w:val="231F20"/>
              </w:rPr>
              <w:t>27,537</w:t>
            </w:r>
          </w:p>
        </w:tc>
        <w:tc>
          <w:tcPr>
            <w:tcW w:w="1080" w:type="dxa"/>
            <w:vAlign w:val="bottom"/>
          </w:tcPr>
          <w:p>
            <w:pPr>
              <w:jc w:val="right"/>
              <w:spacing w:after="0"/>
              <w:rPr>
                <w:sz w:val="20"/>
                <w:szCs w:val="20"/>
                <w:color w:val="auto"/>
              </w:rPr>
            </w:pPr>
            <w:r>
              <w:rPr>
                <w:rFonts w:ascii="Arial" w:cs="Arial" w:eastAsia="Arial" w:hAnsi="Arial"/>
                <w:sz w:val="20"/>
                <w:szCs w:val="20"/>
                <w:color w:val="231F20"/>
              </w:rPr>
              <w:t>0</w:t>
            </w:r>
          </w:p>
        </w:tc>
        <w:tc>
          <w:tcPr>
            <w:tcW w:w="1320" w:type="dxa"/>
            <w:vAlign w:val="bottom"/>
          </w:tcPr>
          <w:p>
            <w:pPr>
              <w:jc w:val="right"/>
              <w:spacing w:after="0"/>
              <w:rPr>
                <w:sz w:val="20"/>
                <w:szCs w:val="20"/>
                <w:color w:val="auto"/>
              </w:rPr>
            </w:pPr>
            <w:r>
              <w:rPr>
                <w:rFonts w:ascii="Arial" w:cs="Arial" w:eastAsia="Arial" w:hAnsi="Arial"/>
                <w:sz w:val="20"/>
                <w:szCs w:val="20"/>
                <w:color w:val="231F20"/>
              </w:rPr>
              <w:t>27,537</w:t>
            </w:r>
          </w:p>
        </w:tc>
        <w:tc>
          <w:tcPr>
            <w:tcW w:w="1420" w:type="dxa"/>
            <w:vAlign w:val="bottom"/>
          </w:tcPr>
          <w:p>
            <w:pPr>
              <w:jc w:val="right"/>
              <w:ind w:right="463"/>
              <w:spacing w:after="0"/>
              <w:rPr>
                <w:sz w:val="20"/>
                <w:szCs w:val="20"/>
                <w:color w:val="auto"/>
              </w:rPr>
            </w:pPr>
            <w:r>
              <w:rPr>
                <w:rFonts w:ascii="Arial" w:cs="Arial" w:eastAsia="Arial" w:hAnsi="Arial"/>
                <w:sz w:val="20"/>
                <w:szCs w:val="20"/>
                <w:color w:val="231F20"/>
              </w:rPr>
              <w:t>*</w:t>
            </w:r>
          </w:p>
        </w:tc>
        <w:tc>
          <w:tcPr>
            <w:tcW w:w="0" w:type="dxa"/>
            <w:vAlign w:val="bottom"/>
          </w:tcPr>
          <w:p>
            <w:pPr>
              <w:spacing w:after="0"/>
              <w:rPr>
                <w:sz w:val="1"/>
                <w:szCs w:val="1"/>
                <w:color w:val="auto"/>
              </w:rPr>
            </w:pPr>
          </w:p>
        </w:tc>
      </w:tr>
      <w:tr>
        <w:trPr>
          <w:trHeight w:val="295"/>
        </w:trPr>
        <w:tc>
          <w:tcPr>
            <w:tcW w:w="5280" w:type="dxa"/>
            <w:vAlign w:val="bottom"/>
          </w:tcPr>
          <w:p>
            <w:pPr>
              <w:ind w:left="60"/>
              <w:spacing w:after="0"/>
              <w:rPr>
                <w:sz w:val="20"/>
                <w:szCs w:val="20"/>
                <w:color w:val="auto"/>
              </w:rPr>
            </w:pPr>
            <w:r>
              <w:rPr>
                <w:rFonts w:ascii="Arial" w:cs="Arial" w:eastAsia="Arial" w:hAnsi="Arial"/>
                <w:sz w:val="20"/>
                <w:szCs w:val="20"/>
                <w:color w:val="231F20"/>
              </w:rPr>
              <w:t>Joseph D. Fisher</w:t>
            </w:r>
          </w:p>
        </w:tc>
        <w:tc>
          <w:tcPr>
            <w:tcW w:w="980" w:type="dxa"/>
            <w:vAlign w:val="bottom"/>
          </w:tcPr>
          <w:p>
            <w:pPr>
              <w:jc w:val="right"/>
              <w:spacing w:after="0"/>
              <w:rPr>
                <w:sz w:val="20"/>
                <w:szCs w:val="20"/>
                <w:color w:val="auto"/>
              </w:rPr>
            </w:pPr>
            <w:r>
              <w:rPr>
                <w:rFonts w:ascii="Arial" w:cs="Arial" w:eastAsia="Arial" w:hAnsi="Arial"/>
                <w:sz w:val="20"/>
                <w:szCs w:val="20"/>
                <w:color w:val="231F20"/>
              </w:rPr>
              <w:t>0</w:t>
            </w:r>
          </w:p>
        </w:tc>
        <w:tc>
          <w:tcPr>
            <w:tcW w:w="1080" w:type="dxa"/>
            <w:vAlign w:val="bottom"/>
          </w:tcPr>
          <w:p>
            <w:pPr>
              <w:jc w:val="right"/>
              <w:spacing w:after="0"/>
              <w:rPr>
                <w:sz w:val="20"/>
                <w:szCs w:val="20"/>
                <w:color w:val="auto"/>
              </w:rPr>
            </w:pPr>
            <w:r>
              <w:rPr>
                <w:rFonts w:ascii="Arial" w:cs="Arial" w:eastAsia="Arial" w:hAnsi="Arial"/>
                <w:sz w:val="20"/>
                <w:szCs w:val="20"/>
                <w:color w:val="231F20"/>
              </w:rPr>
              <w:t>0</w:t>
            </w:r>
          </w:p>
        </w:tc>
        <w:tc>
          <w:tcPr>
            <w:tcW w:w="1320" w:type="dxa"/>
            <w:vAlign w:val="bottom"/>
          </w:tcPr>
          <w:p>
            <w:pPr>
              <w:jc w:val="right"/>
              <w:spacing w:after="0"/>
              <w:rPr>
                <w:sz w:val="20"/>
                <w:szCs w:val="20"/>
                <w:color w:val="auto"/>
              </w:rPr>
            </w:pPr>
            <w:r>
              <w:rPr>
                <w:rFonts w:ascii="Arial" w:cs="Arial" w:eastAsia="Arial" w:hAnsi="Arial"/>
                <w:sz w:val="20"/>
                <w:szCs w:val="20"/>
                <w:color w:val="231F20"/>
              </w:rPr>
              <w:t>0</w:t>
            </w:r>
          </w:p>
        </w:tc>
        <w:tc>
          <w:tcPr>
            <w:tcW w:w="1420" w:type="dxa"/>
            <w:vAlign w:val="bottom"/>
          </w:tcPr>
          <w:p>
            <w:pPr>
              <w:jc w:val="right"/>
              <w:ind w:right="463"/>
              <w:spacing w:after="0"/>
              <w:rPr>
                <w:sz w:val="20"/>
                <w:szCs w:val="20"/>
                <w:color w:val="auto"/>
              </w:rPr>
            </w:pPr>
            <w:r>
              <w:rPr>
                <w:rFonts w:ascii="Arial" w:cs="Arial" w:eastAsia="Arial" w:hAnsi="Arial"/>
                <w:sz w:val="20"/>
                <w:szCs w:val="20"/>
                <w:color w:val="231F20"/>
              </w:rPr>
              <w:t>*</w:t>
            </w:r>
          </w:p>
        </w:tc>
        <w:tc>
          <w:tcPr>
            <w:tcW w:w="0" w:type="dxa"/>
            <w:vAlign w:val="bottom"/>
          </w:tcPr>
          <w:p>
            <w:pPr>
              <w:spacing w:after="0"/>
              <w:rPr>
                <w:sz w:val="1"/>
                <w:szCs w:val="1"/>
                <w:color w:val="auto"/>
              </w:rPr>
            </w:pPr>
          </w:p>
        </w:tc>
      </w:tr>
      <w:tr>
        <w:trPr>
          <w:trHeight w:val="295"/>
        </w:trPr>
        <w:tc>
          <w:tcPr>
            <w:tcW w:w="5280" w:type="dxa"/>
            <w:vAlign w:val="bottom"/>
          </w:tcPr>
          <w:p>
            <w:pPr>
              <w:ind w:left="60"/>
              <w:spacing w:after="0"/>
              <w:rPr>
                <w:sz w:val="20"/>
                <w:szCs w:val="20"/>
                <w:color w:val="auto"/>
              </w:rPr>
            </w:pPr>
            <w:r>
              <w:rPr>
                <w:rFonts w:ascii="Arial" w:cs="Arial" w:eastAsia="Arial" w:hAnsi="Arial"/>
                <w:sz w:val="20"/>
                <w:szCs w:val="20"/>
                <w:color w:val="231F20"/>
              </w:rPr>
              <w:t>Daniel Guglielmone</w:t>
            </w:r>
          </w:p>
        </w:tc>
        <w:tc>
          <w:tcPr>
            <w:tcW w:w="980" w:type="dxa"/>
            <w:vAlign w:val="bottom"/>
          </w:tcPr>
          <w:p>
            <w:pPr>
              <w:jc w:val="right"/>
              <w:spacing w:after="0"/>
              <w:rPr>
                <w:sz w:val="20"/>
                <w:szCs w:val="20"/>
                <w:color w:val="auto"/>
              </w:rPr>
            </w:pPr>
            <w:r>
              <w:rPr>
                <w:rFonts w:ascii="Arial" w:cs="Arial" w:eastAsia="Arial" w:hAnsi="Arial"/>
                <w:sz w:val="20"/>
                <w:szCs w:val="20"/>
                <w:color w:val="231F20"/>
              </w:rPr>
              <w:t>47,090</w:t>
            </w:r>
          </w:p>
        </w:tc>
        <w:tc>
          <w:tcPr>
            <w:tcW w:w="1080" w:type="dxa"/>
            <w:vAlign w:val="bottom"/>
          </w:tcPr>
          <w:p>
            <w:pPr>
              <w:jc w:val="right"/>
              <w:spacing w:after="0"/>
              <w:rPr>
                <w:sz w:val="20"/>
                <w:szCs w:val="20"/>
                <w:color w:val="auto"/>
              </w:rPr>
            </w:pPr>
            <w:r>
              <w:rPr>
                <w:rFonts w:ascii="Arial" w:cs="Arial" w:eastAsia="Arial" w:hAnsi="Arial"/>
                <w:sz w:val="20"/>
                <w:szCs w:val="20"/>
                <w:color w:val="231F20"/>
              </w:rPr>
              <w:t>33,776</w:t>
            </w:r>
          </w:p>
        </w:tc>
        <w:tc>
          <w:tcPr>
            <w:tcW w:w="1320" w:type="dxa"/>
            <w:vAlign w:val="bottom"/>
          </w:tcPr>
          <w:p>
            <w:pPr>
              <w:jc w:val="right"/>
              <w:spacing w:after="0"/>
              <w:rPr>
                <w:sz w:val="20"/>
                <w:szCs w:val="20"/>
                <w:color w:val="auto"/>
              </w:rPr>
            </w:pPr>
            <w:r>
              <w:rPr>
                <w:rFonts w:ascii="Arial" w:cs="Arial" w:eastAsia="Arial" w:hAnsi="Arial"/>
                <w:sz w:val="20"/>
                <w:szCs w:val="20"/>
                <w:color w:val="231F20"/>
              </w:rPr>
              <w:t>80,866</w:t>
            </w:r>
          </w:p>
        </w:tc>
        <w:tc>
          <w:tcPr>
            <w:tcW w:w="1420" w:type="dxa"/>
            <w:vAlign w:val="bottom"/>
          </w:tcPr>
          <w:p>
            <w:pPr>
              <w:jc w:val="right"/>
              <w:ind w:right="463"/>
              <w:spacing w:after="0"/>
              <w:rPr>
                <w:sz w:val="20"/>
                <w:szCs w:val="20"/>
                <w:color w:val="auto"/>
              </w:rPr>
            </w:pPr>
            <w:r>
              <w:rPr>
                <w:rFonts w:ascii="Arial" w:cs="Arial" w:eastAsia="Arial" w:hAnsi="Arial"/>
                <w:sz w:val="20"/>
                <w:szCs w:val="20"/>
                <w:color w:val="231F20"/>
              </w:rPr>
              <w:t>*</w:t>
            </w:r>
          </w:p>
        </w:tc>
        <w:tc>
          <w:tcPr>
            <w:tcW w:w="0" w:type="dxa"/>
            <w:vAlign w:val="bottom"/>
          </w:tcPr>
          <w:p>
            <w:pPr>
              <w:spacing w:after="0"/>
              <w:rPr>
                <w:sz w:val="1"/>
                <w:szCs w:val="1"/>
                <w:color w:val="auto"/>
              </w:rPr>
            </w:pPr>
          </w:p>
        </w:tc>
      </w:tr>
      <w:tr>
        <w:trPr>
          <w:trHeight w:val="295"/>
        </w:trPr>
        <w:tc>
          <w:tcPr>
            <w:tcW w:w="5280" w:type="dxa"/>
            <w:vAlign w:val="bottom"/>
          </w:tcPr>
          <w:p>
            <w:pPr>
              <w:ind w:left="60"/>
              <w:spacing w:after="0"/>
              <w:rPr>
                <w:sz w:val="20"/>
                <w:szCs w:val="20"/>
                <w:color w:val="auto"/>
              </w:rPr>
            </w:pPr>
            <w:r>
              <w:rPr>
                <w:rFonts w:ascii="Arial" w:cs="Arial" w:eastAsia="Arial" w:hAnsi="Arial"/>
                <w:sz w:val="20"/>
                <w:szCs w:val="20"/>
                <w:color w:val="231F20"/>
              </w:rPr>
              <w:t>Elizabeth I. Holland</w:t>
            </w:r>
          </w:p>
        </w:tc>
        <w:tc>
          <w:tcPr>
            <w:tcW w:w="980" w:type="dxa"/>
            <w:vAlign w:val="bottom"/>
          </w:tcPr>
          <w:p>
            <w:pPr>
              <w:jc w:val="right"/>
              <w:spacing w:after="0"/>
              <w:rPr>
                <w:sz w:val="20"/>
                <w:szCs w:val="20"/>
                <w:color w:val="auto"/>
              </w:rPr>
            </w:pPr>
            <w:r>
              <w:rPr>
                <w:rFonts w:ascii="Arial" w:cs="Arial" w:eastAsia="Arial" w:hAnsi="Arial"/>
                <w:sz w:val="20"/>
                <w:szCs w:val="20"/>
                <w:color w:val="231F20"/>
              </w:rPr>
              <w:t>9,727</w:t>
            </w:r>
          </w:p>
        </w:tc>
        <w:tc>
          <w:tcPr>
            <w:tcW w:w="1080" w:type="dxa"/>
            <w:vAlign w:val="bottom"/>
          </w:tcPr>
          <w:p>
            <w:pPr>
              <w:jc w:val="right"/>
              <w:spacing w:after="0"/>
              <w:rPr>
                <w:sz w:val="20"/>
                <w:szCs w:val="20"/>
                <w:color w:val="auto"/>
              </w:rPr>
            </w:pPr>
            <w:r>
              <w:rPr>
                <w:rFonts w:ascii="Arial" w:cs="Arial" w:eastAsia="Arial" w:hAnsi="Arial"/>
                <w:sz w:val="20"/>
                <w:szCs w:val="20"/>
                <w:color w:val="231F20"/>
              </w:rPr>
              <w:t>0</w:t>
            </w:r>
          </w:p>
        </w:tc>
        <w:tc>
          <w:tcPr>
            <w:tcW w:w="1320" w:type="dxa"/>
            <w:vAlign w:val="bottom"/>
          </w:tcPr>
          <w:p>
            <w:pPr>
              <w:jc w:val="right"/>
              <w:spacing w:after="0"/>
              <w:rPr>
                <w:sz w:val="20"/>
                <w:szCs w:val="20"/>
                <w:color w:val="auto"/>
              </w:rPr>
            </w:pPr>
            <w:r>
              <w:rPr>
                <w:rFonts w:ascii="Arial" w:cs="Arial" w:eastAsia="Arial" w:hAnsi="Arial"/>
                <w:sz w:val="20"/>
                <w:szCs w:val="20"/>
                <w:color w:val="231F20"/>
              </w:rPr>
              <w:t>9,727</w:t>
            </w:r>
          </w:p>
        </w:tc>
        <w:tc>
          <w:tcPr>
            <w:tcW w:w="1420" w:type="dxa"/>
            <w:vAlign w:val="bottom"/>
          </w:tcPr>
          <w:p>
            <w:pPr>
              <w:jc w:val="right"/>
              <w:ind w:right="463"/>
              <w:spacing w:after="0"/>
              <w:rPr>
                <w:sz w:val="20"/>
                <w:szCs w:val="20"/>
                <w:color w:val="auto"/>
              </w:rPr>
            </w:pPr>
            <w:r>
              <w:rPr>
                <w:rFonts w:ascii="Arial" w:cs="Arial" w:eastAsia="Arial" w:hAnsi="Arial"/>
                <w:sz w:val="20"/>
                <w:szCs w:val="20"/>
                <w:color w:val="231F20"/>
              </w:rPr>
              <w:t>*</w:t>
            </w:r>
          </w:p>
        </w:tc>
        <w:tc>
          <w:tcPr>
            <w:tcW w:w="0" w:type="dxa"/>
            <w:vAlign w:val="bottom"/>
          </w:tcPr>
          <w:p>
            <w:pPr>
              <w:spacing w:after="0"/>
              <w:rPr>
                <w:sz w:val="1"/>
                <w:szCs w:val="1"/>
                <w:color w:val="auto"/>
              </w:rPr>
            </w:pPr>
          </w:p>
        </w:tc>
      </w:tr>
      <w:tr>
        <w:trPr>
          <w:trHeight w:val="295"/>
        </w:trPr>
        <w:tc>
          <w:tcPr>
            <w:tcW w:w="5280" w:type="dxa"/>
            <w:vAlign w:val="bottom"/>
          </w:tcPr>
          <w:p>
            <w:pPr>
              <w:ind w:left="60"/>
              <w:spacing w:after="0"/>
              <w:rPr>
                <w:sz w:val="20"/>
                <w:szCs w:val="20"/>
                <w:color w:val="auto"/>
              </w:rPr>
            </w:pPr>
            <w:r>
              <w:rPr>
                <w:rFonts w:ascii="Arial" w:cs="Arial" w:eastAsia="Arial" w:hAnsi="Arial"/>
                <w:sz w:val="20"/>
                <w:szCs w:val="20"/>
                <w:color w:val="231F20"/>
              </w:rPr>
              <w:t>Nicole Y. Lamb-Hale</w:t>
            </w:r>
          </w:p>
        </w:tc>
        <w:tc>
          <w:tcPr>
            <w:tcW w:w="980" w:type="dxa"/>
            <w:vAlign w:val="bottom"/>
          </w:tcPr>
          <w:p>
            <w:pPr>
              <w:jc w:val="right"/>
              <w:spacing w:after="0"/>
              <w:rPr>
                <w:sz w:val="20"/>
                <w:szCs w:val="20"/>
                <w:color w:val="auto"/>
              </w:rPr>
            </w:pPr>
            <w:r>
              <w:rPr>
                <w:rFonts w:ascii="Arial" w:cs="Arial" w:eastAsia="Arial" w:hAnsi="Arial"/>
                <w:sz w:val="20"/>
                <w:szCs w:val="20"/>
                <w:color w:val="231F20"/>
              </w:rPr>
              <w:t>6,113</w:t>
            </w:r>
          </w:p>
        </w:tc>
        <w:tc>
          <w:tcPr>
            <w:tcW w:w="1080" w:type="dxa"/>
            <w:vAlign w:val="bottom"/>
          </w:tcPr>
          <w:p>
            <w:pPr>
              <w:jc w:val="right"/>
              <w:spacing w:after="0"/>
              <w:rPr>
                <w:sz w:val="20"/>
                <w:szCs w:val="20"/>
                <w:color w:val="auto"/>
              </w:rPr>
            </w:pPr>
            <w:r>
              <w:rPr>
                <w:rFonts w:ascii="Arial" w:cs="Arial" w:eastAsia="Arial" w:hAnsi="Arial"/>
                <w:sz w:val="20"/>
                <w:szCs w:val="20"/>
                <w:color w:val="231F20"/>
              </w:rPr>
              <w:t>0</w:t>
            </w:r>
          </w:p>
        </w:tc>
        <w:tc>
          <w:tcPr>
            <w:tcW w:w="1320" w:type="dxa"/>
            <w:vAlign w:val="bottom"/>
          </w:tcPr>
          <w:p>
            <w:pPr>
              <w:jc w:val="right"/>
              <w:spacing w:after="0"/>
              <w:rPr>
                <w:sz w:val="20"/>
                <w:szCs w:val="20"/>
                <w:color w:val="auto"/>
              </w:rPr>
            </w:pPr>
            <w:r>
              <w:rPr>
                <w:rFonts w:ascii="Arial" w:cs="Arial" w:eastAsia="Arial" w:hAnsi="Arial"/>
                <w:sz w:val="20"/>
                <w:szCs w:val="20"/>
                <w:color w:val="231F20"/>
              </w:rPr>
              <w:t>6,113</w:t>
            </w:r>
          </w:p>
        </w:tc>
        <w:tc>
          <w:tcPr>
            <w:tcW w:w="1420" w:type="dxa"/>
            <w:vAlign w:val="bottom"/>
          </w:tcPr>
          <w:p>
            <w:pPr>
              <w:jc w:val="right"/>
              <w:ind w:right="463"/>
              <w:spacing w:after="0"/>
              <w:rPr>
                <w:sz w:val="20"/>
                <w:szCs w:val="20"/>
                <w:color w:val="auto"/>
              </w:rPr>
            </w:pPr>
            <w:r>
              <w:rPr>
                <w:rFonts w:ascii="Arial" w:cs="Arial" w:eastAsia="Arial" w:hAnsi="Arial"/>
                <w:sz w:val="20"/>
                <w:szCs w:val="20"/>
                <w:color w:val="231F20"/>
              </w:rPr>
              <w:t>*</w:t>
            </w:r>
          </w:p>
        </w:tc>
        <w:tc>
          <w:tcPr>
            <w:tcW w:w="0" w:type="dxa"/>
            <w:vAlign w:val="bottom"/>
          </w:tcPr>
          <w:p>
            <w:pPr>
              <w:spacing w:after="0"/>
              <w:rPr>
                <w:sz w:val="1"/>
                <w:szCs w:val="1"/>
                <w:color w:val="auto"/>
              </w:rPr>
            </w:pPr>
          </w:p>
        </w:tc>
      </w:tr>
      <w:tr>
        <w:trPr>
          <w:trHeight w:val="368"/>
        </w:trPr>
        <w:tc>
          <w:tcPr>
            <w:tcW w:w="5280" w:type="dxa"/>
            <w:vAlign w:val="bottom"/>
          </w:tcPr>
          <w:p>
            <w:pPr>
              <w:ind w:left="60"/>
              <w:spacing w:after="0"/>
              <w:rPr>
                <w:sz w:val="20"/>
                <w:szCs w:val="20"/>
                <w:color w:val="auto"/>
              </w:rPr>
            </w:pPr>
            <w:r>
              <w:rPr>
                <w:rFonts w:ascii="Arial" w:cs="Arial" w:eastAsia="Arial" w:hAnsi="Arial"/>
                <w:sz w:val="20"/>
                <w:szCs w:val="20"/>
                <w:color w:val="231F20"/>
              </w:rPr>
              <w:t>Thomas A. McEachin</w:t>
            </w:r>
            <w:r>
              <w:rPr>
                <w:rFonts w:ascii="Arial" w:cs="Arial" w:eastAsia="Arial" w:hAnsi="Arial"/>
                <w:sz w:val="25"/>
                <w:szCs w:val="25"/>
                <w:color w:val="231F20"/>
                <w:vertAlign w:val="superscript"/>
              </w:rPr>
              <w:t>(3)</w:t>
            </w:r>
          </w:p>
        </w:tc>
        <w:tc>
          <w:tcPr>
            <w:tcW w:w="980" w:type="dxa"/>
            <w:vAlign w:val="bottom"/>
          </w:tcPr>
          <w:p>
            <w:pPr>
              <w:jc w:val="right"/>
              <w:spacing w:after="0"/>
              <w:rPr>
                <w:sz w:val="20"/>
                <w:szCs w:val="20"/>
                <w:color w:val="auto"/>
              </w:rPr>
            </w:pPr>
            <w:r>
              <w:rPr>
                <w:rFonts w:ascii="Arial" w:cs="Arial" w:eastAsia="Arial" w:hAnsi="Arial"/>
                <w:sz w:val="20"/>
                <w:szCs w:val="20"/>
                <w:color w:val="231F20"/>
              </w:rPr>
              <w:t>3,874</w:t>
            </w:r>
          </w:p>
        </w:tc>
        <w:tc>
          <w:tcPr>
            <w:tcW w:w="1080" w:type="dxa"/>
            <w:vAlign w:val="bottom"/>
          </w:tcPr>
          <w:p>
            <w:pPr>
              <w:jc w:val="right"/>
              <w:spacing w:after="0"/>
              <w:rPr>
                <w:sz w:val="20"/>
                <w:szCs w:val="20"/>
                <w:color w:val="auto"/>
              </w:rPr>
            </w:pPr>
            <w:r>
              <w:rPr>
                <w:rFonts w:ascii="Arial" w:cs="Arial" w:eastAsia="Arial" w:hAnsi="Arial"/>
                <w:sz w:val="20"/>
                <w:szCs w:val="20"/>
                <w:color w:val="231F20"/>
              </w:rPr>
              <w:t>0</w:t>
            </w:r>
          </w:p>
        </w:tc>
        <w:tc>
          <w:tcPr>
            <w:tcW w:w="1320" w:type="dxa"/>
            <w:vAlign w:val="bottom"/>
          </w:tcPr>
          <w:p>
            <w:pPr>
              <w:jc w:val="right"/>
              <w:spacing w:after="0"/>
              <w:rPr>
                <w:sz w:val="20"/>
                <w:szCs w:val="20"/>
                <w:color w:val="auto"/>
              </w:rPr>
            </w:pPr>
            <w:r>
              <w:rPr>
                <w:rFonts w:ascii="Arial" w:cs="Arial" w:eastAsia="Arial" w:hAnsi="Arial"/>
                <w:sz w:val="20"/>
                <w:szCs w:val="20"/>
                <w:color w:val="231F20"/>
              </w:rPr>
              <w:t>3,874</w:t>
            </w:r>
          </w:p>
        </w:tc>
        <w:tc>
          <w:tcPr>
            <w:tcW w:w="1420" w:type="dxa"/>
            <w:vAlign w:val="bottom"/>
          </w:tcPr>
          <w:p>
            <w:pPr>
              <w:jc w:val="right"/>
              <w:ind w:right="463"/>
              <w:spacing w:after="0"/>
              <w:rPr>
                <w:sz w:val="20"/>
                <w:szCs w:val="20"/>
                <w:color w:val="auto"/>
              </w:rPr>
            </w:pPr>
            <w:r>
              <w:rPr>
                <w:rFonts w:ascii="Arial" w:cs="Arial" w:eastAsia="Arial" w:hAnsi="Arial"/>
                <w:sz w:val="20"/>
                <w:szCs w:val="20"/>
                <w:color w:val="231F20"/>
              </w:rPr>
              <w:t>*</w:t>
            </w:r>
          </w:p>
        </w:tc>
        <w:tc>
          <w:tcPr>
            <w:tcW w:w="0" w:type="dxa"/>
            <w:vAlign w:val="bottom"/>
          </w:tcPr>
          <w:p>
            <w:pPr>
              <w:spacing w:after="0"/>
              <w:rPr>
                <w:sz w:val="1"/>
                <w:szCs w:val="1"/>
                <w:color w:val="auto"/>
              </w:rPr>
            </w:pPr>
          </w:p>
        </w:tc>
      </w:tr>
      <w:tr>
        <w:trPr>
          <w:trHeight w:val="222"/>
        </w:trPr>
        <w:tc>
          <w:tcPr>
            <w:tcW w:w="5280" w:type="dxa"/>
            <w:vAlign w:val="bottom"/>
          </w:tcPr>
          <w:p>
            <w:pPr>
              <w:ind w:left="60"/>
              <w:spacing w:after="0" w:line="222" w:lineRule="exact"/>
              <w:rPr>
                <w:sz w:val="20"/>
                <w:szCs w:val="20"/>
                <w:color w:val="auto"/>
              </w:rPr>
            </w:pPr>
            <w:r>
              <w:rPr>
                <w:rFonts w:ascii="Arial" w:cs="Arial" w:eastAsia="Arial" w:hAnsi="Arial"/>
                <w:sz w:val="20"/>
                <w:szCs w:val="20"/>
                <w:color w:val="231F20"/>
              </w:rPr>
              <w:t>Anthony P. Nader, III</w:t>
            </w:r>
          </w:p>
        </w:tc>
        <w:tc>
          <w:tcPr>
            <w:tcW w:w="980" w:type="dxa"/>
            <w:vAlign w:val="bottom"/>
          </w:tcPr>
          <w:p>
            <w:pPr>
              <w:jc w:val="right"/>
              <w:spacing w:after="0" w:line="222" w:lineRule="exact"/>
              <w:rPr>
                <w:sz w:val="20"/>
                <w:szCs w:val="20"/>
                <w:color w:val="auto"/>
              </w:rPr>
            </w:pPr>
            <w:r>
              <w:rPr>
                <w:rFonts w:ascii="Arial" w:cs="Arial" w:eastAsia="Arial" w:hAnsi="Arial"/>
                <w:sz w:val="20"/>
                <w:szCs w:val="20"/>
                <w:color w:val="231F20"/>
              </w:rPr>
              <w:t>6,113</w:t>
            </w:r>
          </w:p>
        </w:tc>
        <w:tc>
          <w:tcPr>
            <w:tcW w:w="1080" w:type="dxa"/>
            <w:vAlign w:val="bottom"/>
          </w:tcPr>
          <w:p>
            <w:pPr>
              <w:jc w:val="right"/>
              <w:spacing w:after="0" w:line="222" w:lineRule="exact"/>
              <w:rPr>
                <w:sz w:val="20"/>
                <w:szCs w:val="20"/>
                <w:color w:val="auto"/>
              </w:rPr>
            </w:pPr>
            <w:r>
              <w:rPr>
                <w:rFonts w:ascii="Arial" w:cs="Arial" w:eastAsia="Arial" w:hAnsi="Arial"/>
                <w:sz w:val="20"/>
                <w:szCs w:val="20"/>
                <w:color w:val="231F20"/>
              </w:rPr>
              <w:t>0</w:t>
            </w:r>
          </w:p>
        </w:tc>
        <w:tc>
          <w:tcPr>
            <w:tcW w:w="1320" w:type="dxa"/>
            <w:vAlign w:val="bottom"/>
          </w:tcPr>
          <w:p>
            <w:pPr>
              <w:jc w:val="right"/>
              <w:spacing w:after="0" w:line="222" w:lineRule="exact"/>
              <w:rPr>
                <w:sz w:val="20"/>
                <w:szCs w:val="20"/>
                <w:color w:val="auto"/>
              </w:rPr>
            </w:pPr>
            <w:r>
              <w:rPr>
                <w:rFonts w:ascii="Arial" w:cs="Arial" w:eastAsia="Arial" w:hAnsi="Arial"/>
                <w:sz w:val="20"/>
                <w:szCs w:val="20"/>
                <w:color w:val="231F20"/>
              </w:rPr>
              <w:t>6,113</w:t>
            </w:r>
          </w:p>
        </w:tc>
        <w:tc>
          <w:tcPr>
            <w:tcW w:w="1420" w:type="dxa"/>
            <w:vAlign w:val="bottom"/>
          </w:tcPr>
          <w:p>
            <w:pPr>
              <w:jc w:val="right"/>
              <w:ind w:right="463"/>
              <w:spacing w:after="0" w:line="222" w:lineRule="exact"/>
              <w:rPr>
                <w:sz w:val="20"/>
                <w:szCs w:val="20"/>
                <w:color w:val="auto"/>
              </w:rPr>
            </w:pPr>
            <w:r>
              <w:rPr>
                <w:rFonts w:ascii="Arial" w:cs="Arial" w:eastAsia="Arial" w:hAnsi="Arial"/>
                <w:sz w:val="20"/>
                <w:szCs w:val="20"/>
                <w:color w:val="231F20"/>
              </w:rPr>
              <w:t>*</w:t>
            </w:r>
          </w:p>
        </w:tc>
        <w:tc>
          <w:tcPr>
            <w:tcW w:w="0" w:type="dxa"/>
            <w:vAlign w:val="bottom"/>
          </w:tcPr>
          <w:p>
            <w:pPr>
              <w:spacing w:after="0"/>
              <w:rPr>
                <w:sz w:val="1"/>
                <w:szCs w:val="1"/>
                <w:color w:val="auto"/>
              </w:rPr>
            </w:pPr>
          </w:p>
        </w:tc>
      </w:tr>
      <w:tr>
        <w:trPr>
          <w:trHeight w:val="295"/>
        </w:trPr>
        <w:tc>
          <w:tcPr>
            <w:tcW w:w="5280" w:type="dxa"/>
            <w:vAlign w:val="bottom"/>
          </w:tcPr>
          <w:p>
            <w:pPr>
              <w:ind w:left="60"/>
              <w:spacing w:after="0"/>
              <w:rPr>
                <w:sz w:val="20"/>
                <w:szCs w:val="20"/>
                <w:color w:val="auto"/>
              </w:rPr>
            </w:pPr>
            <w:r>
              <w:rPr>
                <w:rFonts w:ascii="Arial" w:cs="Arial" w:eastAsia="Arial" w:hAnsi="Arial"/>
                <w:sz w:val="20"/>
                <w:szCs w:val="20"/>
                <w:color w:val="231F20"/>
              </w:rPr>
              <w:t>Gail P. Steinel</w:t>
            </w:r>
          </w:p>
        </w:tc>
        <w:tc>
          <w:tcPr>
            <w:tcW w:w="980" w:type="dxa"/>
            <w:vAlign w:val="bottom"/>
          </w:tcPr>
          <w:p>
            <w:pPr>
              <w:jc w:val="right"/>
              <w:spacing w:after="0"/>
              <w:rPr>
                <w:sz w:val="20"/>
                <w:szCs w:val="20"/>
                <w:color w:val="auto"/>
              </w:rPr>
            </w:pPr>
            <w:r>
              <w:rPr>
                <w:rFonts w:ascii="Arial" w:cs="Arial" w:eastAsia="Arial" w:hAnsi="Arial"/>
                <w:sz w:val="20"/>
                <w:szCs w:val="20"/>
                <w:color w:val="231F20"/>
              </w:rPr>
              <w:t>18,017</w:t>
            </w:r>
          </w:p>
        </w:tc>
        <w:tc>
          <w:tcPr>
            <w:tcW w:w="1080" w:type="dxa"/>
            <w:vAlign w:val="bottom"/>
          </w:tcPr>
          <w:p>
            <w:pPr>
              <w:jc w:val="right"/>
              <w:spacing w:after="0"/>
              <w:rPr>
                <w:sz w:val="20"/>
                <w:szCs w:val="20"/>
                <w:color w:val="auto"/>
              </w:rPr>
            </w:pPr>
            <w:r>
              <w:rPr>
                <w:rFonts w:ascii="Arial" w:cs="Arial" w:eastAsia="Arial" w:hAnsi="Arial"/>
                <w:sz w:val="20"/>
                <w:szCs w:val="20"/>
                <w:color w:val="231F20"/>
              </w:rPr>
              <w:t>0</w:t>
            </w:r>
          </w:p>
        </w:tc>
        <w:tc>
          <w:tcPr>
            <w:tcW w:w="1320" w:type="dxa"/>
            <w:vAlign w:val="bottom"/>
          </w:tcPr>
          <w:p>
            <w:pPr>
              <w:jc w:val="right"/>
              <w:spacing w:after="0"/>
              <w:rPr>
                <w:sz w:val="20"/>
                <w:szCs w:val="20"/>
                <w:color w:val="auto"/>
              </w:rPr>
            </w:pPr>
            <w:r>
              <w:rPr>
                <w:rFonts w:ascii="Arial" w:cs="Arial" w:eastAsia="Arial" w:hAnsi="Arial"/>
                <w:sz w:val="20"/>
                <w:szCs w:val="20"/>
                <w:color w:val="231F20"/>
              </w:rPr>
              <w:t>18,017</w:t>
            </w:r>
          </w:p>
        </w:tc>
        <w:tc>
          <w:tcPr>
            <w:tcW w:w="1420" w:type="dxa"/>
            <w:vAlign w:val="bottom"/>
          </w:tcPr>
          <w:p>
            <w:pPr>
              <w:jc w:val="right"/>
              <w:ind w:right="463"/>
              <w:spacing w:after="0"/>
              <w:rPr>
                <w:sz w:val="20"/>
                <w:szCs w:val="20"/>
                <w:color w:val="auto"/>
              </w:rPr>
            </w:pPr>
            <w:r>
              <w:rPr>
                <w:rFonts w:ascii="Arial" w:cs="Arial" w:eastAsia="Arial" w:hAnsi="Arial"/>
                <w:sz w:val="20"/>
                <w:szCs w:val="20"/>
                <w:color w:val="231F20"/>
              </w:rPr>
              <w:t>*</w:t>
            </w:r>
          </w:p>
        </w:tc>
        <w:tc>
          <w:tcPr>
            <w:tcW w:w="0" w:type="dxa"/>
            <w:vAlign w:val="bottom"/>
          </w:tcPr>
          <w:p>
            <w:pPr>
              <w:spacing w:after="0"/>
              <w:rPr>
                <w:sz w:val="1"/>
                <w:szCs w:val="1"/>
                <w:color w:val="auto"/>
              </w:rPr>
            </w:pPr>
          </w:p>
        </w:tc>
      </w:tr>
      <w:tr>
        <w:trPr>
          <w:trHeight w:val="313"/>
        </w:trPr>
        <w:tc>
          <w:tcPr>
            <w:tcW w:w="5280" w:type="dxa"/>
            <w:vAlign w:val="bottom"/>
          </w:tcPr>
          <w:p>
            <w:pPr>
              <w:ind w:left="60"/>
              <w:spacing w:after="0"/>
              <w:rPr>
                <w:sz w:val="20"/>
                <w:szCs w:val="20"/>
                <w:color w:val="auto"/>
              </w:rPr>
            </w:pPr>
            <w:r>
              <w:rPr>
                <w:rFonts w:ascii="Arial" w:cs="Arial" w:eastAsia="Arial" w:hAnsi="Arial"/>
                <w:sz w:val="20"/>
                <w:szCs w:val="20"/>
                <w:color w:val="231F20"/>
              </w:rPr>
              <w:t>Donald C. Wood</w:t>
            </w:r>
            <w:r>
              <w:rPr>
                <w:rFonts w:ascii="Arial" w:cs="Arial" w:eastAsia="Arial" w:hAnsi="Arial"/>
                <w:sz w:val="25"/>
                <w:szCs w:val="25"/>
                <w:color w:val="231F20"/>
                <w:vertAlign w:val="superscript"/>
              </w:rPr>
              <w:t>(4)</w:t>
            </w:r>
          </w:p>
        </w:tc>
        <w:tc>
          <w:tcPr>
            <w:tcW w:w="980" w:type="dxa"/>
            <w:vAlign w:val="bottom"/>
            <w:tcBorders>
              <w:bottom w:val="single" w:sz="8" w:color="231F20"/>
            </w:tcBorders>
          </w:tcPr>
          <w:p>
            <w:pPr>
              <w:jc w:val="right"/>
              <w:spacing w:after="0"/>
              <w:rPr>
                <w:sz w:val="20"/>
                <w:szCs w:val="20"/>
                <w:color w:val="auto"/>
              </w:rPr>
            </w:pPr>
            <w:r>
              <w:rPr>
                <w:rFonts w:ascii="Arial" w:cs="Arial" w:eastAsia="Arial" w:hAnsi="Arial"/>
                <w:sz w:val="20"/>
                <w:szCs w:val="20"/>
                <w:color w:val="231F20"/>
              </w:rPr>
              <w:t>450,679</w:t>
            </w:r>
          </w:p>
        </w:tc>
        <w:tc>
          <w:tcPr>
            <w:tcW w:w="1080" w:type="dxa"/>
            <w:vAlign w:val="bottom"/>
            <w:tcBorders>
              <w:bottom w:val="single" w:sz="8" w:color="231F20"/>
            </w:tcBorders>
          </w:tcPr>
          <w:p>
            <w:pPr>
              <w:jc w:val="right"/>
              <w:spacing w:after="0"/>
              <w:rPr>
                <w:sz w:val="20"/>
                <w:szCs w:val="20"/>
                <w:color w:val="auto"/>
              </w:rPr>
            </w:pPr>
            <w:r>
              <w:rPr>
                <w:rFonts w:ascii="Arial" w:cs="Arial" w:eastAsia="Arial" w:hAnsi="Arial"/>
                <w:sz w:val="20"/>
                <w:szCs w:val="20"/>
                <w:color w:val="231F20"/>
              </w:rPr>
              <w:t>132,042</w:t>
            </w:r>
          </w:p>
        </w:tc>
        <w:tc>
          <w:tcPr>
            <w:tcW w:w="1320" w:type="dxa"/>
            <w:vAlign w:val="bottom"/>
            <w:tcBorders>
              <w:bottom w:val="single" w:sz="8" w:color="231F20"/>
            </w:tcBorders>
          </w:tcPr>
          <w:p>
            <w:pPr>
              <w:jc w:val="right"/>
              <w:spacing w:after="0"/>
              <w:rPr>
                <w:sz w:val="20"/>
                <w:szCs w:val="20"/>
                <w:color w:val="auto"/>
              </w:rPr>
            </w:pPr>
            <w:r>
              <w:rPr>
                <w:rFonts w:ascii="Arial" w:cs="Arial" w:eastAsia="Arial" w:hAnsi="Arial"/>
                <w:sz w:val="20"/>
                <w:szCs w:val="20"/>
                <w:color w:val="231F20"/>
              </w:rPr>
              <w:t>582,721</w:t>
            </w:r>
          </w:p>
        </w:tc>
        <w:tc>
          <w:tcPr>
            <w:tcW w:w="1420" w:type="dxa"/>
            <w:vAlign w:val="bottom"/>
            <w:tcBorders>
              <w:bottom w:val="single" w:sz="8" w:color="231F20"/>
            </w:tcBorders>
          </w:tcPr>
          <w:p>
            <w:pPr>
              <w:jc w:val="right"/>
              <w:ind w:right="463"/>
              <w:spacing w:after="0"/>
              <w:rPr>
                <w:sz w:val="20"/>
                <w:szCs w:val="20"/>
                <w:color w:val="auto"/>
              </w:rPr>
            </w:pPr>
            <w:r>
              <w:rPr>
                <w:rFonts w:ascii="Arial" w:cs="Arial" w:eastAsia="Arial" w:hAnsi="Arial"/>
                <w:sz w:val="20"/>
                <w:szCs w:val="20"/>
                <w:color w:val="231F20"/>
              </w:rPr>
              <w:t>*</w:t>
            </w:r>
          </w:p>
        </w:tc>
        <w:tc>
          <w:tcPr>
            <w:tcW w:w="0" w:type="dxa"/>
            <w:vAlign w:val="bottom"/>
          </w:tcPr>
          <w:p>
            <w:pPr>
              <w:spacing w:after="0"/>
              <w:rPr>
                <w:sz w:val="1"/>
                <w:szCs w:val="1"/>
                <w:color w:val="auto"/>
              </w:rPr>
            </w:pPr>
          </w:p>
        </w:tc>
      </w:tr>
      <w:tr>
        <w:trPr>
          <w:trHeight w:val="257"/>
        </w:trPr>
        <w:tc>
          <w:tcPr>
            <w:tcW w:w="5280" w:type="dxa"/>
            <w:vAlign w:val="bottom"/>
          </w:tcPr>
          <w:p>
            <w:pPr>
              <w:ind w:left="60"/>
              <w:spacing w:after="0"/>
              <w:rPr>
                <w:sz w:val="20"/>
                <w:szCs w:val="20"/>
                <w:color w:val="auto"/>
              </w:rPr>
            </w:pPr>
            <w:r>
              <w:rPr>
                <w:rFonts w:ascii="Arial" w:cs="Arial" w:eastAsia="Arial" w:hAnsi="Arial"/>
                <w:sz w:val="20"/>
                <w:szCs w:val="20"/>
                <w:color w:val="231F20"/>
              </w:rPr>
              <w:t>Trustees, trustee nominees and executive officers as a</w:t>
            </w:r>
          </w:p>
        </w:tc>
        <w:tc>
          <w:tcPr>
            <w:tcW w:w="980" w:type="dxa"/>
            <w:vAlign w:val="bottom"/>
            <w:vMerge w:val="restart"/>
          </w:tcPr>
          <w:p>
            <w:pPr>
              <w:jc w:val="right"/>
              <w:spacing w:after="0"/>
              <w:rPr>
                <w:sz w:val="20"/>
                <w:szCs w:val="20"/>
                <w:color w:val="auto"/>
              </w:rPr>
            </w:pPr>
            <w:r>
              <w:rPr>
                <w:rFonts w:ascii="Arial" w:cs="Arial" w:eastAsia="Arial" w:hAnsi="Arial"/>
                <w:sz w:val="20"/>
                <w:szCs w:val="20"/>
                <w:b w:val="1"/>
                <w:bCs w:val="1"/>
                <w:color w:val="231F20"/>
              </w:rPr>
              <w:t>741,606</w:t>
            </w:r>
          </w:p>
        </w:tc>
        <w:tc>
          <w:tcPr>
            <w:tcW w:w="1080" w:type="dxa"/>
            <w:vAlign w:val="bottom"/>
            <w:vMerge w:val="restart"/>
          </w:tcPr>
          <w:p>
            <w:pPr>
              <w:jc w:val="right"/>
              <w:spacing w:after="0"/>
              <w:rPr>
                <w:sz w:val="20"/>
                <w:szCs w:val="20"/>
                <w:color w:val="auto"/>
              </w:rPr>
            </w:pPr>
            <w:r>
              <w:rPr>
                <w:rFonts w:ascii="Arial" w:cs="Arial" w:eastAsia="Arial" w:hAnsi="Arial"/>
                <w:sz w:val="20"/>
                <w:szCs w:val="20"/>
                <w:b w:val="1"/>
                <w:bCs w:val="1"/>
                <w:color w:val="231F20"/>
              </w:rPr>
              <w:t>189,980</w:t>
            </w:r>
          </w:p>
        </w:tc>
        <w:tc>
          <w:tcPr>
            <w:tcW w:w="1320" w:type="dxa"/>
            <w:vAlign w:val="bottom"/>
            <w:vMerge w:val="restart"/>
          </w:tcPr>
          <w:p>
            <w:pPr>
              <w:jc w:val="right"/>
              <w:spacing w:after="0"/>
              <w:rPr>
                <w:sz w:val="20"/>
                <w:szCs w:val="20"/>
                <w:color w:val="auto"/>
              </w:rPr>
            </w:pPr>
            <w:r>
              <w:rPr>
                <w:rFonts w:ascii="Arial" w:cs="Arial" w:eastAsia="Arial" w:hAnsi="Arial"/>
                <w:sz w:val="20"/>
                <w:szCs w:val="20"/>
                <w:b w:val="1"/>
                <w:bCs w:val="1"/>
                <w:color w:val="231F20"/>
              </w:rPr>
              <w:t>931,586</w:t>
            </w:r>
          </w:p>
        </w:tc>
        <w:tc>
          <w:tcPr>
            <w:tcW w:w="1420" w:type="dxa"/>
            <w:vAlign w:val="bottom"/>
            <w:vMerge w:val="restart"/>
          </w:tcPr>
          <w:p>
            <w:pPr>
              <w:jc w:val="right"/>
              <w:ind w:right="303"/>
              <w:spacing w:after="0"/>
              <w:rPr>
                <w:sz w:val="20"/>
                <w:szCs w:val="20"/>
                <w:color w:val="auto"/>
              </w:rPr>
            </w:pPr>
            <w:r>
              <w:rPr>
                <w:rFonts w:ascii="Arial" w:cs="Arial" w:eastAsia="Arial" w:hAnsi="Arial"/>
                <w:sz w:val="20"/>
                <w:szCs w:val="20"/>
                <w:b w:val="1"/>
                <w:bCs w:val="1"/>
                <w:color w:val="231F20"/>
              </w:rPr>
              <w:t>1.1%</w:t>
            </w:r>
          </w:p>
        </w:tc>
        <w:tc>
          <w:tcPr>
            <w:tcW w:w="0" w:type="dxa"/>
            <w:vAlign w:val="bottom"/>
          </w:tcPr>
          <w:p>
            <w:pPr>
              <w:spacing w:after="0"/>
              <w:rPr>
                <w:sz w:val="1"/>
                <w:szCs w:val="1"/>
                <w:color w:val="auto"/>
              </w:rPr>
            </w:pPr>
          </w:p>
        </w:tc>
      </w:tr>
      <w:tr>
        <w:trPr>
          <w:trHeight w:val="55"/>
        </w:trPr>
        <w:tc>
          <w:tcPr>
            <w:tcW w:w="528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1080" w:type="dxa"/>
            <w:vAlign w:val="bottom"/>
            <w:vMerge w:val="continue"/>
          </w:tcPr>
          <w:p>
            <w:pPr>
              <w:spacing w:after="0"/>
              <w:rPr>
                <w:sz w:val="4"/>
                <w:szCs w:val="4"/>
                <w:color w:val="auto"/>
              </w:rPr>
            </w:pPr>
          </w:p>
        </w:tc>
        <w:tc>
          <w:tcPr>
            <w:tcW w:w="1320" w:type="dxa"/>
            <w:vAlign w:val="bottom"/>
            <w:vMerge w:val="continue"/>
          </w:tcPr>
          <w:p>
            <w:pPr>
              <w:spacing w:after="0"/>
              <w:rPr>
                <w:sz w:val="4"/>
                <w:szCs w:val="4"/>
                <w:color w:val="auto"/>
              </w:rPr>
            </w:pPr>
          </w:p>
        </w:tc>
        <w:tc>
          <w:tcPr>
            <w:tcW w:w="1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-2082165</wp:posOffset>
                </wp:positionV>
                <wp:extent cx="3320415" cy="2209165"/>
                <wp:wrapNone/>
                <wp:docPr id="513" name="Shape 5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320415" cy="2209165"/>
                        </a:xfrm>
                        <a:prstGeom prst="rect">
                          <a:avLst/>
                        </a:prstGeom>
                        <a:solidFill>
                          <a:srgbClr val="DCDDDE"/>
                        </a:solidFill>
                      </wps:spPr>
                      <wps:bodyPr/>
                    </wps:wsp>
                  </a:graphicData>
                </a:graphic>
              </wp:anchor>
            </w:drawing>
          </mc:Choice>
          <mc:Fallback>
            <w:pict>
              <v:rect id="Shape 513" o:spid="_x0000_s1538" style="position:absolute;margin-left:0pt;margin-top:-163.9499pt;width:261.45pt;height:173.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CDDDE" stroked="f"/>
            </w:pict>
          </mc:Fallback>
        </mc:AlternateContent>
      </w:r>
    </w:p>
    <w:p>
      <w:pPr>
        <w:ind w:left="60"/>
        <w:spacing w:after="0" w:line="187" w:lineRule="auto"/>
        <w:rPr>
          <w:sz w:val="20"/>
          <w:szCs w:val="20"/>
          <w:color w:val="auto"/>
        </w:rPr>
      </w:pPr>
      <w:r>
        <w:rPr>
          <w:rFonts w:ascii="Arial" w:cs="Arial" w:eastAsia="Arial" w:hAnsi="Arial"/>
          <w:sz w:val="20"/>
          <w:szCs w:val="20"/>
          <w:color w:val="231F20"/>
        </w:rPr>
        <w:t>group (10 individuals)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3347085</wp:posOffset>
                </wp:positionH>
                <wp:positionV relativeFrom="paragraph">
                  <wp:posOffset>12700</wp:posOffset>
                </wp:positionV>
                <wp:extent cx="622300" cy="0"/>
                <wp:wrapNone/>
                <wp:docPr id="514" name="Shape 5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2300" cy="4763"/>
                        </a:xfrm>
                        <a:prstGeom prst="line">
                          <a:avLst/>
                        </a:prstGeom>
                        <a:solidFill>
                          <a:srgbClr val="FFFFFF"/>
                        </a:solidFill>
                        <a:ln w="3175">
                          <a:solidFill>
                            <a:srgbClr val="231F20"/>
                          </a:solidFill>
                          <a:miter lim="800000"/>
                          <a:headEnd/>
                          <a:tailEnd/>
                        </a:ln>
                      </wps:spPr>
                      <wps:bodyPr/>
                    </wps:wsp>
                  </a:graphicData>
                </a:graphic>
              </wp:anchor>
            </w:drawing>
          </mc:Choice>
          <mc:Fallback>
            <w:pict>
              <v:line id="Shape 514" o:spid="_x0000_s15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3.55pt,1pt" to="312.55pt,1pt" o:allowincell="f" strokecolor="#231F20" strokeweight="0.25pt"/>
            </w:pict>
          </mc:Fallback>
        </mc:AlternateContent>
        <mc:AlternateContent>
          <mc:Choice Requires="wps">
            <w:drawing>
              <wp:anchor simplePos="0" relativeHeight="251657728" behindDoc="1" locked="0" layoutInCell="0" allowOverlap="1">
                <wp:simplePos x="0" y="0"/>
                <wp:positionH relativeFrom="column">
                  <wp:posOffset>3971925</wp:posOffset>
                </wp:positionH>
                <wp:positionV relativeFrom="paragraph">
                  <wp:posOffset>12700</wp:posOffset>
                </wp:positionV>
                <wp:extent cx="690880" cy="0"/>
                <wp:wrapNone/>
                <wp:docPr id="515" name="Shape 5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90880" cy="4763"/>
                        </a:xfrm>
                        <a:prstGeom prst="line">
                          <a:avLst/>
                        </a:prstGeom>
                        <a:solidFill>
                          <a:srgbClr val="FFFFFF"/>
                        </a:solidFill>
                        <a:ln w="3175">
                          <a:solidFill>
                            <a:srgbClr val="231F20"/>
                          </a:solidFill>
                          <a:miter lim="800000"/>
                          <a:headEnd/>
                          <a:tailEnd/>
                        </a:ln>
                      </wps:spPr>
                      <wps:bodyPr/>
                    </wps:wsp>
                  </a:graphicData>
                </a:graphic>
              </wp:anchor>
            </w:drawing>
          </mc:Choice>
          <mc:Fallback>
            <w:pict>
              <v:line id="Shape 515" o:spid="_x0000_s15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2.75pt,1pt" to="367.15pt,1pt" o:allowincell="f" strokecolor="#231F20" strokeweight="0.25pt"/>
            </w:pict>
          </mc:Fallback>
        </mc:AlternateContent>
        <mc:AlternateContent>
          <mc:Choice Requires="wps">
            <w:drawing>
              <wp:anchor simplePos="0" relativeHeight="251657728" behindDoc="1" locked="0" layoutInCell="0" allowOverlap="1">
                <wp:simplePos x="0" y="0"/>
                <wp:positionH relativeFrom="column">
                  <wp:posOffset>4665345</wp:posOffset>
                </wp:positionH>
                <wp:positionV relativeFrom="paragraph">
                  <wp:posOffset>12700</wp:posOffset>
                </wp:positionV>
                <wp:extent cx="828040" cy="0"/>
                <wp:wrapNone/>
                <wp:docPr id="516" name="Shape 5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040" cy="4763"/>
                        </a:xfrm>
                        <a:prstGeom prst="line">
                          <a:avLst/>
                        </a:prstGeom>
                        <a:solidFill>
                          <a:srgbClr val="FFFFFF"/>
                        </a:solidFill>
                        <a:ln w="3175">
                          <a:solidFill>
                            <a:srgbClr val="231F20"/>
                          </a:solidFill>
                          <a:miter lim="800000"/>
                          <a:headEnd/>
                          <a:tailEnd/>
                        </a:ln>
                      </wps:spPr>
                      <wps:bodyPr/>
                    </wps:wsp>
                  </a:graphicData>
                </a:graphic>
              </wp:anchor>
            </w:drawing>
          </mc:Choice>
          <mc:Fallback>
            <w:pict>
              <v:line id="Shape 516" o:spid="_x0000_s15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7.35pt,1pt" to="432.55pt,1pt" o:allowincell="f" strokecolor="#231F20" strokeweight="0.25pt"/>
            </w:pict>
          </mc:Fallback>
        </mc:AlternateContent>
        <mc:AlternateContent>
          <mc:Choice Requires="wps">
            <w:drawing>
              <wp:anchor simplePos="0" relativeHeight="251657728" behindDoc="1" locked="0" layoutInCell="0" allowOverlap="1">
                <wp:simplePos x="0" y="0"/>
                <wp:positionH relativeFrom="column">
                  <wp:posOffset>5495925</wp:posOffset>
                </wp:positionH>
                <wp:positionV relativeFrom="paragraph">
                  <wp:posOffset>12700</wp:posOffset>
                </wp:positionV>
                <wp:extent cx="903605" cy="0"/>
                <wp:wrapNone/>
                <wp:docPr id="517" name="Shape 5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03605" cy="4763"/>
                        </a:xfrm>
                        <a:prstGeom prst="line">
                          <a:avLst/>
                        </a:prstGeom>
                        <a:solidFill>
                          <a:srgbClr val="FFFFFF"/>
                        </a:solidFill>
                        <a:ln w="3175">
                          <a:solidFill>
                            <a:srgbClr val="231F20"/>
                          </a:solidFill>
                          <a:miter lim="800000"/>
                          <a:headEnd/>
                          <a:tailEnd/>
                        </a:ln>
                      </wps:spPr>
                      <wps:bodyPr/>
                    </wps:wsp>
                  </a:graphicData>
                </a:graphic>
              </wp:anchor>
            </w:drawing>
          </mc:Choice>
          <mc:Fallback>
            <w:pict>
              <v:line id="Shape 517" o:spid="_x0000_s15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2.75pt,1pt" to="503.9pt,1pt" o:allowincell="f" strokecolor="#231F20" strokeweight="0.25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111125</wp:posOffset>
                </wp:positionV>
                <wp:extent cx="952500" cy="0"/>
                <wp:wrapNone/>
                <wp:docPr id="518" name="Shape 5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52500"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518" o:spid="_x0000_s15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8.75pt" to="75pt,8.75pt" o:allowincell="f" strokecolor="#231F20" strokeweight="0.5pt"/>
            </w:pict>
          </mc:Fallback>
        </mc:AlternateContent>
      </w:r>
    </w:p>
    <w:p>
      <w:pPr>
        <w:spacing w:after="0" w:line="209" w:lineRule="exact"/>
        <w:rPr>
          <w:sz w:val="20"/>
          <w:szCs w:val="20"/>
          <w:color w:val="auto"/>
        </w:rPr>
      </w:pPr>
    </w:p>
    <w:p>
      <w:pPr>
        <w:ind w:left="480" w:hanging="358"/>
        <w:spacing w:after="0"/>
        <w:tabs>
          <w:tab w:leader="none" w:pos="480" w:val="left"/>
        </w:tabs>
        <w:numPr>
          <w:ilvl w:val="0"/>
          <w:numId w:val="165"/>
        </w:numPr>
        <w:rPr>
          <w:rFonts w:ascii="Arial" w:cs="Arial" w:eastAsia="Arial" w:hAnsi="Arial"/>
          <w:sz w:val="18"/>
          <w:szCs w:val="18"/>
          <w:color w:val="231F20"/>
        </w:rPr>
      </w:pPr>
      <w:r>
        <w:rPr>
          <w:rFonts w:ascii="Arial" w:cs="Arial" w:eastAsia="Arial" w:hAnsi="Arial"/>
          <w:sz w:val="18"/>
          <w:szCs w:val="18"/>
          <w:color w:val="231F20"/>
        </w:rPr>
        <w:t>Less than 1%</w:t>
      </w:r>
    </w:p>
    <w:p>
      <w:pPr>
        <w:ind w:left="480" w:hanging="358"/>
        <w:spacing w:after="0" w:line="199" w:lineRule="auto"/>
        <w:tabs>
          <w:tab w:leader="none" w:pos="480" w:val="left"/>
        </w:tabs>
        <w:numPr>
          <w:ilvl w:val="0"/>
          <w:numId w:val="166"/>
        </w:numPr>
        <w:rPr>
          <w:rFonts w:ascii="Arial" w:cs="Arial" w:eastAsia="Arial" w:hAnsi="Arial"/>
          <w:sz w:val="23"/>
          <w:szCs w:val="23"/>
          <w:color w:val="231F20"/>
          <w:vertAlign w:val="superscript"/>
        </w:rPr>
      </w:pPr>
      <w:r>
        <w:rPr>
          <w:rFonts w:ascii="Arial" w:cs="Arial" w:eastAsia="Arial" w:hAnsi="Arial"/>
          <w:sz w:val="18"/>
          <w:szCs w:val="18"/>
          <w:color w:val="231F20"/>
        </w:rPr>
        <w:t>The address for each of the named individuals is 909 Rose Avenue, Suite 200, North Bethesda, Maryland 20852.</w:t>
      </w:r>
    </w:p>
    <w:p>
      <w:pPr>
        <w:spacing w:after="0" w:line="55" w:lineRule="exact"/>
        <w:rPr>
          <w:rFonts w:ascii="Arial" w:cs="Arial" w:eastAsia="Arial" w:hAnsi="Arial"/>
          <w:sz w:val="23"/>
          <w:szCs w:val="23"/>
          <w:color w:val="231F20"/>
          <w:vertAlign w:val="superscript"/>
        </w:rPr>
      </w:pPr>
    </w:p>
    <w:p>
      <w:pPr>
        <w:ind w:left="480" w:hanging="358"/>
        <w:spacing w:after="0" w:line="195" w:lineRule="auto"/>
        <w:tabs>
          <w:tab w:leader="none" w:pos="480" w:val="left"/>
        </w:tabs>
        <w:numPr>
          <w:ilvl w:val="0"/>
          <w:numId w:val="166"/>
        </w:numPr>
        <w:rPr>
          <w:rFonts w:ascii="Arial" w:cs="Arial" w:eastAsia="Arial" w:hAnsi="Arial"/>
          <w:sz w:val="23"/>
          <w:szCs w:val="23"/>
          <w:color w:val="231F20"/>
          <w:vertAlign w:val="superscript"/>
        </w:rPr>
      </w:pPr>
      <w:r>
        <w:rPr>
          <w:rFonts w:ascii="Arial" w:cs="Arial" w:eastAsia="Arial" w:hAnsi="Arial"/>
          <w:sz w:val="18"/>
          <w:szCs w:val="18"/>
          <w:color w:val="231F20"/>
        </w:rPr>
        <w:t>The percentage of outstanding shares owned is calculated by taking the number of shares reflected in the column titled “Total Shares Beneficially Owned” divided by 86,388,213, the total number of shares outstanding on March 16, 2026.</w:t>
      </w:r>
    </w:p>
    <w:p>
      <w:pPr>
        <w:spacing w:after="0" w:line="20" w:lineRule="exact"/>
        <w:rPr>
          <w:rFonts w:ascii="Arial" w:cs="Arial" w:eastAsia="Arial" w:hAnsi="Arial"/>
          <w:sz w:val="23"/>
          <w:szCs w:val="23"/>
          <w:color w:val="231F20"/>
          <w:vertAlign w:val="superscript"/>
        </w:rPr>
      </w:pPr>
    </w:p>
    <w:p>
      <w:pPr>
        <w:ind w:left="480" w:hanging="358"/>
        <w:spacing w:after="0" w:line="214" w:lineRule="auto"/>
        <w:tabs>
          <w:tab w:leader="none" w:pos="480" w:val="left"/>
        </w:tabs>
        <w:numPr>
          <w:ilvl w:val="0"/>
          <w:numId w:val="166"/>
        </w:numPr>
        <w:rPr>
          <w:rFonts w:ascii="Arial" w:cs="Arial" w:eastAsia="Arial" w:hAnsi="Arial"/>
          <w:sz w:val="23"/>
          <w:szCs w:val="23"/>
          <w:color w:val="231F20"/>
          <w:vertAlign w:val="superscript"/>
        </w:rPr>
      </w:pPr>
      <w:r>
        <w:rPr>
          <w:rFonts w:ascii="Arial" w:cs="Arial" w:eastAsia="Arial" w:hAnsi="Arial"/>
          <w:sz w:val="18"/>
          <w:szCs w:val="18"/>
          <w:color w:val="231F20"/>
        </w:rPr>
        <w:t>Includes 2,535 shares owned by Thomas A. McEachin Living Trust in which Mr. McEachin and his wife are sole trustees and beneficiaries.</w:t>
      </w:r>
    </w:p>
    <w:p>
      <w:pPr>
        <w:spacing w:after="0" w:line="19" w:lineRule="exact"/>
        <w:rPr>
          <w:rFonts w:ascii="Arial" w:cs="Arial" w:eastAsia="Arial" w:hAnsi="Arial"/>
          <w:sz w:val="23"/>
          <w:szCs w:val="23"/>
          <w:color w:val="231F20"/>
          <w:vertAlign w:val="superscript"/>
        </w:rPr>
      </w:pPr>
    </w:p>
    <w:p>
      <w:pPr>
        <w:ind w:left="480" w:hanging="358"/>
        <w:spacing w:after="0" w:line="214" w:lineRule="auto"/>
        <w:tabs>
          <w:tab w:leader="none" w:pos="480" w:val="left"/>
        </w:tabs>
        <w:numPr>
          <w:ilvl w:val="0"/>
          <w:numId w:val="166"/>
        </w:numPr>
        <w:rPr>
          <w:rFonts w:ascii="Arial" w:cs="Arial" w:eastAsia="Arial" w:hAnsi="Arial"/>
          <w:sz w:val="23"/>
          <w:szCs w:val="23"/>
          <w:color w:val="231F20"/>
          <w:vertAlign w:val="superscript"/>
        </w:rPr>
      </w:pPr>
      <w:r>
        <w:rPr>
          <w:rFonts w:ascii="Arial" w:cs="Arial" w:eastAsia="Arial" w:hAnsi="Arial"/>
          <w:sz w:val="18"/>
          <w:szCs w:val="18"/>
          <w:color w:val="231F20"/>
        </w:rPr>
        <w:t>Includes 113,879 shares owned by Stacey Wood Revocable Trust, 253,262 shares owned by Donald C. Wood Revocable Trust and 46,500 shares owned by Wood Descendants Trust.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145415</wp:posOffset>
                </wp:positionV>
                <wp:extent cx="6400800" cy="0"/>
                <wp:wrapNone/>
                <wp:docPr id="519" name="Shape 5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38100">
                          <a:solidFill>
                            <a:srgbClr val="EF3E2A"/>
                          </a:solidFill>
                          <a:miter lim="800000"/>
                          <a:headEnd/>
                          <a:tailEnd/>
                        </a:ln>
                      </wps:spPr>
                      <wps:bodyPr/>
                    </wps:wsp>
                  </a:graphicData>
                </a:graphic>
              </wp:anchor>
            </w:drawing>
          </mc:Choice>
          <mc:Fallback>
            <w:pict>
              <v:line id="Shape 519" o:spid="_x0000_s15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45pt" to="504pt,11.45pt" o:allowincell="f" strokecolor="#EF3E2A" strokeweight="3pt"/>
            </w:pict>
          </mc:Fallback>
        </mc:AlternateConten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36"/>
          <w:szCs w:val="36"/>
          <w:b w:val="1"/>
          <w:bCs w:val="1"/>
          <w:color w:val="231F20"/>
        </w:rPr>
        <w:t>Information about the Annual Meeting</w:t>
      </w:r>
    </w:p>
    <w:p>
      <w:pPr>
        <w:spacing w:after="0" w:line="145" w:lineRule="exact"/>
        <w:rPr>
          <w:sz w:val="20"/>
          <w:szCs w:val="20"/>
          <w:color w:val="auto"/>
        </w:rPr>
      </w:pPr>
    </w:p>
    <w:p>
      <w:pPr>
        <w:spacing w:after="0" w:line="268" w:lineRule="exact"/>
        <w:rPr>
          <w:sz w:val="20"/>
          <w:szCs w:val="20"/>
          <w:color w:val="auto"/>
        </w:rPr>
      </w:pPr>
      <w:r>
        <w:rPr>
          <w:rFonts w:ascii="Arial Unicode MS" w:cs="Arial Unicode MS" w:eastAsia="Arial Unicode MS" w:hAnsi="Arial Unicode MS"/>
          <w:sz w:val="20"/>
          <w:szCs w:val="20"/>
          <w:color w:val="EF3E2A"/>
        </w:rPr>
        <w:t>➣</w:t>
      </w:r>
      <w:r>
        <w:rPr>
          <w:rFonts w:ascii="Arial" w:cs="Arial" w:eastAsia="Arial" w:hAnsi="Arial"/>
          <w:sz w:val="20"/>
          <w:szCs w:val="20"/>
          <w:b w:val="1"/>
          <w:bCs w:val="1"/>
          <w:color w:val="231F20"/>
        </w:rPr>
        <w:t xml:space="preserve"> NOTICE OF ELECTRONIC AVAILABILITY OF PROXY MATERIALS</w:t>
      </w:r>
    </w:p>
    <w:p>
      <w:pPr>
        <w:spacing w:after="0" w:line="220"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231F20"/>
        </w:rPr>
        <w:t xml:space="preserve">We are furnishing proxy materials including this proxy statement and our 2025 Annual Report to Shareholders, including our Annual Report on Form 10-K for the year ended December 31, 2025 (“Annual Report”), to each shareholder by providing access to such documents on the Internet. On or about March 27, 2026, we mailed to our shareholders a “Notice of Internet Availability of Proxy Materials” (“Notice”) containing instructions on how to access and review this proxy statement and our Annual Report and how to submit your vote on the Internet or by telephone. You cannot vote by marking the Notice and returning it. If you received the Notice, you will not automatically receive a printed copy of our proxy materials or Annual Report unless you follow the instructions for requesting these materials included in the Notice. This section does not apply if you previously requested to receive these materials by mail. Questions regarding the Notice or voting should be directed to our Investor Relations Department at (800) 937-5449 or by email at </w:t>
      </w:r>
      <w:r>
        <w:rPr>
          <w:rFonts w:ascii="Arial" w:cs="Arial" w:eastAsia="Arial" w:hAnsi="Arial"/>
          <w:sz w:val="20"/>
          <w:szCs w:val="20"/>
          <w:i w:val="1"/>
          <w:iCs w:val="1"/>
          <w:u w:val="single" w:color="auto"/>
          <w:color w:val="231F20"/>
        </w:rPr>
        <w:t>IR@federalrealty.com</w:t>
      </w:r>
      <w:r>
        <w:rPr>
          <w:rFonts w:ascii="Arial" w:cs="Arial" w:eastAsia="Arial" w:hAnsi="Arial"/>
          <w:sz w:val="20"/>
          <w:szCs w:val="20"/>
          <w:i w:val="1"/>
          <w:iCs w:val="1"/>
          <w:color w:val="231F20"/>
        </w:rPr>
        <w:t>.</w:t>
      </w:r>
    </w:p>
    <w:p>
      <w:pPr>
        <w:spacing w:after="0" w:line="140" w:lineRule="exact"/>
        <w:rPr>
          <w:sz w:val="20"/>
          <w:szCs w:val="20"/>
          <w:color w:val="auto"/>
        </w:rPr>
      </w:pPr>
    </w:p>
    <w:p>
      <w:pPr>
        <w:spacing w:after="0" w:line="268" w:lineRule="exact"/>
        <w:rPr>
          <w:sz w:val="20"/>
          <w:szCs w:val="20"/>
          <w:color w:val="auto"/>
        </w:rPr>
      </w:pPr>
      <w:r>
        <w:rPr>
          <w:rFonts w:ascii="Arial Unicode MS" w:cs="Arial Unicode MS" w:eastAsia="Arial Unicode MS" w:hAnsi="Arial Unicode MS"/>
          <w:sz w:val="20"/>
          <w:szCs w:val="20"/>
          <w:color w:val="EF3E2A"/>
        </w:rPr>
        <w:t>➣</w:t>
      </w:r>
      <w:r>
        <w:rPr>
          <w:rFonts w:ascii="Arial" w:cs="Arial" w:eastAsia="Arial" w:hAnsi="Arial"/>
          <w:sz w:val="20"/>
          <w:szCs w:val="20"/>
          <w:b w:val="1"/>
          <w:bCs w:val="1"/>
          <w:color w:val="231F20"/>
        </w:rPr>
        <w:t xml:space="preserve"> WHY YOU ARE RECEIVING THESE MATERIALS</w:t>
      </w:r>
    </w:p>
    <w:p>
      <w:pPr>
        <w:spacing w:after="0" w:line="188"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231F20"/>
        </w:rPr>
        <w:t>You are receiving these materials because you owned our shares as of March 16, 2026, the record date established by our Board of Trustees for our Annual Meeting. Everyone who owned our shares as of this date,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127000</wp:posOffset>
                </wp:positionV>
                <wp:extent cx="6400800" cy="177800"/>
                <wp:wrapNone/>
                <wp:docPr id="520" name="Shape 5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177800"/>
                        </a:xfrm>
                        <a:prstGeom prst="rect">
                          <a:avLst/>
                        </a:prstGeom>
                        <a:solidFill>
                          <a:srgbClr val="E8E7E5"/>
                        </a:solidFill>
                      </wps:spPr>
                      <wps:bodyPr/>
                    </wps:wsp>
                  </a:graphicData>
                </a:graphic>
              </wp:anchor>
            </w:drawing>
          </mc:Choice>
          <mc:Fallback>
            <w:pict>
              <v:rect id="Shape 520" o:spid="_x0000_s1545" style="position:absolute;margin-left:0pt;margin-top:10pt;width:504pt;height:1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8E7E5" stroked="f"/>
            </w:pict>
          </mc:Fallback>
        </mc:AlternateContent>
        <mc:AlternateContent>
          <mc:Choice Requires="wps">
            <w:drawing>
              <wp:anchor simplePos="0" relativeHeight="251657728" behindDoc="1" locked="0" layoutInCell="0" allowOverlap="1">
                <wp:simplePos x="0" y="0"/>
                <wp:positionH relativeFrom="column">
                  <wp:posOffset>6350</wp:posOffset>
                </wp:positionH>
                <wp:positionV relativeFrom="paragraph">
                  <wp:posOffset>127000</wp:posOffset>
                </wp:positionV>
                <wp:extent cx="0" cy="177800"/>
                <wp:wrapNone/>
                <wp:docPr id="521" name="Shape 5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521" o:spid="_x0000_s15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pt,10pt" to="0.5pt,24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133350</wp:posOffset>
                </wp:positionV>
                <wp:extent cx="6400800" cy="0"/>
                <wp:wrapNone/>
                <wp:docPr id="522" name="Shape 5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522" o:spid="_x0000_s15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0.5pt" to="504pt,10.5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6394450</wp:posOffset>
                </wp:positionH>
                <wp:positionV relativeFrom="paragraph">
                  <wp:posOffset>127000</wp:posOffset>
                </wp:positionV>
                <wp:extent cx="0" cy="177800"/>
                <wp:wrapNone/>
                <wp:docPr id="523" name="Shape 5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523" o:spid="_x0000_s15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3.5pt,10pt" to="503.5pt,24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298450</wp:posOffset>
                </wp:positionV>
                <wp:extent cx="6400800" cy="0"/>
                <wp:wrapNone/>
                <wp:docPr id="524" name="Shape 5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524" o:spid="_x0000_s15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3.5pt" to="504pt,23.5pt" o:allowincell="f" strokecolor="#231F20" strokeweight="1pt"/>
            </w:pict>
          </mc:Fallback>
        </mc:AlternateContent>
      </w:r>
    </w:p>
    <w:p>
      <w:pPr>
        <w:sectPr>
          <w:pgSz w:w="11880" w:h="15480" w:orient="portrait"/>
          <w:cols w:equalWidth="0" w:num="1">
            <w:col w:w="10080"/>
          </w:cols>
          <w:pgMar w:left="900" w:top="1272" w:right="900" w:bottom="763" w:gutter="0" w:footer="0" w:header="0"/>
        </w:sectPr>
      </w:pPr>
    </w:p>
    <w:p>
      <w:pPr>
        <w:spacing w:after="0" w:line="249" w:lineRule="exact"/>
        <w:rPr>
          <w:sz w:val="20"/>
          <w:szCs w:val="20"/>
          <w:color w:val="auto"/>
        </w:rPr>
      </w:pPr>
    </w:p>
    <w:p>
      <w:pPr>
        <w:ind w:left="80"/>
        <w:spacing w:after="0"/>
        <w:tabs>
          <w:tab w:leader="none" w:pos="1420" w:val="left"/>
          <w:tab w:leader="none" w:pos="3160" w:val="left"/>
        </w:tabs>
        <w:rPr>
          <w:sz w:val="20"/>
          <w:szCs w:val="20"/>
          <w:color w:val="auto"/>
        </w:rPr>
      </w:pPr>
      <w:r>
        <w:rPr>
          <w:rFonts w:ascii="Arial" w:cs="Arial" w:eastAsia="Arial" w:hAnsi="Arial"/>
          <w:sz w:val="16"/>
          <w:szCs w:val="16"/>
          <w:color w:val="EF3E2A"/>
        </w:rPr>
        <w:t>Federal Realty</w:t>
      </w:r>
      <w:r>
        <w:rPr>
          <w:sz w:val="20"/>
          <w:szCs w:val="20"/>
          <w:color w:val="auto"/>
        </w:rPr>
        <w:tab/>
      </w:r>
      <w:r>
        <w:rPr>
          <w:rFonts w:ascii="Arial" w:cs="Arial" w:eastAsia="Arial" w:hAnsi="Arial"/>
          <w:sz w:val="16"/>
          <w:szCs w:val="16"/>
          <w:color w:val="231F20"/>
        </w:rPr>
        <w:t>2026 Proxy Statement</w:t>
        <w:tab/>
        <w:t>44</w:t>
      </w:r>
    </w:p>
    <w:p>
      <w:pPr>
        <w:sectPr>
          <w:pgSz w:w="11880" w:h="15480" w:orient="portrait"/>
          <w:cols w:equalWidth="0" w:num="1">
            <w:col w:w="10080"/>
          </w:cols>
          <w:pgMar w:left="900" w:top="1272" w:right="900" w:bottom="763" w:gutter="0" w:footer="0" w:header="0"/>
          <w:type w:val="continuous"/>
        </w:sectPr>
      </w:pPr>
    </w:p>
    <w:bookmarkStart w:id="164" w:name="page165"/>
    <w:bookmarkEnd w:id="164"/>
    <w:p>
      <w:pPr>
        <w:jc w:val="both"/>
        <w:spacing w:after="0" w:line="248" w:lineRule="auto"/>
        <w:rPr>
          <w:sz w:val="20"/>
          <w:szCs w:val="20"/>
          <w:color w:val="auto"/>
        </w:rPr>
      </w:pPr>
      <w:r>
        <w:rPr>
          <w:rFonts w:ascii="Arial" w:cs="Arial" w:eastAsia="Arial" w:hAnsi="Arial"/>
          <w:sz w:val="20"/>
          <w:szCs w:val="20"/>
          <w:color w:val="231F20"/>
        </w:rPr>
        <w:t>whether directly as a registered shareholder or indirectly through a bank, broker or other nominee, is entitled to vote at the Annual Meeting. We had 86,388,213 shares outstanding on March 16, 2026. Each share outstanding on the record date is entitled to one vote. A majority of the shares entitled to vote at the Annual Meeting must be present in person or by proxy for us to proceed with the Annual Meeting.</w:t>
      </w:r>
    </w:p>
    <w:p>
      <w:pPr>
        <w:spacing w:after="0" w:line="126" w:lineRule="exact"/>
        <w:rPr>
          <w:sz w:val="20"/>
          <w:szCs w:val="20"/>
          <w:color w:val="auto"/>
        </w:rPr>
      </w:pPr>
    </w:p>
    <w:p>
      <w:pPr>
        <w:spacing w:after="0" w:line="268" w:lineRule="exact"/>
        <w:rPr>
          <w:sz w:val="20"/>
          <w:szCs w:val="20"/>
          <w:color w:val="auto"/>
        </w:rPr>
      </w:pPr>
      <w:r>
        <w:rPr>
          <w:rFonts w:ascii="Arial Unicode MS" w:cs="Arial Unicode MS" w:eastAsia="Arial Unicode MS" w:hAnsi="Arial Unicode MS"/>
          <w:sz w:val="20"/>
          <w:szCs w:val="20"/>
          <w:color w:val="EF3E2A"/>
        </w:rPr>
        <w:t>➣</w:t>
      </w:r>
      <w:r>
        <w:rPr>
          <w:rFonts w:ascii="Arial" w:cs="Arial" w:eastAsia="Arial" w:hAnsi="Arial"/>
          <w:sz w:val="20"/>
          <w:szCs w:val="20"/>
          <w:b w:val="1"/>
          <w:bCs w:val="1"/>
          <w:color w:val="231F20"/>
        </w:rPr>
        <w:t xml:space="preserve"> ACCESSING MATERIALS</w:t>
      </w:r>
    </w:p>
    <w:p>
      <w:pPr>
        <w:spacing w:after="0" w:line="178"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231F20"/>
        </w:rPr>
        <w:t xml:space="preserve">Shareholders can access this Proxy Statement, our Annual Report and our other filings with the SEC on the Investors page of our website at </w:t>
      </w:r>
      <w:r>
        <w:rPr>
          <w:rFonts w:ascii="Arial" w:cs="Arial" w:eastAsia="Arial" w:hAnsi="Arial"/>
          <w:sz w:val="20"/>
          <w:szCs w:val="20"/>
          <w:i w:val="1"/>
          <w:iCs w:val="1"/>
          <w:u w:val="single" w:color="auto"/>
          <w:color w:val="231F20"/>
        </w:rPr>
        <w:t>www.federalrealty.com</w:t>
      </w:r>
      <w:r>
        <w:rPr>
          <w:rFonts w:ascii="Arial" w:cs="Arial" w:eastAsia="Arial" w:hAnsi="Arial"/>
          <w:sz w:val="20"/>
          <w:szCs w:val="20"/>
          <w:i w:val="1"/>
          <w:iCs w:val="1"/>
          <w:color w:val="231F20"/>
        </w:rPr>
        <w:t>.</w:t>
      </w:r>
      <w:r>
        <w:rPr>
          <w:rFonts w:ascii="Arial" w:cs="Arial" w:eastAsia="Arial" w:hAnsi="Arial"/>
          <w:sz w:val="20"/>
          <w:szCs w:val="20"/>
          <w:color w:val="231F20"/>
        </w:rPr>
        <w:t xml:space="preserve"> A copy of our Annual Report, including the financial statements and financial statement schedules (“Form 10-K”) is being provided to shareholders along with this Proxy Statement. The Form 10-K includes certain exhibits, which we will provide to you only upon request addressed to Investor Relations at 909 Rose Avenue, Suite 200, North Bethesda, Maryland 20852. The request must be accompanied by payment of a fee to cover our reasonable expenses for copying and mailing the Form 10-K.</w:t>
      </w:r>
    </w:p>
    <w:p>
      <w:pPr>
        <w:spacing w:after="0" w:line="171"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231F20"/>
        </w:rPr>
        <w:t>In the future, if you wish to receive paper copies of our proxy materials, without charge, and are a registered shareholder, you may do so by written request addressed to Equiniti Trust Company, LLC. For those of you holding shares indirectly in “street name”, you must write your bank, brokerage firm, broker-dealer or nominee, to obtain paper copies. Any election you make on how to receive your proxy materials will remain in effect for all future annual meetings until you revoke it.</w:t>
      </w:r>
    </w:p>
    <w:p>
      <w:pPr>
        <w:spacing w:after="0" w:line="125" w:lineRule="exact"/>
        <w:rPr>
          <w:sz w:val="20"/>
          <w:szCs w:val="20"/>
          <w:color w:val="auto"/>
        </w:rPr>
      </w:pPr>
    </w:p>
    <w:p>
      <w:pPr>
        <w:spacing w:after="0" w:line="268" w:lineRule="exact"/>
        <w:rPr>
          <w:sz w:val="20"/>
          <w:szCs w:val="20"/>
          <w:color w:val="auto"/>
        </w:rPr>
      </w:pPr>
      <w:r>
        <w:rPr>
          <w:rFonts w:ascii="Arial Unicode MS" w:cs="Arial Unicode MS" w:eastAsia="Arial Unicode MS" w:hAnsi="Arial Unicode MS"/>
          <w:sz w:val="20"/>
          <w:szCs w:val="20"/>
          <w:color w:val="EF3E2A"/>
        </w:rPr>
        <w:t>➣</w:t>
      </w:r>
      <w:r>
        <w:rPr>
          <w:rFonts w:ascii="Arial" w:cs="Arial" w:eastAsia="Arial" w:hAnsi="Arial"/>
          <w:sz w:val="20"/>
          <w:szCs w:val="20"/>
          <w:b w:val="1"/>
          <w:bCs w:val="1"/>
          <w:color w:val="231F20"/>
        </w:rPr>
        <w:t xml:space="preserve"> HOW TO VOTE</w:t>
      </w:r>
    </w:p>
    <w:p>
      <w:pPr>
        <w:spacing w:after="0" w:line="176"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231F20"/>
        </w:rPr>
        <w:t>If you own your shares directly with our transfer agent, Equiniti Trust Company, LLC (successor to American Stock Transfer and Trust Company) (“Equiniti”), you are a registered shareholder. If you are a registered shareholder and fail to give any instructions on your proxy card on any proposal, the proxies identified on the proxy card will vote in the manner recommended by the Board of Trustees for each proposal. Registered shareholders can vote either in person at the Annual Meeting or by proxy without attending the Annual Meeting through one of the following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1019175</wp:posOffset>
            </wp:positionH>
            <wp:positionV relativeFrom="paragraph">
              <wp:posOffset>122555</wp:posOffset>
            </wp:positionV>
            <wp:extent cx="461010" cy="46101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114">
                      <a:extLst>
                        <a:ext uri="{28A0092B-C50C-407E-A947-70E740481C1C}"/>
                      </a:extLst>
                    </a:blip>
                    <a:srcRect/>
                    <a:stretch>
                      <a:fillRect/>
                    </a:stretch>
                  </pic:blipFill>
                  <pic:spPr bwMode="auto">
                    <a:xfrm>
                      <a:off x="0" y="0"/>
                      <a:ext cx="461010" cy="461010"/>
                    </a:xfrm>
                    <a:prstGeom prst="rect">
                      <a:avLst/>
                    </a:prstGeom>
                    <a:noFill/>
                  </pic:spPr>
                </pic:pic>
              </a:graphicData>
            </a:graphic>
          </wp:anchor>
        </w:drawing>
        <w:drawing>
          <wp:anchor simplePos="0" relativeHeight="251657728" behindDoc="1" locked="0" layoutInCell="0" allowOverlap="1">
            <wp:simplePos x="0" y="0"/>
            <wp:positionH relativeFrom="column">
              <wp:posOffset>3046730</wp:posOffset>
            </wp:positionH>
            <wp:positionV relativeFrom="paragraph">
              <wp:posOffset>59055</wp:posOffset>
            </wp:positionV>
            <wp:extent cx="306070" cy="5251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115">
                      <a:extLst>
                        <a:ext uri="{28A0092B-C50C-407E-A947-70E740481C1C}"/>
                      </a:extLst>
                    </a:blip>
                    <a:srcRect/>
                    <a:stretch>
                      <a:fillRect/>
                    </a:stretch>
                  </pic:blipFill>
                  <pic:spPr bwMode="auto">
                    <a:xfrm>
                      <a:off x="0" y="0"/>
                      <a:ext cx="306070" cy="525145"/>
                    </a:xfrm>
                    <a:prstGeom prst="rect">
                      <a:avLst/>
                    </a:prstGeom>
                    <a:noFill/>
                  </pic:spPr>
                </pic:pic>
              </a:graphicData>
            </a:graphic>
          </wp:anchor>
        </w:drawing>
        <w:drawing>
          <wp:anchor simplePos="0" relativeHeight="251657728" behindDoc="1" locked="0" layoutInCell="0" allowOverlap="1">
            <wp:simplePos x="0" y="0"/>
            <wp:positionH relativeFrom="column">
              <wp:posOffset>4924425</wp:posOffset>
            </wp:positionH>
            <wp:positionV relativeFrom="paragraph">
              <wp:posOffset>122555</wp:posOffset>
            </wp:positionV>
            <wp:extent cx="453390" cy="46101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116">
                      <a:extLst>
                        <a:ext uri="{28A0092B-C50C-407E-A947-70E740481C1C}"/>
                      </a:extLst>
                    </a:blip>
                    <a:srcRect/>
                    <a:stretch>
                      <a:fillRect/>
                    </a:stretch>
                  </pic:blipFill>
                  <pic:spPr bwMode="auto">
                    <a:xfrm>
                      <a:off x="0" y="0"/>
                      <a:ext cx="453390" cy="461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680" w:type="dxa"/>
        <w:tblCellMar>
          <w:top w:w="0" w:type="dxa"/>
          <w:left w:w="0" w:type="dxa"/>
          <w:bottom w:w="0" w:type="dxa"/>
          <w:right w:w="0" w:type="dxa"/>
        </w:tblCellMar>
      </w:tblPr>
      <w:tr>
        <w:trPr>
          <w:trHeight w:val="244"/>
        </w:trPr>
        <w:tc>
          <w:tcPr>
            <w:tcW w:w="280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231F20"/>
              </w:rPr>
              <w:t>By Internet</w:t>
            </w:r>
          </w:p>
        </w:tc>
        <w:tc>
          <w:tcPr>
            <w:tcW w:w="3100" w:type="dxa"/>
            <w:vAlign w:val="bottom"/>
          </w:tcPr>
          <w:p>
            <w:pPr>
              <w:jc w:val="center"/>
              <w:spacing w:after="0"/>
              <w:rPr>
                <w:sz w:val="20"/>
                <w:szCs w:val="20"/>
                <w:color w:val="auto"/>
              </w:rPr>
            </w:pPr>
            <w:r>
              <w:rPr>
                <w:rFonts w:ascii="Arial" w:cs="Arial" w:eastAsia="Arial" w:hAnsi="Arial"/>
                <w:sz w:val="17"/>
                <w:szCs w:val="17"/>
                <w:b w:val="1"/>
                <w:bCs w:val="1"/>
                <w:color w:val="231F20"/>
              </w:rPr>
              <w:t>By Telephone</w:t>
            </w:r>
          </w:p>
        </w:tc>
        <w:tc>
          <w:tcPr>
            <w:tcW w:w="2820" w:type="dxa"/>
            <w:vAlign w:val="bottom"/>
          </w:tcPr>
          <w:p>
            <w:pPr>
              <w:jc w:val="center"/>
              <w:ind w:left="156"/>
              <w:spacing w:after="0"/>
              <w:rPr>
                <w:sz w:val="20"/>
                <w:szCs w:val="20"/>
                <w:color w:val="auto"/>
              </w:rPr>
            </w:pPr>
            <w:r>
              <w:rPr>
                <w:rFonts w:ascii="Arial" w:cs="Arial" w:eastAsia="Arial" w:hAnsi="Arial"/>
                <w:sz w:val="17"/>
                <w:szCs w:val="17"/>
                <w:b w:val="1"/>
                <w:bCs w:val="1"/>
                <w:color w:val="231F20"/>
              </w:rPr>
              <w:t>By Mail</w:t>
            </w:r>
          </w:p>
        </w:tc>
      </w:tr>
      <w:tr>
        <w:trPr>
          <w:trHeight w:val="181"/>
        </w:trPr>
        <w:tc>
          <w:tcPr>
            <w:tcW w:w="2800" w:type="dxa"/>
            <w:vAlign w:val="bottom"/>
            <w:gridSpan w:val="2"/>
          </w:tcPr>
          <w:p>
            <w:pPr>
              <w:jc w:val="center"/>
              <w:ind w:right="260"/>
              <w:spacing w:after="0" w:line="181" w:lineRule="exact"/>
              <w:rPr>
                <w:sz w:val="20"/>
                <w:szCs w:val="20"/>
                <w:color w:val="auto"/>
              </w:rPr>
            </w:pPr>
            <w:r>
              <w:rPr>
                <w:rFonts w:ascii="Arial" w:cs="Arial" w:eastAsia="Arial" w:hAnsi="Arial"/>
                <w:sz w:val="16"/>
                <w:szCs w:val="16"/>
                <w:color w:val="231F20"/>
              </w:rPr>
              <w:t>www.voteproxy.com, available 24/7</w:t>
            </w:r>
          </w:p>
        </w:tc>
        <w:tc>
          <w:tcPr>
            <w:tcW w:w="3100" w:type="dxa"/>
            <w:vAlign w:val="bottom"/>
          </w:tcPr>
          <w:p>
            <w:pPr>
              <w:jc w:val="center"/>
              <w:spacing w:after="0" w:line="181" w:lineRule="exact"/>
              <w:rPr>
                <w:sz w:val="20"/>
                <w:szCs w:val="20"/>
                <w:color w:val="auto"/>
              </w:rPr>
            </w:pPr>
            <w:r>
              <w:rPr>
                <w:rFonts w:ascii="Arial" w:cs="Arial" w:eastAsia="Arial" w:hAnsi="Arial"/>
                <w:sz w:val="16"/>
                <w:szCs w:val="16"/>
                <w:color w:val="231F20"/>
              </w:rPr>
              <w:t>Call 1-800-776-9437, available 24/7</w:t>
            </w:r>
          </w:p>
        </w:tc>
        <w:tc>
          <w:tcPr>
            <w:tcW w:w="2820" w:type="dxa"/>
            <w:vAlign w:val="bottom"/>
          </w:tcPr>
          <w:p>
            <w:pPr>
              <w:jc w:val="center"/>
              <w:ind w:left="156"/>
              <w:spacing w:after="0" w:line="181" w:lineRule="exact"/>
              <w:rPr>
                <w:sz w:val="20"/>
                <w:szCs w:val="20"/>
                <w:color w:val="auto"/>
              </w:rPr>
            </w:pPr>
            <w:r>
              <w:rPr>
                <w:rFonts w:ascii="Arial" w:cs="Arial" w:eastAsia="Arial" w:hAnsi="Arial"/>
                <w:sz w:val="16"/>
                <w:szCs w:val="16"/>
                <w:color w:val="231F20"/>
              </w:rPr>
              <w:t>Mark, sign and date your proxy card</w:t>
            </w:r>
          </w:p>
        </w:tc>
      </w:tr>
      <w:tr>
        <w:trPr>
          <w:trHeight w:val="20"/>
        </w:trPr>
        <w:tc>
          <w:tcPr>
            <w:tcW w:w="1440" w:type="dxa"/>
            <w:vAlign w:val="bottom"/>
            <w:shd w:val="clear" w:color="auto" w:fill="231F2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r>
    </w:tbl>
    <w:p>
      <w:pPr>
        <w:spacing w:after="0" w:line="244"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231F20"/>
        </w:rPr>
        <w:t>If you vote by internet or telephone, you will need the control number on your Notice, proxy card or voting instruction form. Votes must be submitted by the conclusion of the Annual Meeting to be counted for the meeting. You may revoke your proxy at any time before it is voted at the Annual Meeting by notifying the secretary in writing, submitting a proxy dated later than your original proxy, or attending and voting at the Annual Meeting.</w:t>
      </w:r>
    </w:p>
    <w:p>
      <w:pPr>
        <w:spacing w:after="0" w:line="170"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231F20"/>
        </w:rPr>
        <w:t>If you hold your shares indirectly in an account at a bank, brokerage firm, broker-dealer or nominee, you are a beneficial owner of shares held in “street name”. You will receive all proxy materials directly from your bank, brokerage firm, broker-dealer or nominee and you must either direct them as to how to vote your shares or obtain from them a proxy to vote at the Annual Meeting. Please refer to the notice of internet availability of proxy materials or the voter instruction form used by your bank, brokerage firm, broker-dealer or nominee for specific instructions on methods of voting. If you fail to give your bank, brokerage firm, broker-dealer or nominee specific instructions on how to vote your shares with respect to Proposals 1 or 2, that organization will inform the inspector of election that it does not have the authority to vote on the matter with respect to your shares. This is generally referred to as a “broker non-vote”. Broker non-votes will have no effect on the outcome of these matters. It is important for every shareholder’s vote to be counted on these matters so we encourage you to provide your bank, brokerage firm, broker-dealer or nominee with voting instructions. If you fail to give your bank, brokerage firm, broker-dealer or nominee specific instructions on how to vote your shares on Proposal 3, your bank, brokerage firm, broker-dealer or nominee will generally be able to vote on Proposal 3 as he, she or it determines.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130175</wp:posOffset>
                </wp:positionV>
                <wp:extent cx="6400800" cy="177800"/>
                <wp:wrapNone/>
                <wp:docPr id="528" name="Shape 5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177800"/>
                        </a:xfrm>
                        <a:prstGeom prst="rect">
                          <a:avLst/>
                        </a:prstGeom>
                        <a:solidFill>
                          <a:srgbClr val="E8E7E5"/>
                        </a:solidFill>
                      </wps:spPr>
                      <wps:bodyPr/>
                    </wps:wsp>
                  </a:graphicData>
                </a:graphic>
              </wp:anchor>
            </w:drawing>
          </mc:Choice>
          <mc:Fallback>
            <w:pict>
              <v:rect id="Shape 528" o:spid="_x0000_s1553" style="position:absolute;margin-left:0pt;margin-top:10.25pt;width:504pt;height:1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8E7E5" stroked="f"/>
            </w:pict>
          </mc:Fallback>
        </mc:AlternateContent>
        <mc:AlternateContent>
          <mc:Choice Requires="wps">
            <w:drawing>
              <wp:anchor simplePos="0" relativeHeight="251657728" behindDoc="1" locked="0" layoutInCell="0" allowOverlap="1">
                <wp:simplePos x="0" y="0"/>
                <wp:positionH relativeFrom="column">
                  <wp:posOffset>6350</wp:posOffset>
                </wp:positionH>
                <wp:positionV relativeFrom="paragraph">
                  <wp:posOffset>130175</wp:posOffset>
                </wp:positionV>
                <wp:extent cx="0" cy="177800"/>
                <wp:wrapNone/>
                <wp:docPr id="529" name="Shape 5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529" o:spid="_x0000_s15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pt,10.25pt" to="0.5pt,24.25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136525</wp:posOffset>
                </wp:positionV>
                <wp:extent cx="6400800" cy="0"/>
                <wp:wrapNone/>
                <wp:docPr id="530" name="Shape 5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530" o:spid="_x0000_s15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0.75pt" to="504pt,10.75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6394450</wp:posOffset>
                </wp:positionH>
                <wp:positionV relativeFrom="paragraph">
                  <wp:posOffset>130175</wp:posOffset>
                </wp:positionV>
                <wp:extent cx="0" cy="177800"/>
                <wp:wrapNone/>
                <wp:docPr id="531" name="Shape 5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531" o:spid="_x0000_s15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3.5pt,10.25pt" to="503.5pt,24.25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301625</wp:posOffset>
                </wp:positionV>
                <wp:extent cx="6400800" cy="0"/>
                <wp:wrapNone/>
                <wp:docPr id="532" name="Shape 5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532" o:spid="_x0000_s15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3.75pt" to="504pt,23.75pt" o:allowincell="f" strokecolor="#231F20" strokeweight="1pt"/>
            </w:pict>
          </mc:Fallback>
        </mc:AlternateContent>
      </w:r>
    </w:p>
    <w:p>
      <w:pPr>
        <w:sectPr>
          <w:pgSz w:w="11880" w:h="15480" w:orient="portrait"/>
          <w:cols w:equalWidth="0" w:num="1">
            <w:col w:w="10080"/>
          </w:cols>
          <w:pgMar w:left="900" w:top="1316" w:right="900" w:bottom="763" w:gutter="0" w:footer="0" w:header="0"/>
        </w:sectPr>
      </w:pPr>
    </w:p>
    <w:p>
      <w:pPr>
        <w:spacing w:after="0" w:line="253" w:lineRule="exact"/>
        <w:rPr>
          <w:sz w:val="20"/>
          <w:szCs w:val="20"/>
          <w:color w:val="auto"/>
        </w:rPr>
      </w:pPr>
    </w:p>
    <w:p>
      <w:pPr>
        <w:ind w:left="6720"/>
        <w:spacing w:after="0"/>
        <w:tabs>
          <w:tab w:leader="none" w:pos="8060" w:val="left"/>
          <w:tab w:leader="none" w:pos="9800" w:val="left"/>
        </w:tabs>
        <w:rPr>
          <w:sz w:val="20"/>
          <w:szCs w:val="20"/>
          <w:color w:val="auto"/>
        </w:rPr>
      </w:pPr>
      <w:r>
        <w:rPr>
          <w:rFonts w:ascii="Arial" w:cs="Arial" w:eastAsia="Arial" w:hAnsi="Arial"/>
          <w:sz w:val="16"/>
          <w:szCs w:val="16"/>
          <w:color w:val="EF3E2A"/>
        </w:rPr>
        <w:t>Federal Realty</w:t>
      </w:r>
      <w:r>
        <w:rPr>
          <w:sz w:val="20"/>
          <w:szCs w:val="20"/>
          <w:color w:val="auto"/>
        </w:rPr>
        <w:tab/>
      </w:r>
      <w:r>
        <w:rPr>
          <w:rFonts w:ascii="Arial" w:cs="Arial" w:eastAsia="Arial" w:hAnsi="Arial"/>
          <w:sz w:val="16"/>
          <w:szCs w:val="16"/>
          <w:color w:val="231F20"/>
        </w:rPr>
        <w:t>2026 Proxy Statement</w:t>
        <w:tab/>
        <w:t>45</w:t>
      </w:r>
    </w:p>
    <w:p>
      <w:pPr>
        <w:sectPr>
          <w:pgSz w:w="11880" w:h="15480" w:orient="portrait"/>
          <w:cols w:equalWidth="0" w:num="1">
            <w:col w:w="10080"/>
          </w:cols>
          <w:pgMar w:left="900" w:top="1316" w:right="900" w:bottom="763" w:gutter="0" w:footer="0" w:header="0"/>
          <w:type w:val="continuous"/>
        </w:sectPr>
      </w:pPr>
    </w:p>
    <w:bookmarkStart w:id="165" w:name="page166"/>
    <w:bookmarkEnd w:id="165"/>
    <w:p>
      <w:pPr>
        <w:jc w:val="both"/>
        <w:spacing w:after="0" w:line="248" w:lineRule="auto"/>
        <w:rPr>
          <w:sz w:val="20"/>
          <w:szCs w:val="20"/>
          <w:color w:val="auto"/>
        </w:rPr>
      </w:pPr>
      <w:r>
        <w:rPr>
          <w:rFonts w:ascii="Arial" w:cs="Arial" w:eastAsia="Arial" w:hAnsi="Arial"/>
          <w:sz w:val="20"/>
          <w:szCs w:val="20"/>
          <w:color w:val="231F20"/>
        </w:rPr>
        <w:t>You are urged to vote either by telephone (1-800-PROXIES or 1-800-776-9437) or on the Internet (</w:t>
      </w:r>
      <w:r>
        <w:rPr>
          <w:rFonts w:ascii="Arial" w:cs="Arial" w:eastAsia="Arial" w:hAnsi="Arial"/>
          <w:sz w:val="20"/>
          <w:szCs w:val="20"/>
          <w:u w:val="single" w:color="auto"/>
          <w:color w:val="231F20"/>
        </w:rPr>
        <w:t>www.voteproxy.com</w:t>
      </w:r>
      <w:r>
        <w:rPr>
          <w:rFonts w:ascii="Arial" w:cs="Arial" w:eastAsia="Arial" w:hAnsi="Arial"/>
          <w:sz w:val="20"/>
          <w:szCs w:val="20"/>
          <w:color w:val="231F20"/>
        </w:rPr>
        <w:t>) by following the instructions on your Notice. If you elect to receive your proxy materials by mail, please make sure to complete, sign, date and return your proxy card promptly to make certain your shares will be voted at the Annual Meeting.</w:t>
      </w:r>
    </w:p>
    <w:p>
      <w:pPr>
        <w:spacing w:after="0" w:line="209"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231F20"/>
        </w:rPr>
        <w:t>If you do not vote your shares, your shares will not be counted and we may not be able to hold the Annual Meeting. We encourage you to vote by proxy using one of the methods described above even if you plan to attend the Annual Meeting so that we will know as soon as possible whether enough votes will be present.</w:t>
      </w:r>
    </w:p>
    <w:p>
      <w:pPr>
        <w:spacing w:after="0" w:line="167" w:lineRule="exact"/>
        <w:rPr>
          <w:sz w:val="20"/>
          <w:szCs w:val="20"/>
          <w:color w:val="auto"/>
        </w:rPr>
      </w:pPr>
    </w:p>
    <w:p>
      <w:pPr>
        <w:spacing w:after="0" w:line="268" w:lineRule="exact"/>
        <w:rPr>
          <w:sz w:val="20"/>
          <w:szCs w:val="20"/>
          <w:color w:val="auto"/>
        </w:rPr>
      </w:pPr>
      <w:r>
        <w:rPr>
          <w:rFonts w:ascii="Arial Unicode MS" w:cs="Arial Unicode MS" w:eastAsia="Arial Unicode MS" w:hAnsi="Arial Unicode MS"/>
          <w:sz w:val="20"/>
          <w:szCs w:val="20"/>
          <w:color w:val="EF3E2A"/>
        </w:rPr>
        <w:t>➣</w:t>
      </w:r>
      <w:r>
        <w:rPr>
          <w:rFonts w:ascii="Arial" w:cs="Arial" w:eastAsia="Arial" w:hAnsi="Arial"/>
          <w:sz w:val="20"/>
          <w:szCs w:val="20"/>
          <w:b w:val="1"/>
          <w:bCs w:val="1"/>
          <w:color w:val="231F20"/>
        </w:rPr>
        <w:t xml:space="preserve"> HOW TO PARTICIPATE IN THE ANNUAL MEETING</w:t>
      </w:r>
    </w:p>
    <w:p>
      <w:pPr>
        <w:spacing w:after="0" w:line="215"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231F20"/>
        </w:rPr>
        <w:t>You will be able to join our Annual Meeting as either a shareholder or a guest. All registered shareholders and shareholders that own shares in “street name” will be able to ask questions and vote their shares at the meeting by following the instructions below. Guests will be permitted to join the meeting but will not be permitted to ask questions.</w:t>
      </w:r>
    </w:p>
    <w:p>
      <w:pPr>
        <w:spacing w:after="0" w:line="20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231F20"/>
        </w:rPr>
        <w:t xml:space="preserve">You can access the Annual Meeting by joining through this link: </w:t>
      </w:r>
      <w:r>
        <w:rPr>
          <w:rFonts w:ascii="Arial" w:cs="Arial" w:eastAsia="Arial" w:hAnsi="Arial"/>
          <w:sz w:val="20"/>
          <w:szCs w:val="20"/>
          <w:i w:val="1"/>
          <w:iCs w:val="1"/>
          <w:u w:val="single" w:color="auto"/>
          <w:color w:val="231F20"/>
        </w:rPr>
        <w:t>https://edge.media-server.com/mmc/p/h5ru67ve</w:t>
      </w:r>
      <w:r>
        <w:rPr>
          <w:rFonts w:ascii="Arial" w:cs="Arial" w:eastAsia="Arial" w:hAnsi="Arial"/>
          <w:sz w:val="20"/>
          <w:szCs w:val="20"/>
          <w:i w:val="1"/>
          <w:iCs w:val="1"/>
          <w:color w:val="231F20"/>
        </w:rPr>
        <w:t>.</w:t>
      </w:r>
      <w:r>
        <w:rPr>
          <w:rFonts w:ascii="Arial" w:cs="Arial" w:eastAsia="Arial" w:hAnsi="Arial"/>
          <w:sz w:val="20"/>
          <w:szCs w:val="20"/>
          <w:color w:val="231F20"/>
        </w:rPr>
        <w:t xml:space="preserve"> If you are a registered shareholder owning shares directly in your name and you would like to be able to ask a question or vote at the Annual Meeting, please log in using the control number found on your proxy card or Notice you previously received and the password “</w:t>
      </w:r>
      <w:r>
        <w:rPr>
          <w:rFonts w:ascii="Arial" w:cs="Arial" w:eastAsia="Arial" w:hAnsi="Arial"/>
          <w:sz w:val="20"/>
          <w:szCs w:val="20"/>
          <w:i w:val="1"/>
          <w:iCs w:val="1"/>
          <w:color w:val="231F20"/>
        </w:rPr>
        <w:t>federal2026</w:t>
      </w:r>
      <w:r>
        <w:rPr>
          <w:rFonts w:ascii="Arial" w:cs="Arial" w:eastAsia="Arial" w:hAnsi="Arial"/>
          <w:sz w:val="20"/>
          <w:szCs w:val="20"/>
          <w:color w:val="231F20"/>
        </w:rPr>
        <w:t>” to enter the meeting. The password is case sensitive. If you hold your shares in “street name” through a bank, brokerage firm, broker-dealer or nominee and you would like to be able to ask a question or vote at the Annual Meeting, you must first obtain a legal proxy from your bank, brokerage firm, broker-dealer or nominee and then submit a request for registration to Equiniti: (1) by email to proxy@equinity.com; (2) by facsimile to 718-765-8730; or (3) by mail to Equiniti, Attn: Proxy Tabulation Department, 1110 Centre Pointe Curve, Suite 101 Mendota Heights, MN 55120. Requests for registration must be labeled as “Legal Proxy” and must be received by Equiniti no later than 5:00 p.m. local time on May 4, 2026. You will receive a confirmation of your registration by email from Equiniti after they receive your registration materials. The email will also include a control number so that you can ask a question or vote at the Annual Meeting by logging in using your control number and the password “</w:t>
      </w:r>
      <w:r>
        <w:rPr>
          <w:rFonts w:ascii="Arial" w:cs="Arial" w:eastAsia="Arial" w:hAnsi="Arial"/>
          <w:sz w:val="20"/>
          <w:szCs w:val="20"/>
          <w:i w:val="1"/>
          <w:iCs w:val="1"/>
          <w:color w:val="231F20"/>
        </w:rPr>
        <w:t>federal2026</w:t>
      </w:r>
      <w:r>
        <w:rPr>
          <w:rFonts w:ascii="Arial" w:cs="Arial" w:eastAsia="Arial" w:hAnsi="Arial"/>
          <w:sz w:val="20"/>
          <w:szCs w:val="20"/>
          <w:color w:val="231F20"/>
        </w:rPr>
        <w:t>”. Shareholders who hold shares in “street name” will not be able to vote their shares or ask questions without first completing this registration process. Once you are in the meeting, you can vote your shares by clicking on the Vote My Shares tab at the top right of the screen. You may also continue to vote using the instructions provided in the Proxy Materials until the Annual Meeting concludes.</w:t>
      </w:r>
    </w:p>
    <w:p>
      <w:pPr>
        <w:spacing w:after="0" w:line="211"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231F20"/>
        </w:rPr>
        <w:t>If you do not want to vote your shares during the meeting or ask a question, you can join the meeting as a guest using the same link above by clicking on the “Join as a Guest here” button at the bottom on the log in page. You will not need to have your control number or complete the registration process described above to participate as a guest. Electronic check in begins at 8:30 a.m. local time on May 6, 2026, the day of the Annual Meeting, so that we may address any technical difficulties before the Annual Meeting webcast begins. If you encounter any difficulties accessing the Annual Meeting webcast during the check-in or meeting time, please refer to the “Application Help” link available on the log in page.</w:t>
      </w:r>
    </w:p>
    <w:p>
      <w:pPr>
        <w:spacing w:after="0" w:line="165" w:lineRule="exact"/>
        <w:rPr>
          <w:sz w:val="20"/>
          <w:szCs w:val="20"/>
          <w:color w:val="auto"/>
        </w:rPr>
      </w:pPr>
    </w:p>
    <w:p>
      <w:pPr>
        <w:spacing w:after="0" w:line="268" w:lineRule="exact"/>
        <w:rPr>
          <w:sz w:val="20"/>
          <w:szCs w:val="20"/>
          <w:color w:val="auto"/>
        </w:rPr>
      </w:pPr>
      <w:r>
        <w:rPr>
          <w:rFonts w:ascii="Arial Unicode MS" w:cs="Arial Unicode MS" w:eastAsia="Arial Unicode MS" w:hAnsi="Arial Unicode MS"/>
          <w:sz w:val="20"/>
          <w:szCs w:val="20"/>
          <w:color w:val="EF3E2A"/>
        </w:rPr>
        <w:t>➣</w:t>
      </w:r>
      <w:r>
        <w:rPr>
          <w:rFonts w:ascii="Arial" w:cs="Arial" w:eastAsia="Arial" w:hAnsi="Arial"/>
          <w:sz w:val="20"/>
          <w:szCs w:val="20"/>
          <w:b w:val="1"/>
          <w:bCs w:val="1"/>
          <w:color w:val="231F20"/>
        </w:rPr>
        <w:t xml:space="preserve"> ELIMINATING DUPLICATIVE PROXY MATERIALS</w:t>
      </w:r>
    </w:p>
    <w:p>
      <w:pPr>
        <w:spacing w:after="0" w:line="217"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231F20"/>
        </w:rPr>
        <w:t xml:space="preserve">We have adopted a procedure approved by the SEC called “householding” under which multiple shareholders who share an address and do not participate in electronic delivery will receive only one copy of the annual proxy materials or Notice unless we receive contrary instructions from one or more of the shareholders. If you would like to opt out of householding and continue to receive multiple copies of the proxy materials or Notice at the same address, or if you have previously opted out of householding and would now like to participate, you can do so by notifying us in writing, by telephone or by email at: Investor Relations, 909 Rose Avenue, Suite 200, North Bethesda, Maryland 20852, (800) 937-5449, </w:t>
      </w:r>
      <w:r>
        <w:rPr>
          <w:rFonts w:ascii="Arial" w:cs="Arial" w:eastAsia="Arial" w:hAnsi="Arial"/>
          <w:sz w:val="20"/>
          <w:szCs w:val="20"/>
          <w:i w:val="1"/>
          <w:iCs w:val="1"/>
          <w:u w:val="single" w:color="auto"/>
          <w:color w:val="231F20"/>
        </w:rPr>
        <w:t>IR@federalrealty.com</w:t>
      </w:r>
      <w:r>
        <w:rPr>
          <w:rFonts w:ascii="Arial" w:cs="Arial" w:eastAsia="Arial" w:hAnsi="Arial"/>
          <w:sz w:val="20"/>
          <w:szCs w:val="20"/>
          <w:i w:val="1"/>
          <w:iCs w:val="1"/>
          <w:color w:val="231F20"/>
        </w:rPr>
        <w: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414655</wp:posOffset>
                </wp:positionV>
                <wp:extent cx="6400800" cy="177800"/>
                <wp:wrapNone/>
                <wp:docPr id="533" name="Shape 5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177800"/>
                        </a:xfrm>
                        <a:prstGeom prst="rect">
                          <a:avLst/>
                        </a:prstGeom>
                        <a:solidFill>
                          <a:srgbClr val="E8E7E5"/>
                        </a:solidFill>
                      </wps:spPr>
                      <wps:bodyPr/>
                    </wps:wsp>
                  </a:graphicData>
                </a:graphic>
              </wp:anchor>
            </w:drawing>
          </mc:Choice>
          <mc:Fallback>
            <w:pict>
              <v:rect id="Shape 533" o:spid="_x0000_s1558" style="position:absolute;margin-left:0pt;margin-top:32.65pt;width:504pt;height:1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8E7E5" stroked="f"/>
            </w:pict>
          </mc:Fallback>
        </mc:AlternateContent>
        <mc:AlternateContent>
          <mc:Choice Requires="wps">
            <w:drawing>
              <wp:anchor simplePos="0" relativeHeight="251657728" behindDoc="1" locked="0" layoutInCell="0" allowOverlap="1">
                <wp:simplePos x="0" y="0"/>
                <wp:positionH relativeFrom="column">
                  <wp:posOffset>6350</wp:posOffset>
                </wp:positionH>
                <wp:positionV relativeFrom="paragraph">
                  <wp:posOffset>414020</wp:posOffset>
                </wp:positionV>
                <wp:extent cx="0" cy="177800"/>
                <wp:wrapNone/>
                <wp:docPr id="534" name="Shape 5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534" o:spid="_x0000_s15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pt,32.6pt" to="0.5pt,46.6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420370</wp:posOffset>
                </wp:positionV>
                <wp:extent cx="6400800" cy="0"/>
                <wp:wrapNone/>
                <wp:docPr id="535" name="Shape 5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535" o:spid="_x0000_s15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3.1pt" to="504pt,33.1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6394450</wp:posOffset>
                </wp:positionH>
                <wp:positionV relativeFrom="paragraph">
                  <wp:posOffset>414020</wp:posOffset>
                </wp:positionV>
                <wp:extent cx="0" cy="177800"/>
                <wp:wrapNone/>
                <wp:docPr id="536" name="Shape 5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536" o:spid="_x0000_s15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3.5pt,32.6pt" to="503.5pt,46.6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585470</wp:posOffset>
                </wp:positionV>
                <wp:extent cx="6400800" cy="0"/>
                <wp:wrapNone/>
                <wp:docPr id="537" name="Shape 5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537" o:spid="_x0000_s15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46.1pt" to="504pt,46.1pt" o:allowincell="f" strokecolor="#231F20" strokeweight="1pt"/>
            </w:pict>
          </mc:Fallback>
        </mc:AlternateContent>
      </w:r>
    </w:p>
    <w:p>
      <w:pPr>
        <w:sectPr>
          <w:pgSz w:w="11880" w:h="15480" w:orient="portrait"/>
          <w:cols w:equalWidth="0" w:num="1">
            <w:col w:w="10080"/>
          </w:cols>
          <w:pgMar w:left="900" w:top="1316" w:right="900" w:bottom="76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80"/>
        <w:spacing w:after="0"/>
        <w:tabs>
          <w:tab w:leader="none" w:pos="1420" w:val="left"/>
          <w:tab w:leader="none" w:pos="3160" w:val="left"/>
        </w:tabs>
        <w:rPr>
          <w:sz w:val="20"/>
          <w:szCs w:val="20"/>
          <w:color w:val="auto"/>
        </w:rPr>
      </w:pPr>
      <w:r>
        <w:rPr>
          <w:rFonts w:ascii="Arial" w:cs="Arial" w:eastAsia="Arial" w:hAnsi="Arial"/>
          <w:sz w:val="16"/>
          <w:szCs w:val="16"/>
          <w:color w:val="EF3E2A"/>
        </w:rPr>
        <w:t>Federal Realty</w:t>
      </w:r>
      <w:r>
        <w:rPr>
          <w:sz w:val="20"/>
          <w:szCs w:val="20"/>
          <w:color w:val="auto"/>
        </w:rPr>
        <w:tab/>
      </w:r>
      <w:r>
        <w:rPr>
          <w:rFonts w:ascii="Arial" w:cs="Arial" w:eastAsia="Arial" w:hAnsi="Arial"/>
          <w:sz w:val="16"/>
          <w:szCs w:val="16"/>
          <w:color w:val="231F20"/>
        </w:rPr>
        <w:t>2026 Proxy Statement</w:t>
        <w:tab/>
        <w:t>46</w:t>
      </w:r>
    </w:p>
    <w:p>
      <w:pPr>
        <w:sectPr>
          <w:pgSz w:w="11880" w:h="15480" w:orient="portrait"/>
          <w:cols w:equalWidth="0" w:num="1">
            <w:col w:w="10080"/>
          </w:cols>
          <w:pgMar w:left="900" w:top="1316" w:right="900" w:bottom="763" w:gutter="0" w:footer="0" w:header="0"/>
          <w:type w:val="continuous"/>
        </w:sectPr>
      </w:pPr>
    </w:p>
    <w:bookmarkStart w:id="166" w:name="page167"/>
    <w:bookmarkEnd w:id="166"/>
    <w:p>
      <w:pPr>
        <w:spacing w:after="0" w:line="268" w:lineRule="exact"/>
        <w:rPr>
          <w:sz w:val="20"/>
          <w:szCs w:val="20"/>
          <w:color w:val="auto"/>
        </w:rPr>
      </w:pPr>
      <w:r>
        <w:rPr>
          <w:rFonts w:ascii="Arial Unicode MS" w:cs="Arial Unicode MS" w:eastAsia="Arial Unicode MS" w:hAnsi="Arial Unicode MS"/>
          <w:sz w:val="20"/>
          <w:szCs w:val="20"/>
          <w:color w:val="EF3E2A"/>
        </w:rPr>
        <w:t>➣</w:t>
      </w:r>
      <w:r>
        <w:rPr>
          <w:rFonts w:ascii="Arial" w:cs="Arial" w:eastAsia="Arial" w:hAnsi="Arial"/>
          <w:sz w:val="20"/>
          <w:szCs w:val="20"/>
          <w:b w:val="1"/>
          <w:bCs w:val="1"/>
          <w:color w:val="231F20"/>
        </w:rPr>
        <w:t xml:space="preserve"> SOLICITATION OF PROXIES</w:t>
      </w:r>
    </w:p>
    <w:p>
      <w:pPr>
        <w:spacing w:after="0" w:line="217"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231F20"/>
        </w:rPr>
        <w:t>We will bear the cost of soliciting proxies from beneficial owners of our shares. Our trustees, officers and employees, acting without special compensation, and other agents may solicit proxies by telephone, internet, or otherwise. Copies of solicitation materials will be furnished to brokerage firms, fiduciaries, and other custodians who hold our shares of record for beneficial owners for forwarding to such beneficial owners. We may also reimburse persons representing beneficial owners of our shares for their reasonable expenses incurred in forwarding such materials. Beneficial owners of our shares who authorize their proxies through the internet should be aware that they may incur costs to access the internet, such as usage charges from telephone companies or internet service providers and these costs must be borne by the shareholder.</w:t>
      </w:r>
    </w:p>
    <w:p>
      <w:pPr>
        <w:spacing w:after="0" w:line="166" w:lineRule="exact"/>
        <w:rPr>
          <w:sz w:val="20"/>
          <w:szCs w:val="20"/>
          <w:color w:val="auto"/>
        </w:rPr>
      </w:pPr>
    </w:p>
    <w:p>
      <w:pPr>
        <w:spacing w:after="0" w:line="268" w:lineRule="exact"/>
        <w:rPr>
          <w:sz w:val="20"/>
          <w:szCs w:val="20"/>
          <w:color w:val="auto"/>
        </w:rPr>
      </w:pPr>
      <w:r>
        <w:rPr>
          <w:rFonts w:ascii="Arial Unicode MS" w:cs="Arial Unicode MS" w:eastAsia="Arial Unicode MS" w:hAnsi="Arial Unicode MS"/>
          <w:sz w:val="20"/>
          <w:szCs w:val="20"/>
          <w:color w:val="EF3E2A"/>
        </w:rPr>
        <w:t>➣</w:t>
      </w:r>
      <w:r>
        <w:rPr>
          <w:rFonts w:ascii="Arial" w:cs="Arial" w:eastAsia="Arial" w:hAnsi="Arial"/>
          <w:sz w:val="20"/>
          <w:szCs w:val="20"/>
          <w:b w:val="1"/>
          <w:bCs w:val="1"/>
          <w:color w:val="231F20"/>
        </w:rPr>
        <w:t xml:space="preserve"> SHAREHOLDER PROPOSALS FOR THE 2027 ANNUAL MEETING</w:t>
      </w:r>
    </w:p>
    <w:p>
      <w:pPr>
        <w:spacing w:after="0" w:line="217"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231F20"/>
        </w:rPr>
        <w:t>This solicitation is made by the Company on behalf of the Board. Proposals of shareholders intended to be presented at the 2027 Annual Meeting of Shareholders or nominations for persons for election to the Board of Trustees, must be delivered to us at 909 Rose Avenue, Suite 200, North Bethesda, Maryland 20852, Attention: Secretary and received by us no later than November 27, 2026 and no earlier than October 28, 2026, unless the date of the 2027 Annual Meeting of Shareholders is changed by more than 30 days from the date of the 2026 Annual Meeting of Shareholders, in which case such proposal or nomination must be received within a reasonable time before we begin to print and mail our proxy materials. All shareholder proposals and nominations must comply with the requirements set forth in our Bylaws and applicable state and federal laws. Shareholder proposals must comply with Rule 14a-8 under the Exchange Act in order to be included in the Company’s proxy statement and proxy card for the 2027 Annual Meeting of Shareholders. Pursuant to our proxy access Bylaw provision, a shareholder, or a group of up to 20 shareholders, that has continuously owned for three years at least 3% of the Company’s outstanding common shares, may nominate and include in the Company’s annual meeting proxy materials up to the greater of two trustees or 20% of the number of trustees serving on the Board, if the shareholder(s) and the nominee(s) meet the requirements specified in Article II, Section 13 of our Bylaws. Our Bylaws are available by written request made to the Secretary, 909 Rose Avenue, Suite 200, North Bethesda, Maryland 20852.</w:t>
      </w:r>
    </w:p>
    <w:p>
      <w:pPr>
        <w:spacing w:after="0" w:line="207"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231F20"/>
        </w:rPr>
        <w:t>In addition to satisfying the foregoing requirements under our Bylaws, to comply with the universal proxy rules, shareholders who intend to solicit proxies in support of nominees other than the Company’s nominees to the Board of Trustees must satisfy the requirements of Rule 14a-19 under the Exchange Act, including by providing notice and the information required thereunder no later than March 7, 2027 (except that, if the date of the meeting has changed by more than 30 days from the previous year, then such notice must be provided by the later of 60 calendar days prior to the date of the annual meeting or the 10th day following the day on which we first publicly announce the date of the annual meeting).</w:t>
      </w:r>
    </w:p>
    <w:p>
      <w:pPr>
        <w:spacing w:after="0" w:line="203" w:lineRule="exact"/>
        <w:rPr>
          <w:sz w:val="20"/>
          <w:szCs w:val="20"/>
          <w:color w:val="auto"/>
        </w:rPr>
      </w:pPr>
    </w:p>
    <w:p>
      <w:pPr>
        <w:ind w:left="4800"/>
        <w:spacing w:after="0"/>
        <w:rPr>
          <w:sz w:val="20"/>
          <w:szCs w:val="20"/>
          <w:color w:val="auto"/>
        </w:rPr>
      </w:pPr>
      <w:r>
        <w:rPr>
          <w:rFonts w:ascii="Arial" w:cs="Arial" w:eastAsia="Arial" w:hAnsi="Arial"/>
          <w:sz w:val="20"/>
          <w:szCs w:val="20"/>
          <w:color w:val="231F20"/>
        </w:rPr>
        <w:t>For the Trustees,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3048000</wp:posOffset>
            </wp:positionH>
            <wp:positionV relativeFrom="paragraph">
              <wp:posOffset>13335</wp:posOffset>
            </wp:positionV>
            <wp:extent cx="1078865" cy="31686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117">
                      <a:extLst>
                        <a:ext uri="{28A0092B-C50C-407E-A947-70E740481C1C}"/>
                      </a:extLst>
                    </a:blip>
                    <a:srcRect/>
                    <a:stretch>
                      <a:fillRect/>
                    </a:stretch>
                  </pic:blipFill>
                  <pic:spPr bwMode="auto">
                    <a:xfrm>
                      <a:off x="0" y="0"/>
                      <a:ext cx="1078865" cy="316865"/>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ind w:left="4800"/>
        <w:spacing w:after="0"/>
        <w:rPr>
          <w:sz w:val="20"/>
          <w:szCs w:val="20"/>
          <w:color w:val="auto"/>
        </w:rPr>
      </w:pPr>
      <w:r>
        <w:rPr>
          <w:rFonts w:ascii="Arial" w:cs="Arial" w:eastAsia="Arial" w:hAnsi="Arial"/>
          <w:sz w:val="20"/>
          <w:szCs w:val="20"/>
          <w:color w:val="231F20"/>
        </w:rPr>
        <w:t>Dawn M. Becker</w:t>
      </w:r>
    </w:p>
    <w:p>
      <w:pPr>
        <w:spacing w:after="0" w:line="10" w:lineRule="exact"/>
        <w:rPr>
          <w:sz w:val="20"/>
          <w:szCs w:val="20"/>
          <w:color w:val="auto"/>
        </w:rPr>
      </w:pPr>
    </w:p>
    <w:p>
      <w:pPr>
        <w:ind w:left="4800"/>
        <w:spacing w:after="0"/>
        <w:rPr>
          <w:sz w:val="20"/>
          <w:szCs w:val="20"/>
          <w:color w:val="auto"/>
        </w:rPr>
      </w:pPr>
      <w:r>
        <w:rPr>
          <w:rFonts w:ascii="Arial" w:cs="Arial" w:eastAsia="Arial" w:hAnsi="Arial"/>
          <w:sz w:val="20"/>
          <w:szCs w:val="20"/>
          <w:i w:val="1"/>
          <w:iCs w:val="1"/>
          <w:color w:val="231F20"/>
        </w:rPr>
        <w:t>Executive Vice President—Chief Legal</w:t>
      </w:r>
    </w:p>
    <w:p>
      <w:pPr>
        <w:spacing w:after="0" w:line="10" w:lineRule="exact"/>
        <w:rPr>
          <w:sz w:val="20"/>
          <w:szCs w:val="20"/>
          <w:color w:val="auto"/>
        </w:rPr>
      </w:pPr>
    </w:p>
    <w:p>
      <w:pPr>
        <w:ind w:left="4800"/>
        <w:spacing w:after="0"/>
        <w:rPr>
          <w:sz w:val="20"/>
          <w:szCs w:val="20"/>
          <w:color w:val="auto"/>
        </w:rPr>
      </w:pPr>
      <w:r>
        <w:rPr>
          <w:rFonts w:ascii="Arial" w:cs="Arial" w:eastAsia="Arial" w:hAnsi="Arial"/>
          <w:sz w:val="20"/>
          <w:szCs w:val="20"/>
          <w:i w:val="1"/>
          <w:iCs w:val="1"/>
          <w:color w:val="231F20"/>
        </w:rPr>
        <w:t>Officer and Secretary</w:t>
      </w:r>
    </w:p>
    <w:p>
      <w:pPr>
        <w:spacing w:after="0" w:line="250" w:lineRule="exact"/>
        <w:rPr>
          <w:sz w:val="20"/>
          <w:szCs w:val="20"/>
          <w:color w:val="auto"/>
        </w:rPr>
      </w:pPr>
    </w:p>
    <w:p>
      <w:pPr>
        <w:ind w:left="4800"/>
        <w:spacing w:after="0"/>
        <w:rPr>
          <w:sz w:val="20"/>
          <w:szCs w:val="20"/>
          <w:color w:val="auto"/>
        </w:rPr>
      </w:pPr>
      <w:r>
        <w:rPr>
          <w:rFonts w:ascii="Arial" w:cs="Arial" w:eastAsia="Arial" w:hAnsi="Arial"/>
          <w:sz w:val="20"/>
          <w:szCs w:val="20"/>
          <w:color w:val="231F20"/>
        </w:rPr>
        <w:t>Federal Realty Investment Trust</w:t>
      </w:r>
    </w:p>
    <w:p>
      <w:pPr>
        <w:spacing w:after="0" w:line="10" w:lineRule="exact"/>
        <w:rPr>
          <w:sz w:val="20"/>
          <w:szCs w:val="20"/>
          <w:color w:val="auto"/>
        </w:rPr>
      </w:pPr>
    </w:p>
    <w:p>
      <w:pPr>
        <w:ind w:left="4800"/>
        <w:spacing w:after="0"/>
        <w:rPr>
          <w:sz w:val="20"/>
          <w:szCs w:val="20"/>
          <w:color w:val="auto"/>
        </w:rPr>
      </w:pPr>
      <w:r>
        <w:rPr>
          <w:rFonts w:ascii="Arial" w:cs="Arial" w:eastAsia="Arial" w:hAnsi="Arial"/>
          <w:sz w:val="20"/>
          <w:szCs w:val="20"/>
          <w:color w:val="231F20"/>
        </w:rPr>
        <w:t>909 Rose Avenue, Suite 200</w:t>
      </w:r>
    </w:p>
    <w:p>
      <w:pPr>
        <w:spacing w:after="0" w:line="10" w:lineRule="exact"/>
        <w:rPr>
          <w:sz w:val="20"/>
          <w:szCs w:val="20"/>
          <w:color w:val="auto"/>
        </w:rPr>
      </w:pPr>
    </w:p>
    <w:p>
      <w:pPr>
        <w:ind w:left="4800"/>
        <w:spacing w:after="0"/>
        <w:rPr>
          <w:sz w:val="20"/>
          <w:szCs w:val="20"/>
          <w:color w:val="auto"/>
        </w:rPr>
      </w:pPr>
      <w:r>
        <w:rPr>
          <w:rFonts w:ascii="Arial" w:cs="Arial" w:eastAsia="Arial" w:hAnsi="Arial"/>
          <w:sz w:val="20"/>
          <w:szCs w:val="20"/>
          <w:color w:val="231F20"/>
        </w:rPr>
        <w:t>North Bethesda, Maryland 20852</w:t>
      </w:r>
    </w:p>
    <w:p>
      <w:pPr>
        <w:spacing w:after="0" w:line="212" w:lineRule="exact"/>
        <w:rPr>
          <w:sz w:val="20"/>
          <w:szCs w:val="20"/>
          <w:color w:val="auto"/>
        </w:rPr>
      </w:pPr>
    </w:p>
    <w:p>
      <w:pPr>
        <w:jc w:val="center"/>
        <w:spacing w:after="0" w:line="246" w:lineRule="auto"/>
        <w:rPr>
          <w:sz w:val="20"/>
          <w:szCs w:val="20"/>
          <w:color w:val="auto"/>
        </w:rPr>
      </w:pPr>
      <w:r>
        <w:rPr>
          <w:rFonts w:ascii="Arial" w:cs="Arial" w:eastAsia="Arial" w:hAnsi="Arial"/>
          <w:sz w:val="20"/>
          <w:szCs w:val="20"/>
          <w:b w:val="1"/>
          <w:bCs w:val="1"/>
          <w:color w:val="231F20"/>
        </w:rPr>
        <w:t>YOUR PROXY IS IMPORTANT REGARDLESS OF THE NUMBER OF SHARES YOU OWN. PLEASE SUBMIT IT TODAY.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339090</wp:posOffset>
                </wp:positionV>
                <wp:extent cx="6400800" cy="177800"/>
                <wp:wrapNone/>
                <wp:docPr id="539" name="Shape 5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177800"/>
                        </a:xfrm>
                        <a:prstGeom prst="rect">
                          <a:avLst/>
                        </a:prstGeom>
                        <a:solidFill>
                          <a:srgbClr val="E8E7E5"/>
                        </a:solidFill>
                      </wps:spPr>
                      <wps:bodyPr/>
                    </wps:wsp>
                  </a:graphicData>
                </a:graphic>
              </wp:anchor>
            </w:drawing>
          </mc:Choice>
          <mc:Fallback>
            <w:pict>
              <v:rect id="Shape 539" o:spid="_x0000_s1564" style="position:absolute;margin-left:0pt;margin-top:26.7pt;width:504pt;height:1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8E7E5" stroked="f"/>
            </w:pict>
          </mc:Fallback>
        </mc:AlternateContent>
        <mc:AlternateContent>
          <mc:Choice Requires="wps">
            <w:drawing>
              <wp:anchor simplePos="0" relativeHeight="251657728" behindDoc="1" locked="0" layoutInCell="0" allowOverlap="1">
                <wp:simplePos x="0" y="0"/>
                <wp:positionH relativeFrom="column">
                  <wp:posOffset>6350</wp:posOffset>
                </wp:positionH>
                <wp:positionV relativeFrom="paragraph">
                  <wp:posOffset>339090</wp:posOffset>
                </wp:positionV>
                <wp:extent cx="0" cy="177800"/>
                <wp:wrapNone/>
                <wp:docPr id="540" name="Shape 5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540" o:spid="_x0000_s15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pt,26.7pt" to="0.5pt,40.7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345440</wp:posOffset>
                </wp:positionV>
                <wp:extent cx="6400800" cy="0"/>
                <wp:wrapNone/>
                <wp:docPr id="541" name="Shape 5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541" o:spid="_x0000_s15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7.2pt" to="504pt,27.2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6394450</wp:posOffset>
                </wp:positionH>
                <wp:positionV relativeFrom="paragraph">
                  <wp:posOffset>339090</wp:posOffset>
                </wp:positionV>
                <wp:extent cx="0" cy="177800"/>
                <wp:wrapNone/>
                <wp:docPr id="542" name="Shape 5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542" o:spid="_x0000_s15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3.5pt,26.7pt" to="503.5pt,40.7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510540</wp:posOffset>
                </wp:positionV>
                <wp:extent cx="6400800" cy="0"/>
                <wp:wrapNone/>
                <wp:docPr id="543" name="Shape 5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543" o:spid="_x0000_s15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40.2pt" to="504pt,40.2pt" o:allowincell="f" strokecolor="#231F20" strokeweight="1pt"/>
            </w:pict>
          </mc:Fallback>
        </mc:AlternateContent>
      </w:r>
    </w:p>
    <w:p>
      <w:pPr>
        <w:sectPr>
          <w:pgSz w:w="11880" w:h="15480" w:orient="portrait"/>
          <w:cols w:equalWidth="0" w:num="1">
            <w:col w:w="10080"/>
          </w:cols>
          <w:pgMar w:left="900" w:top="1272" w:right="900" w:bottom="763" w:gutter="0" w:footer="0" w:header="0"/>
        </w:sectPr>
      </w:pPr>
    </w:p>
    <w:p>
      <w:pPr>
        <w:spacing w:after="0" w:line="200" w:lineRule="exact"/>
        <w:rPr>
          <w:sz w:val="20"/>
          <w:szCs w:val="20"/>
          <w:color w:val="auto"/>
        </w:rPr>
      </w:pPr>
    </w:p>
    <w:p>
      <w:pPr>
        <w:spacing w:after="0" w:line="382" w:lineRule="exact"/>
        <w:rPr>
          <w:sz w:val="20"/>
          <w:szCs w:val="20"/>
          <w:color w:val="auto"/>
        </w:rPr>
      </w:pPr>
    </w:p>
    <w:p>
      <w:pPr>
        <w:ind w:left="6720"/>
        <w:spacing w:after="0"/>
        <w:tabs>
          <w:tab w:leader="none" w:pos="8060" w:val="left"/>
          <w:tab w:leader="none" w:pos="9800" w:val="left"/>
        </w:tabs>
        <w:rPr>
          <w:sz w:val="20"/>
          <w:szCs w:val="20"/>
          <w:color w:val="auto"/>
        </w:rPr>
      </w:pPr>
      <w:r>
        <w:rPr>
          <w:rFonts w:ascii="Arial" w:cs="Arial" w:eastAsia="Arial" w:hAnsi="Arial"/>
          <w:sz w:val="16"/>
          <w:szCs w:val="16"/>
          <w:color w:val="EF3E2A"/>
        </w:rPr>
        <w:t>Federal Realty</w:t>
      </w:r>
      <w:r>
        <w:rPr>
          <w:sz w:val="20"/>
          <w:szCs w:val="20"/>
          <w:color w:val="auto"/>
        </w:rPr>
        <w:tab/>
      </w:r>
      <w:r>
        <w:rPr>
          <w:rFonts w:ascii="Arial" w:cs="Arial" w:eastAsia="Arial" w:hAnsi="Arial"/>
          <w:sz w:val="16"/>
          <w:szCs w:val="16"/>
          <w:color w:val="231F20"/>
        </w:rPr>
        <w:t>2026 Proxy Statement</w:t>
        <w:tab/>
        <w:t>47</w:t>
      </w:r>
    </w:p>
    <w:p>
      <w:pPr>
        <w:sectPr>
          <w:pgSz w:w="11880" w:h="15480" w:orient="portrait"/>
          <w:cols w:equalWidth="0" w:num="1">
            <w:col w:w="10080"/>
          </w:cols>
          <w:pgMar w:left="900" w:top="1272" w:right="900" w:bottom="763" w:gutter="0" w:footer="0" w:header="0"/>
          <w:type w:val="continuous"/>
        </w:sectPr>
      </w:pPr>
    </w:p>
    <w:bookmarkStart w:id="167" w:name="page168"/>
    <w:bookmarkEnd w:id="16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[THIS PAGE INTENTIONALLY LEFT BLANK]</w:t>
      </w:r>
    </w:p>
    <w:p>
      <w:pPr>
        <w:sectPr>
          <w:pgSz w:w="11880" w:h="15480" w:orient="portrait"/>
          <w:cols w:equalWidth="0" w:num="1">
            <w:col w:w="9000"/>
          </w:cols>
          <w:pgMar w:left="1440" w:top="1440" w:right="1440" w:bottom="1440" w:gutter="0" w:footer="0" w:header="0"/>
        </w:sectPr>
      </w:pPr>
    </w:p>
    <w:bookmarkStart w:id="168" w:name="page169"/>
    <w:bookmarkEnd w:id="168"/>
    <w:p>
      <w:pPr>
        <w:jc w:val="center"/>
        <w:spacing w:after="0"/>
        <w:rPr>
          <w:sz w:val="20"/>
          <w:szCs w:val="20"/>
          <w:color w:val="auto"/>
        </w:rPr>
      </w:pPr>
      <w:r>
        <w:rPr>
          <w:rFonts w:ascii="Arial" w:cs="Arial" w:eastAsia="Arial" w:hAnsi="Arial"/>
          <w:sz w:val="20"/>
          <w:szCs w:val="20"/>
          <w:b w:val="1"/>
          <w:bCs w:val="1"/>
          <w:color w:val="231F20"/>
        </w:rPr>
        <w:t>Appendix A—Reconciliation of Non-GAAP Financial Measures</w:t>
      </w:r>
    </w:p>
    <w:p>
      <w:pPr>
        <w:spacing w:after="0" w:line="370" w:lineRule="exact"/>
        <w:rPr>
          <w:sz w:val="20"/>
          <w:szCs w:val="20"/>
          <w:color w:val="auto"/>
        </w:rPr>
      </w:pPr>
    </w:p>
    <w:p>
      <w:pPr>
        <w:spacing w:after="0"/>
        <w:rPr>
          <w:sz w:val="20"/>
          <w:szCs w:val="20"/>
          <w:color w:val="auto"/>
        </w:rPr>
      </w:pPr>
      <w:r>
        <w:rPr>
          <w:rFonts w:ascii="Arial" w:cs="Arial" w:eastAsia="Arial" w:hAnsi="Arial"/>
          <w:sz w:val="20"/>
          <w:szCs w:val="20"/>
          <w:color w:val="231F20"/>
        </w:rPr>
        <w:t>Funds From Operations</w:t>
      </w:r>
    </w:p>
    <w:p>
      <w:pPr>
        <w:spacing w:after="0" w:line="177"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231F20"/>
        </w:rPr>
        <w:t>Nareit Funds From Operations (“Nareit FFO” or “NAREIT FFO”) is a supplemental non-GAAP financial measure of real estate companies’ operating performance. The National Association of Real Estate Investment Trusts (“Nareit”) defines FFO as follows: net income, computed in accordance with U.S. GAAP, plus real estate related depreciation and amortization, and excluding gains and losses on the sale of real estate or changes in control, net of tax, and impairment write-downs of certain real estate assets and investments in entities when the impairment is directly attributable to decreases in the value of depreciable real estate held by the entity. We compute Nareit FFO in accordance with the Nareit definition, and we have historically reported our Nareit FFO available for common shareholders in addition to our net income and net cash provided by operating activities. It should be noted that Nareit FFO:</w:t>
      </w:r>
    </w:p>
    <w:p>
      <w:pPr>
        <w:spacing w:after="0" w:line="133" w:lineRule="exact"/>
        <w:rPr>
          <w:sz w:val="20"/>
          <w:szCs w:val="20"/>
          <w:color w:val="auto"/>
        </w:rPr>
      </w:pPr>
    </w:p>
    <w:p>
      <w:pPr>
        <w:ind w:left="800" w:hanging="300"/>
        <w:spacing w:after="0" w:line="243" w:lineRule="auto"/>
        <w:tabs>
          <w:tab w:leader="none" w:pos="800" w:val="left"/>
        </w:tabs>
        <w:numPr>
          <w:ilvl w:val="0"/>
          <w:numId w:val="175"/>
        </w:numPr>
        <w:rPr>
          <w:rFonts w:ascii="Arial" w:cs="Arial" w:eastAsia="Arial" w:hAnsi="Arial"/>
          <w:sz w:val="20"/>
          <w:szCs w:val="20"/>
          <w:color w:val="231F20"/>
        </w:rPr>
      </w:pPr>
      <w:r>
        <w:rPr>
          <w:rFonts w:ascii="Arial" w:cs="Arial" w:eastAsia="Arial" w:hAnsi="Arial"/>
          <w:sz w:val="20"/>
          <w:szCs w:val="20"/>
          <w:color w:val="231F20"/>
        </w:rPr>
        <w:t>does not represent cash flows from operating activities in accordance with GAAP (which, unlike FFO, generally reflects all cash effects of transactions and other events in the determination of net income);</w:t>
      </w:r>
    </w:p>
    <w:p>
      <w:pPr>
        <w:spacing w:after="0" w:line="129" w:lineRule="exact"/>
        <w:rPr>
          <w:rFonts w:ascii="Arial" w:cs="Arial" w:eastAsia="Arial" w:hAnsi="Arial"/>
          <w:sz w:val="20"/>
          <w:szCs w:val="20"/>
          <w:color w:val="231F20"/>
        </w:rPr>
      </w:pPr>
    </w:p>
    <w:p>
      <w:pPr>
        <w:ind w:left="800" w:hanging="300"/>
        <w:spacing w:after="0"/>
        <w:tabs>
          <w:tab w:leader="none" w:pos="800" w:val="left"/>
        </w:tabs>
        <w:numPr>
          <w:ilvl w:val="0"/>
          <w:numId w:val="175"/>
        </w:numPr>
        <w:rPr>
          <w:rFonts w:ascii="Arial" w:cs="Arial" w:eastAsia="Arial" w:hAnsi="Arial"/>
          <w:sz w:val="20"/>
          <w:szCs w:val="20"/>
          <w:color w:val="231F20"/>
        </w:rPr>
      </w:pPr>
      <w:r>
        <w:rPr>
          <w:rFonts w:ascii="Arial" w:cs="Arial" w:eastAsia="Arial" w:hAnsi="Arial"/>
          <w:sz w:val="20"/>
          <w:szCs w:val="20"/>
          <w:color w:val="231F20"/>
        </w:rPr>
        <w:t>should not be considered an alternative to net income as an indication of our performance; and</w:t>
      </w:r>
    </w:p>
    <w:p>
      <w:pPr>
        <w:spacing w:after="0" w:line="134" w:lineRule="exact"/>
        <w:rPr>
          <w:rFonts w:ascii="Arial" w:cs="Arial" w:eastAsia="Arial" w:hAnsi="Arial"/>
          <w:sz w:val="20"/>
          <w:szCs w:val="20"/>
          <w:color w:val="231F20"/>
        </w:rPr>
      </w:pPr>
    </w:p>
    <w:p>
      <w:pPr>
        <w:ind w:left="800" w:hanging="300"/>
        <w:spacing w:after="0" w:line="245" w:lineRule="auto"/>
        <w:tabs>
          <w:tab w:leader="none" w:pos="800" w:val="left"/>
        </w:tabs>
        <w:numPr>
          <w:ilvl w:val="0"/>
          <w:numId w:val="175"/>
        </w:numPr>
        <w:rPr>
          <w:rFonts w:ascii="Arial" w:cs="Arial" w:eastAsia="Arial" w:hAnsi="Arial"/>
          <w:sz w:val="20"/>
          <w:szCs w:val="20"/>
          <w:color w:val="231F20"/>
        </w:rPr>
      </w:pPr>
      <w:r>
        <w:rPr>
          <w:rFonts w:ascii="Arial" w:cs="Arial" w:eastAsia="Arial" w:hAnsi="Arial"/>
          <w:sz w:val="20"/>
          <w:szCs w:val="20"/>
          <w:color w:val="231F20"/>
        </w:rPr>
        <w:t>is not necessarily indicative of cash flow as a measure of liquidity or ability to fund cash needs, including the payment of dividends.</w:t>
      </w:r>
    </w:p>
    <w:p>
      <w:pPr>
        <w:spacing w:after="0" w:line="250"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231F20"/>
        </w:rPr>
        <w:t>We consider Nareit FFO available for common shareholders a meaningful, additional measure of operating performance primarily because it excludes the assumption that the value of the real estate assets diminishes predictably over time, as implied by the historical cost convention of GAAP and the recording of depreciation. We use Nareit FFO primarily as one of several means of assessing our operating performance in comparison with other REITs. Comparison of our presentation of Nareit FFO to similarly titled measures for other REITs may not necessarily be meaningful due to possible differences in the application of the Nareit definition used by such REITs.</w:t>
      </w:r>
    </w:p>
    <w:p>
      <w:pPr>
        <w:spacing w:after="0" w:line="250"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231F20"/>
        </w:rPr>
        <w:t>An increase or decrease in Nareit FFO available for common shareholders does not necessarily result in an increase or decrease in aggregate distributions because our Board of Trustees is not required to increase distributions on a quarterly basis. However, we must distribute at least 90% of our annual taxable income to remain qualified as a REIT. Therefore, a significant increase in Nareit FFO will generally require an increase in distributions to shareholders although not necessarily on a proportionate basis.</w:t>
      </w:r>
    </w:p>
    <w:p>
      <w:pPr>
        <w:spacing w:after="0" w:line="247"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231F20"/>
        </w:rPr>
        <w:t>Core Funds From Operations (“Core FFO”) is a supplemental non-GAAP financial measure of performance that adjusts Nareit FFO to exclude the impact of certain items that management considers are not indicative of the Company’s ongoing operating and financial performance. These adjustments include, when applicable, (1) gains or losses on early extinguishment of debt, (2) new market tax credit transaction income, (3) executive transition costs, (4) collection of prior period rents which were contractually deferred or payments renegotiated related to the COVID-19 pandemic, and (5) other items as determined by management. Management believes Core FFO provides enhanced comparability across periods and additional insight into the Company’s underlying operating results, by excluding items that may reflect short-term fluctuations in net income and Nareit FFO. Core FFO is not intended to be a substitute for net income or Nareit FFO. Comparison of our presentation of Core FFO to similarly titled measures for other REITs may not be meaningful due to possible differences in the way Core FFO is defined or applied by other REITs.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1053465</wp:posOffset>
                </wp:positionV>
                <wp:extent cx="6400800" cy="177800"/>
                <wp:wrapNone/>
                <wp:docPr id="544" name="Shape 5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177800"/>
                        </a:xfrm>
                        <a:prstGeom prst="rect">
                          <a:avLst/>
                        </a:prstGeom>
                        <a:solidFill>
                          <a:srgbClr val="E8E7E5"/>
                        </a:solidFill>
                      </wps:spPr>
                      <wps:bodyPr/>
                    </wps:wsp>
                  </a:graphicData>
                </a:graphic>
              </wp:anchor>
            </w:drawing>
          </mc:Choice>
          <mc:Fallback>
            <w:pict>
              <v:rect id="Shape 544" o:spid="_x0000_s1569" style="position:absolute;margin-left:0pt;margin-top:82.95pt;width:504pt;height:1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8E7E5" stroked="f"/>
            </w:pict>
          </mc:Fallback>
        </mc:AlternateContent>
        <mc:AlternateContent>
          <mc:Choice Requires="wps">
            <w:drawing>
              <wp:anchor simplePos="0" relativeHeight="251657728" behindDoc="1" locked="0" layoutInCell="0" allowOverlap="1">
                <wp:simplePos x="0" y="0"/>
                <wp:positionH relativeFrom="column">
                  <wp:posOffset>6350</wp:posOffset>
                </wp:positionH>
                <wp:positionV relativeFrom="paragraph">
                  <wp:posOffset>1052830</wp:posOffset>
                </wp:positionV>
                <wp:extent cx="0" cy="177800"/>
                <wp:wrapNone/>
                <wp:docPr id="545" name="Shape 5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545" o:spid="_x0000_s15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pt,82.9pt" to="0.5pt,96.9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1059180</wp:posOffset>
                </wp:positionV>
                <wp:extent cx="6400800" cy="0"/>
                <wp:wrapNone/>
                <wp:docPr id="546" name="Shape 5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546" o:spid="_x0000_s15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83.4pt" to="504pt,83.4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6394450</wp:posOffset>
                </wp:positionH>
                <wp:positionV relativeFrom="paragraph">
                  <wp:posOffset>1052830</wp:posOffset>
                </wp:positionV>
                <wp:extent cx="0" cy="177800"/>
                <wp:wrapNone/>
                <wp:docPr id="547" name="Shape 5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547" o:spid="_x0000_s15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3.5pt,82.9pt" to="503.5pt,96.9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1224280</wp:posOffset>
                </wp:positionV>
                <wp:extent cx="6400800" cy="0"/>
                <wp:wrapNone/>
                <wp:docPr id="548" name="Shape 5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548" o:spid="_x0000_s15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96.4pt" to="504pt,96.4pt" o:allowincell="f" strokecolor="#231F20" strokeweight="1pt"/>
            </w:pict>
          </mc:Fallback>
        </mc:AlternateContent>
      </w:r>
    </w:p>
    <w:p>
      <w:pPr>
        <w:sectPr>
          <w:pgSz w:w="11880" w:h="15480" w:orient="portrait"/>
          <w:cols w:equalWidth="0" w:num="1">
            <w:col w:w="10080"/>
          </w:cols>
          <w:pgMar w:left="900" w:top="1310" w:right="900" w:bottom="76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640"/>
        <w:spacing w:after="0"/>
        <w:tabs>
          <w:tab w:leader="none" w:pos="8000" w:val="left"/>
          <w:tab w:leader="none" w:pos="9740" w:val="left"/>
        </w:tabs>
        <w:rPr>
          <w:sz w:val="20"/>
          <w:szCs w:val="20"/>
          <w:color w:val="auto"/>
        </w:rPr>
      </w:pPr>
      <w:r>
        <w:rPr>
          <w:rFonts w:ascii="Arial" w:cs="Arial" w:eastAsia="Arial" w:hAnsi="Arial"/>
          <w:sz w:val="16"/>
          <w:szCs w:val="16"/>
          <w:color w:val="EF3E2A"/>
        </w:rPr>
        <w:t>Federal Realty</w:t>
      </w:r>
      <w:r>
        <w:rPr>
          <w:sz w:val="20"/>
          <w:szCs w:val="20"/>
          <w:color w:val="auto"/>
        </w:rPr>
        <w:tab/>
      </w:r>
      <w:r>
        <w:rPr>
          <w:rFonts w:ascii="Arial" w:cs="Arial" w:eastAsia="Arial" w:hAnsi="Arial"/>
          <w:sz w:val="16"/>
          <w:szCs w:val="16"/>
          <w:color w:val="231F20"/>
        </w:rPr>
        <w:t>2026 Proxy Statement</w:t>
      </w:r>
      <w:r>
        <w:rPr>
          <w:sz w:val="20"/>
          <w:szCs w:val="20"/>
          <w:color w:val="auto"/>
        </w:rPr>
        <w:tab/>
      </w:r>
      <w:r>
        <w:rPr>
          <w:rFonts w:ascii="Arial" w:cs="Arial" w:eastAsia="Arial" w:hAnsi="Arial"/>
          <w:sz w:val="15"/>
          <w:szCs w:val="15"/>
          <w:color w:val="231F20"/>
        </w:rPr>
        <w:t>A-1</w:t>
      </w:r>
    </w:p>
    <w:p>
      <w:pPr>
        <w:sectPr>
          <w:pgSz w:w="11880" w:h="15480" w:orient="portrait"/>
          <w:cols w:equalWidth="0" w:num="1">
            <w:col w:w="10080"/>
          </w:cols>
          <w:pgMar w:left="900" w:top="1310" w:right="900" w:bottom="763" w:gutter="0" w:footer="0" w:header="0"/>
          <w:type w:val="continuous"/>
        </w:sectPr>
      </w:pPr>
    </w:p>
    <w:bookmarkStart w:id="169" w:name="page170"/>
    <w:bookmarkEnd w:id="169"/>
    <w:p>
      <w:pPr>
        <w:spacing w:after="0"/>
        <w:rPr>
          <w:sz w:val="20"/>
          <w:szCs w:val="20"/>
          <w:color w:val="auto"/>
        </w:rPr>
      </w:pPr>
      <w:r>
        <w:rPr>
          <w:rFonts w:ascii="Arial" w:cs="Arial" w:eastAsia="Arial" w:hAnsi="Arial"/>
          <w:sz w:val="20"/>
          <w:szCs w:val="20"/>
          <w:color w:val="231F20"/>
        </w:rPr>
        <w:t>The reconciliation of net income attributable to common shareholders to Nareit FFO and Core FFO is as follows: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0" w:type="dxa"/>
            <w:vAlign w:val="bottom"/>
            <w:gridSpan w:val="8"/>
          </w:tcPr>
          <w:p>
            <w:pPr>
              <w:jc w:val="center"/>
              <w:ind w:right="100"/>
              <w:spacing w:after="0"/>
              <w:rPr>
                <w:sz w:val="20"/>
                <w:szCs w:val="20"/>
                <w:color w:val="auto"/>
              </w:rPr>
            </w:pPr>
            <w:r>
              <w:rPr>
                <w:rFonts w:ascii="Arial" w:cs="Arial" w:eastAsia="Arial" w:hAnsi="Arial"/>
                <w:sz w:val="16"/>
                <w:szCs w:val="16"/>
                <w:b w:val="1"/>
                <w:bCs w:val="1"/>
                <w:color w:val="231F20"/>
              </w:rPr>
              <w:t>Year Ended December 31,</w:t>
            </w:r>
          </w:p>
        </w:tc>
      </w:tr>
      <w:tr>
        <w:trPr>
          <w:trHeight w:val="220"/>
        </w:trPr>
        <w:tc>
          <w:tcPr>
            <w:tcW w:w="7000" w:type="dxa"/>
            <w:vAlign w:val="bottom"/>
          </w:tcPr>
          <w:p>
            <w:pPr>
              <w:spacing w:after="0"/>
              <w:rPr>
                <w:sz w:val="19"/>
                <w:szCs w:val="19"/>
                <w:color w:val="auto"/>
              </w:rPr>
            </w:pPr>
          </w:p>
        </w:tc>
        <w:tc>
          <w:tcPr>
            <w:tcW w:w="180" w:type="dxa"/>
            <w:vAlign w:val="bottom"/>
            <w:tcBorders>
              <w:top w:val="single" w:sz="8" w:color="231F20"/>
              <w:bottom w:val="single" w:sz="8" w:color="231F20"/>
            </w:tcBorders>
          </w:tcPr>
          <w:p>
            <w:pPr>
              <w:spacing w:after="0"/>
              <w:rPr>
                <w:sz w:val="19"/>
                <w:szCs w:val="19"/>
                <w:color w:val="auto"/>
              </w:rPr>
            </w:pPr>
          </w:p>
        </w:tc>
        <w:tc>
          <w:tcPr>
            <w:tcW w:w="100" w:type="dxa"/>
            <w:vAlign w:val="bottom"/>
            <w:tcBorders>
              <w:top w:val="single" w:sz="8" w:color="231F20"/>
              <w:bottom w:val="single" w:sz="8" w:color="231F20"/>
            </w:tcBorders>
          </w:tcPr>
          <w:p>
            <w:pPr>
              <w:spacing w:after="0"/>
              <w:rPr>
                <w:sz w:val="19"/>
                <w:szCs w:val="19"/>
                <w:color w:val="auto"/>
              </w:rPr>
            </w:pPr>
          </w:p>
        </w:tc>
        <w:tc>
          <w:tcPr>
            <w:tcW w:w="760" w:type="dxa"/>
            <w:vAlign w:val="bottom"/>
            <w:tcBorders>
              <w:top w:val="single" w:sz="8" w:color="231F20"/>
              <w:bottom w:val="single" w:sz="8" w:color="231F20"/>
            </w:tcBorders>
          </w:tcPr>
          <w:p>
            <w:pPr>
              <w:jc w:val="right"/>
              <w:ind w:right="130"/>
              <w:spacing w:after="0" w:line="203" w:lineRule="exact"/>
              <w:rPr>
                <w:sz w:val="20"/>
                <w:szCs w:val="20"/>
                <w:color w:val="auto"/>
              </w:rPr>
            </w:pPr>
            <w:r>
              <w:rPr>
                <w:rFonts w:ascii="Arial" w:cs="Arial" w:eastAsia="Arial" w:hAnsi="Arial"/>
                <w:sz w:val="18"/>
                <w:szCs w:val="18"/>
                <w:b w:val="1"/>
                <w:bCs w:val="1"/>
                <w:color w:val="231F20"/>
              </w:rPr>
              <w:t>2025</w:t>
            </w:r>
          </w:p>
        </w:tc>
        <w:tc>
          <w:tcPr>
            <w:tcW w:w="20" w:type="dxa"/>
            <w:vAlign w:val="bottom"/>
            <w:tcBorders>
              <w:top w:val="single" w:sz="8" w:color="231F20"/>
            </w:tcBorders>
          </w:tcPr>
          <w:p>
            <w:pPr>
              <w:spacing w:after="0"/>
              <w:rPr>
                <w:sz w:val="19"/>
                <w:szCs w:val="19"/>
                <w:color w:val="auto"/>
              </w:rPr>
            </w:pPr>
          </w:p>
        </w:tc>
        <w:tc>
          <w:tcPr>
            <w:tcW w:w="300" w:type="dxa"/>
            <w:vAlign w:val="bottom"/>
            <w:tcBorders>
              <w:top w:val="single" w:sz="8" w:color="231F20"/>
              <w:bottom w:val="single" w:sz="8" w:color="231F20"/>
            </w:tcBorders>
          </w:tcPr>
          <w:p>
            <w:pPr>
              <w:spacing w:after="0"/>
              <w:rPr>
                <w:sz w:val="19"/>
                <w:szCs w:val="19"/>
                <w:color w:val="auto"/>
              </w:rPr>
            </w:pPr>
          </w:p>
        </w:tc>
        <w:tc>
          <w:tcPr>
            <w:tcW w:w="640" w:type="dxa"/>
            <w:vAlign w:val="bottom"/>
            <w:tcBorders>
              <w:top w:val="single" w:sz="8" w:color="231F20"/>
              <w:bottom w:val="single" w:sz="8" w:color="231F20"/>
            </w:tcBorders>
          </w:tcPr>
          <w:p>
            <w:pPr>
              <w:jc w:val="right"/>
              <w:ind w:right="70"/>
              <w:spacing w:after="0" w:line="203" w:lineRule="exact"/>
              <w:rPr>
                <w:sz w:val="20"/>
                <w:szCs w:val="20"/>
                <w:color w:val="auto"/>
              </w:rPr>
            </w:pPr>
            <w:r>
              <w:rPr>
                <w:rFonts w:ascii="Arial" w:cs="Arial" w:eastAsia="Arial" w:hAnsi="Arial"/>
                <w:sz w:val="18"/>
                <w:szCs w:val="18"/>
                <w:b w:val="1"/>
                <w:bCs w:val="1"/>
                <w:color w:val="231F20"/>
              </w:rPr>
              <w:t>2024</w:t>
            </w:r>
          </w:p>
        </w:tc>
        <w:tc>
          <w:tcPr>
            <w:tcW w:w="40" w:type="dxa"/>
            <w:vAlign w:val="bottom"/>
            <w:tcBorders>
              <w:top w:val="single" w:sz="8" w:color="231F20"/>
            </w:tcBorders>
          </w:tcPr>
          <w:p>
            <w:pPr>
              <w:spacing w:after="0"/>
              <w:rPr>
                <w:sz w:val="19"/>
                <w:szCs w:val="19"/>
                <w:color w:val="auto"/>
              </w:rPr>
            </w:pPr>
          </w:p>
        </w:tc>
        <w:tc>
          <w:tcPr>
            <w:tcW w:w="280" w:type="dxa"/>
            <w:vAlign w:val="bottom"/>
            <w:tcBorders>
              <w:top w:val="single" w:sz="8" w:color="231F20"/>
              <w:bottom w:val="single" w:sz="8" w:color="231F20"/>
            </w:tcBorders>
          </w:tcPr>
          <w:p>
            <w:pPr>
              <w:spacing w:after="0"/>
              <w:rPr>
                <w:sz w:val="19"/>
                <w:szCs w:val="19"/>
                <w:color w:val="auto"/>
              </w:rPr>
            </w:pPr>
          </w:p>
        </w:tc>
        <w:tc>
          <w:tcPr>
            <w:tcW w:w="740" w:type="dxa"/>
            <w:vAlign w:val="bottom"/>
            <w:tcBorders>
              <w:top w:val="single" w:sz="8" w:color="231F20"/>
              <w:bottom w:val="single" w:sz="8" w:color="231F20"/>
            </w:tcBorders>
          </w:tcPr>
          <w:p>
            <w:pPr>
              <w:jc w:val="right"/>
              <w:ind w:right="110"/>
              <w:spacing w:after="0" w:line="203" w:lineRule="exact"/>
              <w:rPr>
                <w:sz w:val="20"/>
                <w:szCs w:val="20"/>
                <w:color w:val="auto"/>
              </w:rPr>
            </w:pPr>
            <w:r>
              <w:rPr>
                <w:rFonts w:ascii="Arial" w:cs="Arial" w:eastAsia="Arial" w:hAnsi="Arial"/>
                <w:sz w:val="18"/>
                <w:szCs w:val="18"/>
                <w:b w:val="1"/>
                <w:bCs w:val="1"/>
                <w:color w:val="231F20"/>
              </w:rPr>
              <w:t>2023</w:t>
            </w:r>
          </w:p>
        </w:tc>
        <w:tc>
          <w:tcPr>
            <w:tcW w:w="20" w:type="dxa"/>
            <w:vAlign w:val="bottom"/>
          </w:tcPr>
          <w:p>
            <w:pPr>
              <w:spacing w:after="0"/>
              <w:rPr>
                <w:sz w:val="19"/>
                <w:szCs w:val="19"/>
                <w:color w:val="auto"/>
              </w:rPr>
            </w:pPr>
          </w:p>
        </w:tc>
      </w:tr>
      <w:tr>
        <w:trPr>
          <w:trHeight w:val="194"/>
        </w:trPr>
        <w:tc>
          <w:tcPr>
            <w:tcW w:w="7000" w:type="dxa"/>
            <w:vAlign w:val="bottom"/>
          </w:tcPr>
          <w:p>
            <w:pPr>
              <w:spacing w:after="0"/>
              <w:rPr>
                <w:sz w:val="16"/>
                <w:szCs w:val="16"/>
                <w:color w:val="auto"/>
              </w:rPr>
            </w:pPr>
          </w:p>
        </w:tc>
        <w:tc>
          <w:tcPr>
            <w:tcW w:w="3080" w:type="dxa"/>
            <w:vAlign w:val="bottom"/>
            <w:gridSpan w:val="10"/>
          </w:tcPr>
          <w:p>
            <w:pPr>
              <w:ind w:left="180"/>
              <w:spacing w:after="0" w:line="193" w:lineRule="exact"/>
              <w:rPr>
                <w:sz w:val="20"/>
                <w:szCs w:val="20"/>
                <w:color w:val="auto"/>
              </w:rPr>
            </w:pPr>
            <w:r>
              <w:rPr>
                <w:rFonts w:ascii="Arial" w:cs="Arial" w:eastAsia="Arial" w:hAnsi="Arial"/>
                <w:sz w:val="17"/>
                <w:szCs w:val="17"/>
                <w:b w:val="1"/>
                <w:bCs w:val="1"/>
                <w:color w:val="231F20"/>
                <w:w w:val="95"/>
              </w:rPr>
              <w:t>(In thousands, except per share data)</w:t>
            </w:r>
          </w:p>
        </w:tc>
      </w:tr>
      <w:tr>
        <w:trPr>
          <w:trHeight w:val="261"/>
        </w:trPr>
        <w:tc>
          <w:tcPr>
            <w:tcW w:w="7000" w:type="dxa"/>
            <w:vAlign w:val="bottom"/>
            <w:shd w:val="clear" w:color="auto" w:fill="E8E7E5"/>
          </w:tcPr>
          <w:p>
            <w:pPr>
              <w:spacing w:after="0"/>
              <w:rPr>
                <w:sz w:val="20"/>
                <w:szCs w:val="20"/>
                <w:color w:val="auto"/>
              </w:rPr>
            </w:pPr>
            <w:r>
              <w:rPr>
                <w:rFonts w:ascii="Arial" w:cs="Arial" w:eastAsia="Arial" w:hAnsi="Arial"/>
                <w:sz w:val="18"/>
                <w:szCs w:val="18"/>
                <w:b w:val="1"/>
                <w:bCs w:val="1"/>
                <w:color w:val="231F20"/>
              </w:rPr>
              <w:t>Reconciliation of net income attributable to common shareholders to Nareit FFO</w:t>
            </w:r>
          </w:p>
        </w:tc>
        <w:tc>
          <w:tcPr>
            <w:tcW w:w="180" w:type="dxa"/>
            <w:vAlign w:val="bottom"/>
            <w:shd w:val="clear" w:color="auto" w:fill="E8E7E5"/>
          </w:tcPr>
          <w:p>
            <w:pPr>
              <w:spacing w:after="0"/>
              <w:rPr>
                <w:sz w:val="22"/>
                <w:szCs w:val="22"/>
                <w:color w:val="auto"/>
              </w:rPr>
            </w:pPr>
          </w:p>
        </w:tc>
        <w:tc>
          <w:tcPr>
            <w:tcW w:w="100" w:type="dxa"/>
            <w:vAlign w:val="bottom"/>
            <w:shd w:val="clear" w:color="auto" w:fill="E8E7E5"/>
          </w:tcPr>
          <w:p>
            <w:pPr>
              <w:spacing w:after="0"/>
              <w:rPr>
                <w:sz w:val="22"/>
                <w:szCs w:val="22"/>
                <w:color w:val="auto"/>
              </w:rPr>
            </w:pPr>
          </w:p>
        </w:tc>
        <w:tc>
          <w:tcPr>
            <w:tcW w:w="760" w:type="dxa"/>
            <w:vAlign w:val="bottom"/>
            <w:shd w:val="clear" w:color="auto" w:fill="E8E7E5"/>
          </w:tcPr>
          <w:p>
            <w:pPr>
              <w:spacing w:after="0"/>
              <w:rPr>
                <w:sz w:val="22"/>
                <w:szCs w:val="22"/>
                <w:color w:val="auto"/>
              </w:rPr>
            </w:pPr>
          </w:p>
        </w:tc>
        <w:tc>
          <w:tcPr>
            <w:tcW w:w="20" w:type="dxa"/>
            <w:vAlign w:val="bottom"/>
            <w:shd w:val="clear" w:color="auto" w:fill="E8E7E5"/>
          </w:tcPr>
          <w:p>
            <w:pPr>
              <w:spacing w:after="0"/>
              <w:rPr>
                <w:sz w:val="22"/>
                <w:szCs w:val="22"/>
                <w:color w:val="auto"/>
              </w:rPr>
            </w:pPr>
          </w:p>
        </w:tc>
        <w:tc>
          <w:tcPr>
            <w:tcW w:w="300" w:type="dxa"/>
            <w:vAlign w:val="bottom"/>
            <w:shd w:val="clear" w:color="auto" w:fill="E8E7E5"/>
          </w:tcPr>
          <w:p>
            <w:pPr>
              <w:spacing w:after="0"/>
              <w:rPr>
                <w:sz w:val="22"/>
                <w:szCs w:val="22"/>
                <w:color w:val="auto"/>
              </w:rPr>
            </w:pPr>
          </w:p>
        </w:tc>
        <w:tc>
          <w:tcPr>
            <w:tcW w:w="640" w:type="dxa"/>
            <w:vAlign w:val="bottom"/>
            <w:shd w:val="clear" w:color="auto" w:fill="E8E7E5"/>
          </w:tcPr>
          <w:p>
            <w:pPr>
              <w:spacing w:after="0"/>
              <w:rPr>
                <w:sz w:val="22"/>
                <w:szCs w:val="22"/>
                <w:color w:val="auto"/>
              </w:rPr>
            </w:pPr>
          </w:p>
        </w:tc>
        <w:tc>
          <w:tcPr>
            <w:tcW w:w="40" w:type="dxa"/>
            <w:vAlign w:val="bottom"/>
            <w:shd w:val="clear" w:color="auto" w:fill="E8E7E5"/>
          </w:tcPr>
          <w:p>
            <w:pPr>
              <w:spacing w:after="0"/>
              <w:rPr>
                <w:sz w:val="22"/>
                <w:szCs w:val="22"/>
                <w:color w:val="auto"/>
              </w:rPr>
            </w:pPr>
          </w:p>
        </w:tc>
        <w:tc>
          <w:tcPr>
            <w:tcW w:w="280" w:type="dxa"/>
            <w:vAlign w:val="bottom"/>
            <w:shd w:val="clear" w:color="auto" w:fill="E8E7E5"/>
          </w:tcPr>
          <w:p>
            <w:pPr>
              <w:spacing w:after="0"/>
              <w:rPr>
                <w:sz w:val="22"/>
                <w:szCs w:val="22"/>
                <w:color w:val="auto"/>
              </w:rPr>
            </w:pPr>
          </w:p>
        </w:tc>
        <w:tc>
          <w:tcPr>
            <w:tcW w:w="740" w:type="dxa"/>
            <w:vAlign w:val="bottom"/>
            <w:shd w:val="clear" w:color="auto" w:fill="E8E7E5"/>
          </w:tcPr>
          <w:p>
            <w:pPr>
              <w:spacing w:after="0"/>
              <w:rPr>
                <w:sz w:val="22"/>
                <w:szCs w:val="22"/>
                <w:color w:val="auto"/>
              </w:rPr>
            </w:pPr>
          </w:p>
        </w:tc>
        <w:tc>
          <w:tcPr>
            <w:tcW w:w="20" w:type="dxa"/>
            <w:vAlign w:val="bottom"/>
            <w:shd w:val="clear" w:color="auto" w:fill="E8E7E5"/>
          </w:tcPr>
          <w:p>
            <w:pPr>
              <w:spacing w:after="0"/>
              <w:rPr>
                <w:sz w:val="22"/>
                <w:szCs w:val="22"/>
                <w:color w:val="auto"/>
              </w:rPr>
            </w:pPr>
          </w:p>
        </w:tc>
      </w:tr>
      <w:tr>
        <w:trPr>
          <w:trHeight w:val="248"/>
        </w:trPr>
        <w:tc>
          <w:tcPr>
            <w:tcW w:w="7000" w:type="dxa"/>
            <w:vAlign w:val="bottom"/>
          </w:tcPr>
          <w:p>
            <w:pPr>
              <w:spacing w:after="0"/>
              <w:rPr>
                <w:sz w:val="20"/>
                <w:szCs w:val="20"/>
                <w:color w:val="auto"/>
              </w:rPr>
            </w:pPr>
            <w:r>
              <w:rPr>
                <w:rFonts w:ascii="Arial" w:cs="Arial" w:eastAsia="Arial" w:hAnsi="Arial"/>
                <w:sz w:val="18"/>
                <w:szCs w:val="18"/>
                <w:color w:val="231F20"/>
              </w:rPr>
              <w:t>Net income</w:t>
            </w:r>
          </w:p>
        </w:tc>
        <w:tc>
          <w:tcPr>
            <w:tcW w:w="280" w:type="dxa"/>
            <w:vAlign w:val="bottom"/>
            <w:gridSpan w:val="2"/>
          </w:tcPr>
          <w:p>
            <w:pPr>
              <w:ind w:left="180"/>
              <w:spacing w:after="0"/>
              <w:rPr>
                <w:sz w:val="20"/>
                <w:szCs w:val="20"/>
                <w:color w:val="auto"/>
              </w:rPr>
            </w:pPr>
            <w:r>
              <w:rPr>
                <w:rFonts w:ascii="Arial" w:cs="Arial" w:eastAsia="Arial" w:hAnsi="Arial"/>
                <w:sz w:val="18"/>
                <w:szCs w:val="18"/>
                <w:color w:val="231F20"/>
                <w:w w:val="79"/>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231F20"/>
              </w:rPr>
              <w:t>423,648</w:t>
            </w:r>
          </w:p>
        </w:tc>
        <w:tc>
          <w:tcPr>
            <w:tcW w:w="300" w:type="dxa"/>
            <w:vAlign w:val="bottom"/>
          </w:tcPr>
          <w:p>
            <w:pPr>
              <w:jc w:val="right"/>
              <w:spacing w:after="0"/>
              <w:rPr>
                <w:sz w:val="20"/>
                <w:szCs w:val="20"/>
                <w:color w:val="auto"/>
              </w:rPr>
            </w:pPr>
            <w:r>
              <w:rPr>
                <w:rFonts w:ascii="Arial" w:cs="Arial" w:eastAsia="Arial" w:hAnsi="Arial"/>
                <w:sz w:val="18"/>
                <w:szCs w:val="18"/>
                <w:color w:val="231F20"/>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231F20"/>
                <w:w w:val="98"/>
              </w:rPr>
              <w:t>304,334</w:t>
            </w:r>
          </w:p>
        </w:tc>
        <w:tc>
          <w:tcPr>
            <w:tcW w:w="280" w:type="dxa"/>
            <w:vAlign w:val="bottom"/>
          </w:tcPr>
          <w:p>
            <w:pPr>
              <w:jc w:val="right"/>
              <w:spacing w:after="0"/>
              <w:rPr>
                <w:sz w:val="20"/>
                <w:szCs w:val="20"/>
                <w:color w:val="auto"/>
              </w:rPr>
            </w:pPr>
            <w:r>
              <w:rPr>
                <w:rFonts w:ascii="Arial" w:cs="Arial" w:eastAsia="Arial" w:hAnsi="Arial"/>
                <w:sz w:val="18"/>
                <w:szCs w:val="18"/>
                <w:color w:val="231F20"/>
              </w:rPr>
              <w:t>$</w:t>
            </w:r>
          </w:p>
        </w:tc>
        <w:tc>
          <w:tcPr>
            <w:tcW w:w="740" w:type="dxa"/>
            <w:vAlign w:val="bottom"/>
          </w:tcPr>
          <w:p>
            <w:pPr>
              <w:jc w:val="right"/>
              <w:spacing w:after="0"/>
              <w:rPr>
                <w:sz w:val="20"/>
                <w:szCs w:val="20"/>
                <w:color w:val="auto"/>
              </w:rPr>
            </w:pPr>
            <w:r>
              <w:rPr>
                <w:rFonts w:ascii="Arial" w:cs="Arial" w:eastAsia="Arial" w:hAnsi="Arial"/>
                <w:sz w:val="18"/>
                <w:szCs w:val="18"/>
                <w:color w:val="231F20"/>
              </w:rPr>
              <w:t>247,217</w:t>
            </w:r>
          </w:p>
        </w:tc>
        <w:tc>
          <w:tcPr>
            <w:tcW w:w="20" w:type="dxa"/>
            <w:vAlign w:val="bottom"/>
          </w:tcPr>
          <w:p>
            <w:pPr>
              <w:spacing w:after="0"/>
              <w:rPr>
                <w:sz w:val="21"/>
                <w:szCs w:val="21"/>
                <w:color w:val="auto"/>
              </w:rPr>
            </w:pPr>
          </w:p>
        </w:tc>
      </w:tr>
      <w:tr>
        <w:trPr>
          <w:trHeight w:val="252"/>
        </w:trPr>
        <w:tc>
          <w:tcPr>
            <w:tcW w:w="7000" w:type="dxa"/>
            <w:vAlign w:val="bottom"/>
            <w:shd w:val="clear" w:color="auto" w:fill="E8E7E5"/>
          </w:tcPr>
          <w:p>
            <w:pPr>
              <w:spacing w:after="0"/>
              <w:rPr>
                <w:sz w:val="20"/>
                <w:szCs w:val="20"/>
                <w:color w:val="auto"/>
              </w:rPr>
            </w:pPr>
            <w:r>
              <w:rPr>
                <w:rFonts w:ascii="Arial" w:cs="Arial" w:eastAsia="Arial" w:hAnsi="Arial"/>
                <w:sz w:val="18"/>
                <w:szCs w:val="18"/>
                <w:color w:val="231F20"/>
              </w:rPr>
              <w:t>Net income attributable to noncontrolling interests</w:t>
            </w:r>
          </w:p>
        </w:tc>
        <w:tc>
          <w:tcPr>
            <w:tcW w:w="180" w:type="dxa"/>
            <w:vAlign w:val="bottom"/>
            <w:shd w:val="clear" w:color="auto" w:fill="E8E7E5"/>
          </w:tcPr>
          <w:p>
            <w:pPr>
              <w:spacing w:after="0"/>
              <w:rPr>
                <w:sz w:val="21"/>
                <w:szCs w:val="21"/>
                <w:color w:val="auto"/>
              </w:rPr>
            </w:pPr>
          </w:p>
        </w:tc>
        <w:tc>
          <w:tcPr>
            <w:tcW w:w="100" w:type="dxa"/>
            <w:vAlign w:val="bottom"/>
            <w:shd w:val="clear" w:color="auto" w:fill="E8E7E5"/>
          </w:tcPr>
          <w:p>
            <w:pPr>
              <w:spacing w:after="0"/>
              <w:rPr>
                <w:sz w:val="21"/>
                <w:szCs w:val="21"/>
                <w:color w:val="auto"/>
              </w:rPr>
            </w:pPr>
          </w:p>
        </w:tc>
        <w:tc>
          <w:tcPr>
            <w:tcW w:w="780" w:type="dxa"/>
            <w:vAlign w:val="bottom"/>
            <w:gridSpan w:val="2"/>
            <w:shd w:val="clear" w:color="auto" w:fill="E8E7E5"/>
          </w:tcPr>
          <w:p>
            <w:pPr>
              <w:jc w:val="right"/>
              <w:spacing w:after="0"/>
              <w:rPr>
                <w:sz w:val="20"/>
                <w:szCs w:val="20"/>
                <w:color w:val="auto"/>
              </w:rPr>
            </w:pPr>
            <w:r>
              <w:rPr>
                <w:rFonts w:ascii="Arial" w:cs="Arial" w:eastAsia="Arial" w:hAnsi="Arial"/>
                <w:sz w:val="18"/>
                <w:szCs w:val="18"/>
                <w:color w:val="231F20"/>
              </w:rPr>
              <w:t>(12,571)</w:t>
            </w:r>
          </w:p>
        </w:tc>
        <w:tc>
          <w:tcPr>
            <w:tcW w:w="300" w:type="dxa"/>
            <w:vAlign w:val="bottom"/>
            <w:shd w:val="clear" w:color="auto" w:fill="E8E7E5"/>
          </w:tcPr>
          <w:p>
            <w:pPr>
              <w:spacing w:after="0"/>
              <w:rPr>
                <w:sz w:val="21"/>
                <w:szCs w:val="21"/>
                <w:color w:val="auto"/>
              </w:rPr>
            </w:pPr>
          </w:p>
        </w:tc>
        <w:tc>
          <w:tcPr>
            <w:tcW w:w="680" w:type="dxa"/>
            <w:vAlign w:val="bottom"/>
            <w:gridSpan w:val="2"/>
            <w:shd w:val="clear" w:color="auto" w:fill="E8E7E5"/>
          </w:tcPr>
          <w:p>
            <w:pPr>
              <w:jc w:val="right"/>
              <w:ind w:right="20"/>
              <w:spacing w:after="0"/>
              <w:rPr>
                <w:sz w:val="20"/>
                <w:szCs w:val="20"/>
                <w:color w:val="auto"/>
              </w:rPr>
            </w:pPr>
            <w:r>
              <w:rPr>
                <w:rFonts w:ascii="Arial" w:cs="Arial" w:eastAsia="Arial" w:hAnsi="Arial"/>
                <w:sz w:val="18"/>
                <w:szCs w:val="18"/>
                <w:color w:val="231F20"/>
              </w:rPr>
              <w:t>(9,126)</w:t>
            </w:r>
          </w:p>
        </w:tc>
        <w:tc>
          <w:tcPr>
            <w:tcW w:w="280" w:type="dxa"/>
            <w:vAlign w:val="bottom"/>
            <w:shd w:val="clear" w:color="auto" w:fill="E8E7E5"/>
          </w:tcPr>
          <w:p>
            <w:pPr>
              <w:spacing w:after="0"/>
              <w:rPr>
                <w:sz w:val="21"/>
                <w:szCs w:val="21"/>
                <w:color w:val="auto"/>
              </w:rPr>
            </w:pPr>
          </w:p>
        </w:tc>
        <w:tc>
          <w:tcPr>
            <w:tcW w:w="740" w:type="dxa"/>
            <w:vAlign w:val="bottom"/>
            <w:shd w:val="clear" w:color="auto" w:fill="E8E7E5"/>
          </w:tcPr>
          <w:p>
            <w:pPr>
              <w:jc w:val="right"/>
              <w:spacing w:after="0"/>
              <w:rPr>
                <w:sz w:val="20"/>
                <w:szCs w:val="20"/>
                <w:color w:val="auto"/>
              </w:rPr>
            </w:pPr>
            <w:r>
              <w:rPr>
                <w:rFonts w:ascii="Arial" w:cs="Arial" w:eastAsia="Arial" w:hAnsi="Arial"/>
                <w:sz w:val="18"/>
                <w:szCs w:val="18"/>
                <w:color w:val="231F20"/>
                <w:w w:val="98"/>
              </w:rPr>
              <w:t>(10,232)</w:t>
            </w:r>
          </w:p>
        </w:tc>
        <w:tc>
          <w:tcPr>
            <w:tcW w:w="20" w:type="dxa"/>
            <w:vAlign w:val="bottom"/>
            <w:shd w:val="clear" w:color="auto" w:fill="E8E7E5"/>
          </w:tcPr>
          <w:p>
            <w:pPr>
              <w:spacing w:after="0"/>
              <w:rPr>
                <w:sz w:val="21"/>
                <w:szCs w:val="21"/>
                <w:color w:val="auto"/>
              </w:rPr>
            </w:pPr>
          </w:p>
        </w:tc>
      </w:tr>
      <w:tr>
        <w:trPr>
          <w:trHeight w:val="248"/>
        </w:trPr>
        <w:tc>
          <w:tcPr>
            <w:tcW w:w="7000" w:type="dxa"/>
            <w:vAlign w:val="bottom"/>
          </w:tcPr>
          <w:p>
            <w:pPr>
              <w:spacing w:after="0"/>
              <w:rPr>
                <w:sz w:val="20"/>
                <w:szCs w:val="20"/>
                <w:color w:val="auto"/>
              </w:rPr>
            </w:pPr>
            <w:r>
              <w:rPr>
                <w:rFonts w:ascii="Arial" w:cs="Arial" w:eastAsia="Arial" w:hAnsi="Arial"/>
                <w:sz w:val="18"/>
                <w:szCs w:val="18"/>
                <w:color w:val="231F20"/>
              </w:rPr>
              <w:t>Gain on sale of real estate</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231F20"/>
                <w:w w:val="98"/>
              </w:rPr>
              <w:t>(150,111)</w:t>
            </w:r>
          </w:p>
        </w:tc>
        <w:tc>
          <w:tcPr>
            <w:tcW w:w="300" w:type="dxa"/>
            <w:vAlign w:val="bottom"/>
          </w:tcPr>
          <w:p>
            <w:pPr>
              <w:spacing w:after="0"/>
              <w:rPr>
                <w:sz w:val="21"/>
                <w:szCs w:val="21"/>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231F20"/>
                <w:w w:val="95"/>
              </w:rPr>
              <w:t>(54,040)</w:t>
            </w:r>
          </w:p>
        </w:tc>
        <w:tc>
          <w:tcPr>
            <w:tcW w:w="2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231F20"/>
              </w:rPr>
              <w:t>(9,881)</w:t>
            </w:r>
          </w:p>
        </w:tc>
        <w:tc>
          <w:tcPr>
            <w:tcW w:w="20" w:type="dxa"/>
            <w:vAlign w:val="bottom"/>
          </w:tcPr>
          <w:p>
            <w:pPr>
              <w:spacing w:after="0"/>
              <w:rPr>
                <w:sz w:val="21"/>
                <w:szCs w:val="21"/>
                <w:color w:val="auto"/>
              </w:rPr>
            </w:pPr>
          </w:p>
        </w:tc>
      </w:tr>
      <w:tr>
        <w:trPr>
          <w:trHeight w:val="252"/>
        </w:trPr>
        <w:tc>
          <w:tcPr>
            <w:tcW w:w="7000" w:type="dxa"/>
            <w:vAlign w:val="bottom"/>
            <w:shd w:val="clear" w:color="auto" w:fill="E8E7E5"/>
          </w:tcPr>
          <w:p>
            <w:pPr>
              <w:spacing w:after="0"/>
              <w:rPr>
                <w:sz w:val="20"/>
                <w:szCs w:val="20"/>
                <w:color w:val="auto"/>
              </w:rPr>
            </w:pPr>
            <w:r>
              <w:rPr>
                <w:rFonts w:ascii="Arial" w:cs="Arial" w:eastAsia="Arial" w:hAnsi="Arial"/>
                <w:sz w:val="18"/>
                <w:szCs w:val="18"/>
                <w:color w:val="231F20"/>
              </w:rPr>
              <w:t>Impairment charge</w:t>
            </w:r>
          </w:p>
        </w:tc>
        <w:tc>
          <w:tcPr>
            <w:tcW w:w="180" w:type="dxa"/>
            <w:vAlign w:val="bottom"/>
            <w:shd w:val="clear" w:color="auto" w:fill="E8E7E5"/>
          </w:tcPr>
          <w:p>
            <w:pPr>
              <w:spacing w:after="0"/>
              <w:rPr>
                <w:sz w:val="21"/>
                <w:szCs w:val="21"/>
                <w:color w:val="auto"/>
              </w:rPr>
            </w:pPr>
          </w:p>
        </w:tc>
        <w:tc>
          <w:tcPr>
            <w:tcW w:w="100" w:type="dxa"/>
            <w:vAlign w:val="bottom"/>
            <w:shd w:val="clear" w:color="auto" w:fill="E8E7E5"/>
          </w:tcPr>
          <w:p>
            <w:pPr>
              <w:spacing w:after="0"/>
              <w:rPr>
                <w:sz w:val="21"/>
                <w:szCs w:val="21"/>
                <w:color w:val="auto"/>
              </w:rPr>
            </w:pPr>
          </w:p>
        </w:tc>
        <w:tc>
          <w:tcPr>
            <w:tcW w:w="780" w:type="dxa"/>
            <w:vAlign w:val="bottom"/>
            <w:gridSpan w:val="2"/>
            <w:shd w:val="clear" w:color="auto" w:fill="E8E7E5"/>
          </w:tcPr>
          <w:p>
            <w:pPr>
              <w:jc w:val="right"/>
              <w:spacing w:after="0"/>
              <w:rPr>
                <w:sz w:val="20"/>
                <w:szCs w:val="20"/>
                <w:color w:val="auto"/>
              </w:rPr>
            </w:pPr>
            <w:r>
              <w:rPr>
                <w:rFonts w:ascii="Arial" w:cs="Arial" w:eastAsia="Arial" w:hAnsi="Arial"/>
                <w:sz w:val="18"/>
                <w:szCs w:val="18"/>
                <w:color w:val="231F20"/>
              </w:rPr>
              <w:t>7,425</w:t>
            </w:r>
          </w:p>
        </w:tc>
        <w:tc>
          <w:tcPr>
            <w:tcW w:w="300" w:type="dxa"/>
            <w:vAlign w:val="bottom"/>
            <w:shd w:val="clear" w:color="auto" w:fill="E8E7E5"/>
          </w:tcPr>
          <w:p>
            <w:pPr>
              <w:spacing w:after="0"/>
              <w:rPr>
                <w:sz w:val="21"/>
                <w:szCs w:val="21"/>
                <w:color w:val="auto"/>
              </w:rPr>
            </w:pPr>
          </w:p>
        </w:tc>
        <w:tc>
          <w:tcPr>
            <w:tcW w:w="680" w:type="dxa"/>
            <w:vAlign w:val="bottom"/>
            <w:gridSpan w:val="2"/>
            <w:shd w:val="clear" w:color="auto" w:fill="E8E7E5"/>
          </w:tcPr>
          <w:p>
            <w:pPr>
              <w:jc w:val="right"/>
              <w:ind w:right="20"/>
              <w:spacing w:after="0"/>
              <w:rPr>
                <w:sz w:val="20"/>
                <w:szCs w:val="20"/>
                <w:color w:val="auto"/>
              </w:rPr>
            </w:pPr>
            <w:r>
              <w:rPr>
                <w:rFonts w:ascii="Arial" w:cs="Arial" w:eastAsia="Arial" w:hAnsi="Arial"/>
                <w:sz w:val="18"/>
                <w:szCs w:val="18"/>
                <w:color w:val="231F20"/>
              </w:rPr>
              <w:t>-</w:t>
            </w:r>
          </w:p>
        </w:tc>
        <w:tc>
          <w:tcPr>
            <w:tcW w:w="280" w:type="dxa"/>
            <w:vAlign w:val="bottom"/>
            <w:shd w:val="clear" w:color="auto" w:fill="E8E7E5"/>
          </w:tcPr>
          <w:p>
            <w:pPr>
              <w:spacing w:after="0"/>
              <w:rPr>
                <w:sz w:val="21"/>
                <w:szCs w:val="21"/>
                <w:color w:val="auto"/>
              </w:rPr>
            </w:pPr>
          </w:p>
        </w:tc>
        <w:tc>
          <w:tcPr>
            <w:tcW w:w="740" w:type="dxa"/>
            <w:vAlign w:val="bottom"/>
            <w:shd w:val="clear" w:color="auto" w:fill="E8E7E5"/>
          </w:tcPr>
          <w:p>
            <w:pPr>
              <w:jc w:val="right"/>
              <w:spacing w:after="0"/>
              <w:rPr>
                <w:sz w:val="20"/>
                <w:szCs w:val="20"/>
                <w:color w:val="auto"/>
              </w:rPr>
            </w:pPr>
            <w:r>
              <w:rPr>
                <w:rFonts w:ascii="Arial" w:cs="Arial" w:eastAsia="Arial" w:hAnsi="Arial"/>
                <w:sz w:val="18"/>
                <w:szCs w:val="18"/>
                <w:color w:val="231F20"/>
              </w:rPr>
              <w:t>-</w:t>
            </w:r>
          </w:p>
        </w:tc>
        <w:tc>
          <w:tcPr>
            <w:tcW w:w="20" w:type="dxa"/>
            <w:vAlign w:val="bottom"/>
            <w:shd w:val="clear" w:color="auto" w:fill="E8E7E5"/>
          </w:tcPr>
          <w:p>
            <w:pPr>
              <w:spacing w:after="0"/>
              <w:rPr>
                <w:sz w:val="21"/>
                <w:szCs w:val="21"/>
                <w:color w:val="auto"/>
              </w:rPr>
            </w:pPr>
          </w:p>
        </w:tc>
      </w:tr>
      <w:tr>
        <w:trPr>
          <w:trHeight w:val="248"/>
        </w:trPr>
        <w:tc>
          <w:tcPr>
            <w:tcW w:w="7000" w:type="dxa"/>
            <w:vAlign w:val="bottom"/>
          </w:tcPr>
          <w:p>
            <w:pPr>
              <w:spacing w:after="0"/>
              <w:rPr>
                <w:sz w:val="20"/>
                <w:szCs w:val="20"/>
                <w:color w:val="auto"/>
              </w:rPr>
            </w:pPr>
            <w:r>
              <w:rPr>
                <w:rFonts w:ascii="Arial" w:cs="Arial" w:eastAsia="Arial" w:hAnsi="Arial"/>
                <w:sz w:val="18"/>
                <w:szCs w:val="18"/>
                <w:color w:val="231F20"/>
              </w:rPr>
              <w:t>Depreciation and amortization of real estate assets</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231F20"/>
              </w:rPr>
              <w:t>320,311</w:t>
            </w:r>
          </w:p>
        </w:tc>
        <w:tc>
          <w:tcPr>
            <w:tcW w:w="300" w:type="dxa"/>
            <w:vAlign w:val="bottom"/>
          </w:tcPr>
          <w:p>
            <w:pPr>
              <w:spacing w:after="0"/>
              <w:rPr>
                <w:sz w:val="21"/>
                <w:szCs w:val="21"/>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231F20"/>
                <w:w w:val="98"/>
              </w:rPr>
              <w:t>302,455</w:t>
            </w:r>
          </w:p>
        </w:tc>
        <w:tc>
          <w:tcPr>
            <w:tcW w:w="2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231F20"/>
              </w:rPr>
              <w:t>285,689</w:t>
            </w:r>
          </w:p>
        </w:tc>
        <w:tc>
          <w:tcPr>
            <w:tcW w:w="20" w:type="dxa"/>
            <w:vAlign w:val="bottom"/>
          </w:tcPr>
          <w:p>
            <w:pPr>
              <w:spacing w:after="0"/>
              <w:rPr>
                <w:sz w:val="21"/>
                <w:szCs w:val="21"/>
                <w:color w:val="auto"/>
              </w:rPr>
            </w:pPr>
          </w:p>
        </w:tc>
      </w:tr>
      <w:tr>
        <w:trPr>
          <w:trHeight w:val="252"/>
        </w:trPr>
        <w:tc>
          <w:tcPr>
            <w:tcW w:w="7000" w:type="dxa"/>
            <w:vAlign w:val="bottom"/>
            <w:shd w:val="clear" w:color="auto" w:fill="E8E7E5"/>
          </w:tcPr>
          <w:p>
            <w:pPr>
              <w:spacing w:after="0"/>
              <w:rPr>
                <w:sz w:val="20"/>
                <w:szCs w:val="20"/>
                <w:color w:val="auto"/>
              </w:rPr>
            </w:pPr>
            <w:r>
              <w:rPr>
                <w:rFonts w:ascii="Arial" w:cs="Arial" w:eastAsia="Arial" w:hAnsi="Arial"/>
                <w:sz w:val="18"/>
                <w:szCs w:val="18"/>
                <w:color w:val="231F20"/>
              </w:rPr>
              <w:t>Amortization of initial direct costs of leases</w:t>
            </w:r>
          </w:p>
        </w:tc>
        <w:tc>
          <w:tcPr>
            <w:tcW w:w="180" w:type="dxa"/>
            <w:vAlign w:val="bottom"/>
            <w:shd w:val="clear" w:color="auto" w:fill="E8E7E5"/>
          </w:tcPr>
          <w:p>
            <w:pPr>
              <w:spacing w:after="0"/>
              <w:rPr>
                <w:sz w:val="21"/>
                <w:szCs w:val="21"/>
                <w:color w:val="auto"/>
              </w:rPr>
            </w:pPr>
          </w:p>
        </w:tc>
        <w:tc>
          <w:tcPr>
            <w:tcW w:w="100" w:type="dxa"/>
            <w:vAlign w:val="bottom"/>
            <w:shd w:val="clear" w:color="auto" w:fill="E8E7E5"/>
          </w:tcPr>
          <w:p>
            <w:pPr>
              <w:spacing w:after="0"/>
              <w:rPr>
                <w:sz w:val="21"/>
                <w:szCs w:val="21"/>
                <w:color w:val="auto"/>
              </w:rPr>
            </w:pPr>
          </w:p>
        </w:tc>
        <w:tc>
          <w:tcPr>
            <w:tcW w:w="780" w:type="dxa"/>
            <w:vAlign w:val="bottom"/>
            <w:gridSpan w:val="2"/>
            <w:shd w:val="clear" w:color="auto" w:fill="E8E7E5"/>
          </w:tcPr>
          <w:p>
            <w:pPr>
              <w:jc w:val="right"/>
              <w:spacing w:after="0"/>
              <w:rPr>
                <w:sz w:val="20"/>
                <w:szCs w:val="20"/>
                <w:color w:val="auto"/>
              </w:rPr>
            </w:pPr>
            <w:r>
              <w:rPr>
                <w:rFonts w:ascii="Arial" w:cs="Arial" w:eastAsia="Arial" w:hAnsi="Arial"/>
                <w:sz w:val="18"/>
                <w:szCs w:val="18"/>
                <w:color w:val="231F20"/>
              </w:rPr>
              <w:t>42,671</w:t>
            </w:r>
          </w:p>
        </w:tc>
        <w:tc>
          <w:tcPr>
            <w:tcW w:w="300" w:type="dxa"/>
            <w:vAlign w:val="bottom"/>
            <w:shd w:val="clear" w:color="auto" w:fill="E8E7E5"/>
          </w:tcPr>
          <w:p>
            <w:pPr>
              <w:spacing w:after="0"/>
              <w:rPr>
                <w:sz w:val="21"/>
                <w:szCs w:val="21"/>
                <w:color w:val="auto"/>
              </w:rPr>
            </w:pPr>
          </w:p>
        </w:tc>
        <w:tc>
          <w:tcPr>
            <w:tcW w:w="680" w:type="dxa"/>
            <w:vAlign w:val="bottom"/>
            <w:gridSpan w:val="2"/>
            <w:shd w:val="clear" w:color="auto" w:fill="E8E7E5"/>
          </w:tcPr>
          <w:p>
            <w:pPr>
              <w:jc w:val="right"/>
              <w:ind w:right="20"/>
              <w:spacing w:after="0"/>
              <w:rPr>
                <w:sz w:val="20"/>
                <w:szCs w:val="20"/>
                <w:color w:val="auto"/>
              </w:rPr>
            </w:pPr>
            <w:r>
              <w:rPr>
                <w:rFonts w:ascii="Arial" w:cs="Arial" w:eastAsia="Arial" w:hAnsi="Arial"/>
                <w:sz w:val="18"/>
                <w:szCs w:val="18"/>
                <w:color w:val="231F20"/>
              </w:rPr>
              <w:t>33,377</w:t>
            </w:r>
          </w:p>
        </w:tc>
        <w:tc>
          <w:tcPr>
            <w:tcW w:w="280" w:type="dxa"/>
            <w:vAlign w:val="bottom"/>
            <w:shd w:val="clear" w:color="auto" w:fill="E8E7E5"/>
          </w:tcPr>
          <w:p>
            <w:pPr>
              <w:spacing w:after="0"/>
              <w:rPr>
                <w:sz w:val="21"/>
                <w:szCs w:val="21"/>
                <w:color w:val="auto"/>
              </w:rPr>
            </w:pPr>
          </w:p>
        </w:tc>
        <w:tc>
          <w:tcPr>
            <w:tcW w:w="740" w:type="dxa"/>
            <w:vAlign w:val="bottom"/>
            <w:shd w:val="clear" w:color="auto" w:fill="E8E7E5"/>
          </w:tcPr>
          <w:p>
            <w:pPr>
              <w:jc w:val="right"/>
              <w:spacing w:after="0"/>
              <w:rPr>
                <w:sz w:val="20"/>
                <w:szCs w:val="20"/>
                <w:color w:val="auto"/>
              </w:rPr>
            </w:pPr>
            <w:r>
              <w:rPr>
                <w:rFonts w:ascii="Arial" w:cs="Arial" w:eastAsia="Arial" w:hAnsi="Arial"/>
                <w:sz w:val="18"/>
                <w:szCs w:val="18"/>
                <w:color w:val="231F20"/>
              </w:rPr>
              <w:t>31,208</w:t>
            </w:r>
          </w:p>
        </w:tc>
        <w:tc>
          <w:tcPr>
            <w:tcW w:w="20" w:type="dxa"/>
            <w:vAlign w:val="bottom"/>
            <w:shd w:val="clear" w:color="auto" w:fill="E8E7E5"/>
          </w:tcPr>
          <w:p>
            <w:pPr>
              <w:spacing w:after="0"/>
              <w:rPr>
                <w:sz w:val="21"/>
                <w:szCs w:val="21"/>
                <w:color w:val="auto"/>
              </w:rPr>
            </w:pPr>
          </w:p>
        </w:tc>
      </w:tr>
      <w:tr>
        <w:trPr>
          <w:trHeight w:val="70"/>
        </w:trPr>
        <w:tc>
          <w:tcPr>
            <w:tcW w:w="70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Borders>
              <w:bottom w:val="single" w:sz="8" w:color="231F20"/>
            </w:tcBorders>
          </w:tcPr>
          <w:p>
            <w:pPr>
              <w:spacing w:after="0"/>
              <w:rPr>
                <w:sz w:val="6"/>
                <w:szCs w:val="6"/>
                <w:color w:val="auto"/>
              </w:rPr>
            </w:pPr>
          </w:p>
        </w:tc>
        <w:tc>
          <w:tcPr>
            <w:tcW w:w="780" w:type="dxa"/>
            <w:vAlign w:val="bottom"/>
            <w:tcBorders>
              <w:bottom w:val="single" w:sz="8" w:color="231F20"/>
            </w:tcBorders>
            <w:gridSpan w:val="2"/>
          </w:tcPr>
          <w:p>
            <w:pPr>
              <w:spacing w:after="0"/>
              <w:rPr>
                <w:sz w:val="6"/>
                <w:szCs w:val="6"/>
                <w:color w:val="auto"/>
              </w:rPr>
            </w:pPr>
          </w:p>
        </w:tc>
        <w:tc>
          <w:tcPr>
            <w:tcW w:w="300" w:type="dxa"/>
            <w:vAlign w:val="bottom"/>
            <w:tcBorders>
              <w:bottom w:val="single" w:sz="8" w:color="231F20"/>
            </w:tcBorders>
          </w:tcPr>
          <w:p>
            <w:pPr>
              <w:spacing w:after="0"/>
              <w:rPr>
                <w:sz w:val="6"/>
                <w:szCs w:val="6"/>
                <w:color w:val="auto"/>
              </w:rPr>
            </w:pPr>
          </w:p>
        </w:tc>
        <w:tc>
          <w:tcPr>
            <w:tcW w:w="680" w:type="dxa"/>
            <w:vAlign w:val="bottom"/>
            <w:tcBorders>
              <w:bottom w:val="single" w:sz="8" w:color="231F20"/>
            </w:tcBorders>
            <w:gridSpan w:val="2"/>
          </w:tcPr>
          <w:p>
            <w:pPr>
              <w:spacing w:after="0"/>
              <w:rPr>
                <w:sz w:val="6"/>
                <w:szCs w:val="6"/>
                <w:color w:val="auto"/>
              </w:rPr>
            </w:pPr>
          </w:p>
        </w:tc>
        <w:tc>
          <w:tcPr>
            <w:tcW w:w="280" w:type="dxa"/>
            <w:vAlign w:val="bottom"/>
            <w:tcBorders>
              <w:bottom w:val="single" w:sz="8" w:color="231F20"/>
            </w:tcBorders>
          </w:tcPr>
          <w:p>
            <w:pPr>
              <w:spacing w:after="0"/>
              <w:rPr>
                <w:sz w:val="6"/>
                <w:szCs w:val="6"/>
                <w:color w:val="auto"/>
              </w:rPr>
            </w:pPr>
          </w:p>
        </w:tc>
        <w:tc>
          <w:tcPr>
            <w:tcW w:w="740" w:type="dxa"/>
            <w:vAlign w:val="bottom"/>
            <w:tcBorders>
              <w:bottom w:val="single" w:sz="8" w:color="231F20"/>
            </w:tcBorders>
          </w:tcPr>
          <w:p>
            <w:pPr>
              <w:spacing w:after="0"/>
              <w:rPr>
                <w:sz w:val="6"/>
                <w:szCs w:val="6"/>
                <w:color w:val="auto"/>
              </w:rPr>
            </w:pPr>
          </w:p>
        </w:tc>
        <w:tc>
          <w:tcPr>
            <w:tcW w:w="20" w:type="dxa"/>
            <w:vAlign w:val="bottom"/>
            <w:tcBorders>
              <w:bottom w:val="single" w:sz="8" w:color="231F20"/>
            </w:tcBorders>
          </w:tcPr>
          <w:p>
            <w:pPr>
              <w:spacing w:after="0"/>
              <w:rPr>
                <w:sz w:val="6"/>
                <w:szCs w:val="6"/>
                <w:color w:val="auto"/>
              </w:rPr>
            </w:pPr>
          </w:p>
        </w:tc>
      </w:tr>
      <w:tr>
        <w:trPr>
          <w:trHeight w:val="238"/>
        </w:trPr>
        <w:tc>
          <w:tcPr>
            <w:tcW w:w="7000" w:type="dxa"/>
            <w:vAlign w:val="bottom"/>
          </w:tcPr>
          <w:p>
            <w:pPr>
              <w:ind w:left="180"/>
              <w:spacing w:after="0"/>
              <w:rPr>
                <w:sz w:val="20"/>
                <w:szCs w:val="20"/>
                <w:color w:val="auto"/>
              </w:rPr>
            </w:pPr>
            <w:r>
              <w:rPr>
                <w:rFonts w:ascii="Arial" w:cs="Arial" w:eastAsia="Arial" w:hAnsi="Arial"/>
                <w:sz w:val="18"/>
                <w:szCs w:val="18"/>
                <w:color w:val="231F20"/>
              </w:rPr>
              <w:t>Funds from operations</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231F20"/>
              </w:rPr>
              <w:t>631,373</w:t>
            </w:r>
          </w:p>
        </w:tc>
        <w:tc>
          <w:tcPr>
            <w:tcW w:w="30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231F20"/>
                <w:w w:val="98"/>
              </w:rPr>
              <w:t>577,000</w:t>
            </w:r>
          </w:p>
        </w:tc>
        <w:tc>
          <w:tcPr>
            <w:tcW w:w="2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231F20"/>
              </w:rPr>
              <w:t>544,001</w:t>
            </w:r>
          </w:p>
        </w:tc>
        <w:tc>
          <w:tcPr>
            <w:tcW w:w="20" w:type="dxa"/>
            <w:vAlign w:val="bottom"/>
          </w:tcPr>
          <w:p>
            <w:pPr>
              <w:spacing w:after="0"/>
              <w:rPr>
                <w:sz w:val="20"/>
                <w:szCs w:val="20"/>
                <w:color w:val="auto"/>
              </w:rPr>
            </w:pPr>
          </w:p>
        </w:tc>
      </w:tr>
      <w:tr>
        <w:trPr>
          <w:trHeight w:val="252"/>
        </w:trPr>
        <w:tc>
          <w:tcPr>
            <w:tcW w:w="7000" w:type="dxa"/>
            <w:vAlign w:val="bottom"/>
            <w:shd w:val="clear" w:color="auto" w:fill="E8E7E5"/>
          </w:tcPr>
          <w:p>
            <w:pPr>
              <w:spacing w:after="0" w:line="252" w:lineRule="exact"/>
              <w:rPr>
                <w:sz w:val="20"/>
                <w:szCs w:val="20"/>
                <w:color w:val="auto"/>
              </w:rPr>
            </w:pPr>
            <w:r>
              <w:rPr>
                <w:rFonts w:ascii="Arial" w:cs="Arial" w:eastAsia="Arial" w:hAnsi="Arial"/>
                <w:sz w:val="18"/>
                <w:szCs w:val="18"/>
                <w:color w:val="231F20"/>
              </w:rPr>
              <w:t>Dividends on preferred shares</w:t>
            </w:r>
            <w:r>
              <w:rPr>
                <w:rFonts w:ascii="Arial" w:cs="Arial" w:eastAsia="Arial" w:hAnsi="Arial"/>
                <w:sz w:val="23"/>
                <w:szCs w:val="23"/>
                <w:color w:val="231F20"/>
                <w:vertAlign w:val="superscript"/>
              </w:rPr>
              <w:t>(1)</w:t>
            </w:r>
          </w:p>
        </w:tc>
        <w:tc>
          <w:tcPr>
            <w:tcW w:w="180" w:type="dxa"/>
            <w:vAlign w:val="bottom"/>
            <w:shd w:val="clear" w:color="auto" w:fill="E8E7E5"/>
          </w:tcPr>
          <w:p>
            <w:pPr>
              <w:spacing w:after="0"/>
              <w:rPr>
                <w:sz w:val="21"/>
                <w:szCs w:val="21"/>
                <w:color w:val="auto"/>
              </w:rPr>
            </w:pPr>
          </w:p>
        </w:tc>
        <w:tc>
          <w:tcPr>
            <w:tcW w:w="100" w:type="dxa"/>
            <w:vAlign w:val="bottom"/>
            <w:shd w:val="clear" w:color="auto" w:fill="E8E7E5"/>
          </w:tcPr>
          <w:p>
            <w:pPr>
              <w:spacing w:after="0"/>
              <w:rPr>
                <w:sz w:val="21"/>
                <w:szCs w:val="21"/>
                <w:color w:val="auto"/>
              </w:rPr>
            </w:pPr>
          </w:p>
        </w:tc>
        <w:tc>
          <w:tcPr>
            <w:tcW w:w="780" w:type="dxa"/>
            <w:vAlign w:val="bottom"/>
            <w:gridSpan w:val="2"/>
            <w:shd w:val="clear" w:color="auto" w:fill="E8E7E5"/>
          </w:tcPr>
          <w:p>
            <w:pPr>
              <w:jc w:val="right"/>
              <w:spacing w:after="0"/>
              <w:rPr>
                <w:sz w:val="20"/>
                <w:szCs w:val="20"/>
                <w:color w:val="auto"/>
              </w:rPr>
            </w:pPr>
            <w:r>
              <w:rPr>
                <w:rFonts w:ascii="Arial" w:cs="Arial" w:eastAsia="Arial" w:hAnsi="Arial"/>
                <w:sz w:val="18"/>
                <w:szCs w:val="18"/>
                <w:color w:val="231F20"/>
              </w:rPr>
              <w:t>(7,500)</w:t>
            </w:r>
          </w:p>
        </w:tc>
        <w:tc>
          <w:tcPr>
            <w:tcW w:w="300" w:type="dxa"/>
            <w:vAlign w:val="bottom"/>
            <w:shd w:val="clear" w:color="auto" w:fill="E8E7E5"/>
          </w:tcPr>
          <w:p>
            <w:pPr>
              <w:spacing w:after="0"/>
              <w:rPr>
                <w:sz w:val="21"/>
                <w:szCs w:val="21"/>
                <w:color w:val="auto"/>
              </w:rPr>
            </w:pPr>
          </w:p>
        </w:tc>
        <w:tc>
          <w:tcPr>
            <w:tcW w:w="680" w:type="dxa"/>
            <w:vAlign w:val="bottom"/>
            <w:gridSpan w:val="2"/>
            <w:shd w:val="clear" w:color="auto" w:fill="E8E7E5"/>
          </w:tcPr>
          <w:p>
            <w:pPr>
              <w:jc w:val="right"/>
              <w:ind w:right="20"/>
              <w:spacing w:after="0"/>
              <w:rPr>
                <w:sz w:val="20"/>
                <w:szCs w:val="20"/>
                <w:color w:val="auto"/>
              </w:rPr>
            </w:pPr>
            <w:r>
              <w:rPr>
                <w:rFonts w:ascii="Arial" w:cs="Arial" w:eastAsia="Arial" w:hAnsi="Arial"/>
                <w:sz w:val="18"/>
                <w:szCs w:val="18"/>
                <w:color w:val="231F20"/>
              </w:rPr>
              <w:t>(7,500)</w:t>
            </w:r>
          </w:p>
        </w:tc>
        <w:tc>
          <w:tcPr>
            <w:tcW w:w="280" w:type="dxa"/>
            <w:vAlign w:val="bottom"/>
            <w:shd w:val="clear" w:color="auto" w:fill="E8E7E5"/>
          </w:tcPr>
          <w:p>
            <w:pPr>
              <w:spacing w:after="0"/>
              <w:rPr>
                <w:sz w:val="21"/>
                <w:szCs w:val="21"/>
                <w:color w:val="auto"/>
              </w:rPr>
            </w:pPr>
          </w:p>
        </w:tc>
        <w:tc>
          <w:tcPr>
            <w:tcW w:w="740" w:type="dxa"/>
            <w:vAlign w:val="bottom"/>
            <w:shd w:val="clear" w:color="auto" w:fill="E8E7E5"/>
          </w:tcPr>
          <w:p>
            <w:pPr>
              <w:jc w:val="right"/>
              <w:spacing w:after="0"/>
              <w:rPr>
                <w:sz w:val="20"/>
                <w:szCs w:val="20"/>
                <w:color w:val="auto"/>
              </w:rPr>
            </w:pPr>
            <w:r>
              <w:rPr>
                <w:rFonts w:ascii="Arial" w:cs="Arial" w:eastAsia="Arial" w:hAnsi="Arial"/>
                <w:sz w:val="18"/>
                <w:szCs w:val="18"/>
                <w:color w:val="231F20"/>
              </w:rPr>
              <w:t>(7,500)</w:t>
            </w:r>
          </w:p>
        </w:tc>
        <w:tc>
          <w:tcPr>
            <w:tcW w:w="20" w:type="dxa"/>
            <w:vAlign w:val="bottom"/>
            <w:shd w:val="clear" w:color="auto" w:fill="E8E7E5"/>
          </w:tcPr>
          <w:p>
            <w:pPr>
              <w:spacing w:after="0"/>
              <w:rPr>
                <w:sz w:val="21"/>
                <w:szCs w:val="21"/>
                <w:color w:val="auto"/>
              </w:rPr>
            </w:pPr>
          </w:p>
        </w:tc>
      </w:tr>
      <w:tr>
        <w:trPr>
          <w:trHeight w:val="248"/>
        </w:trPr>
        <w:tc>
          <w:tcPr>
            <w:tcW w:w="7000" w:type="dxa"/>
            <w:vAlign w:val="bottom"/>
          </w:tcPr>
          <w:p>
            <w:pPr>
              <w:spacing w:after="0"/>
              <w:rPr>
                <w:sz w:val="20"/>
                <w:szCs w:val="20"/>
                <w:color w:val="auto"/>
              </w:rPr>
            </w:pPr>
            <w:r>
              <w:rPr>
                <w:rFonts w:ascii="Arial" w:cs="Arial" w:eastAsia="Arial" w:hAnsi="Arial"/>
                <w:sz w:val="18"/>
                <w:szCs w:val="18"/>
                <w:color w:val="231F20"/>
              </w:rPr>
              <w:t>Income attributable to downREIT operating partnership units</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231F20"/>
              </w:rPr>
              <w:t>2,463</w:t>
            </w:r>
          </w:p>
        </w:tc>
        <w:tc>
          <w:tcPr>
            <w:tcW w:w="300" w:type="dxa"/>
            <w:vAlign w:val="bottom"/>
          </w:tcPr>
          <w:p>
            <w:pPr>
              <w:spacing w:after="0"/>
              <w:rPr>
                <w:sz w:val="21"/>
                <w:szCs w:val="21"/>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231F20"/>
              </w:rPr>
              <w:t>2,743</w:t>
            </w:r>
          </w:p>
        </w:tc>
        <w:tc>
          <w:tcPr>
            <w:tcW w:w="2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231F20"/>
              </w:rPr>
              <w:t>2,767</w:t>
            </w:r>
          </w:p>
        </w:tc>
        <w:tc>
          <w:tcPr>
            <w:tcW w:w="20" w:type="dxa"/>
            <w:vAlign w:val="bottom"/>
          </w:tcPr>
          <w:p>
            <w:pPr>
              <w:spacing w:after="0"/>
              <w:rPr>
                <w:sz w:val="21"/>
                <w:szCs w:val="21"/>
                <w:color w:val="auto"/>
              </w:rPr>
            </w:pPr>
          </w:p>
        </w:tc>
      </w:tr>
      <w:tr>
        <w:trPr>
          <w:trHeight w:val="252"/>
        </w:trPr>
        <w:tc>
          <w:tcPr>
            <w:tcW w:w="7000" w:type="dxa"/>
            <w:vAlign w:val="bottom"/>
            <w:shd w:val="clear" w:color="auto" w:fill="E8E7E5"/>
          </w:tcPr>
          <w:p>
            <w:pPr>
              <w:spacing w:after="0"/>
              <w:rPr>
                <w:sz w:val="20"/>
                <w:szCs w:val="20"/>
                <w:color w:val="auto"/>
              </w:rPr>
            </w:pPr>
            <w:r>
              <w:rPr>
                <w:rFonts w:ascii="Arial" w:cs="Arial" w:eastAsia="Arial" w:hAnsi="Arial"/>
                <w:sz w:val="18"/>
                <w:szCs w:val="18"/>
                <w:color w:val="231F20"/>
              </w:rPr>
              <w:t>Income attributable to unvested shares</w:t>
            </w:r>
          </w:p>
        </w:tc>
        <w:tc>
          <w:tcPr>
            <w:tcW w:w="180" w:type="dxa"/>
            <w:vAlign w:val="bottom"/>
            <w:shd w:val="clear" w:color="auto" w:fill="E8E7E5"/>
          </w:tcPr>
          <w:p>
            <w:pPr>
              <w:spacing w:after="0"/>
              <w:rPr>
                <w:sz w:val="21"/>
                <w:szCs w:val="21"/>
                <w:color w:val="auto"/>
              </w:rPr>
            </w:pPr>
          </w:p>
        </w:tc>
        <w:tc>
          <w:tcPr>
            <w:tcW w:w="100" w:type="dxa"/>
            <w:vAlign w:val="bottom"/>
            <w:shd w:val="clear" w:color="auto" w:fill="E8E7E5"/>
          </w:tcPr>
          <w:p>
            <w:pPr>
              <w:spacing w:after="0"/>
              <w:rPr>
                <w:sz w:val="21"/>
                <w:szCs w:val="21"/>
                <w:color w:val="auto"/>
              </w:rPr>
            </w:pPr>
          </w:p>
        </w:tc>
        <w:tc>
          <w:tcPr>
            <w:tcW w:w="780" w:type="dxa"/>
            <w:vAlign w:val="bottom"/>
            <w:gridSpan w:val="2"/>
            <w:shd w:val="clear" w:color="auto" w:fill="E8E7E5"/>
          </w:tcPr>
          <w:p>
            <w:pPr>
              <w:jc w:val="right"/>
              <w:spacing w:after="0"/>
              <w:rPr>
                <w:sz w:val="20"/>
                <w:szCs w:val="20"/>
                <w:color w:val="auto"/>
              </w:rPr>
            </w:pPr>
            <w:r>
              <w:rPr>
                <w:rFonts w:ascii="Arial" w:cs="Arial" w:eastAsia="Arial" w:hAnsi="Arial"/>
                <w:sz w:val="18"/>
                <w:szCs w:val="18"/>
                <w:color w:val="231F20"/>
              </w:rPr>
              <w:t>(2,080)</w:t>
            </w:r>
          </w:p>
        </w:tc>
        <w:tc>
          <w:tcPr>
            <w:tcW w:w="300" w:type="dxa"/>
            <w:vAlign w:val="bottom"/>
            <w:shd w:val="clear" w:color="auto" w:fill="E8E7E5"/>
          </w:tcPr>
          <w:p>
            <w:pPr>
              <w:spacing w:after="0"/>
              <w:rPr>
                <w:sz w:val="21"/>
                <w:szCs w:val="21"/>
                <w:color w:val="auto"/>
              </w:rPr>
            </w:pPr>
          </w:p>
        </w:tc>
        <w:tc>
          <w:tcPr>
            <w:tcW w:w="680" w:type="dxa"/>
            <w:vAlign w:val="bottom"/>
            <w:gridSpan w:val="2"/>
            <w:shd w:val="clear" w:color="auto" w:fill="E8E7E5"/>
          </w:tcPr>
          <w:p>
            <w:pPr>
              <w:jc w:val="right"/>
              <w:ind w:right="20"/>
              <w:spacing w:after="0"/>
              <w:rPr>
                <w:sz w:val="20"/>
                <w:szCs w:val="20"/>
                <w:color w:val="auto"/>
              </w:rPr>
            </w:pPr>
            <w:r>
              <w:rPr>
                <w:rFonts w:ascii="Arial" w:cs="Arial" w:eastAsia="Arial" w:hAnsi="Arial"/>
                <w:sz w:val="18"/>
                <w:szCs w:val="18"/>
                <w:color w:val="231F20"/>
              </w:rPr>
              <w:t>(2,004)</w:t>
            </w:r>
          </w:p>
        </w:tc>
        <w:tc>
          <w:tcPr>
            <w:tcW w:w="280" w:type="dxa"/>
            <w:vAlign w:val="bottom"/>
            <w:shd w:val="clear" w:color="auto" w:fill="E8E7E5"/>
          </w:tcPr>
          <w:p>
            <w:pPr>
              <w:spacing w:after="0"/>
              <w:rPr>
                <w:sz w:val="21"/>
                <w:szCs w:val="21"/>
                <w:color w:val="auto"/>
              </w:rPr>
            </w:pPr>
          </w:p>
        </w:tc>
        <w:tc>
          <w:tcPr>
            <w:tcW w:w="740" w:type="dxa"/>
            <w:vAlign w:val="bottom"/>
            <w:shd w:val="clear" w:color="auto" w:fill="E8E7E5"/>
          </w:tcPr>
          <w:p>
            <w:pPr>
              <w:jc w:val="right"/>
              <w:spacing w:after="0"/>
              <w:rPr>
                <w:sz w:val="20"/>
                <w:szCs w:val="20"/>
                <w:color w:val="auto"/>
              </w:rPr>
            </w:pPr>
            <w:r>
              <w:rPr>
                <w:rFonts w:ascii="Arial" w:cs="Arial" w:eastAsia="Arial" w:hAnsi="Arial"/>
                <w:sz w:val="18"/>
                <w:szCs w:val="18"/>
                <w:color w:val="231F20"/>
              </w:rPr>
              <w:t>(1,955)</w:t>
            </w:r>
          </w:p>
        </w:tc>
        <w:tc>
          <w:tcPr>
            <w:tcW w:w="20" w:type="dxa"/>
            <w:vAlign w:val="bottom"/>
            <w:shd w:val="clear" w:color="auto" w:fill="E8E7E5"/>
          </w:tcPr>
          <w:p>
            <w:pPr>
              <w:spacing w:after="0"/>
              <w:rPr>
                <w:sz w:val="21"/>
                <w:szCs w:val="21"/>
                <w:color w:val="auto"/>
              </w:rPr>
            </w:pPr>
          </w:p>
        </w:tc>
      </w:tr>
      <w:tr>
        <w:trPr>
          <w:trHeight w:val="70"/>
        </w:trPr>
        <w:tc>
          <w:tcPr>
            <w:tcW w:w="70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Borders>
              <w:bottom w:val="single" w:sz="8" w:color="231F20"/>
            </w:tcBorders>
          </w:tcPr>
          <w:p>
            <w:pPr>
              <w:spacing w:after="0"/>
              <w:rPr>
                <w:sz w:val="6"/>
                <w:szCs w:val="6"/>
                <w:color w:val="auto"/>
              </w:rPr>
            </w:pPr>
          </w:p>
        </w:tc>
        <w:tc>
          <w:tcPr>
            <w:tcW w:w="780" w:type="dxa"/>
            <w:vAlign w:val="bottom"/>
            <w:tcBorders>
              <w:bottom w:val="single" w:sz="8" w:color="231F20"/>
            </w:tcBorders>
            <w:gridSpan w:val="2"/>
          </w:tcPr>
          <w:p>
            <w:pPr>
              <w:spacing w:after="0"/>
              <w:rPr>
                <w:sz w:val="6"/>
                <w:szCs w:val="6"/>
                <w:color w:val="auto"/>
              </w:rPr>
            </w:pPr>
          </w:p>
        </w:tc>
        <w:tc>
          <w:tcPr>
            <w:tcW w:w="300" w:type="dxa"/>
            <w:vAlign w:val="bottom"/>
            <w:tcBorders>
              <w:bottom w:val="single" w:sz="8" w:color="231F20"/>
            </w:tcBorders>
          </w:tcPr>
          <w:p>
            <w:pPr>
              <w:spacing w:after="0"/>
              <w:rPr>
                <w:sz w:val="6"/>
                <w:szCs w:val="6"/>
                <w:color w:val="auto"/>
              </w:rPr>
            </w:pPr>
          </w:p>
        </w:tc>
        <w:tc>
          <w:tcPr>
            <w:tcW w:w="680" w:type="dxa"/>
            <w:vAlign w:val="bottom"/>
            <w:tcBorders>
              <w:bottom w:val="single" w:sz="8" w:color="231F20"/>
            </w:tcBorders>
            <w:gridSpan w:val="2"/>
          </w:tcPr>
          <w:p>
            <w:pPr>
              <w:spacing w:after="0"/>
              <w:rPr>
                <w:sz w:val="6"/>
                <w:szCs w:val="6"/>
                <w:color w:val="auto"/>
              </w:rPr>
            </w:pPr>
          </w:p>
        </w:tc>
        <w:tc>
          <w:tcPr>
            <w:tcW w:w="280" w:type="dxa"/>
            <w:vAlign w:val="bottom"/>
            <w:tcBorders>
              <w:bottom w:val="single" w:sz="8" w:color="231F20"/>
            </w:tcBorders>
          </w:tcPr>
          <w:p>
            <w:pPr>
              <w:spacing w:after="0"/>
              <w:rPr>
                <w:sz w:val="6"/>
                <w:szCs w:val="6"/>
                <w:color w:val="auto"/>
              </w:rPr>
            </w:pPr>
          </w:p>
        </w:tc>
        <w:tc>
          <w:tcPr>
            <w:tcW w:w="740" w:type="dxa"/>
            <w:vAlign w:val="bottom"/>
            <w:tcBorders>
              <w:bottom w:val="single" w:sz="8" w:color="231F20"/>
            </w:tcBorders>
          </w:tcPr>
          <w:p>
            <w:pPr>
              <w:spacing w:after="0"/>
              <w:rPr>
                <w:sz w:val="6"/>
                <w:szCs w:val="6"/>
                <w:color w:val="auto"/>
              </w:rPr>
            </w:pPr>
          </w:p>
        </w:tc>
        <w:tc>
          <w:tcPr>
            <w:tcW w:w="20" w:type="dxa"/>
            <w:vAlign w:val="bottom"/>
            <w:tcBorders>
              <w:bottom w:val="single" w:sz="8" w:color="231F20"/>
            </w:tcBorders>
          </w:tcPr>
          <w:p>
            <w:pPr>
              <w:spacing w:after="0"/>
              <w:rPr>
                <w:sz w:val="6"/>
                <w:szCs w:val="6"/>
                <w:color w:val="auto"/>
              </w:rPr>
            </w:pPr>
          </w:p>
        </w:tc>
      </w:tr>
      <w:tr>
        <w:trPr>
          <w:trHeight w:val="236"/>
        </w:trPr>
        <w:tc>
          <w:tcPr>
            <w:tcW w:w="7000" w:type="dxa"/>
            <w:vAlign w:val="bottom"/>
          </w:tcPr>
          <w:p>
            <w:pPr>
              <w:ind w:left="180"/>
              <w:spacing w:after="0"/>
              <w:rPr>
                <w:sz w:val="20"/>
                <w:szCs w:val="20"/>
                <w:color w:val="auto"/>
              </w:rPr>
            </w:pPr>
            <w:r>
              <w:rPr>
                <w:rFonts w:ascii="Arial" w:cs="Arial" w:eastAsia="Arial" w:hAnsi="Arial"/>
                <w:sz w:val="18"/>
                <w:szCs w:val="18"/>
                <w:color w:val="231F20"/>
              </w:rPr>
              <w:t>Funds from operations available for common shareholders</w:t>
            </w:r>
          </w:p>
        </w:tc>
        <w:tc>
          <w:tcPr>
            <w:tcW w:w="280" w:type="dxa"/>
            <w:vAlign w:val="bottom"/>
            <w:gridSpan w:val="2"/>
          </w:tcPr>
          <w:p>
            <w:pPr>
              <w:ind w:left="180"/>
              <w:spacing w:after="0"/>
              <w:rPr>
                <w:sz w:val="20"/>
                <w:szCs w:val="20"/>
                <w:color w:val="auto"/>
              </w:rPr>
            </w:pPr>
            <w:r>
              <w:rPr>
                <w:rFonts w:ascii="Arial" w:cs="Arial" w:eastAsia="Arial" w:hAnsi="Arial"/>
                <w:sz w:val="18"/>
                <w:szCs w:val="18"/>
                <w:color w:val="231F20"/>
                <w:w w:val="79"/>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231F20"/>
              </w:rPr>
              <w:t>624,256</w:t>
            </w:r>
          </w:p>
        </w:tc>
        <w:tc>
          <w:tcPr>
            <w:tcW w:w="300" w:type="dxa"/>
            <w:vAlign w:val="bottom"/>
          </w:tcPr>
          <w:p>
            <w:pPr>
              <w:jc w:val="right"/>
              <w:spacing w:after="0"/>
              <w:rPr>
                <w:sz w:val="20"/>
                <w:szCs w:val="20"/>
                <w:color w:val="auto"/>
              </w:rPr>
            </w:pPr>
            <w:r>
              <w:rPr>
                <w:rFonts w:ascii="Arial" w:cs="Arial" w:eastAsia="Arial" w:hAnsi="Arial"/>
                <w:sz w:val="18"/>
                <w:szCs w:val="18"/>
                <w:color w:val="231F20"/>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231F20"/>
                <w:w w:val="98"/>
              </w:rPr>
              <w:t>570,239</w:t>
            </w:r>
          </w:p>
        </w:tc>
        <w:tc>
          <w:tcPr>
            <w:tcW w:w="280" w:type="dxa"/>
            <w:vAlign w:val="bottom"/>
          </w:tcPr>
          <w:p>
            <w:pPr>
              <w:jc w:val="right"/>
              <w:spacing w:after="0"/>
              <w:rPr>
                <w:sz w:val="20"/>
                <w:szCs w:val="20"/>
                <w:color w:val="auto"/>
              </w:rPr>
            </w:pPr>
            <w:r>
              <w:rPr>
                <w:rFonts w:ascii="Arial" w:cs="Arial" w:eastAsia="Arial" w:hAnsi="Arial"/>
                <w:sz w:val="18"/>
                <w:szCs w:val="18"/>
                <w:color w:val="231F20"/>
              </w:rPr>
              <w:t>$</w:t>
            </w:r>
          </w:p>
        </w:tc>
        <w:tc>
          <w:tcPr>
            <w:tcW w:w="740" w:type="dxa"/>
            <w:vAlign w:val="bottom"/>
          </w:tcPr>
          <w:p>
            <w:pPr>
              <w:jc w:val="right"/>
              <w:spacing w:after="0"/>
              <w:rPr>
                <w:sz w:val="20"/>
                <w:szCs w:val="20"/>
                <w:color w:val="auto"/>
              </w:rPr>
            </w:pPr>
            <w:r>
              <w:rPr>
                <w:rFonts w:ascii="Arial" w:cs="Arial" w:eastAsia="Arial" w:hAnsi="Arial"/>
                <w:sz w:val="18"/>
                <w:szCs w:val="18"/>
                <w:color w:val="231F20"/>
              </w:rPr>
              <w:t>537,313</w:t>
            </w:r>
          </w:p>
        </w:tc>
        <w:tc>
          <w:tcPr>
            <w:tcW w:w="20" w:type="dxa"/>
            <w:vAlign w:val="bottom"/>
          </w:tcPr>
          <w:p>
            <w:pPr>
              <w:spacing w:after="0"/>
              <w:rPr>
                <w:sz w:val="20"/>
                <w:szCs w:val="20"/>
                <w:color w:val="auto"/>
              </w:rPr>
            </w:pPr>
          </w:p>
        </w:tc>
      </w:tr>
      <w:tr>
        <w:trPr>
          <w:trHeight w:val="74"/>
        </w:trPr>
        <w:tc>
          <w:tcPr>
            <w:tcW w:w="70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Borders>
              <w:bottom w:val="single" w:sz="8" w:color="231F20"/>
            </w:tcBorders>
          </w:tcPr>
          <w:p>
            <w:pPr>
              <w:spacing w:after="0"/>
              <w:rPr>
                <w:sz w:val="6"/>
                <w:szCs w:val="6"/>
                <w:color w:val="auto"/>
              </w:rPr>
            </w:pPr>
          </w:p>
        </w:tc>
        <w:tc>
          <w:tcPr>
            <w:tcW w:w="760" w:type="dxa"/>
            <w:vAlign w:val="bottom"/>
            <w:tcBorders>
              <w:bottom w:val="single" w:sz="8" w:color="231F20"/>
            </w:tcBorders>
          </w:tcPr>
          <w:p>
            <w:pPr>
              <w:spacing w:after="0"/>
              <w:rPr>
                <w:sz w:val="6"/>
                <w:szCs w:val="6"/>
                <w:color w:val="auto"/>
              </w:rPr>
            </w:pPr>
          </w:p>
        </w:tc>
        <w:tc>
          <w:tcPr>
            <w:tcW w:w="20" w:type="dxa"/>
            <w:vAlign w:val="bottom"/>
            <w:tcBorders>
              <w:bottom w:val="single" w:sz="8" w:color="231F20"/>
            </w:tcBorders>
          </w:tcPr>
          <w:p>
            <w:pPr>
              <w:spacing w:after="0"/>
              <w:rPr>
                <w:sz w:val="6"/>
                <w:szCs w:val="6"/>
                <w:color w:val="auto"/>
              </w:rPr>
            </w:pPr>
          </w:p>
        </w:tc>
        <w:tc>
          <w:tcPr>
            <w:tcW w:w="300" w:type="dxa"/>
            <w:vAlign w:val="bottom"/>
            <w:tcBorders>
              <w:bottom w:val="single" w:sz="8" w:color="231F20"/>
            </w:tcBorders>
          </w:tcPr>
          <w:p>
            <w:pPr>
              <w:spacing w:after="0"/>
              <w:rPr>
                <w:sz w:val="6"/>
                <w:szCs w:val="6"/>
                <w:color w:val="auto"/>
              </w:rPr>
            </w:pPr>
          </w:p>
        </w:tc>
        <w:tc>
          <w:tcPr>
            <w:tcW w:w="640" w:type="dxa"/>
            <w:vAlign w:val="bottom"/>
            <w:tcBorders>
              <w:bottom w:val="single" w:sz="8" w:color="231F20"/>
            </w:tcBorders>
          </w:tcPr>
          <w:p>
            <w:pPr>
              <w:spacing w:after="0"/>
              <w:rPr>
                <w:sz w:val="6"/>
                <w:szCs w:val="6"/>
                <w:color w:val="auto"/>
              </w:rPr>
            </w:pPr>
          </w:p>
        </w:tc>
        <w:tc>
          <w:tcPr>
            <w:tcW w:w="40" w:type="dxa"/>
            <w:vAlign w:val="bottom"/>
            <w:tcBorders>
              <w:bottom w:val="single" w:sz="8" w:color="231F20"/>
            </w:tcBorders>
          </w:tcPr>
          <w:p>
            <w:pPr>
              <w:spacing w:after="0"/>
              <w:rPr>
                <w:sz w:val="6"/>
                <w:szCs w:val="6"/>
                <w:color w:val="auto"/>
              </w:rPr>
            </w:pPr>
          </w:p>
        </w:tc>
        <w:tc>
          <w:tcPr>
            <w:tcW w:w="280" w:type="dxa"/>
            <w:vAlign w:val="bottom"/>
            <w:tcBorders>
              <w:bottom w:val="single" w:sz="8" w:color="231F20"/>
            </w:tcBorders>
          </w:tcPr>
          <w:p>
            <w:pPr>
              <w:spacing w:after="0"/>
              <w:rPr>
                <w:sz w:val="6"/>
                <w:szCs w:val="6"/>
                <w:color w:val="auto"/>
              </w:rPr>
            </w:pPr>
          </w:p>
        </w:tc>
        <w:tc>
          <w:tcPr>
            <w:tcW w:w="740" w:type="dxa"/>
            <w:vAlign w:val="bottom"/>
            <w:tcBorders>
              <w:bottom w:val="single" w:sz="8" w:color="231F20"/>
            </w:tcBorders>
          </w:tcPr>
          <w:p>
            <w:pPr>
              <w:spacing w:after="0"/>
              <w:rPr>
                <w:sz w:val="6"/>
                <w:szCs w:val="6"/>
                <w:color w:val="auto"/>
              </w:rPr>
            </w:pPr>
          </w:p>
        </w:tc>
        <w:tc>
          <w:tcPr>
            <w:tcW w:w="20" w:type="dxa"/>
            <w:vAlign w:val="bottom"/>
            <w:tcBorders>
              <w:bottom w:val="single" w:sz="8" w:color="231F20"/>
            </w:tcBorders>
          </w:tcPr>
          <w:p>
            <w:pPr>
              <w:spacing w:after="0"/>
              <w:rPr>
                <w:sz w:val="6"/>
                <w:szCs w:val="6"/>
                <w:color w:val="auto"/>
              </w:rPr>
            </w:pPr>
          </w:p>
        </w:tc>
      </w:tr>
      <w:tr>
        <w:trPr>
          <w:trHeight w:val="20"/>
        </w:trPr>
        <w:tc>
          <w:tcPr>
            <w:tcW w:w="7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760" w:type="dxa"/>
            <w:vAlign w:val="bottom"/>
            <w:tcBorders>
              <w:bottom w:val="single" w:sz="8" w:color="231F20"/>
            </w:tcBorders>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300" w:type="dxa"/>
            <w:vAlign w:val="bottom"/>
            <w:tcBorders>
              <w:bottom w:val="single" w:sz="8" w:color="231F20"/>
            </w:tcBorders>
          </w:tcPr>
          <w:p>
            <w:pPr>
              <w:spacing w:after="0" w:line="20" w:lineRule="exact"/>
              <w:rPr>
                <w:sz w:val="1"/>
                <w:szCs w:val="1"/>
                <w:color w:val="auto"/>
              </w:rPr>
            </w:pPr>
          </w:p>
        </w:tc>
        <w:tc>
          <w:tcPr>
            <w:tcW w:w="640" w:type="dxa"/>
            <w:vAlign w:val="bottom"/>
            <w:tcBorders>
              <w:bottom w:val="single" w:sz="8" w:color="231F20"/>
            </w:tcBorders>
          </w:tcPr>
          <w:p>
            <w:pPr>
              <w:spacing w:after="0" w:line="20" w:lineRule="exact"/>
              <w:rPr>
                <w:sz w:val="1"/>
                <w:szCs w:val="1"/>
                <w:color w:val="auto"/>
              </w:rPr>
            </w:pPr>
          </w:p>
        </w:tc>
        <w:tc>
          <w:tcPr>
            <w:tcW w:w="40" w:type="dxa"/>
            <w:vAlign w:val="bottom"/>
            <w:tcBorders>
              <w:bottom w:val="single" w:sz="8" w:color="231F20"/>
            </w:tcBorders>
          </w:tcPr>
          <w:p>
            <w:pPr>
              <w:spacing w:after="0" w:line="20" w:lineRule="exact"/>
              <w:rPr>
                <w:sz w:val="1"/>
                <w:szCs w:val="1"/>
                <w:color w:val="auto"/>
              </w:rPr>
            </w:pPr>
          </w:p>
        </w:tc>
        <w:tc>
          <w:tcPr>
            <w:tcW w:w="280" w:type="dxa"/>
            <w:vAlign w:val="bottom"/>
            <w:tcBorders>
              <w:bottom w:val="single" w:sz="8" w:color="231F20"/>
            </w:tcBorders>
          </w:tcPr>
          <w:p>
            <w:pPr>
              <w:spacing w:after="0" w:line="20" w:lineRule="exact"/>
              <w:rPr>
                <w:sz w:val="1"/>
                <w:szCs w:val="1"/>
                <w:color w:val="auto"/>
              </w:rPr>
            </w:pPr>
          </w:p>
        </w:tc>
        <w:tc>
          <w:tcPr>
            <w:tcW w:w="740" w:type="dxa"/>
            <w:vAlign w:val="bottom"/>
            <w:tcBorders>
              <w:bottom w:val="single" w:sz="8" w:color="231F20"/>
            </w:tcBorders>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r>
      <w:tr>
        <w:trPr>
          <w:trHeight w:val="240"/>
        </w:trPr>
        <w:tc>
          <w:tcPr>
            <w:tcW w:w="7000" w:type="dxa"/>
            <w:vAlign w:val="bottom"/>
            <w:shd w:val="clear" w:color="auto" w:fill="E8E7E5"/>
          </w:tcPr>
          <w:p>
            <w:pPr>
              <w:spacing w:after="0" w:line="240" w:lineRule="exact"/>
              <w:rPr>
                <w:sz w:val="20"/>
                <w:szCs w:val="20"/>
                <w:color w:val="auto"/>
              </w:rPr>
            </w:pPr>
            <w:r>
              <w:rPr>
                <w:rFonts w:ascii="Arial" w:cs="Arial" w:eastAsia="Arial" w:hAnsi="Arial"/>
                <w:sz w:val="18"/>
                <w:szCs w:val="18"/>
                <w:color w:val="231F20"/>
              </w:rPr>
              <w:t>Weighted average number of common shares, diluted</w:t>
            </w:r>
            <w:r>
              <w:rPr>
                <w:rFonts w:ascii="Arial" w:cs="Arial" w:eastAsia="Arial" w:hAnsi="Arial"/>
                <w:sz w:val="23"/>
                <w:szCs w:val="23"/>
                <w:color w:val="231F20"/>
                <w:vertAlign w:val="superscript"/>
              </w:rPr>
              <w:t>(1)(2)</w:t>
            </w:r>
          </w:p>
        </w:tc>
        <w:tc>
          <w:tcPr>
            <w:tcW w:w="180" w:type="dxa"/>
            <w:vAlign w:val="bottom"/>
            <w:shd w:val="clear" w:color="auto" w:fill="E8E7E5"/>
          </w:tcPr>
          <w:p>
            <w:pPr>
              <w:spacing w:after="0"/>
              <w:rPr>
                <w:sz w:val="20"/>
                <w:szCs w:val="20"/>
                <w:color w:val="auto"/>
              </w:rPr>
            </w:pPr>
          </w:p>
        </w:tc>
        <w:tc>
          <w:tcPr>
            <w:tcW w:w="100" w:type="dxa"/>
            <w:vAlign w:val="bottom"/>
            <w:shd w:val="clear" w:color="auto" w:fill="E8E7E5"/>
          </w:tcPr>
          <w:p>
            <w:pPr>
              <w:spacing w:after="0"/>
              <w:rPr>
                <w:sz w:val="20"/>
                <w:szCs w:val="20"/>
                <w:color w:val="auto"/>
              </w:rPr>
            </w:pPr>
          </w:p>
        </w:tc>
        <w:tc>
          <w:tcPr>
            <w:tcW w:w="780" w:type="dxa"/>
            <w:vAlign w:val="bottom"/>
            <w:gridSpan w:val="2"/>
            <w:shd w:val="clear" w:color="auto" w:fill="E8E7E5"/>
          </w:tcPr>
          <w:p>
            <w:pPr>
              <w:jc w:val="right"/>
              <w:spacing w:after="0"/>
              <w:rPr>
                <w:sz w:val="20"/>
                <w:szCs w:val="20"/>
                <w:color w:val="auto"/>
              </w:rPr>
            </w:pPr>
            <w:r>
              <w:rPr>
                <w:rFonts w:ascii="Arial" w:cs="Arial" w:eastAsia="Arial" w:hAnsi="Arial"/>
                <w:sz w:val="18"/>
                <w:szCs w:val="18"/>
                <w:color w:val="231F20"/>
              </w:rPr>
              <w:t>86,498</w:t>
            </w:r>
          </w:p>
        </w:tc>
        <w:tc>
          <w:tcPr>
            <w:tcW w:w="300" w:type="dxa"/>
            <w:vAlign w:val="bottom"/>
            <w:shd w:val="clear" w:color="auto" w:fill="E8E7E5"/>
          </w:tcPr>
          <w:p>
            <w:pPr>
              <w:spacing w:after="0"/>
              <w:rPr>
                <w:sz w:val="20"/>
                <w:szCs w:val="20"/>
                <w:color w:val="auto"/>
              </w:rPr>
            </w:pPr>
          </w:p>
        </w:tc>
        <w:tc>
          <w:tcPr>
            <w:tcW w:w="680" w:type="dxa"/>
            <w:vAlign w:val="bottom"/>
            <w:gridSpan w:val="2"/>
            <w:shd w:val="clear" w:color="auto" w:fill="E8E7E5"/>
          </w:tcPr>
          <w:p>
            <w:pPr>
              <w:jc w:val="right"/>
              <w:ind w:right="20"/>
              <w:spacing w:after="0"/>
              <w:rPr>
                <w:sz w:val="20"/>
                <w:szCs w:val="20"/>
                <w:color w:val="auto"/>
              </w:rPr>
            </w:pPr>
            <w:r>
              <w:rPr>
                <w:rFonts w:ascii="Arial" w:cs="Arial" w:eastAsia="Arial" w:hAnsi="Arial"/>
                <w:sz w:val="18"/>
                <w:szCs w:val="18"/>
                <w:color w:val="231F20"/>
              </w:rPr>
              <w:t>84,286</w:t>
            </w:r>
          </w:p>
        </w:tc>
        <w:tc>
          <w:tcPr>
            <w:tcW w:w="280" w:type="dxa"/>
            <w:vAlign w:val="bottom"/>
            <w:shd w:val="clear" w:color="auto" w:fill="E8E7E5"/>
          </w:tcPr>
          <w:p>
            <w:pPr>
              <w:spacing w:after="0"/>
              <w:rPr>
                <w:sz w:val="20"/>
                <w:szCs w:val="20"/>
                <w:color w:val="auto"/>
              </w:rPr>
            </w:pPr>
          </w:p>
        </w:tc>
        <w:tc>
          <w:tcPr>
            <w:tcW w:w="740" w:type="dxa"/>
            <w:vAlign w:val="bottom"/>
            <w:shd w:val="clear" w:color="auto" w:fill="E8E7E5"/>
          </w:tcPr>
          <w:p>
            <w:pPr>
              <w:jc w:val="right"/>
              <w:spacing w:after="0"/>
              <w:rPr>
                <w:sz w:val="20"/>
                <w:szCs w:val="20"/>
                <w:color w:val="auto"/>
              </w:rPr>
            </w:pPr>
            <w:r>
              <w:rPr>
                <w:rFonts w:ascii="Arial" w:cs="Arial" w:eastAsia="Arial" w:hAnsi="Arial"/>
                <w:sz w:val="18"/>
                <w:szCs w:val="18"/>
                <w:color w:val="231F20"/>
              </w:rPr>
              <w:t>82,044</w:t>
            </w:r>
          </w:p>
        </w:tc>
        <w:tc>
          <w:tcPr>
            <w:tcW w:w="20" w:type="dxa"/>
            <w:vAlign w:val="bottom"/>
            <w:shd w:val="clear" w:color="auto" w:fill="E8E7E5"/>
          </w:tcPr>
          <w:p>
            <w:pPr>
              <w:spacing w:after="0"/>
              <w:rPr>
                <w:sz w:val="20"/>
                <w:szCs w:val="20"/>
                <w:color w:val="auto"/>
              </w:rPr>
            </w:pPr>
          </w:p>
        </w:tc>
      </w:tr>
      <w:tr>
        <w:trPr>
          <w:trHeight w:val="70"/>
        </w:trPr>
        <w:tc>
          <w:tcPr>
            <w:tcW w:w="70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Borders>
              <w:bottom w:val="single" w:sz="8" w:color="231F20"/>
            </w:tcBorders>
          </w:tcPr>
          <w:p>
            <w:pPr>
              <w:spacing w:after="0"/>
              <w:rPr>
                <w:sz w:val="6"/>
                <w:szCs w:val="6"/>
                <w:color w:val="auto"/>
              </w:rPr>
            </w:pPr>
          </w:p>
        </w:tc>
        <w:tc>
          <w:tcPr>
            <w:tcW w:w="780" w:type="dxa"/>
            <w:vAlign w:val="bottom"/>
            <w:tcBorders>
              <w:bottom w:val="single" w:sz="8" w:color="231F20"/>
            </w:tcBorders>
            <w:gridSpan w:val="2"/>
          </w:tcPr>
          <w:p>
            <w:pPr>
              <w:spacing w:after="0"/>
              <w:rPr>
                <w:sz w:val="6"/>
                <w:szCs w:val="6"/>
                <w:color w:val="auto"/>
              </w:rPr>
            </w:pPr>
          </w:p>
        </w:tc>
        <w:tc>
          <w:tcPr>
            <w:tcW w:w="300" w:type="dxa"/>
            <w:vAlign w:val="bottom"/>
            <w:tcBorders>
              <w:bottom w:val="single" w:sz="8" w:color="231F20"/>
            </w:tcBorders>
          </w:tcPr>
          <w:p>
            <w:pPr>
              <w:spacing w:after="0"/>
              <w:rPr>
                <w:sz w:val="6"/>
                <w:szCs w:val="6"/>
                <w:color w:val="auto"/>
              </w:rPr>
            </w:pPr>
          </w:p>
        </w:tc>
        <w:tc>
          <w:tcPr>
            <w:tcW w:w="680" w:type="dxa"/>
            <w:vAlign w:val="bottom"/>
            <w:tcBorders>
              <w:bottom w:val="single" w:sz="8" w:color="231F20"/>
            </w:tcBorders>
            <w:gridSpan w:val="2"/>
          </w:tcPr>
          <w:p>
            <w:pPr>
              <w:spacing w:after="0"/>
              <w:rPr>
                <w:sz w:val="6"/>
                <w:szCs w:val="6"/>
                <w:color w:val="auto"/>
              </w:rPr>
            </w:pPr>
          </w:p>
        </w:tc>
        <w:tc>
          <w:tcPr>
            <w:tcW w:w="280" w:type="dxa"/>
            <w:vAlign w:val="bottom"/>
            <w:tcBorders>
              <w:bottom w:val="single" w:sz="8" w:color="231F20"/>
            </w:tcBorders>
          </w:tcPr>
          <w:p>
            <w:pPr>
              <w:spacing w:after="0"/>
              <w:rPr>
                <w:sz w:val="6"/>
                <w:szCs w:val="6"/>
                <w:color w:val="auto"/>
              </w:rPr>
            </w:pPr>
          </w:p>
        </w:tc>
        <w:tc>
          <w:tcPr>
            <w:tcW w:w="740" w:type="dxa"/>
            <w:vAlign w:val="bottom"/>
            <w:tcBorders>
              <w:bottom w:val="single" w:sz="8" w:color="231F20"/>
            </w:tcBorders>
          </w:tcPr>
          <w:p>
            <w:pPr>
              <w:spacing w:after="0"/>
              <w:rPr>
                <w:sz w:val="6"/>
                <w:szCs w:val="6"/>
                <w:color w:val="auto"/>
              </w:rPr>
            </w:pPr>
          </w:p>
        </w:tc>
        <w:tc>
          <w:tcPr>
            <w:tcW w:w="20" w:type="dxa"/>
            <w:vAlign w:val="bottom"/>
            <w:tcBorders>
              <w:bottom w:val="single" w:sz="8" w:color="231F20"/>
            </w:tcBorders>
          </w:tcPr>
          <w:p>
            <w:pPr>
              <w:spacing w:after="0"/>
              <w:rPr>
                <w:sz w:val="6"/>
                <w:szCs w:val="6"/>
                <w:color w:val="auto"/>
              </w:rPr>
            </w:pPr>
          </w:p>
        </w:tc>
      </w:tr>
      <w:tr>
        <w:trPr>
          <w:trHeight w:val="20"/>
        </w:trPr>
        <w:tc>
          <w:tcPr>
            <w:tcW w:w="7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780" w:type="dxa"/>
            <w:vAlign w:val="bottom"/>
            <w:tcBorders>
              <w:bottom w:val="single" w:sz="8" w:color="231F20"/>
            </w:tcBorders>
            <w:gridSpan w:val="2"/>
          </w:tcPr>
          <w:p>
            <w:pPr>
              <w:spacing w:after="0" w:line="20" w:lineRule="exact"/>
              <w:rPr>
                <w:sz w:val="1"/>
                <w:szCs w:val="1"/>
                <w:color w:val="auto"/>
              </w:rPr>
            </w:pPr>
          </w:p>
        </w:tc>
        <w:tc>
          <w:tcPr>
            <w:tcW w:w="300" w:type="dxa"/>
            <w:vAlign w:val="bottom"/>
            <w:tcBorders>
              <w:bottom w:val="single" w:sz="8" w:color="231F20"/>
            </w:tcBorders>
          </w:tcPr>
          <w:p>
            <w:pPr>
              <w:spacing w:after="0" w:line="20" w:lineRule="exact"/>
              <w:rPr>
                <w:sz w:val="1"/>
                <w:szCs w:val="1"/>
                <w:color w:val="auto"/>
              </w:rPr>
            </w:pPr>
          </w:p>
        </w:tc>
        <w:tc>
          <w:tcPr>
            <w:tcW w:w="680" w:type="dxa"/>
            <w:vAlign w:val="bottom"/>
            <w:tcBorders>
              <w:bottom w:val="single" w:sz="8" w:color="231F20"/>
            </w:tcBorders>
            <w:gridSpan w:val="2"/>
          </w:tcPr>
          <w:p>
            <w:pPr>
              <w:spacing w:after="0" w:line="20" w:lineRule="exact"/>
              <w:rPr>
                <w:sz w:val="1"/>
                <w:szCs w:val="1"/>
                <w:color w:val="auto"/>
              </w:rPr>
            </w:pPr>
          </w:p>
        </w:tc>
        <w:tc>
          <w:tcPr>
            <w:tcW w:w="280" w:type="dxa"/>
            <w:vAlign w:val="bottom"/>
            <w:tcBorders>
              <w:bottom w:val="single" w:sz="8" w:color="231F20"/>
            </w:tcBorders>
          </w:tcPr>
          <w:p>
            <w:pPr>
              <w:spacing w:after="0" w:line="20" w:lineRule="exact"/>
              <w:rPr>
                <w:sz w:val="1"/>
                <w:szCs w:val="1"/>
                <w:color w:val="auto"/>
              </w:rPr>
            </w:pPr>
          </w:p>
        </w:tc>
        <w:tc>
          <w:tcPr>
            <w:tcW w:w="740" w:type="dxa"/>
            <w:vAlign w:val="bottom"/>
            <w:tcBorders>
              <w:bottom w:val="single" w:sz="8" w:color="231F20"/>
            </w:tcBorders>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r>
      <w:tr>
        <w:trPr>
          <w:trHeight w:val="236"/>
        </w:trPr>
        <w:tc>
          <w:tcPr>
            <w:tcW w:w="7000" w:type="dxa"/>
            <w:vAlign w:val="bottom"/>
          </w:tcPr>
          <w:p>
            <w:pPr>
              <w:spacing w:after="0"/>
              <w:rPr>
                <w:sz w:val="20"/>
                <w:szCs w:val="20"/>
                <w:color w:val="auto"/>
              </w:rPr>
            </w:pPr>
            <w:r>
              <w:rPr>
                <w:rFonts w:ascii="Arial" w:cs="Arial" w:eastAsia="Arial" w:hAnsi="Arial"/>
                <w:sz w:val="18"/>
                <w:szCs w:val="18"/>
                <w:color w:val="231F20"/>
              </w:rPr>
              <w:t>Funds from operations available for common shareholders, per diluted share</w:t>
            </w:r>
          </w:p>
        </w:tc>
        <w:tc>
          <w:tcPr>
            <w:tcW w:w="280" w:type="dxa"/>
            <w:vAlign w:val="bottom"/>
            <w:gridSpan w:val="2"/>
          </w:tcPr>
          <w:p>
            <w:pPr>
              <w:ind w:left="180"/>
              <w:spacing w:after="0"/>
              <w:rPr>
                <w:sz w:val="20"/>
                <w:szCs w:val="20"/>
                <w:color w:val="auto"/>
              </w:rPr>
            </w:pPr>
            <w:r>
              <w:rPr>
                <w:rFonts w:ascii="Arial" w:cs="Arial" w:eastAsia="Arial" w:hAnsi="Arial"/>
                <w:sz w:val="18"/>
                <w:szCs w:val="18"/>
                <w:color w:val="231F20"/>
                <w:w w:val="79"/>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231F20"/>
              </w:rPr>
              <w:t>7.22</w:t>
            </w:r>
          </w:p>
        </w:tc>
        <w:tc>
          <w:tcPr>
            <w:tcW w:w="300" w:type="dxa"/>
            <w:vAlign w:val="bottom"/>
          </w:tcPr>
          <w:p>
            <w:pPr>
              <w:jc w:val="right"/>
              <w:spacing w:after="0"/>
              <w:rPr>
                <w:sz w:val="20"/>
                <w:szCs w:val="20"/>
                <w:color w:val="auto"/>
              </w:rPr>
            </w:pPr>
            <w:r>
              <w:rPr>
                <w:rFonts w:ascii="Arial" w:cs="Arial" w:eastAsia="Arial" w:hAnsi="Arial"/>
                <w:sz w:val="18"/>
                <w:szCs w:val="18"/>
                <w:color w:val="231F20"/>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231F20"/>
              </w:rPr>
              <w:t>6.77</w:t>
            </w:r>
          </w:p>
        </w:tc>
        <w:tc>
          <w:tcPr>
            <w:tcW w:w="280" w:type="dxa"/>
            <w:vAlign w:val="bottom"/>
          </w:tcPr>
          <w:p>
            <w:pPr>
              <w:jc w:val="right"/>
              <w:spacing w:after="0"/>
              <w:rPr>
                <w:sz w:val="20"/>
                <w:szCs w:val="20"/>
                <w:color w:val="auto"/>
              </w:rPr>
            </w:pPr>
            <w:r>
              <w:rPr>
                <w:rFonts w:ascii="Arial" w:cs="Arial" w:eastAsia="Arial" w:hAnsi="Arial"/>
                <w:sz w:val="18"/>
                <w:szCs w:val="18"/>
                <w:color w:val="231F20"/>
              </w:rPr>
              <w:t>$</w:t>
            </w:r>
          </w:p>
        </w:tc>
        <w:tc>
          <w:tcPr>
            <w:tcW w:w="740" w:type="dxa"/>
            <w:vAlign w:val="bottom"/>
          </w:tcPr>
          <w:p>
            <w:pPr>
              <w:jc w:val="right"/>
              <w:spacing w:after="0"/>
              <w:rPr>
                <w:sz w:val="20"/>
                <w:szCs w:val="20"/>
                <w:color w:val="auto"/>
              </w:rPr>
            </w:pPr>
            <w:r>
              <w:rPr>
                <w:rFonts w:ascii="Arial" w:cs="Arial" w:eastAsia="Arial" w:hAnsi="Arial"/>
                <w:sz w:val="18"/>
                <w:szCs w:val="18"/>
                <w:color w:val="231F20"/>
              </w:rPr>
              <w:t>6.55</w:t>
            </w:r>
          </w:p>
        </w:tc>
        <w:tc>
          <w:tcPr>
            <w:tcW w:w="20" w:type="dxa"/>
            <w:vAlign w:val="bottom"/>
          </w:tcPr>
          <w:p>
            <w:pPr>
              <w:spacing w:after="0"/>
              <w:rPr>
                <w:sz w:val="20"/>
                <w:szCs w:val="20"/>
                <w:color w:val="auto"/>
              </w:rPr>
            </w:pPr>
          </w:p>
        </w:tc>
      </w:tr>
      <w:tr>
        <w:trPr>
          <w:trHeight w:val="74"/>
        </w:trPr>
        <w:tc>
          <w:tcPr>
            <w:tcW w:w="70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Borders>
              <w:bottom w:val="single" w:sz="8" w:color="231F20"/>
            </w:tcBorders>
          </w:tcPr>
          <w:p>
            <w:pPr>
              <w:spacing w:after="0"/>
              <w:rPr>
                <w:sz w:val="6"/>
                <w:szCs w:val="6"/>
                <w:color w:val="auto"/>
              </w:rPr>
            </w:pPr>
          </w:p>
        </w:tc>
        <w:tc>
          <w:tcPr>
            <w:tcW w:w="760" w:type="dxa"/>
            <w:vAlign w:val="bottom"/>
            <w:tcBorders>
              <w:bottom w:val="single" w:sz="8" w:color="231F20"/>
            </w:tcBorders>
          </w:tcPr>
          <w:p>
            <w:pPr>
              <w:spacing w:after="0"/>
              <w:rPr>
                <w:sz w:val="6"/>
                <w:szCs w:val="6"/>
                <w:color w:val="auto"/>
              </w:rPr>
            </w:pPr>
          </w:p>
        </w:tc>
        <w:tc>
          <w:tcPr>
            <w:tcW w:w="20" w:type="dxa"/>
            <w:vAlign w:val="bottom"/>
            <w:tcBorders>
              <w:bottom w:val="single" w:sz="8" w:color="231F20"/>
            </w:tcBorders>
          </w:tcPr>
          <w:p>
            <w:pPr>
              <w:spacing w:after="0"/>
              <w:rPr>
                <w:sz w:val="6"/>
                <w:szCs w:val="6"/>
                <w:color w:val="auto"/>
              </w:rPr>
            </w:pPr>
          </w:p>
        </w:tc>
        <w:tc>
          <w:tcPr>
            <w:tcW w:w="300" w:type="dxa"/>
            <w:vAlign w:val="bottom"/>
            <w:tcBorders>
              <w:bottom w:val="single" w:sz="8" w:color="231F20"/>
            </w:tcBorders>
          </w:tcPr>
          <w:p>
            <w:pPr>
              <w:spacing w:after="0"/>
              <w:rPr>
                <w:sz w:val="6"/>
                <w:szCs w:val="6"/>
                <w:color w:val="auto"/>
              </w:rPr>
            </w:pPr>
          </w:p>
        </w:tc>
        <w:tc>
          <w:tcPr>
            <w:tcW w:w="640" w:type="dxa"/>
            <w:vAlign w:val="bottom"/>
            <w:tcBorders>
              <w:bottom w:val="single" w:sz="8" w:color="231F20"/>
            </w:tcBorders>
          </w:tcPr>
          <w:p>
            <w:pPr>
              <w:spacing w:after="0"/>
              <w:rPr>
                <w:sz w:val="6"/>
                <w:szCs w:val="6"/>
                <w:color w:val="auto"/>
              </w:rPr>
            </w:pPr>
          </w:p>
        </w:tc>
        <w:tc>
          <w:tcPr>
            <w:tcW w:w="40" w:type="dxa"/>
            <w:vAlign w:val="bottom"/>
            <w:tcBorders>
              <w:bottom w:val="single" w:sz="8" w:color="231F20"/>
            </w:tcBorders>
          </w:tcPr>
          <w:p>
            <w:pPr>
              <w:spacing w:after="0"/>
              <w:rPr>
                <w:sz w:val="6"/>
                <w:szCs w:val="6"/>
                <w:color w:val="auto"/>
              </w:rPr>
            </w:pPr>
          </w:p>
        </w:tc>
        <w:tc>
          <w:tcPr>
            <w:tcW w:w="280" w:type="dxa"/>
            <w:vAlign w:val="bottom"/>
            <w:tcBorders>
              <w:bottom w:val="single" w:sz="8" w:color="231F20"/>
            </w:tcBorders>
          </w:tcPr>
          <w:p>
            <w:pPr>
              <w:spacing w:after="0"/>
              <w:rPr>
                <w:sz w:val="6"/>
                <w:szCs w:val="6"/>
                <w:color w:val="auto"/>
              </w:rPr>
            </w:pPr>
          </w:p>
        </w:tc>
        <w:tc>
          <w:tcPr>
            <w:tcW w:w="740" w:type="dxa"/>
            <w:vAlign w:val="bottom"/>
            <w:tcBorders>
              <w:bottom w:val="single" w:sz="8" w:color="231F20"/>
            </w:tcBorders>
          </w:tcPr>
          <w:p>
            <w:pPr>
              <w:spacing w:after="0"/>
              <w:rPr>
                <w:sz w:val="6"/>
                <w:szCs w:val="6"/>
                <w:color w:val="auto"/>
              </w:rPr>
            </w:pPr>
          </w:p>
        </w:tc>
        <w:tc>
          <w:tcPr>
            <w:tcW w:w="20" w:type="dxa"/>
            <w:vAlign w:val="bottom"/>
            <w:tcBorders>
              <w:bottom w:val="single" w:sz="8" w:color="231F20"/>
            </w:tcBorders>
          </w:tcPr>
          <w:p>
            <w:pPr>
              <w:spacing w:after="0"/>
              <w:rPr>
                <w:sz w:val="6"/>
                <w:szCs w:val="6"/>
                <w:color w:val="auto"/>
              </w:rPr>
            </w:pPr>
          </w:p>
        </w:tc>
      </w:tr>
      <w:tr>
        <w:trPr>
          <w:trHeight w:val="20"/>
        </w:trPr>
        <w:tc>
          <w:tcPr>
            <w:tcW w:w="7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760" w:type="dxa"/>
            <w:vAlign w:val="bottom"/>
            <w:tcBorders>
              <w:bottom w:val="single" w:sz="8" w:color="231F20"/>
            </w:tcBorders>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300" w:type="dxa"/>
            <w:vAlign w:val="bottom"/>
            <w:tcBorders>
              <w:bottom w:val="single" w:sz="8" w:color="231F20"/>
            </w:tcBorders>
          </w:tcPr>
          <w:p>
            <w:pPr>
              <w:spacing w:after="0" w:line="20" w:lineRule="exact"/>
              <w:rPr>
                <w:sz w:val="1"/>
                <w:szCs w:val="1"/>
                <w:color w:val="auto"/>
              </w:rPr>
            </w:pPr>
          </w:p>
        </w:tc>
        <w:tc>
          <w:tcPr>
            <w:tcW w:w="640" w:type="dxa"/>
            <w:vAlign w:val="bottom"/>
            <w:tcBorders>
              <w:bottom w:val="single" w:sz="8" w:color="231F20"/>
            </w:tcBorders>
          </w:tcPr>
          <w:p>
            <w:pPr>
              <w:spacing w:after="0" w:line="20" w:lineRule="exact"/>
              <w:rPr>
                <w:sz w:val="1"/>
                <w:szCs w:val="1"/>
                <w:color w:val="auto"/>
              </w:rPr>
            </w:pPr>
          </w:p>
        </w:tc>
        <w:tc>
          <w:tcPr>
            <w:tcW w:w="40" w:type="dxa"/>
            <w:vAlign w:val="bottom"/>
            <w:tcBorders>
              <w:bottom w:val="single" w:sz="8" w:color="231F20"/>
            </w:tcBorders>
          </w:tcPr>
          <w:p>
            <w:pPr>
              <w:spacing w:after="0" w:line="20" w:lineRule="exact"/>
              <w:rPr>
                <w:sz w:val="1"/>
                <w:szCs w:val="1"/>
                <w:color w:val="auto"/>
              </w:rPr>
            </w:pPr>
          </w:p>
        </w:tc>
        <w:tc>
          <w:tcPr>
            <w:tcW w:w="280" w:type="dxa"/>
            <w:vAlign w:val="bottom"/>
            <w:tcBorders>
              <w:bottom w:val="single" w:sz="8" w:color="231F20"/>
            </w:tcBorders>
          </w:tcPr>
          <w:p>
            <w:pPr>
              <w:spacing w:after="0" w:line="20" w:lineRule="exact"/>
              <w:rPr>
                <w:sz w:val="1"/>
                <w:szCs w:val="1"/>
                <w:color w:val="auto"/>
              </w:rPr>
            </w:pPr>
          </w:p>
        </w:tc>
        <w:tc>
          <w:tcPr>
            <w:tcW w:w="740" w:type="dxa"/>
            <w:vAlign w:val="bottom"/>
            <w:tcBorders>
              <w:bottom w:val="single" w:sz="8" w:color="231F20"/>
            </w:tcBorders>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r>
      <w:tr>
        <w:trPr>
          <w:trHeight w:val="210"/>
        </w:trPr>
        <w:tc>
          <w:tcPr>
            <w:tcW w:w="7000" w:type="dxa"/>
            <w:vAlign w:val="bottom"/>
            <w:shd w:val="clear" w:color="auto" w:fill="E8E7E5"/>
          </w:tcPr>
          <w:p>
            <w:pPr>
              <w:spacing w:after="0"/>
              <w:rPr>
                <w:sz w:val="20"/>
                <w:szCs w:val="20"/>
                <w:color w:val="auto"/>
              </w:rPr>
            </w:pPr>
            <w:r>
              <w:rPr>
                <w:rFonts w:ascii="Arial" w:cs="Arial" w:eastAsia="Arial" w:hAnsi="Arial"/>
                <w:sz w:val="18"/>
                <w:szCs w:val="18"/>
                <w:b w:val="1"/>
                <w:bCs w:val="1"/>
                <w:color w:val="231F20"/>
              </w:rPr>
              <w:t>Reconciliation of Nareit FFO to Core FFO</w:t>
            </w:r>
          </w:p>
        </w:tc>
        <w:tc>
          <w:tcPr>
            <w:tcW w:w="180" w:type="dxa"/>
            <w:vAlign w:val="bottom"/>
            <w:shd w:val="clear" w:color="auto" w:fill="E8E7E5"/>
          </w:tcPr>
          <w:p>
            <w:pPr>
              <w:spacing w:after="0"/>
              <w:rPr>
                <w:sz w:val="18"/>
                <w:szCs w:val="18"/>
                <w:color w:val="auto"/>
              </w:rPr>
            </w:pPr>
          </w:p>
        </w:tc>
        <w:tc>
          <w:tcPr>
            <w:tcW w:w="100" w:type="dxa"/>
            <w:vAlign w:val="bottom"/>
            <w:shd w:val="clear" w:color="auto" w:fill="E8E7E5"/>
          </w:tcPr>
          <w:p>
            <w:pPr>
              <w:spacing w:after="0"/>
              <w:rPr>
                <w:sz w:val="18"/>
                <w:szCs w:val="18"/>
                <w:color w:val="auto"/>
              </w:rPr>
            </w:pPr>
          </w:p>
        </w:tc>
        <w:tc>
          <w:tcPr>
            <w:tcW w:w="760" w:type="dxa"/>
            <w:vAlign w:val="bottom"/>
            <w:shd w:val="clear" w:color="auto" w:fill="E8E7E5"/>
          </w:tcPr>
          <w:p>
            <w:pPr>
              <w:spacing w:after="0"/>
              <w:rPr>
                <w:sz w:val="18"/>
                <w:szCs w:val="18"/>
                <w:color w:val="auto"/>
              </w:rPr>
            </w:pPr>
          </w:p>
        </w:tc>
        <w:tc>
          <w:tcPr>
            <w:tcW w:w="20" w:type="dxa"/>
            <w:vAlign w:val="bottom"/>
            <w:shd w:val="clear" w:color="auto" w:fill="E8E7E5"/>
          </w:tcPr>
          <w:p>
            <w:pPr>
              <w:spacing w:after="0"/>
              <w:rPr>
                <w:sz w:val="18"/>
                <w:szCs w:val="18"/>
                <w:color w:val="auto"/>
              </w:rPr>
            </w:pPr>
          </w:p>
        </w:tc>
        <w:tc>
          <w:tcPr>
            <w:tcW w:w="300" w:type="dxa"/>
            <w:vAlign w:val="bottom"/>
            <w:shd w:val="clear" w:color="auto" w:fill="E8E7E5"/>
          </w:tcPr>
          <w:p>
            <w:pPr>
              <w:spacing w:after="0"/>
              <w:rPr>
                <w:sz w:val="18"/>
                <w:szCs w:val="18"/>
                <w:color w:val="auto"/>
              </w:rPr>
            </w:pPr>
          </w:p>
        </w:tc>
        <w:tc>
          <w:tcPr>
            <w:tcW w:w="640" w:type="dxa"/>
            <w:vAlign w:val="bottom"/>
            <w:shd w:val="clear" w:color="auto" w:fill="E8E7E5"/>
          </w:tcPr>
          <w:p>
            <w:pPr>
              <w:spacing w:after="0"/>
              <w:rPr>
                <w:sz w:val="18"/>
                <w:szCs w:val="18"/>
                <w:color w:val="auto"/>
              </w:rPr>
            </w:pPr>
          </w:p>
        </w:tc>
        <w:tc>
          <w:tcPr>
            <w:tcW w:w="40" w:type="dxa"/>
            <w:vAlign w:val="bottom"/>
            <w:shd w:val="clear" w:color="auto" w:fill="E8E7E5"/>
          </w:tcPr>
          <w:p>
            <w:pPr>
              <w:spacing w:after="0"/>
              <w:rPr>
                <w:sz w:val="18"/>
                <w:szCs w:val="18"/>
                <w:color w:val="auto"/>
              </w:rPr>
            </w:pPr>
          </w:p>
        </w:tc>
        <w:tc>
          <w:tcPr>
            <w:tcW w:w="280" w:type="dxa"/>
            <w:vAlign w:val="bottom"/>
            <w:shd w:val="clear" w:color="auto" w:fill="E8E7E5"/>
          </w:tcPr>
          <w:p>
            <w:pPr>
              <w:spacing w:after="0"/>
              <w:rPr>
                <w:sz w:val="18"/>
                <w:szCs w:val="18"/>
                <w:color w:val="auto"/>
              </w:rPr>
            </w:pPr>
          </w:p>
        </w:tc>
        <w:tc>
          <w:tcPr>
            <w:tcW w:w="740" w:type="dxa"/>
            <w:vAlign w:val="bottom"/>
            <w:shd w:val="clear" w:color="auto" w:fill="E8E7E5"/>
          </w:tcPr>
          <w:p>
            <w:pPr>
              <w:spacing w:after="0"/>
              <w:rPr>
                <w:sz w:val="18"/>
                <w:szCs w:val="18"/>
                <w:color w:val="auto"/>
              </w:rPr>
            </w:pPr>
          </w:p>
        </w:tc>
        <w:tc>
          <w:tcPr>
            <w:tcW w:w="20" w:type="dxa"/>
            <w:vAlign w:val="bottom"/>
            <w:shd w:val="clear" w:color="auto" w:fill="E8E7E5"/>
          </w:tcPr>
          <w:p>
            <w:pPr>
              <w:spacing w:after="0"/>
              <w:rPr>
                <w:sz w:val="18"/>
                <w:szCs w:val="18"/>
                <w:color w:val="auto"/>
              </w:rPr>
            </w:pPr>
          </w:p>
        </w:tc>
      </w:tr>
      <w:tr>
        <w:trPr>
          <w:trHeight w:val="248"/>
        </w:trPr>
        <w:tc>
          <w:tcPr>
            <w:tcW w:w="7000" w:type="dxa"/>
            <w:vAlign w:val="bottom"/>
          </w:tcPr>
          <w:p>
            <w:pPr>
              <w:spacing w:after="0"/>
              <w:rPr>
                <w:sz w:val="20"/>
                <w:szCs w:val="20"/>
                <w:color w:val="auto"/>
              </w:rPr>
            </w:pPr>
            <w:r>
              <w:rPr>
                <w:rFonts w:ascii="Arial" w:cs="Arial" w:eastAsia="Arial" w:hAnsi="Arial"/>
                <w:sz w:val="18"/>
                <w:szCs w:val="18"/>
                <w:color w:val="231F20"/>
              </w:rPr>
              <w:t>Nareit FFO</w:t>
            </w:r>
          </w:p>
        </w:tc>
        <w:tc>
          <w:tcPr>
            <w:tcW w:w="280" w:type="dxa"/>
            <w:vAlign w:val="bottom"/>
            <w:gridSpan w:val="2"/>
          </w:tcPr>
          <w:p>
            <w:pPr>
              <w:ind w:left="180"/>
              <w:spacing w:after="0"/>
              <w:rPr>
                <w:sz w:val="20"/>
                <w:szCs w:val="20"/>
                <w:color w:val="auto"/>
              </w:rPr>
            </w:pPr>
            <w:r>
              <w:rPr>
                <w:rFonts w:ascii="Arial" w:cs="Arial" w:eastAsia="Arial" w:hAnsi="Arial"/>
                <w:sz w:val="18"/>
                <w:szCs w:val="18"/>
                <w:color w:val="231F20"/>
                <w:w w:val="79"/>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231F20"/>
              </w:rPr>
              <w:t>624,256</w:t>
            </w:r>
          </w:p>
        </w:tc>
        <w:tc>
          <w:tcPr>
            <w:tcW w:w="300" w:type="dxa"/>
            <w:vAlign w:val="bottom"/>
          </w:tcPr>
          <w:p>
            <w:pPr>
              <w:jc w:val="right"/>
              <w:spacing w:after="0"/>
              <w:rPr>
                <w:sz w:val="20"/>
                <w:szCs w:val="20"/>
                <w:color w:val="auto"/>
              </w:rPr>
            </w:pPr>
            <w:r>
              <w:rPr>
                <w:rFonts w:ascii="Arial" w:cs="Arial" w:eastAsia="Arial" w:hAnsi="Arial"/>
                <w:sz w:val="18"/>
                <w:szCs w:val="18"/>
                <w:color w:val="231F20"/>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231F20"/>
                <w:w w:val="98"/>
              </w:rPr>
              <w:t>570,239</w:t>
            </w:r>
          </w:p>
        </w:tc>
        <w:tc>
          <w:tcPr>
            <w:tcW w:w="280" w:type="dxa"/>
            <w:vAlign w:val="bottom"/>
          </w:tcPr>
          <w:p>
            <w:pPr>
              <w:jc w:val="right"/>
              <w:spacing w:after="0"/>
              <w:rPr>
                <w:sz w:val="20"/>
                <w:szCs w:val="20"/>
                <w:color w:val="auto"/>
              </w:rPr>
            </w:pPr>
            <w:r>
              <w:rPr>
                <w:rFonts w:ascii="Arial" w:cs="Arial" w:eastAsia="Arial" w:hAnsi="Arial"/>
                <w:sz w:val="18"/>
                <w:szCs w:val="18"/>
                <w:color w:val="231F20"/>
              </w:rPr>
              <w:t>$</w:t>
            </w:r>
          </w:p>
        </w:tc>
        <w:tc>
          <w:tcPr>
            <w:tcW w:w="740" w:type="dxa"/>
            <w:vAlign w:val="bottom"/>
          </w:tcPr>
          <w:p>
            <w:pPr>
              <w:jc w:val="right"/>
              <w:spacing w:after="0"/>
              <w:rPr>
                <w:sz w:val="20"/>
                <w:szCs w:val="20"/>
                <w:color w:val="auto"/>
              </w:rPr>
            </w:pPr>
            <w:r>
              <w:rPr>
                <w:rFonts w:ascii="Arial" w:cs="Arial" w:eastAsia="Arial" w:hAnsi="Arial"/>
                <w:sz w:val="18"/>
                <w:szCs w:val="18"/>
                <w:color w:val="231F20"/>
              </w:rPr>
              <w:t>537,313</w:t>
            </w:r>
          </w:p>
        </w:tc>
        <w:tc>
          <w:tcPr>
            <w:tcW w:w="20" w:type="dxa"/>
            <w:vAlign w:val="bottom"/>
          </w:tcPr>
          <w:p>
            <w:pPr>
              <w:spacing w:after="0"/>
              <w:rPr>
                <w:sz w:val="21"/>
                <w:szCs w:val="21"/>
                <w:color w:val="auto"/>
              </w:rPr>
            </w:pPr>
          </w:p>
        </w:tc>
      </w:tr>
      <w:tr>
        <w:trPr>
          <w:trHeight w:val="252"/>
        </w:trPr>
        <w:tc>
          <w:tcPr>
            <w:tcW w:w="7000" w:type="dxa"/>
            <w:vAlign w:val="bottom"/>
            <w:shd w:val="clear" w:color="auto" w:fill="E8E7E5"/>
          </w:tcPr>
          <w:p>
            <w:pPr>
              <w:spacing w:after="0"/>
              <w:rPr>
                <w:sz w:val="20"/>
                <w:szCs w:val="20"/>
                <w:color w:val="auto"/>
              </w:rPr>
            </w:pPr>
            <w:r>
              <w:rPr>
                <w:rFonts w:ascii="Arial" w:cs="Arial" w:eastAsia="Arial" w:hAnsi="Arial"/>
                <w:sz w:val="18"/>
                <w:szCs w:val="18"/>
                <w:color w:val="231F20"/>
              </w:rPr>
              <w:t>Adjustments:</w:t>
            </w:r>
          </w:p>
        </w:tc>
        <w:tc>
          <w:tcPr>
            <w:tcW w:w="180" w:type="dxa"/>
            <w:vAlign w:val="bottom"/>
            <w:shd w:val="clear" w:color="auto" w:fill="E8E7E5"/>
          </w:tcPr>
          <w:p>
            <w:pPr>
              <w:spacing w:after="0"/>
              <w:rPr>
                <w:sz w:val="21"/>
                <w:szCs w:val="21"/>
                <w:color w:val="auto"/>
              </w:rPr>
            </w:pPr>
          </w:p>
        </w:tc>
        <w:tc>
          <w:tcPr>
            <w:tcW w:w="100" w:type="dxa"/>
            <w:vAlign w:val="bottom"/>
            <w:shd w:val="clear" w:color="auto" w:fill="E8E7E5"/>
          </w:tcPr>
          <w:p>
            <w:pPr>
              <w:spacing w:after="0"/>
              <w:rPr>
                <w:sz w:val="21"/>
                <w:szCs w:val="21"/>
                <w:color w:val="auto"/>
              </w:rPr>
            </w:pPr>
          </w:p>
        </w:tc>
        <w:tc>
          <w:tcPr>
            <w:tcW w:w="760" w:type="dxa"/>
            <w:vAlign w:val="bottom"/>
            <w:shd w:val="clear" w:color="auto" w:fill="E8E7E5"/>
          </w:tcPr>
          <w:p>
            <w:pPr>
              <w:spacing w:after="0"/>
              <w:rPr>
                <w:sz w:val="21"/>
                <w:szCs w:val="21"/>
                <w:color w:val="auto"/>
              </w:rPr>
            </w:pPr>
          </w:p>
        </w:tc>
        <w:tc>
          <w:tcPr>
            <w:tcW w:w="20" w:type="dxa"/>
            <w:vAlign w:val="bottom"/>
            <w:shd w:val="clear" w:color="auto" w:fill="E8E7E5"/>
          </w:tcPr>
          <w:p>
            <w:pPr>
              <w:spacing w:after="0"/>
              <w:rPr>
                <w:sz w:val="21"/>
                <w:szCs w:val="21"/>
                <w:color w:val="auto"/>
              </w:rPr>
            </w:pPr>
          </w:p>
        </w:tc>
        <w:tc>
          <w:tcPr>
            <w:tcW w:w="300" w:type="dxa"/>
            <w:vAlign w:val="bottom"/>
            <w:shd w:val="clear" w:color="auto" w:fill="E8E7E5"/>
          </w:tcPr>
          <w:p>
            <w:pPr>
              <w:spacing w:after="0"/>
              <w:rPr>
                <w:sz w:val="21"/>
                <w:szCs w:val="21"/>
                <w:color w:val="auto"/>
              </w:rPr>
            </w:pPr>
          </w:p>
        </w:tc>
        <w:tc>
          <w:tcPr>
            <w:tcW w:w="640" w:type="dxa"/>
            <w:vAlign w:val="bottom"/>
            <w:shd w:val="clear" w:color="auto" w:fill="E8E7E5"/>
          </w:tcPr>
          <w:p>
            <w:pPr>
              <w:spacing w:after="0"/>
              <w:rPr>
                <w:sz w:val="21"/>
                <w:szCs w:val="21"/>
                <w:color w:val="auto"/>
              </w:rPr>
            </w:pPr>
          </w:p>
        </w:tc>
        <w:tc>
          <w:tcPr>
            <w:tcW w:w="40" w:type="dxa"/>
            <w:vAlign w:val="bottom"/>
            <w:shd w:val="clear" w:color="auto" w:fill="E8E7E5"/>
          </w:tcPr>
          <w:p>
            <w:pPr>
              <w:spacing w:after="0"/>
              <w:rPr>
                <w:sz w:val="21"/>
                <w:szCs w:val="21"/>
                <w:color w:val="auto"/>
              </w:rPr>
            </w:pPr>
          </w:p>
        </w:tc>
        <w:tc>
          <w:tcPr>
            <w:tcW w:w="280" w:type="dxa"/>
            <w:vAlign w:val="bottom"/>
            <w:shd w:val="clear" w:color="auto" w:fill="E8E7E5"/>
          </w:tcPr>
          <w:p>
            <w:pPr>
              <w:spacing w:after="0"/>
              <w:rPr>
                <w:sz w:val="21"/>
                <w:szCs w:val="21"/>
                <w:color w:val="auto"/>
              </w:rPr>
            </w:pPr>
          </w:p>
        </w:tc>
        <w:tc>
          <w:tcPr>
            <w:tcW w:w="740" w:type="dxa"/>
            <w:vAlign w:val="bottom"/>
            <w:shd w:val="clear" w:color="auto" w:fill="E8E7E5"/>
          </w:tcPr>
          <w:p>
            <w:pPr>
              <w:spacing w:after="0"/>
              <w:rPr>
                <w:sz w:val="21"/>
                <w:szCs w:val="21"/>
                <w:color w:val="auto"/>
              </w:rPr>
            </w:pPr>
          </w:p>
        </w:tc>
        <w:tc>
          <w:tcPr>
            <w:tcW w:w="20" w:type="dxa"/>
            <w:vAlign w:val="bottom"/>
            <w:shd w:val="clear" w:color="auto" w:fill="E8E7E5"/>
          </w:tcPr>
          <w:p>
            <w:pPr>
              <w:spacing w:after="0"/>
              <w:rPr>
                <w:sz w:val="21"/>
                <w:szCs w:val="21"/>
                <w:color w:val="auto"/>
              </w:rPr>
            </w:pPr>
          </w:p>
        </w:tc>
      </w:tr>
      <w:tr>
        <w:trPr>
          <w:trHeight w:val="250"/>
        </w:trPr>
        <w:tc>
          <w:tcPr>
            <w:tcW w:w="7000" w:type="dxa"/>
            <w:vAlign w:val="bottom"/>
          </w:tcPr>
          <w:p>
            <w:pPr>
              <w:spacing w:after="0" w:line="250" w:lineRule="exact"/>
              <w:rPr>
                <w:sz w:val="20"/>
                <w:szCs w:val="20"/>
                <w:color w:val="auto"/>
              </w:rPr>
            </w:pPr>
            <w:r>
              <w:rPr>
                <w:rFonts w:ascii="Arial" w:cs="Arial" w:eastAsia="Arial" w:hAnsi="Arial"/>
                <w:sz w:val="18"/>
                <w:szCs w:val="18"/>
                <w:color w:val="231F20"/>
              </w:rPr>
              <w:t>New market tax credit transaction income, net</w:t>
            </w:r>
            <w:r>
              <w:rPr>
                <w:rFonts w:ascii="Arial" w:cs="Arial" w:eastAsia="Arial" w:hAnsi="Arial"/>
                <w:sz w:val="23"/>
                <w:szCs w:val="23"/>
                <w:color w:val="231F20"/>
                <w:vertAlign w:val="superscript"/>
              </w:rPr>
              <w:t>(3)</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231F20"/>
              </w:rPr>
              <w:t>(13,004)</w:t>
            </w:r>
          </w:p>
        </w:tc>
        <w:tc>
          <w:tcPr>
            <w:tcW w:w="300" w:type="dxa"/>
            <w:vAlign w:val="bottom"/>
          </w:tcPr>
          <w:p>
            <w:pPr>
              <w:spacing w:after="0"/>
              <w:rPr>
                <w:sz w:val="21"/>
                <w:szCs w:val="21"/>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231F20"/>
              </w:rPr>
              <w:t>-</w:t>
            </w:r>
          </w:p>
        </w:tc>
        <w:tc>
          <w:tcPr>
            <w:tcW w:w="2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231F20"/>
              </w:rPr>
              <w:t>-</w:t>
            </w:r>
          </w:p>
        </w:tc>
        <w:tc>
          <w:tcPr>
            <w:tcW w:w="20" w:type="dxa"/>
            <w:vAlign w:val="bottom"/>
          </w:tcPr>
          <w:p>
            <w:pPr>
              <w:spacing w:after="0"/>
              <w:rPr>
                <w:sz w:val="21"/>
                <w:szCs w:val="21"/>
                <w:color w:val="auto"/>
              </w:rPr>
            </w:pPr>
          </w:p>
        </w:tc>
      </w:tr>
      <w:tr>
        <w:trPr>
          <w:trHeight w:val="250"/>
        </w:trPr>
        <w:tc>
          <w:tcPr>
            <w:tcW w:w="7000" w:type="dxa"/>
            <w:vAlign w:val="bottom"/>
            <w:shd w:val="clear" w:color="auto" w:fill="E8E7E5"/>
          </w:tcPr>
          <w:p>
            <w:pPr>
              <w:spacing w:after="0"/>
              <w:rPr>
                <w:sz w:val="20"/>
                <w:szCs w:val="20"/>
                <w:color w:val="auto"/>
              </w:rPr>
            </w:pPr>
            <w:r>
              <w:rPr>
                <w:rFonts w:ascii="Arial" w:cs="Arial" w:eastAsia="Arial" w:hAnsi="Arial"/>
                <w:sz w:val="18"/>
                <w:szCs w:val="18"/>
                <w:color w:val="231F20"/>
              </w:rPr>
              <w:t>Executive transition costs</w:t>
            </w:r>
          </w:p>
        </w:tc>
        <w:tc>
          <w:tcPr>
            <w:tcW w:w="180" w:type="dxa"/>
            <w:vAlign w:val="bottom"/>
            <w:shd w:val="clear" w:color="auto" w:fill="E8E7E5"/>
          </w:tcPr>
          <w:p>
            <w:pPr>
              <w:spacing w:after="0"/>
              <w:rPr>
                <w:sz w:val="21"/>
                <w:szCs w:val="21"/>
                <w:color w:val="auto"/>
              </w:rPr>
            </w:pPr>
          </w:p>
        </w:tc>
        <w:tc>
          <w:tcPr>
            <w:tcW w:w="100" w:type="dxa"/>
            <w:vAlign w:val="bottom"/>
            <w:shd w:val="clear" w:color="auto" w:fill="E8E7E5"/>
          </w:tcPr>
          <w:p>
            <w:pPr>
              <w:spacing w:after="0"/>
              <w:rPr>
                <w:sz w:val="21"/>
                <w:szCs w:val="21"/>
                <w:color w:val="auto"/>
              </w:rPr>
            </w:pPr>
          </w:p>
        </w:tc>
        <w:tc>
          <w:tcPr>
            <w:tcW w:w="780" w:type="dxa"/>
            <w:vAlign w:val="bottom"/>
            <w:gridSpan w:val="2"/>
            <w:shd w:val="clear" w:color="auto" w:fill="E8E7E5"/>
          </w:tcPr>
          <w:p>
            <w:pPr>
              <w:jc w:val="right"/>
              <w:spacing w:after="0"/>
              <w:rPr>
                <w:sz w:val="20"/>
                <w:szCs w:val="20"/>
                <w:color w:val="auto"/>
              </w:rPr>
            </w:pPr>
            <w:r>
              <w:rPr>
                <w:rFonts w:ascii="Arial" w:cs="Arial" w:eastAsia="Arial" w:hAnsi="Arial"/>
                <w:sz w:val="18"/>
                <w:szCs w:val="18"/>
                <w:color w:val="231F20"/>
              </w:rPr>
              <w:t>-</w:t>
            </w:r>
          </w:p>
        </w:tc>
        <w:tc>
          <w:tcPr>
            <w:tcW w:w="300" w:type="dxa"/>
            <w:vAlign w:val="bottom"/>
            <w:shd w:val="clear" w:color="auto" w:fill="E8E7E5"/>
          </w:tcPr>
          <w:p>
            <w:pPr>
              <w:spacing w:after="0"/>
              <w:rPr>
                <w:sz w:val="21"/>
                <w:szCs w:val="21"/>
                <w:color w:val="auto"/>
              </w:rPr>
            </w:pPr>
          </w:p>
        </w:tc>
        <w:tc>
          <w:tcPr>
            <w:tcW w:w="680" w:type="dxa"/>
            <w:vAlign w:val="bottom"/>
            <w:gridSpan w:val="2"/>
            <w:shd w:val="clear" w:color="auto" w:fill="E8E7E5"/>
          </w:tcPr>
          <w:p>
            <w:pPr>
              <w:jc w:val="right"/>
              <w:ind w:right="20"/>
              <w:spacing w:after="0"/>
              <w:rPr>
                <w:sz w:val="20"/>
                <w:szCs w:val="20"/>
                <w:color w:val="auto"/>
              </w:rPr>
            </w:pPr>
            <w:r>
              <w:rPr>
                <w:rFonts w:ascii="Arial" w:cs="Arial" w:eastAsia="Arial" w:hAnsi="Arial"/>
                <w:sz w:val="18"/>
                <w:szCs w:val="18"/>
                <w:color w:val="231F20"/>
              </w:rPr>
              <w:t>3,687</w:t>
            </w:r>
          </w:p>
        </w:tc>
        <w:tc>
          <w:tcPr>
            <w:tcW w:w="280" w:type="dxa"/>
            <w:vAlign w:val="bottom"/>
            <w:shd w:val="clear" w:color="auto" w:fill="E8E7E5"/>
          </w:tcPr>
          <w:p>
            <w:pPr>
              <w:spacing w:after="0"/>
              <w:rPr>
                <w:sz w:val="21"/>
                <w:szCs w:val="21"/>
                <w:color w:val="auto"/>
              </w:rPr>
            </w:pPr>
          </w:p>
        </w:tc>
        <w:tc>
          <w:tcPr>
            <w:tcW w:w="740" w:type="dxa"/>
            <w:vAlign w:val="bottom"/>
            <w:shd w:val="clear" w:color="auto" w:fill="E8E7E5"/>
          </w:tcPr>
          <w:p>
            <w:pPr>
              <w:jc w:val="right"/>
              <w:spacing w:after="0"/>
              <w:rPr>
                <w:sz w:val="20"/>
                <w:szCs w:val="20"/>
                <w:color w:val="auto"/>
              </w:rPr>
            </w:pPr>
            <w:r>
              <w:rPr>
                <w:rFonts w:ascii="Arial" w:cs="Arial" w:eastAsia="Arial" w:hAnsi="Arial"/>
                <w:sz w:val="18"/>
                <w:szCs w:val="18"/>
                <w:color w:val="231F20"/>
              </w:rPr>
              <w:t>-</w:t>
            </w:r>
          </w:p>
        </w:tc>
        <w:tc>
          <w:tcPr>
            <w:tcW w:w="20" w:type="dxa"/>
            <w:vAlign w:val="bottom"/>
            <w:shd w:val="clear" w:color="auto" w:fill="E8E7E5"/>
          </w:tcPr>
          <w:p>
            <w:pPr>
              <w:spacing w:after="0"/>
              <w:rPr>
                <w:sz w:val="21"/>
                <w:szCs w:val="21"/>
                <w:color w:val="auto"/>
              </w:rPr>
            </w:pPr>
          </w:p>
        </w:tc>
      </w:tr>
      <w:tr>
        <w:trPr>
          <w:trHeight w:val="246"/>
        </w:trPr>
        <w:tc>
          <w:tcPr>
            <w:tcW w:w="7000" w:type="dxa"/>
            <w:vAlign w:val="bottom"/>
          </w:tcPr>
          <w:p>
            <w:pPr>
              <w:spacing w:after="0"/>
              <w:rPr>
                <w:sz w:val="20"/>
                <w:szCs w:val="20"/>
                <w:color w:val="auto"/>
              </w:rPr>
            </w:pPr>
            <w:r>
              <w:rPr>
                <w:rFonts w:ascii="Arial" w:cs="Arial" w:eastAsia="Arial" w:hAnsi="Arial"/>
                <w:sz w:val="18"/>
                <w:szCs w:val="18"/>
                <w:color w:val="231F20"/>
              </w:rPr>
              <w:t>Collection of prior period rents deferred during COVID</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231F20"/>
              </w:rPr>
              <w:t>(261)</w:t>
            </w:r>
          </w:p>
        </w:tc>
        <w:tc>
          <w:tcPr>
            <w:tcW w:w="300" w:type="dxa"/>
            <w:vAlign w:val="bottom"/>
          </w:tcPr>
          <w:p>
            <w:pPr>
              <w:spacing w:after="0"/>
              <w:rPr>
                <w:sz w:val="21"/>
                <w:szCs w:val="21"/>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231F20"/>
              </w:rPr>
              <w:t>(3,218)</w:t>
            </w:r>
          </w:p>
        </w:tc>
        <w:tc>
          <w:tcPr>
            <w:tcW w:w="2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231F20"/>
              </w:rPr>
              <w:t>(5,136)</w:t>
            </w:r>
          </w:p>
        </w:tc>
        <w:tc>
          <w:tcPr>
            <w:tcW w:w="20" w:type="dxa"/>
            <w:vAlign w:val="bottom"/>
          </w:tcPr>
          <w:p>
            <w:pPr>
              <w:spacing w:after="0"/>
              <w:rPr>
                <w:sz w:val="21"/>
                <w:szCs w:val="21"/>
                <w:color w:val="auto"/>
              </w:rPr>
            </w:pPr>
          </w:p>
        </w:tc>
      </w:tr>
      <w:tr>
        <w:trPr>
          <w:trHeight w:val="74"/>
        </w:trPr>
        <w:tc>
          <w:tcPr>
            <w:tcW w:w="70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Borders>
              <w:bottom w:val="single" w:sz="8" w:color="231F20"/>
            </w:tcBorders>
          </w:tcPr>
          <w:p>
            <w:pPr>
              <w:spacing w:after="0"/>
              <w:rPr>
                <w:sz w:val="6"/>
                <w:szCs w:val="6"/>
                <w:color w:val="auto"/>
              </w:rPr>
            </w:pPr>
          </w:p>
        </w:tc>
        <w:tc>
          <w:tcPr>
            <w:tcW w:w="760" w:type="dxa"/>
            <w:vAlign w:val="bottom"/>
            <w:tcBorders>
              <w:bottom w:val="single" w:sz="8" w:color="231F20"/>
            </w:tcBorders>
          </w:tcPr>
          <w:p>
            <w:pPr>
              <w:spacing w:after="0"/>
              <w:rPr>
                <w:sz w:val="6"/>
                <w:szCs w:val="6"/>
                <w:color w:val="auto"/>
              </w:rPr>
            </w:pPr>
          </w:p>
        </w:tc>
        <w:tc>
          <w:tcPr>
            <w:tcW w:w="20" w:type="dxa"/>
            <w:vAlign w:val="bottom"/>
            <w:tcBorders>
              <w:bottom w:val="single" w:sz="8" w:color="231F20"/>
            </w:tcBorders>
          </w:tcPr>
          <w:p>
            <w:pPr>
              <w:spacing w:after="0"/>
              <w:rPr>
                <w:sz w:val="6"/>
                <w:szCs w:val="6"/>
                <w:color w:val="auto"/>
              </w:rPr>
            </w:pPr>
          </w:p>
        </w:tc>
        <w:tc>
          <w:tcPr>
            <w:tcW w:w="300" w:type="dxa"/>
            <w:vAlign w:val="bottom"/>
            <w:tcBorders>
              <w:bottom w:val="single" w:sz="8" w:color="231F20"/>
            </w:tcBorders>
          </w:tcPr>
          <w:p>
            <w:pPr>
              <w:spacing w:after="0"/>
              <w:rPr>
                <w:sz w:val="6"/>
                <w:szCs w:val="6"/>
                <w:color w:val="auto"/>
              </w:rPr>
            </w:pPr>
          </w:p>
        </w:tc>
        <w:tc>
          <w:tcPr>
            <w:tcW w:w="640" w:type="dxa"/>
            <w:vAlign w:val="bottom"/>
            <w:tcBorders>
              <w:bottom w:val="single" w:sz="8" w:color="231F20"/>
            </w:tcBorders>
          </w:tcPr>
          <w:p>
            <w:pPr>
              <w:spacing w:after="0"/>
              <w:rPr>
                <w:sz w:val="6"/>
                <w:szCs w:val="6"/>
                <w:color w:val="auto"/>
              </w:rPr>
            </w:pPr>
          </w:p>
        </w:tc>
        <w:tc>
          <w:tcPr>
            <w:tcW w:w="40" w:type="dxa"/>
            <w:vAlign w:val="bottom"/>
            <w:tcBorders>
              <w:bottom w:val="single" w:sz="8" w:color="231F20"/>
            </w:tcBorders>
          </w:tcPr>
          <w:p>
            <w:pPr>
              <w:spacing w:after="0"/>
              <w:rPr>
                <w:sz w:val="6"/>
                <w:szCs w:val="6"/>
                <w:color w:val="auto"/>
              </w:rPr>
            </w:pPr>
          </w:p>
        </w:tc>
        <w:tc>
          <w:tcPr>
            <w:tcW w:w="280" w:type="dxa"/>
            <w:vAlign w:val="bottom"/>
            <w:tcBorders>
              <w:bottom w:val="single" w:sz="8" w:color="231F20"/>
            </w:tcBorders>
          </w:tcPr>
          <w:p>
            <w:pPr>
              <w:spacing w:after="0"/>
              <w:rPr>
                <w:sz w:val="6"/>
                <w:szCs w:val="6"/>
                <w:color w:val="auto"/>
              </w:rPr>
            </w:pPr>
          </w:p>
        </w:tc>
        <w:tc>
          <w:tcPr>
            <w:tcW w:w="740" w:type="dxa"/>
            <w:vAlign w:val="bottom"/>
            <w:tcBorders>
              <w:bottom w:val="single" w:sz="8" w:color="231F20"/>
            </w:tcBorders>
          </w:tcPr>
          <w:p>
            <w:pPr>
              <w:spacing w:after="0"/>
              <w:rPr>
                <w:sz w:val="6"/>
                <w:szCs w:val="6"/>
                <w:color w:val="auto"/>
              </w:rPr>
            </w:pPr>
          </w:p>
        </w:tc>
        <w:tc>
          <w:tcPr>
            <w:tcW w:w="20" w:type="dxa"/>
            <w:vAlign w:val="bottom"/>
            <w:tcBorders>
              <w:bottom w:val="single" w:sz="8" w:color="231F20"/>
            </w:tcBorders>
          </w:tcPr>
          <w:p>
            <w:pPr>
              <w:spacing w:after="0"/>
              <w:rPr>
                <w:sz w:val="6"/>
                <w:szCs w:val="6"/>
                <w:color w:val="auto"/>
              </w:rPr>
            </w:pPr>
          </w:p>
        </w:tc>
      </w:tr>
      <w:tr>
        <w:trPr>
          <w:trHeight w:val="240"/>
        </w:trPr>
        <w:tc>
          <w:tcPr>
            <w:tcW w:w="7000" w:type="dxa"/>
            <w:vAlign w:val="bottom"/>
            <w:shd w:val="clear" w:color="auto" w:fill="E8E7E5"/>
          </w:tcPr>
          <w:p>
            <w:pPr>
              <w:ind w:left="180"/>
              <w:spacing w:after="0"/>
              <w:rPr>
                <w:sz w:val="20"/>
                <w:szCs w:val="20"/>
                <w:color w:val="auto"/>
              </w:rPr>
            </w:pPr>
            <w:r>
              <w:rPr>
                <w:rFonts w:ascii="Arial" w:cs="Arial" w:eastAsia="Arial" w:hAnsi="Arial"/>
                <w:sz w:val="18"/>
                <w:szCs w:val="18"/>
                <w:color w:val="231F20"/>
              </w:rPr>
              <w:t>Core FFO</w:t>
            </w:r>
          </w:p>
        </w:tc>
        <w:tc>
          <w:tcPr>
            <w:tcW w:w="280" w:type="dxa"/>
            <w:vAlign w:val="bottom"/>
            <w:gridSpan w:val="2"/>
            <w:shd w:val="clear" w:color="auto" w:fill="E8E7E5"/>
          </w:tcPr>
          <w:p>
            <w:pPr>
              <w:ind w:left="180"/>
              <w:spacing w:after="0"/>
              <w:rPr>
                <w:sz w:val="20"/>
                <w:szCs w:val="20"/>
                <w:color w:val="auto"/>
              </w:rPr>
            </w:pPr>
            <w:r>
              <w:rPr>
                <w:rFonts w:ascii="Arial" w:cs="Arial" w:eastAsia="Arial" w:hAnsi="Arial"/>
                <w:sz w:val="18"/>
                <w:szCs w:val="18"/>
                <w:color w:val="231F20"/>
                <w:w w:val="79"/>
              </w:rPr>
              <w:t>$</w:t>
            </w:r>
          </w:p>
        </w:tc>
        <w:tc>
          <w:tcPr>
            <w:tcW w:w="780" w:type="dxa"/>
            <w:vAlign w:val="bottom"/>
            <w:gridSpan w:val="2"/>
            <w:shd w:val="clear" w:color="auto" w:fill="E8E7E5"/>
          </w:tcPr>
          <w:p>
            <w:pPr>
              <w:jc w:val="right"/>
              <w:spacing w:after="0"/>
              <w:rPr>
                <w:sz w:val="20"/>
                <w:szCs w:val="20"/>
                <w:color w:val="auto"/>
              </w:rPr>
            </w:pPr>
            <w:r>
              <w:rPr>
                <w:rFonts w:ascii="Arial" w:cs="Arial" w:eastAsia="Arial" w:hAnsi="Arial"/>
                <w:sz w:val="18"/>
                <w:szCs w:val="18"/>
                <w:color w:val="231F20"/>
              </w:rPr>
              <w:t>610,991</w:t>
            </w:r>
          </w:p>
        </w:tc>
        <w:tc>
          <w:tcPr>
            <w:tcW w:w="300" w:type="dxa"/>
            <w:vAlign w:val="bottom"/>
            <w:shd w:val="clear" w:color="auto" w:fill="E8E7E5"/>
          </w:tcPr>
          <w:p>
            <w:pPr>
              <w:jc w:val="right"/>
              <w:spacing w:after="0"/>
              <w:rPr>
                <w:sz w:val="20"/>
                <w:szCs w:val="20"/>
                <w:color w:val="auto"/>
              </w:rPr>
            </w:pPr>
            <w:r>
              <w:rPr>
                <w:rFonts w:ascii="Arial" w:cs="Arial" w:eastAsia="Arial" w:hAnsi="Arial"/>
                <w:sz w:val="18"/>
                <w:szCs w:val="18"/>
                <w:color w:val="231F20"/>
              </w:rPr>
              <w:t>$</w:t>
            </w:r>
          </w:p>
        </w:tc>
        <w:tc>
          <w:tcPr>
            <w:tcW w:w="680" w:type="dxa"/>
            <w:vAlign w:val="bottom"/>
            <w:gridSpan w:val="2"/>
            <w:shd w:val="clear" w:color="auto" w:fill="E8E7E5"/>
          </w:tcPr>
          <w:p>
            <w:pPr>
              <w:jc w:val="right"/>
              <w:ind w:right="20"/>
              <w:spacing w:after="0"/>
              <w:rPr>
                <w:sz w:val="20"/>
                <w:szCs w:val="20"/>
                <w:color w:val="auto"/>
              </w:rPr>
            </w:pPr>
            <w:r>
              <w:rPr>
                <w:rFonts w:ascii="Arial" w:cs="Arial" w:eastAsia="Arial" w:hAnsi="Arial"/>
                <w:sz w:val="18"/>
                <w:szCs w:val="18"/>
                <w:color w:val="231F20"/>
                <w:w w:val="98"/>
              </w:rPr>
              <w:t>570,708</w:t>
            </w:r>
          </w:p>
        </w:tc>
        <w:tc>
          <w:tcPr>
            <w:tcW w:w="280" w:type="dxa"/>
            <w:vAlign w:val="bottom"/>
            <w:shd w:val="clear" w:color="auto" w:fill="E8E7E5"/>
          </w:tcPr>
          <w:p>
            <w:pPr>
              <w:jc w:val="right"/>
              <w:spacing w:after="0"/>
              <w:rPr>
                <w:sz w:val="20"/>
                <w:szCs w:val="20"/>
                <w:color w:val="auto"/>
              </w:rPr>
            </w:pPr>
            <w:r>
              <w:rPr>
                <w:rFonts w:ascii="Arial" w:cs="Arial" w:eastAsia="Arial" w:hAnsi="Arial"/>
                <w:sz w:val="18"/>
                <w:szCs w:val="18"/>
                <w:color w:val="231F20"/>
              </w:rPr>
              <w:t>$</w:t>
            </w:r>
          </w:p>
        </w:tc>
        <w:tc>
          <w:tcPr>
            <w:tcW w:w="740" w:type="dxa"/>
            <w:vAlign w:val="bottom"/>
            <w:shd w:val="clear" w:color="auto" w:fill="E8E7E5"/>
          </w:tcPr>
          <w:p>
            <w:pPr>
              <w:jc w:val="right"/>
              <w:spacing w:after="0"/>
              <w:rPr>
                <w:sz w:val="20"/>
                <w:szCs w:val="20"/>
                <w:color w:val="auto"/>
              </w:rPr>
            </w:pPr>
            <w:r>
              <w:rPr>
                <w:rFonts w:ascii="Arial" w:cs="Arial" w:eastAsia="Arial" w:hAnsi="Arial"/>
                <w:sz w:val="18"/>
                <w:szCs w:val="18"/>
                <w:color w:val="231F20"/>
              </w:rPr>
              <w:t>532,177</w:t>
            </w:r>
          </w:p>
        </w:tc>
        <w:tc>
          <w:tcPr>
            <w:tcW w:w="20" w:type="dxa"/>
            <w:vAlign w:val="bottom"/>
            <w:shd w:val="clear" w:color="auto" w:fill="E8E7E5"/>
          </w:tcPr>
          <w:p>
            <w:pPr>
              <w:spacing w:after="0"/>
              <w:rPr>
                <w:sz w:val="20"/>
                <w:szCs w:val="20"/>
                <w:color w:val="auto"/>
              </w:rPr>
            </w:pPr>
          </w:p>
        </w:tc>
      </w:tr>
      <w:tr>
        <w:trPr>
          <w:trHeight w:val="70"/>
        </w:trPr>
        <w:tc>
          <w:tcPr>
            <w:tcW w:w="70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Borders>
              <w:bottom w:val="single" w:sz="8" w:color="231F20"/>
            </w:tcBorders>
          </w:tcPr>
          <w:p>
            <w:pPr>
              <w:spacing w:after="0"/>
              <w:rPr>
                <w:sz w:val="6"/>
                <w:szCs w:val="6"/>
                <w:color w:val="auto"/>
              </w:rPr>
            </w:pPr>
          </w:p>
        </w:tc>
        <w:tc>
          <w:tcPr>
            <w:tcW w:w="780" w:type="dxa"/>
            <w:vAlign w:val="bottom"/>
            <w:tcBorders>
              <w:bottom w:val="single" w:sz="8" w:color="231F20"/>
            </w:tcBorders>
            <w:gridSpan w:val="2"/>
          </w:tcPr>
          <w:p>
            <w:pPr>
              <w:spacing w:after="0"/>
              <w:rPr>
                <w:sz w:val="6"/>
                <w:szCs w:val="6"/>
                <w:color w:val="auto"/>
              </w:rPr>
            </w:pPr>
          </w:p>
        </w:tc>
        <w:tc>
          <w:tcPr>
            <w:tcW w:w="300" w:type="dxa"/>
            <w:vAlign w:val="bottom"/>
            <w:tcBorders>
              <w:bottom w:val="single" w:sz="8" w:color="231F20"/>
            </w:tcBorders>
          </w:tcPr>
          <w:p>
            <w:pPr>
              <w:spacing w:after="0"/>
              <w:rPr>
                <w:sz w:val="6"/>
                <w:szCs w:val="6"/>
                <w:color w:val="auto"/>
              </w:rPr>
            </w:pPr>
          </w:p>
        </w:tc>
        <w:tc>
          <w:tcPr>
            <w:tcW w:w="680" w:type="dxa"/>
            <w:vAlign w:val="bottom"/>
            <w:tcBorders>
              <w:bottom w:val="single" w:sz="8" w:color="231F20"/>
            </w:tcBorders>
            <w:gridSpan w:val="2"/>
          </w:tcPr>
          <w:p>
            <w:pPr>
              <w:spacing w:after="0"/>
              <w:rPr>
                <w:sz w:val="6"/>
                <w:szCs w:val="6"/>
                <w:color w:val="auto"/>
              </w:rPr>
            </w:pPr>
          </w:p>
        </w:tc>
        <w:tc>
          <w:tcPr>
            <w:tcW w:w="280" w:type="dxa"/>
            <w:vAlign w:val="bottom"/>
            <w:tcBorders>
              <w:bottom w:val="single" w:sz="8" w:color="231F20"/>
            </w:tcBorders>
          </w:tcPr>
          <w:p>
            <w:pPr>
              <w:spacing w:after="0"/>
              <w:rPr>
                <w:sz w:val="6"/>
                <w:szCs w:val="6"/>
                <w:color w:val="auto"/>
              </w:rPr>
            </w:pPr>
          </w:p>
        </w:tc>
        <w:tc>
          <w:tcPr>
            <w:tcW w:w="740" w:type="dxa"/>
            <w:vAlign w:val="bottom"/>
            <w:tcBorders>
              <w:bottom w:val="single" w:sz="8" w:color="231F20"/>
            </w:tcBorders>
          </w:tcPr>
          <w:p>
            <w:pPr>
              <w:spacing w:after="0"/>
              <w:rPr>
                <w:sz w:val="6"/>
                <w:szCs w:val="6"/>
                <w:color w:val="auto"/>
              </w:rPr>
            </w:pPr>
          </w:p>
        </w:tc>
        <w:tc>
          <w:tcPr>
            <w:tcW w:w="20" w:type="dxa"/>
            <w:vAlign w:val="bottom"/>
            <w:tcBorders>
              <w:bottom w:val="single" w:sz="8" w:color="231F20"/>
            </w:tcBorders>
          </w:tcPr>
          <w:p>
            <w:pPr>
              <w:spacing w:after="0"/>
              <w:rPr>
                <w:sz w:val="6"/>
                <w:szCs w:val="6"/>
                <w:color w:val="auto"/>
              </w:rPr>
            </w:pPr>
          </w:p>
        </w:tc>
      </w:tr>
      <w:tr>
        <w:trPr>
          <w:trHeight w:val="20"/>
        </w:trPr>
        <w:tc>
          <w:tcPr>
            <w:tcW w:w="7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780" w:type="dxa"/>
            <w:vAlign w:val="bottom"/>
            <w:tcBorders>
              <w:bottom w:val="single" w:sz="8" w:color="231F20"/>
            </w:tcBorders>
            <w:gridSpan w:val="2"/>
          </w:tcPr>
          <w:p>
            <w:pPr>
              <w:spacing w:after="0" w:line="20" w:lineRule="exact"/>
              <w:rPr>
                <w:sz w:val="1"/>
                <w:szCs w:val="1"/>
                <w:color w:val="auto"/>
              </w:rPr>
            </w:pPr>
          </w:p>
        </w:tc>
        <w:tc>
          <w:tcPr>
            <w:tcW w:w="300" w:type="dxa"/>
            <w:vAlign w:val="bottom"/>
            <w:tcBorders>
              <w:bottom w:val="single" w:sz="8" w:color="231F20"/>
            </w:tcBorders>
          </w:tcPr>
          <w:p>
            <w:pPr>
              <w:spacing w:after="0" w:line="20" w:lineRule="exact"/>
              <w:rPr>
                <w:sz w:val="1"/>
                <w:szCs w:val="1"/>
                <w:color w:val="auto"/>
              </w:rPr>
            </w:pPr>
          </w:p>
        </w:tc>
        <w:tc>
          <w:tcPr>
            <w:tcW w:w="680" w:type="dxa"/>
            <w:vAlign w:val="bottom"/>
            <w:tcBorders>
              <w:bottom w:val="single" w:sz="8" w:color="231F20"/>
            </w:tcBorders>
            <w:gridSpan w:val="2"/>
          </w:tcPr>
          <w:p>
            <w:pPr>
              <w:spacing w:after="0" w:line="20" w:lineRule="exact"/>
              <w:rPr>
                <w:sz w:val="1"/>
                <w:szCs w:val="1"/>
                <w:color w:val="auto"/>
              </w:rPr>
            </w:pPr>
          </w:p>
        </w:tc>
        <w:tc>
          <w:tcPr>
            <w:tcW w:w="280" w:type="dxa"/>
            <w:vAlign w:val="bottom"/>
            <w:tcBorders>
              <w:bottom w:val="single" w:sz="8" w:color="231F20"/>
            </w:tcBorders>
          </w:tcPr>
          <w:p>
            <w:pPr>
              <w:spacing w:after="0" w:line="20" w:lineRule="exact"/>
              <w:rPr>
                <w:sz w:val="1"/>
                <w:szCs w:val="1"/>
                <w:color w:val="auto"/>
              </w:rPr>
            </w:pPr>
          </w:p>
        </w:tc>
        <w:tc>
          <w:tcPr>
            <w:tcW w:w="740" w:type="dxa"/>
            <w:vAlign w:val="bottom"/>
            <w:tcBorders>
              <w:bottom w:val="single" w:sz="8" w:color="231F20"/>
            </w:tcBorders>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r>
      <w:tr>
        <w:trPr>
          <w:trHeight w:val="305"/>
        </w:trPr>
        <w:tc>
          <w:tcPr>
            <w:tcW w:w="7000" w:type="dxa"/>
            <w:vAlign w:val="bottom"/>
          </w:tcPr>
          <w:p>
            <w:pPr>
              <w:spacing w:after="0"/>
              <w:rPr>
                <w:sz w:val="20"/>
                <w:szCs w:val="20"/>
                <w:color w:val="auto"/>
              </w:rPr>
            </w:pPr>
            <w:r>
              <w:rPr>
                <w:rFonts w:ascii="Arial" w:cs="Arial" w:eastAsia="Arial" w:hAnsi="Arial"/>
                <w:sz w:val="18"/>
                <w:szCs w:val="18"/>
                <w:color w:val="231F20"/>
              </w:rPr>
              <w:t>Core FFO per diluted share</w:t>
            </w:r>
            <w:r>
              <w:rPr>
                <w:rFonts w:ascii="Arial" w:cs="Arial" w:eastAsia="Arial" w:hAnsi="Arial"/>
                <w:sz w:val="23"/>
                <w:szCs w:val="23"/>
                <w:color w:val="231F20"/>
                <w:vertAlign w:val="superscript"/>
              </w:rPr>
              <w:t>(2)</w:t>
            </w:r>
          </w:p>
        </w:tc>
        <w:tc>
          <w:tcPr>
            <w:tcW w:w="280" w:type="dxa"/>
            <w:vAlign w:val="bottom"/>
            <w:gridSpan w:val="2"/>
          </w:tcPr>
          <w:p>
            <w:pPr>
              <w:ind w:left="180"/>
              <w:spacing w:after="0"/>
              <w:rPr>
                <w:sz w:val="20"/>
                <w:szCs w:val="20"/>
                <w:color w:val="auto"/>
              </w:rPr>
            </w:pPr>
            <w:r>
              <w:rPr>
                <w:rFonts w:ascii="Arial" w:cs="Arial" w:eastAsia="Arial" w:hAnsi="Arial"/>
                <w:sz w:val="18"/>
                <w:szCs w:val="18"/>
                <w:color w:val="231F20"/>
                <w:w w:val="79"/>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231F20"/>
              </w:rPr>
              <w:t>7.06</w:t>
            </w:r>
          </w:p>
        </w:tc>
        <w:tc>
          <w:tcPr>
            <w:tcW w:w="300" w:type="dxa"/>
            <w:vAlign w:val="bottom"/>
          </w:tcPr>
          <w:p>
            <w:pPr>
              <w:jc w:val="right"/>
              <w:spacing w:after="0"/>
              <w:rPr>
                <w:sz w:val="20"/>
                <w:szCs w:val="20"/>
                <w:color w:val="auto"/>
              </w:rPr>
            </w:pPr>
            <w:r>
              <w:rPr>
                <w:rFonts w:ascii="Arial" w:cs="Arial" w:eastAsia="Arial" w:hAnsi="Arial"/>
                <w:sz w:val="18"/>
                <w:szCs w:val="18"/>
                <w:color w:val="231F20"/>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231F20"/>
              </w:rPr>
              <w:t>6.77</w:t>
            </w:r>
          </w:p>
        </w:tc>
        <w:tc>
          <w:tcPr>
            <w:tcW w:w="280" w:type="dxa"/>
            <w:vAlign w:val="bottom"/>
          </w:tcPr>
          <w:p>
            <w:pPr>
              <w:jc w:val="right"/>
              <w:spacing w:after="0"/>
              <w:rPr>
                <w:sz w:val="20"/>
                <w:szCs w:val="20"/>
                <w:color w:val="auto"/>
              </w:rPr>
            </w:pPr>
            <w:r>
              <w:rPr>
                <w:rFonts w:ascii="Arial" w:cs="Arial" w:eastAsia="Arial" w:hAnsi="Arial"/>
                <w:sz w:val="18"/>
                <w:szCs w:val="18"/>
                <w:color w:val="231F20"/>
              </w:rPr>
              <w:t>$</w:t>
            </w:r>
          </w:p>
        </w:tc>
        <w:tc>
          <w:tcPr>
            <w:tcW w:w="740" w:type="dxa"/>
            <w:vAlign w:val="bottom"/>
          </w:tcPr>
          <w:p>
            <w:pPr>
              <w:jc w:val="right"/>
              <w:spacing w:after="0"/>
              <w:rPr>
                <w:sz w:val="20"/>
                <w:szCs w:val="20"/>
                <w:color w:val="auto"/>
              </w:rPr>
            </w:pPr>
            <w:r>
              <w:rPr>
                <w:rFonts w:ascii="Arial" w:cs="Arial" w:eastAsia="Arial" w:hAnsi="Arial"/>
                <w:sz w:val="18"/>
                <w:szCs w:val="18"/>
                <w:color w:val="231F20"/>
              </w:rPr>
              <w:t>6.49</w:t>
            </w: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57150</wp:posOffset>
                </wp:positionV>
                <wp:extent cx="609600" cy="0"/>
                <wp:wrapNone/>
                <wp:docPr id="549" name="Shape 5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9600"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549" o:spid="_x0000_s15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4.5pt" to="48pt,4.5pt" o:allowincell="f" strokecolor="#231F20" strokeweight="0.5pt"/>
            </w:pict>
          </mc:Fallback>
        </mc:AlternateContent>
      </w:r>
    </w:p>
    <w:p>
      <w:pPr>
        <w:spacing w:after="0" w:line="132" w:lineRule="exact"/>
        <w:rPr>
          <w:sz w:val="20"/>
          <w:szCs w:val="20"/>
          <w:color w:val="auto"/>
        </w:rPr>
      </w:pPr>
    </w:p>
    <w:p>
      <w:pPr>
        <w:jc w:val="both"/>
        <w:ind w:left="400" w:hanging="400"/>
        <w:spacing w:after="0" w:line="223" w:lineRule="auto"/>
        <w:tabs>
          <w:tab w:leader="none" w:pos="400" w:val="left"/>
        </w:tabs>
        <w:numPr>
          <w:ilvl w:val="0"/>
          <w:numId w:val="176"/>
        </w:numPr>
        <w:rPr>
          <w:rFonts w:ascii="Arial" w:cs="Arial" w:eastAsia="Arial" w:hAnsi="Arial"/>
          <w:sz w:val="26"/>
          <w:szCs w:val="26"/>
          <w:color w:val="231F20"/>
          <w:vertAlign w:val="superscript"/>
        </w:rPr>
      </w:pPr>
      <w:r>
        <w:rPr>
          <w:rFonts w:ascii="Arial" w:cs="Arial" w:eastAsia="Arial" w:hAnsi="Arial"/>
          <w:sz w:val="20"/>
          <w:szCs w:val="20"/>
          <w:color w:val="231F20"/>
        </w:rPr>
        <w:t>For the years ended December 31, 2025, 2024 and 2023, dividends on our Series 1 preferred stock were not deducted in the calculation of FFO available to common shareholders, as the related shares were dilutive and included in “weighted average number of common shares, diluted.”</w:t>
      </w:r>
    </w:p>
    <w:p>
      <w:pPr>
        <w:spacing w:after="0" w:line="14" w:lineRule="exact"/>
        <w:rPr>
          <w:rFonts w:ascii="Arial" w:cs="Arial" w:eastAsia="Arial" w:hAnsi="Arial"/>
          <w:sz w:val="26"/>
          <w:szCs w:val="26"/>
          <w:color w:val="231F20"/>
          <w:vertAlign w:val="superscript"/>
        </w:rPr>
      </w:pPr>
    </w:p>
    <w:p>
      <w:pPr>
        <w:jc w:val="both"/>
        <w:ind w:left="400" w:hanging="400"/>
        <w:spacing w:after="0" w:line="232" w:lineRule="auto"/>
        <w:tabs>
          <w:tab w:leader="none" w:pos="400" w:val="left"/>
        </w:tabs>
        <w:numPr>
          <w:ilvl w:val="0"/>
          <w:numId w:val="176"/>
        </w:numPr>
        <w:rPr>
          <w:rFonts w:ascii="Arial" w:cs="Arial" w:eastAsia="Arial" w:hAnsi="Arial"/>
          <w:sz w:val="26"/>
          <w:szCs w:val="26"/>
          <w:color w:val="231F20"/>
          <w:vertAlign w:val="superscript"/>
        </w:rPr>
      </w:pPr>
      <w:r>
        <w:rPr>
          <w:rFonts w:ascii="Arial" w:cs="Arial" w:eastAsia="Arial" w:hAnsi="Arial"/>
          <w:sz w:val="20"/>
          <w:szCs w:val="20"/>
          <w:color w:val="231F20"/>
        </w:rPr>
        <w:t>The weighted average common shares used to compute FFO per diluted common share includes shares issuable upon the assumed redemption of outstanding downREIT operating partnership units that were excluded from the computation of diluted EPS. The assumed issuance of shares upon redemption of these operating partnership units is dilutive in the computation of FFO per diluted common share but is anti-dilutive for the computation of diluted EPS for 2024 and 2023.</w:t>
      </w:r>
    </w:p>
    <w:p>
      <w:pPr>
        <w:spacing w:after="0" w:line="21" w:lineRule="exact"/>
        <w:rPr>
          <w:rFonts w:ascii="Arial" w:cs="Arial" w:eastAsia="Arial" w:hAnsi="Arial"/>
          <w:sz w:val="26"/>
          <w:szCs w:val="26"/>
          <w:color w:val="231F20"/>
          <w:vertAlign w:val="superscript"/>
        </w:rPr>
      </w:pPr>
    </w:p>
    <w:p>
      <w:pPr>
        <w:jc w:val="both"/>
        <w:ind w:left="400" w:hanging="400"/>
        <w:spacing w:after="0" w:line="223" w:lineRule="auto"/>
        <w:tabs>
          <w:tab w:leader="none" w:pos="400" w:val="left"/>
        </w:tabs>
        <w:numPr>
          <w:ilvl w:val="0"/>
          <w:numId w:val="176"/>
        </w:numPr>
        <w:rPr>
          <w:rFonts w:ascii="Arial" w:cs="Arial" w:eastAsia="Arial" w:hAnsi="Arial"/>
          <w:sz w:val="26"/>
          <w:szCs w:val="26"/>
          <w:color w:val="231F20"/>
          <w:vertAlign w:val="superscript"/>
        </w:rPr>
      </w:pPr>
      <w:r>
        <w:rPr>
          <w:rFonts w:ascii="Arial" w:cs="Arial" w:eastAsia="Arial" w:hAnsi="Arial"/>
          <w:sz w:val="20"/>
          <w:szCs w:val="20"/>
          <w:color w:val="231F20"/>
        </w:rPr>
        <w:t>The $13.0 million net new market tax credit transaction income for the year ended December 31, 2025 is due to the sale of new market tax credits related to Freedom Plaza. (See Note 7 to the consolidated financial statements in our Form 10-K filed with the SEC on February 12, 2026 for additional information.)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1516380</wp:posOffset>
                </wp:positionV>
                <wp:extent cx="6400800" cy="177800"/>
                <wp:wrapNone/>
                <wp:docPr id="550" name="Shape 5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177800"/>
                        </a:xfrm>
                        <a:prstGeom prst="rect">
                          <a:avLst/>
                        </a:prstGeom>
                        <a:solidFill>
                          <a:srgbClr val="E8E7E5"/>
                        </a:solidFill>
                      </wps:spPr>
                      <wps:bodyPr/>
                    </wps:wsp>
                  </a:graphicData>
                </a:graphic>
              </wp:anchor>
            </w:drawing>
          </mc:Choice>
          <mc:Fallback>
            <w:pict>
              <v:rect id="Shape 550" o:spid="_x0000_s1575" style="position:absolute;margin-left:0pt;margin-top:119.4pt;width:504pt;height:1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8E7E5" stroked="f"/>
            </w:pict>
          </mc:Fallback>
        </mc:AlternateContent>
        <mc:AlternateContent>
          <mc:Choice Requires="wps">
            <w:drawing>
              <wp:anchor simplePos="0" relativeHeight="251657728" behindDoc="1" locked="0" layoutInCell="0" allowOverlap="1">
                <wp:simplePos x="0" y="0"/>
                <wp:positionH relativeFrom="column">
                  <wp:posOffset>6350</wp:posOffset>
                </wp:positionH>
                <wp:positionV relativeFrom="paragraph">
                  <wp:posOffset>1516380</wp:posOffset>
                </wp:positionV>
                <wp:extent cx="0" cy="177800"/>
                <wp:wrapNone/>
                <wp:docPr id="551" name="Shape 5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551" o:spid="_x0000_s15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pt,119.4pt" to="0.5pt,133.4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1522730</wp:posOffset>
                </wp:positionV>
                <wp:extent cx="6400800" cy="0"/>
                <wp:wrapNone/>
                <wp:docPr id="552" name="Shape 5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552" o:spid="_x0000_s15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9.9pt" to="504pt,119.9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6394450</wp:posOffset>
                </wp:positionH>
                <wp:positionV relativeFrom="paragraph">
                  <wp:posOffset>1516380</wp:posOffset>
                </wp:positionV>
                <wp:extent cx="0" cy="177800"/>
                <wp:wrapNone/>
                <wp:docPr id="553" name="Shape 5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7800"/>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553" o:spid="_x0000_s15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3.5pt,119.4pt" to="503.5pt,133.4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1687830</wp:posOffset>
                </wp:positionV>
                <wp:extent cx="6400800" cy="0"/>
                <wp:wrapNone/>
                <wp:docPr id="554" name="Shape 5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554" o:spid="_x0000_s15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2.9pt" to="504pt,132.9pt" o:allowincell="f" strokecolor="#231F20" strokeweight="1pt"/>
            </w:pict>
          </mc:Fallback>
        </mc:AlternateContent>
      </w:r>
    </w:p>
    <w:p>
      <w:pPr>
        <w:sectPr>
          <w:pgSz w:w="11880" w:h="15480" w:orient="portrait"/>
          <w:cols w:equalWidth="0" w:num="1">
            <w:col w:w="10080"/>
          </w:cols>
          <w:pgMar w:left="900" w:top="1310" w:right="900" w:bottom="76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80"/>
        <w:spacing w:after="0"/>
        <w:tabs>
          <w:tab w:leader="none" w:pos="1420" w:val="left"/>
          <w:tab w:leader="none" w:pos="3160" w:val="left"/>
        </w:tabs>
        <w:rPr>
          <w:sz w:val="20"/>
          <w:szCs w:val="20"/>
          <w:color w:val="auto"/>
        </w:rPr>
      </w:pPr>
      <w:r>
        <w:rPr>
          <w:rFonts w:ascii="Arial" w:cs="Arial" w:eastAsia="Arial" w:hAnsi="Arial"/>
          <w:sz w:val="16"/>
          <w:szCs w:val="16"/>
          <w:color w:val="EF3E2A"/>
        </w:rPr>
        <w:t>Federal Realty</w:t>
      </w:r>
      <w:r>
        <w:rPr>
          <w:sz w:val="20"/>
          <w:szCs w:val="20"/>
          <w:color w:val="auto"/>
        </w:rPr>
        <w:tab/>
      </w:r>
      <w:r>
        <w:rPr>
          <w:rFonts w:ascii="Arial" w:cs="Arial" w:eastAsia="Arial" w:hAnsi="Arial"/>
          <w:sz w:val="16"/>
          <w:szCs w:val="16"/>
          <w:color w:val="231F20"/>
        </w:rPr>
        <w:t>2026 Proxy Statement</w:t>
        <w:tab/>
        <w:t>A-2</w:t>
      </w:r>
    </w:p>
    <w:p>
      <w:pPr>
        <w:sectPr>
          <w:pgSz w:w="11880" w:h="15480" w:orient="portrait"/>
          <w:cols w:equalWidth="0" w:num="1">
            <w:col w:w="10080"/>
          </w:cols>
          <w:pgMar w:left="900" w:top="1310" w:right="900" w:bottom="763" w:gutter="0" w:footer="0" w:header="0"/>
          <w:type w:val="continuous"/>
        </w:sectPr>
      </w:pPr>
    </w:p>
    <w:bookmarkStart w:id="170" w:name="page171"/>
    <w:bookmarkEnd w:id="170"/>
    <w:p>
      <w:pPr>
        <w:ind w:right="3720"/>
        <w:spacing w:after="0" w:line="233" w:lineRule="auto"/>
        <w:rPr>
          <w:sz w:val="20"/>
          <w:szCs w:val="20"/>
          <w:color w:val="auto"/>
        </w:rPr>
      </w:pPr>
      <w:r>
        <w:rPr>
          <w:rFonts w:ascii="Georgia Pro" w:cs="Georgia Pro" w:eastAsia="Georgia Pro" w:hAnsi="Georgia Pro"/>
          <w:sz w:val="99"/>
          <w:szCs w:val="99"/>
          <w:color w:val="262626"/>
        </w:rPr>
        <w:t>Corporate Information</w:t>
      </w:r>
    </w:p>
    <w:p>
      <w:pPr>
        <w:sectPr>
          <w:pgSz w:w="11880" w:h="15480" w:orient="portrait"/>
          <w:cols w:equalWidth="0" w:num="1">
            <w:col w:w="9120"/>
          </w:cols>
          <w:pgMar w:left="1380" w:top="1388" w:right="1380" w:bottom="791" w:gutter="0" w:footer="0" w:header="0"/>
        </w:sectPr>
      </w:pPr>
    </w:p>
    <w:p>
      <w:pPr>
        <w:spacing w:after="0" w:line="200" w:lineRule="exact"/>
        <w:rPr>
          <w:sz w:val="20"/>
          <w:szCs w:val="20"/>
          <w:color w:val="auto"/>
        </w:rPr>
      </w:pPr>
    </w:p>
    <w:p>
      <w:pPr>
        <w:spacing w:after="0" w:line="359" w:lineRule="exact"/>
        <w:rPr>
          <w:sz w:val="20"/>
          <w:szCs w:val="20"/>
          <w:color w:val="auto"/>
        </w:rPr>
      </w:pPr>
    </w:p>
    <w:p>
      <w:pPr>
        <w:spacing w:after="0"/>
        <w:tabs>
          <w:tab w:leader="none" w:pos="1580" w:val="left"/>
        </w:tabs>
        <w:rPr>
          <w:sz w:val="20"/>
          <w:szCs w:val="20"/>
          <w:color w:val="auto"/>
        </w:rPr>
      </w:pPr>
      <w:r>
        <w:rPr>
          <w:rFonts w:ascii="Lucida Sans" w:cs="Lucida Sans" w:eastAsia="Lucida Sans" w:hAnsi="Lucida Sans"/>
          <w:sz w:val="16"/>
          <w:szCs w:val="16"/>
          <w:b w:val="1"/>
          <w:bCs w:val="1"/>
          <w:color w:val="EF3E2A"/>
        </w:rPr>
        <w:t>C O R P O R A T E</w:t>
        <w:tab/>
        <w:t>O F F I C E</w:t>
      </w:r>
    </w:p>
    <w:p>
      <w:pPr>
        <w:spacing w:after="0" w:line="151" w:lineRule="exact"/>
        <w:rPr>
          <w:sz w:val="20"/>
          <w:szCs w:val="20"/>
          <w:color w:val="auto"/>
        </w:rPr>
      </w:pPr>
    </w:p>
    <w:p>
      <w:pPr>
        <w:spacing w:after="0"/>
        <w:rPr>
          <w:sz w:val="20"/>
          <w:szCs w:val="20"/>
          <w:color w:val="auto"/>
        </w:rPr>
      </w:pPr>
      <w:r>
        <w:rPr>
          <w:rFonts w:ascii="Lucida Sans" w:cs="Lucida Sans" w:eastAsia="Lucida Sans" w:hAnsi="Lucida Sans"/>
          <w:sz w:val="16"/>
          <w:szCs w:val="16"/>
          <w:color w:val="262626"/>
        </w:rPr>
        <w:t>909 Rose Avenue, Suite 200</w:t>
      </w:r>
    </w:p>
    <w:p>
      <w:pPr>
        <w:spacing w:after="0" w:line="32" w:lineRule="exact"/>
        <w:rPr>
          <w:sz w:val="20"/>
          <w:szCs w:val="20"/>
          <w:color w:val="auto"/>
        </w:rPr>
      </w:pPr>
    </w:p>
    <w:p>
      <w:pPr>
        <w:spacing w:after="0"/>
        <w:rPr>
          <w:sz w:val="20"/>
          <w:szCs w:val="20"/>
          <w:color w:val="auto"/>
        </w:rPr>
      </w:pPr>
      <w:r>
        <w:rPr>
          <w:rFonts w:ascii="Lucida Sans" w:cs="Lucida Sans" w:eastAsia="Lucida Sans" w:hAnsi="Lucida Sans"/>
          <w:sz w:val="16"/>
          <w:szCs w:val="16"/>
          <w:color w:val="262626"/>
        </w:rPr>
        <w:t>North Bethesda, MD 20852</w:t>
      </w:r>
    </w:p>
    <w:p>
      <w:pPr>
        <w:spacing w:after="0" w:line="32" w:lineRule="exact"/>
        <w:rPr>
          <w:sz w:val="20"/>
          <w:szCs w:val="20"/>
          <w:color w:val="auto"/>
        </w:rPr>
      </w:pPr>
    </w:p>
    <w:p>
      <w:pPr>
        <w:spacing w:after="0"/>
        <w:rPr>
          <w:sz w:val="20"/>
          <w:szCs w:val="20"/>
          <w:color w:val="auto"/>
        </w:rPr>
      </w:pPr>
      <w:r>
        <w:rPr>
          <w:rFonts w:ascii="Lucida Sans" w:cs="Lucida Sans" w:eastAsia="Lucida Sans" w:hAnsi="Lucida Sans"/>
          <w:sz w:val="16"/>
          <w:szCs w:val="16"/>
          <w:color w:val="262626"/>
        </w:rPr>
        <w:t>301.998.8100</w:t>
      </w:r>
    </w:p>
    <w:p>
      <w:pPr>
        <w:spacing w:after="0" w:line="392" w:lineRule="exact"/>
        <w:rPr>
          <w:sz w:val="20"/>
          <w:szCs w:val="20"/>
          <w:color w:val="auto"/>
        </w:rPr>
      </w:pPr>
    </w:p>
    <w:p>
      <w:pPr>
        <w:spacing w:after="0"/>
        <w:tabs>
          <w:tab w:leader="none" w:pos="1580" w:val="left"/>
        </w:tabs>
        <w:rPr>
          <w:sz w:val="20"/>
          <w:szCs w:val="20"/>
          <w:color w:val="auto"/>
        </w:rPr>
      </w:pPr>
      <w:r>
        <w:rPr>
          <w:rFonts w:ascii="Lucida Sans" w:cs="Lucida Sans" w:eastAsia="Lucida Sans" w:hAnsi="Lucida Sans"/>
          <w:sz w:val="16"/>
          <w:szCs w:val="16"/>
          <w:b w:val="1"/>
          <w:bCs w:val="1"/>
          <w:color w:val="EF3E2A"/>
        </w:rPr>
        <w:t>C O R P O R A T E</w:t>
        <w:tab/>
        <w:t>C O U N S E L</w:t>
      </w:r>
    </w:p>
    <w:p>
      <w:pPr>
        <w:spacing w:after="0" w:line="151" w:lineRule="exact"/>
        <w:rPr>
          <w:sz w:val="20"/>
          <w:szCs w:val="20"/>
          <w:color w:val="auto"/>
        </w:rPr>
      </w:pPr>
    </w:p>
    <w:p>
      <w:pPr>
        <w:ind w:right="1480"/>
        <w:spacing w:after="0" w:line="281" w:lineRule="auto"/>
        <w:rPr>
          <w:sz w:val="20"/>
          <w:szCs w:val="20"/>
          <w:color w:val="auto"/>
        </w:rPr>
      </w:pPr>
      <w:r>
        <w:rPr>
          <w:rFonts w:ascii="Lucida Sans" w:cs="Lucida Sans" w:eastAsia="Lucida Sans" w:hAnsi="Lucida Sans"/>
          <w:sz w:val="16"/>
          <w:szCs w:val="16"/>
          <w:color w:val="262626"/>
        </w:rPr>
        <w:t>Pillsbury Winthrop Shaw Pittman LLP Washington, DC</w:t>
      </w:r>
    </w:p>
    <w:p>
      <w:pPr>
        <w:spacing w:after="0" w:line="361" w:lineRule="exact"/>
        <w:rPr>
          <w:sz w:val="20"/>
          <w:szCs w:val="20"/>
          <w:color w:val="auto"/>
        </w:rPr>
      </w:pPr>
    </w:p>
    <w:p>
      <w:pPr>
        <w:ind w:right="940"/>
        <w:spacing w:after="0" w:line="278" w:lineRule="auto"/>
        <w:rPr>
          <w:sz w:val="20"/>
          <w:szCs w:val="20"/>
          <w:color w:val="auto"/>
        </w:rPr>
      </w:pPr>
      <w:r>
        <w:rPr>
          <w:rFonts w:ascii="Lucida Sans" w:cs="Lucida Sans" w:eastAsia="Lucida Sans" w:hAnsi="Lucida Sans"/>
          <w:sz w:val="16"/>
          <w:szCs w:val="16"/>
          <w:b w:val="1"/>
          <w:bCs w:val="1"/>
          <w:color w:val="EF3E2A"/>
        </w:rPr>
        <w:t>I N D E P E N D E N T R E G I S T E R E D P U B L I C A C C O U N T I N G F I R M</w:t>
      </w:r>
    </w:p>
    <w:p>
      <w:pPr>
        <w:spacing w:after="0" w:line="121" w:lineRule="exact"/>
        <w:rPr>
          <w:sz w:val="20"/>
          <w:szCs w:val="20"/>
          <w:color w:val="auto"/>
        </w:rPr>
      </w:pPr>
    </w:p>
    <w:p>
      <w:pPr>
        <w:spacing w:after="0"/>
        <w:rPr>
          <w:sz w:val="20"/>
          <w:szCs w:val="20"/>
          <w:color w:val="auto"/>
        </w:rPr>
      </w:pPr>
      <w:r>
        <w:rPr>
          <w:rFonts w:ascii="Lucida Sans" w:cs="Lucida Sans" w:eastAsia="Lucida Sans" w:hAnsi="Lucida Sans"/>
          <w:sz w:val="16"/>
          <w:szCs w:val="16"/>
          <w:color w:val="262626"/>
        </w:rPr>
        <w:t>Grant Thornton LLP</w:t>
      </w:r>
    </w:p>
    <w:p>
      <w:pPr>
        <w:spacing w:after="0" w:line="32" w:lineRule="exact"/>
        <w:rPr>
          <w:sz w:val="20"/>
          <w:szCs w:val="20"/>
          <w:color w:val="auto"/>
        </w:rPr>
      </w:pPr>
    </w:p>
    <w:p>
      <w:pPr>
        <w:spacing w:after="0"/>
        <w:rPr>
          <w:sz w:val="20"/>
          <w:szCs w:val="20"/>
          <w:color w:val="auto"/>
        </w:rPr>
      </w:pPr>
      <w:r>
        <w:rPr>
          <w:rFonts w:ascii="Lucida Sans" w:cs="Lucida Sans" w:eastAsia="Lucida Sans" w:hAnsi="Lucida Sans"/>
          <w:sz w:val="16"/>
          <w:szCs w:val="16"/>
          <w:color w:val="262626"/>
        </w:rPr>
        <w:t>New York, NY</w:t>
      </w:r>
    </w:p>
    <w:p>
      <w:pPr>
        <w:spacing w:after="0" w:line="392" w:lineRule="exact"/>
        <w:rPr>
          <w:sz w:val="20"/>
          <w:szCs w:val="20"/>
          <w:color w:val="auto"/>
        </w:rPr>
      </w:pPr>
    </w:p>
    <w:p>
      <w:pPr>
        <w:spacing w:after="0"/>
        <w:tabs>
          <w:tab w:leader="none" w:pos="1360" w:val="left"/>
          <w:tab w:leader="none" w:pos="2300" w:val="left"/>
          <w:tab w:leader="none" w:pos="2920" w:val="left"/>
        </w:tabs>
        <w:rPr>
          <w:sz w:val="20"/>
          <w:szCs w:val="20"/>
          <w:color w:val="auto"/>
        </w:rPr>
      </w:pPr>
      <w:r>
        <w:rPr>
          <w:rFonts w:ascii="Lucida Sans" w:cs="Lucida Sans" w:eastAsia="Lucida Sans" w:hAnsi="Lucida Sans"/>
          <w:sz w:val="16"/>
          <w:szCs w:val="16"/>
          <w:b w:val="1"/>
          <w:bCs w:val="1"/>
          <w:color w:val="EF3E2A"/>
        </w:rPr>
        <w:t>T R A N S F E R</w:t>
        <w:tab/>
        <w:t>A G E N T</w:t>
        <w:tab/>
        <w:t>A N D</w:t>
        <w:tab/>
        <w:t>R E G I S T R A R</w:t>
      </w:r>
    </w:p>
    <w:p>
      <w:pPr>
        <w:spacing w:after="0" w:line="151" w:lineRule="exact"/>
        <w:rPr>
          <w:sz w:val="20"/>
          <w:szCs w:val="20"/>
          <w:color w:val="auto"/>
        </w:rPr>
      </w:pPr>
    </w:p>
    <w:p>
      <w:pPr>
        <w:ind w:right="760"/>
        <w:spacing w:after="0" w:line="280" w:lineRule="auto"/>
        <w:rPr>
          <w:sz w:val="20"/>
          <w:szCs w:val="20"/>
          <w:color w:val="auto"/>
        </w:rPr>
      </w:pPr>
      <w:r>
        <w:rPr>
          <w:rFonts w:ascii="Lucida Sans" w:cs="Lucida Sans" w:eastAsia="Lucida Sans" w:hAnsi="Lucida Sans"/>
          <w:sz w:val="16"/>
          <w:szCs w:val="16"/>
          <w:color w:val="262626"/>
        </w:rPr>
        <w:t>Equiniti Trust Company, LLC (successor to American Stock Transfer and Trust Company) Attn: EQ - Automated Scanning Team</w:t>
      </w:r>
    </w:p>
    <w:p>
      <w:pPr>
        <w:ind w:right="1460"/>
        <w:spacing w:after="0" w:line="280" w:lineRule="auto"/>
        <w:rPr>
          <w:sz w:val="20"/>
          <w:szCs w:val="20"/>
          <w:color w:val="auto"/>
        </w:rPr>
      </w:pPr>
      <w:r>
        <w:rPr>
          <w:rFonts w:ascii="Lucida Sans" w:cs="Lucida Sans" w:eastAsia="Lucida Sans" w:hAnsi="Lucida Sans"/>
          <w:sz w:val="16"/>
          <w:szCs w:val="16"/>
          <w:color w:val="262626"/>
        </w:rPr>
        <w:t>1110 Centre Pointe Curve, Suite 101 Mendota Heights, MN 55120-4100 718.921.8157</w:t>
      </w:r>
    </w:p>
    <w:p>
      <w:pPr>
        <w:spacing w:after="0"/>
        <w:rPr>
          <w:sz w:val="20"/>
          <w:szCs w:val="20"/>
          <w:color w:val="auto"/>
        </w:rPr>
      </w:pPr>
      <w:r>
        <w:rPr>
          <w:rFonts w:ascii="Lucida Sans" w:cs="Lucida Sans" w:eastAsia="Lucida Sans" w:hAnsi="Lucida Sans"/>
          <w:sz w:val="16"/>
          <w:szCs w:val="16"/>
          <w:color w:val="262626"/>
        </w:rPr>
        <w:t>800.937.5449</w:t>
      </w:r>
    </w:p>
    <w:p>
      <w:pPr>
        <w:spacing w:after="0" w:line="32" w:lineRule="exact"/>
        <w:rPr>
          <w:sz w:val="20"/>
          <w:szCs w:val="20"/>
          <w:color w:val="auto"/>
        </w:rPr>
      </w:pPr>
    </w:p>
    <w:p>
      <w:pPr>
        <w:spacing w:after="0"/>
        <w:rPr>
          <w:sz w:val="20"/>
          <w:szCs w:val="20"/>
          <w:color w:val="auto"/>
        </w:rPr>
      </w:pPr>
      <w:r>
        <w:rPr>
          <w:rFonts w:ascii="Lucida Sans" w:cs="Lucida Sans" w:eastAsia="Lucida Sans" w:hAnsi="Lucida Sans"/>
          <w:sz w:val="16"/>
          <w:szCs w:val="16"/>
          <w:color w:val="262626"/>
        </w:rPr>
        <w:t>www.astfinancial.com</w:t>
      </w:r>
    </w:p>
    <w:p>
      <w:pPr>
        <w:spacing w:after="0" w:line="392" w:lineRule="exact"/>
        <w:rPr>
          <w:sz w:val="20"/>
          <w:szCs w:val="20"/>
          <w:color w:val="auto"/>
        </w:rPr>
      </w:pPr>
    </w:p>
    <w:p>
      <w:pPr>
        <w:spacing w:after="0"/>
        <w:tabs>
          <w:tab w:leader="none" w:pos="1180" w:val="left"/>
          <w:tab w:leader="none" w:pos="2120" w:val="left"/>
        </w:tabs>
        <w:rPr>
          <w:sz w:val="20"/>
          <w:szCs w:val="20"/>
          <w:color w:val="auto"/>
        </w:rPr>
      </w:pPr>
      <w:r>
        <w:rPr>
          <w:rFonts w:ascii="Lucida Sans" w:cs="Lucida Sans" w:eastAsia="Lucida Sans" w:hAnsi="Lucida Sans"/>
          <w:sz w:val="16"/>
          <w:szCs w:val="16"/>
          <w:b w:val="1"/>
          <w:bCs w:val="1"/>
          <w:color w:val="EF3E2A"/>
        </w:rPr>
        <w:t>C O M M O N</w:t>
        <w:tab/>
        <w:t>S T O C K</w:t>
        <w:tab/>
        <w:t>L I S T I N G</w:t>
      </w:r>
    </w:p>
    <w:p>
      <w:pPr>
        <w:spacing w:after="0" w:line="151" w:lineRule="exact"/>
        <w:rPr>
          <w:sz w:val="20"/>
          <w:szCs w:val="20"/>
          <w:color w:val="auto"/>
        </w:rPr>
      </w:pPr>
    </w:p>
    <w:p>
      <w:pPr>
        <w:spacing w:after="0"/>
        <w:rPr>
          <w:sz w:val="20"/>
          <w:szCs w:val="20"/>
          <w:color w:val="auto"/>
        </w:rPr>
      </w:pPr>
      <w:r>
        <w:rPr>
          <w:rFonts w:ascii="Lucida Sans" w:cs="Lucida Sans" w:eastAsia="Lucida Sans" w:hAnsi="Lucida Sans"/>
          <w:sz w:val="16"/>
          <w:szCs w:val="16"/>
          <w:color w:val="262626"/>
        </w:rPr>
        <w:t>New York Stock Exchange</w:t>
      </w:r>
    </w:p>
    <w:p>
      <w:pPr>
        <w:spacing w:after="0" w:line="32" w:lineRule="exact"/>
        <w:rPr>
          <w:sz w:val="20"/>
          <w:szCs w:val="20"/>
          <w:color w:val="auto"/>
        </w:rPr>
      </w:pPr>
    </w:p>
    <w:p>
      <w:pPr>
        <w:spacing w:after="0"/>
        <w:rPr>
          <w:sz w:val="20"/>
          <w:szCs w:val="20"/>
          <w:color w:val="auto"/>
        </w:rPr>
      </w:pPr>
      <w:r>
        <w:rPr>
          <w:rFonts w:ascii="Lucida Sans" w:cs="Lucida Sans" w:eastAsia="Lucida Sans" w:hAnsi="Lucida Sans"/>
          <w:sz w:val="16"/>
          <w:szCs w:val="16"/>
          <w:color w:val="262626"/>
        </w:rPr>
        <w:t>Symbol: FRT</w:t>
      </w:r>
    </w:p>
    <w:p>
      <w:pPr>
        <w:spacing w:after="0" w:line="392" w:lineRule="exact"/>
        <w:rPr>
          <w:sz w:val="20"/>
          <w:szCs w:val="20"/>
          <w:color w:val="auto"/>
        </w:rPr>
      </w:pPr>
    </w:p>
    <w:p>
      <w:pPr>
        <w:spacing w:after="0"/>
        <w:rPr>
          <w:sz w:val="20"/>
          <w:szCs w:val="20"/>
          <w:color w:val="auto"/>
        </w:rPr>
      </w:pPr>
      <w:r>
        <w:rPr>
          <w:rFonts w:ascii="Lucida Sans" w:cs="Lucida Sans" w:eastAsia="Lucida Sans" w:hAnsi="Lucida Sans"/>
          <w:sz w:val="16"/>
          <w:szCs w:val="16"/>
          <w:b w:val="1"/>
          <w:bCs w:val="1"/>
          <w:color w:val="EF3E2A"/>
        </w:rPr>
        <w:t>M E M B E R S H I P S</w:t>
      </w:r>
    </w:p>
    <w:p>
      <w:pPr>
        <w:spacing w:after="0" w:line="151" w:lineRule="exact"/>
        <w:rPr>
          <w:sz w:val="20"/>
          <w:szCs w:val="20"/>
          <w:color w:val="auto"/>
        </w:rPr>
      </w:pPr>
    </w:p>
    <w:p>
      <w:pPr>
        <w:spacing w:after="0"/>
        <w:rPr>
          <w:sz w:val="20"/>
          <w:szCs w:val="20"/>
          <w:color w:val="auto"/>
        </w:rPr>
      </w:pPr>
      <w:r>
        <w:rPr>
          <w:rFonts w:ascii="Lucida Sans" w:cs="Lucida Sans" w:eastAsia="Lucida Sans" w:hAnsi="Lucida Sans"/>
          <w:sz w:val="16"/>
          <w:szCs w:val="16"/>
          <w:color w:val="262626"/>
        </w:rPr>
        <w:t>International Council of Shopping Centers</w:t>
      </w:r>
    </w:p>
    <w:p>
      <w:pPr>
        <w:spacing w:after="0" w:line="32" w:lineRule="exact"/>
        <w:rPr>
          <w:sz w:val="20"/>
          <w:szCs w:val="20"/>
          <w:color w:val="auto"/>
        </w:rPr>
      </w:pPr>
    </w:p>
    <w:p>
      <w:pPr>
        <w:spacing w:after="0"/>
        <w:rPr>
          <w:sz w:val="20"/>
          <w:szCs w:val="20"/>
          <w:color w:val="auto"/>
        </w:rPr>
      </w:pPr>
      <w:r>
        <w:rPr>
          <w:rFonts w:ascii="Lucida Sans" w:cs="Lucida Sans" w:eastAsia="Lucida Sans" w:hAnsi="Lucida Sans"/>
          <w:sz w:val="16"/>
          <w:szCs w:val="16"/>
          <w:color w:val="262626"/>
        </w:rPr>
        <w:t>National Association of Real Estate Investment Trusts</w:t>
      </w:r>
    </w:p>
    <w:p>
      <w:pPr>
        <w:spacing w:after="0" w:line="32" w:lineRule="exact"/>
        <w:rPr>
          <w:sz w:val="20"/>
          <w:szCs w:val="20"/>
          <w:color w:val="auto"/>
        </w:rPr>
      </w:pPr>
    </w:p>
    <w:p>
      <w:pPr>
        <w:spacing w:after="0"/>
        <w:rPr>
          <w:sz w:val="20"/>
          <w:szCs w:val="20"/>
          <w:color w:val="auto"/>
        </w:rPr>
      </w:pPr>
      <w:r>
        <w:rPr>
          <w:rFonts w:ascii="Lucida Sans" w:cs="Lucida Sans" w:eastAsia="Lucida Sans" w:hAnsi="Lucida Sans"/>
          <w:sz w:val="16"/>
          <w:szCs w:val="16"/>
          <w:color w:val="262626"/>
        </w:rPr>
        <w:t>Urban Land Institute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9" w:lineRule="exact"/>
        <w:rPr>
          <w:sz w:val="20"/>
          <w:szCs w:val="20"/>
          <w:color w:val="auto"/>
        </w:rPr>
      </w:pPr>
    </w:p>
    <w:p>
      <w:pPr>
        <w:spacing w:after="0"/>
        <w:tabs>
          <w:tab w:leader="none" w:pos="1100" w:val="left"/>
        </w:tabs>
        <w:rPr>
          <w:sz w:val="20"/>
          <w:szCs w:val="20"/>
          <w:color w:val="auto"/>
        </w:rPr>
      </w:pPr>
      <w:r>
        <w:rPr>
          <w:rFonts w:ascii="Lucida Sans" w:cs="Lucida Sans" w:eastAsia="Lucida Sans" w:hAnsi="Lucida Sans"/>
          <w:sz w:val="16"/>
          <w:szCs w:val="16"/>
          <w:b w:val="1"/>
          <w:bCs w:val="1"/>
          <w:color w:val="EF3E2A"/>
        </w:rPr>
        <w:t>A N N U A L</w:t>
        <w:tab/>
        <w:t>M E E T I N G</w:t>
      </w:r>
    </w:p>
    <w:p>
      <w:pPr>
        <w:spacing w:after="0" w:line="151" w:lineRule="exact"/>
        <w:rPr>
          <w:sz w:val="20"/>
          <w:szCs w:val="20"/>
          <w:color w:val="auto"/>
        </w:rPr>
      </w:pPr>
    </w:p>
    <w:p>
      <w:pPr>
        <w:jc w:val="both"/>
        <w:ind w:right="220"/>
        <w:spacing w:after="0" w:line="280" w:lineRule="auto"/>
        <w:rPr>
          <w:sz w:val="20"/>
          <w:szCs w:val="20"/>
          <w:color w:val="auto"/>
        </w:rPr>
      </w:pPr>
      <w:r>
        <w:rPr>
          <w:rFonts w:ascii="Lucida Sans" w:cs="Lucida Sans" w:eastAsia="Lucida Sans" w:hAnsi="Lucida Sans"/>
          <w:sz w:val="16"/>
          <w:szCs w:val="16"/>
          <w:color w:val="262626"/>
        </w:rPr>
        <w:t>Federal Realty Investment Trust will hold its Annual Shareholder Meeting virtually at 9:00 a.m. on May 6, 2026.</w:t>
      </w:r>
    </w:p>
    <w:p>
      <w:pPr>
        <w:spacing w:after="0" w:line="361" w:lineRule="exact"/>
        <w:rPr>
          <w:sz w:val="20"/>
          <w:szCs w:val="20"/>
          <w:color w:val="auto"/>
        </w:rPr>
      </w:pPr>
    </w:p>
    <w:p>
      <w:pPr>
        <w:spacing w:after="0"/>
        <w:tabs>
          <w:tab w:leader="none" w:pos="1580" w:val="left"/>
        </w:tabs>
        <w:rPr>
          <w:sz w:val="20"/>
          <w:szCs w:val="20"/>
          <w:color w:val="auto"/>
        </w:rPr>
      </w:pPr>
      <w:r>
        <w:rPr>
          <w:rFonts w:ascii="Lucida Sans" w:cs="Lucida Sans" w:eastAsia="Lucida Sans" w:hAnsi="Lucida Sans"/>
          <w:sz w:val="16"/>
          <w:szCs w:val="16"/>
          <w:b w:val="1"/>
          <w:bCs w:val="1"/>
          <w:color w:val="EF3E2A"/>
        </w:rPr>
        <w:t>C O R P O R A T E</w:t>
        <w:tab/>
        <w:t>G O V E R N A N C E</w:t>
      </w:r>
    </w:p>
    <w:p>
      <w:pPr>
        <w:spacing w:after="0" w:line="151" w:lineRule="exact"/>
        <w:rPr>
          <w:sz w:val="20"/>
          <w:szCs w:val="20"/>
          <w:color w:val="auto"/>
        </w:rPr>
      </w:pPr>
    </w:p>
    <w:p>
      <w:pPr>
        <w:ind w:right="80"/>
        <w:spacing w:after="0" w:line="280" w:lineRule="auto"/>
        <w:rPr>
          <w:sz w:val="20"/>
          <w:szCs w:val="20"/>
          <w:color w:val="auto"/>
        </w:rPr>
      </w:pPr>
      <w:r>
        <w:rPr>
          <w:rFonts w:ascii="Lucida Sans" w:cs="Lucida Sans" w:eastAsia="Lucida Sans" w:hAnsi="Lucida Sans"/>
          <w:sz w:val="16"/>
          <w:szCs w:val="16"/>
          <w:color w:val="262626"/>
        </w:rPr>
        <w:t>The Trust’s Corporate Governance Guidelines and the charters for the Audit Committee, the Compensation and Human Capital Management Committee and the Nominating and Corporate Governance Committee are available in the Investors section of our website at www.federalrealty.com.</w:t>
      </w:r>
    </w:p>
    <w:p>
      <w:pPr>
        <w:spacing w:after="0" w:line="363" w:lineRule="exact"/>
        <w:rPr>
          <w:sz w:val="20"/>
          <w:szCs w:val="20"/>
          <w:color w:val="auto"/>
        </w:rPr>
      </w:pPr>
    </w:p>
    <w:p>
      <w:pPr>
        <w:ind w:right="420"/>
        <w:spacing w:after="0" w:line="278" w:lineRule="auto"/>
        <w:rPr>
          <w:sz w:val="20"/>
          <w:szCs w:val="20"/>
          <w:color w:val="auto"/>
        </w:rPr>
      </w:pPr>
      <w:r>
        <w:rPr>
          <w:rFonts w:ascii="Lucida Sans" w:cs="Lucida Sans" w:eastAsia="Lucida Sans" w:hAnsi="Lucida Sans"/>
          <w:sz w:val="16"/>
          <w:szCs w:val="16"/>
          <w:b w:val="1"/>
          <w:bCs w:val="1"/>
          <w:color w:val="EF3E2A"/>
        </w:rPr>
        <w:t>A U T O M A T I C C A S H I N V E S T M E N T A N D D I R E C T D E P O S I T</w:t>
      </w:r>
    </w:p>
    <w:p>
      <w:pPr>
        <w:spacing w:after="0" w:line="121" w:lineRule="exact"/>
        <w:rPr>
          <w:sz w:val="20"/>
          <w:szCs w:val="20"/>
          <w:color w:val="auto"/>
        </w:rPr>
      </w:pPr>
    </w:p>
    <w:p>
      <w:pPr>
        <w:ind w:right="20"/>
        <w:spacing w:after="0" w:line="270" w:lineRule="auto"/>
        <w:rPr>
          <w:sz w:val="20"/>
          <w:szCs w:val="20"/>
          <w:color w:val="auto"/>
        </w:rPr>
      </w:pPr>
      <w:r>
        <w:rPr>
          <w:rFonts w:ascii="Lucida Sans" w:cs="Lucida Sans" w:eastAsia="Lucida Sans" w:hAnsi="Lucida Sans"/>
          <w:sz w:val="16"/>
          <w:szCs w:val="16"/>
          <w:color w:val="262626"/>
        </w:rPr>
        <w:t>Federal Realty offers automatic cash investment, the option to automatically withdraw funds from a checking/savings or other bank account to purchase additional shares of FRT on the 1</w:t>
      </w:r>
      <w:r>
        <w:rPr>
          <w:rFonts w:ascii="Lucida Sans" w:cs="Lucida Sans" w:eastAsia="Lucida Sans" w:hAnsi="Lucida Sans"/>
          <w:sz w:val="20"/>
          <w:szCs w:val="20"/>
          <w:color w:val="262626"/>
          <w:vertAlign w:val="superscript"/>
        </w:rPr>
        <w:t>st</w:t>
      </w:r>
      <w:r>
        <w:rPr>
          <w:rFonts w:ascii="Lucida Sans" w:cs="Lucida Sans" w:eastAsia="Lucida Sans" w:hAnsi="Lucida Sans"/>
          <w:sz w:val="16"/>
          <w:szCs w:val="16"/>
          <w:color w:val="262626"/>
        </w:rPr>
        <w:t xml:space="preserve"> and 15</w:t>
      </w:r>
      <w:r>
        <w:rPr>
          <w:rFonts w:ascii="Lucida Sans" w:cs="Lucida Sans" w:eastAsia="Lucida Sans" w:hAnsi="Lucida Sans"/>
          <w:sz w:val="20"/>
          <w:szCs w:val="20"/>
          <w:color w:val="262626"/>
          <w:vertAlign w:val="superscript"/>
        </w:rPr>
        <w:t>th</w:t>
      </w:r>
      <w:r>
        <w:rPr>
          <w:rFonts w:ascii="Lucida Sans" w:cs="Lucida Sans" w:eastAsia="Lucida Sans" w:hAnsi="Lucida Sans"/>
          <w:sz w:val="16"/>
          <w:szCs w:val="16"/>
          <w:color w:val="262626"/>
        </w:rPr>
        <w:t xml:space="preserve"> of each month. Federal Realty also offers shareholders the option to directly deposit their dividends. To sign up for automatic cash investment or direct deposit, please call 800.937.5449 or visit www.equiniti.com.</w:t>
      </w:r>
    </w:p>
    <w:p>
      <w:pPr>
        <w:spacing w:after="0" w:line="372" w:lineRule="exact"/>
        <w:rPr>
          <w:sz w:val="20"/>
          <w:szCs w:val="20"/>
          <w:color w:val="auto"/>
        </w:rPr>
      </w:pPr>
    </w:p>
    <w:p>
      <w:pPr>
        <w:spacing w:after="0"/>
        <w:rPr>
          <w:sz w:val="20"/>
          <w:szCs w:val="20"/>
          <w:color w:val="auto"/>
        </w:rPr>
      </w:pPr>
      <w:r>
        <w:rPr>
          <w:rFonts w:ascii="Lucida Sans" w:cs="Lucida Sans" w:eastAsia="Lucida Sans" w:hAnsi="Lucida Sans"/>
          <w:sz w:val="16"/>
          <w:szCs w:val="16"/>
          <w:b w:val="1"/>
          <w:bCs w:val="1"/>
          <w:color w:val="EF3E2A"/>
        </w:rPr>
        <w:t>I N T E R N E T |</w:t>
      </w:r>
    </w:p>
    <w:p>
      <w:pPr>
        <w:spacing w:after="0" w:line="32" w:lineRule="exact"/>
        <w:rPr>
          <w:sz w:val="20"/>
          <w:szCs w:val="20"/>
          <w:color w:val="auto"/>
        </w:rPr>
      </w:pPr>
    </w:p>
    <w:p>
      <w:pPr>
        <w:spacing w:after="0"/>
        <w:rPr>
          <w:sz w:val="20"/>
          <w:szCs w:val="20"/>
          <w:color w:val="auto"/>
        </w:rPr>
      </w:pPr>
      <w:r>
        <w:rPr>
          <w:rFonts w:ascii="Lucida Sans" w:cs="Lucida Sans" w:eastAsia="Lucida Sans" w:hAnsi="Lucida Sans"/>
          <w:sz w:val="16"/>
          <w:szCs w:val="16"/>
          <w:b w:val="1"/>
          <w:bCs w:val="1"/>
          <w:color w:val="EF3E2A"/>
        </w:rPr>
        <w:t>W W W . F E D E R A L R E A L T Y . C O M</w:t>
      </w:r>
    </w:p>
    <w:p>
      <w:pPr>
        <w:spacing w:after="0" w:line="151" w:lineRule="exact"/>
        <w:rPr>
          <w:sz w:val="20"/>
          <w:szCs w:val="20"/>
          <w:color w:val="auto"/>
        </w:rPr>
      </w:pPr>
    </w:p>
    <w:p>
      <w:pPr>
        <w:ind w:right="120"/>
        <w:spacing w:after="0" w:line="280" w:lineRule="auto"/>
        <w:rPr>
          <w:sz w:val="20"/>
          <w:szCs w:val="20"/>
          <w:color w:val="auto"/>
        </w:rPr>
      </w:pPr>
      <w:r>
        <w:rPr>
          <w:rFonts w:ascii="Lucida Sans" w:cs="Lucida Sans" w:eastAsia="Lucida Sans" w:hAnsi="Lucida Sans"/>
          <w:sz w:val="16"/>
          <w:szCs w:val="16"/>
          <w:color w:val="262626"/>
        </w:rPr>
        <w:t>Visitors to the site can search for and download Securities and Exchange Commission filings, review Federal Realty’s Dividend Reinvestment Plan, obtain current stock quotes, read recent press releases, and see a listing of our properties and the properties’ respective websites. Printed materials and email news alerts can also be requested.</w:t>
      </w:r>
    </w:p>
    <w:p>
      <w:pPr>
        <w:spacing w:after="0" w:line="362" w:lineRule="exact"/>
        <w:rPr>
          <w:sz w:val="20"/>
          <w:szCs w:val="20"/>
          <w:color w:val="auto"/>
        </w:rPr>
      </w:pPr>
    </w:p>
    <w:p>
      <w:pPr>
        <w:spacing w:after="0"/>
        <w:tabs>
          <w:tab w:leader="none" w:pos="1340" w:val="left"/>
          <w:tab w:leader="none" w:pos="2840" w:val="left"/>
        </w:tabs>
        <w:rPr>
          <w:sz w:val="20"/>
          <w:szCs w:val="20"/>
          <w:color w:val="auto"/>
        </w:rPr>
      </w:pPr>
      <w:r>
        <w:rPr>
          <w:rFonts w:ascii="Lucida Sans" w:cs="Lucida Sans" w:eastAsia="Lucida Sans" w:hAnsi="Lucida Sans"/>
          <w:sz w:val="16"/>
          <w:szCs w:val="16"/>
          <w:b w:val="1"/>
          <w:bCs w:val="1"/>
          <w:color w:val="EF3E2A"/>
        </w:rPr>
        <w:t>I N V E S T O R</w:t>
        <w:tab/>
        <w:t>R E L A T I O N S</w:t>
        <w:tab/>
        <w:t>C O N T A C T</w:t>
      </w:r>
    </w:p>
    <w:p>
      <w:pPr>
        <w:spacing w:after="0" w:line="151" w:lineRule="exact"/>
        <w:rPr>
          <w:sz w:val="20"/>
          <w:szCs w:val="20"/>
          <w:color w:val="auto"/>
        </w:rPr>
      </w:pPr>
    </w:p>
    <w:p>
      <w:pPr>
        <w:ind w:right="260"/>
        <w:spacing w:after="0" w:line="280" w:lineRule="auto"/>
        <w:rPr>
          <w:sz w:val="20"/>
          <w:szCs w:val="20"/>
          <w:color w:val="auto"/>
        </w:rPr>
      </w:pPr>
      <w:r>
        <w:rPr>
          <w:rFonts w:ascii="Lucida Sans" w:cs="Lucida Sans" w:eastAsia="Lucida Sans" w:hAnsi="Lucida Sans"/>
          <w:sz w:val="16"/>
          <w:szCs w:val="16"/>
          <w:color w:val="262626"/>
        </w:rPr>
        <w:t>You may communicate directly with Federal Realty’s Investor Relations department via telephone at 800.658.8980 or by email at IR@federalrealty.com.</w:t>
      </w:r>
    </w:p>
    <w:p>
      <w:pPr>
        <w:spacing w:after="0" w:line="200" w:lineRule="exact"/>
        <w:rPr>
          <w:sz w:val="20"/>
          <w:szCs w:val="20"/>
          <w:color w:val="auto"/>
        </w:rPr>
      </w:pPr>
    </w:p>
    <w:p>
      <w:pPr>
        <w:sectPr>
          <w:pgSz w:w="11880" w:h="15480" w:orient="portrait"/>
          <w:cols w:equalWidth="0" w:num="2">
            <w:col w:w="4300" w:space="500"/>
            <w:col w:w="4320"/>
          </w:cols>
          <w:pgMar w:left="1380" w:top="1388" w:right="1380" w:bottom="791" w:gutter="0" w:footer="0" w:header="0"/>
          <w:type w:val="continuous"/>
        </w:sectPr>
      </w:pPr>
    </w:p>
    <w:p>
      <w:pPr>
        <w:spacing w:after="0" w:line="107" w:lineRule="exact"/>
        <w:rPr>
          <w:sz w:val="20"/>
          <w:szCs w:val="20"/>
          <w:color w:val="auto"/>
        </w:rPr>
      </w:pPr>
    </w:p>
    <w:p>
      <w:pPr>
        <w:ind w:left="5060"/>
        <w:spacing w:after="0"/>
        <w:tabs>
          <w:tab w:leader="none" w:pos="6000" w:val="left"/>
          <w:tab w:leader="none" w:pos="6840" w:val="left"/>
          <w:tab w:leader="none" w:pos="7020" w:val="left"/>
          <w:tab w:leader="none" w:pos="7920" w:val="left"/>
        </w:tabs>
        <w:rPr>
          <w:sz w:val="20"/>
          <w:szCs w:val="20"/>
          <w:color w:val="auto"/>
        </w:rPr>
      </w:pPr>
      <w:r>
        <w:rPr>
          <w:rFonts w:ascii="Lucida Sans" w:cs="Lucida Sans" w:eastAsia="Lucida Sans" w:hAnsi="Lucida Sans"/>
          <w:sz w:val="14"/>
          <w:szCs w:val="14"/>
          <w:color w:val="353434"/>
        </w:rPr>
        <w:t>F E D E R A L</w:t>
        <w:tab/>
        <w:t>R E A L T Y</w:t>
      </w:r>
      <w:r>
        <w:rPr>
          <w:rFonts w:ascii="Lucida Sans" w:cs="Lucida Sans" w:eastAsia="Lucida Sans" w:hAnsi="Lucida Sans"/>
          <w:sz w:val="14"/>
          <w:szCs w:val="14"/>
          <w:color w:val="F15638"/>
        </w:rPr>
        <w:tab/>
        <w:t>|</w:t>
      </w:r>
      <w:r>
        <w:rPr>
          <w:rFonts w:ascii="Lucida Sans" w:cs="Lucida Sans" w:eastAsia="Lucida Sans" w:hAnsi="Lucida Sans"/>
          <w:sz w:val="14"/>
          <w:szCs w:val="14"/>
          <w:color w:val="353434"/>
        </w:rPr>
        <w:tab/>
        <w:t>A N N U A L</w:t>
        <w:tab/>
        <w:t xml:space="preserve">R E P O R T </w:t>
      </w:r>
      <w:r>
        <w:rPr>
          <w:rFonts w:ascii="Georgia Pro" w:cs="Georgia Pro" w:eastAsia="Georgia Pro" w:hAnsi="Georgia Pro"/>
          <w:sz w:val="14"/>
          <w:szCs w:val="14"/>
          <w:b w:val="1"/>
          <w:bCs w:val="1"/>
          <w:color w:val="F15638"/>
        </w:rPr>
        <w:t>2025</w:t>
      </w:r>
    </w:p>
    <w:p>
      <w:pPr>
        <w:sectPr>
          <w:pgSz w:w="11880" w:h="15480" w:orient="portrait"/>
          <w:cols w:equalWidth="0" w:num="1">
            <w:col w:w="9120"/>
          </w:cols>
          <w:pgMar w:left="1380" w:top="1388" w:right="1380" w:bottom="791" w:gutter="0" w:footer="0" w:header="0"/>
          <w:type w:val="continuous"/>
        </w:sectPr>
      </w:pPr>
    </w:p>
    <w:bookmarkStart w:id="171" w:name="page172"/>
    <w:bookmarkEnd w:id="17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16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118">
                      <a:extLst>
                        <a:ext uri="{28A0092B-C50C-407E-A947-70E740481C1C}"/>
                      </a:extLst>
                    </a:blip>
                    <a:srcRect/>
                    <a:stretch>
                      <a:fillRect/>
                    </a:stretch>
                  </pic:blipFill>
                  <pic:spPr bwMode="auto">
                    <a:xfrm>
                      <a:off x="0" y="0"/>
                      <a:ext cx="7543800" cy="9829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Georgia Pro" w:cs="Georgia Pro" w:eastAsia="Georgia Pro" w:hAnsi="Georgia Pro"/>
          <w:sz w:val="40"/>
          <w:szCs w:val="40"/>
          <w:color w:val="E8E7E5"/>
        </w:rPr>
        <w:t>Corporate</w:t>
      </w:r>
    </w:p>
    <w:p>
      <w:pPr>
        <w:spacing w:after="0" w:line="213" w:lineRule="auto"/>
        <w:rPr>
          <w:sz w:val="20"/>
          <w:szCs w:val="20"/>
          <w:color w:val="auto"/>
        </w:rPr>
      </w:pPr>
      <w:r>
        <w:rPr>
          <w:rFonts w:ascii="Georgia Pro" w:cs="Georgia Pro" w:eastAsia="Georgia Pro" w:hAnsi="Georgia Pro"/>
          <w:sz w:val="40"/>
          <w:szCs w:val="40"/>
          <w:color w:val="E8E7E5"/>
        </w:rPr>
        <w:t>Headquarters</w:t>
      </w:r>
    </w:p>
    <w:p>
      <w:pPr>
        <w:spacing w:after="0" w:line="148" w:lineRule="exact"/>
        <w:rPr>
          <w:sz w:val="20"/>
          <w:szCs w:val="20"/>
          <w:color w:val="auto"/>
        </w:rPr>
      </w:pPr>
    </w:p>
    <w:p>
      <w:pPr>
        <w:spacing w:after="0"/>
        <w:rPr>
          <w:sz w:val="20"/>
          <w:szCs w:val="20"/>
          <w:color w:val="auto"/>
        </w:rPr>
      </w:pPr>
      <w:r>
        <w:rPr>
          <w:rFonts w:ascii="Lucida Sans" w:cs="Lucida Sans" w:eastAsia="Lucida Sans" w:hAnsi="Lucida Sans"/>
          <w:sz w:val="18"/>
          <w:szCs w:val="18"/>
          <w:color w:val="E8E7E5"/>
        </w:rPr>
        <w:t>909 Rose Avenue</w:t>
      </w:r>
    </w:p>
    <w:p>
      <w:pPr>
        <w:spacing w:after="0" w:line="28" w:lineRule="exact"/>
        <w:rPr>
          <w:sz w:val="20"/>
          <w:szCs w:val="20"/>
          <w:color w:val="auto"/>
        </w:rPr>
      </w:pPr>
    </w:p>
    <w:p>
      <w:pPr>
        <w:spacing w:after="0"/>
        <w:rPr>
          <w:sz w:val="20"/>
          <w:szCs w:val="20"/>
          <w:color w:val="auto"/>
        </w:rPr>
      </w:pPr>
      <w:r>
        <w:rPr>
          <w:rFonts w:ascii="Lucida Sans" w:cs="Lucida Sans" w:eastAsia="Lucida Sans" w:hAnsi="Lucida Sans"/>
          <w:sz w:val="18"/>
          <w:szCs w:val="18"/>
          <w:color w:val="E8E7E5"/>
        </w:rPr>
        <w:t>Suite 200</w:t>
      </w:r>
    </w:p>
    <w:p>
      <w:pPr>
        <w:spacing w:after="0" w:line="28" w:lineRule="exact"/>
        <w:rPr>
          <w:sz w:val="20"/>
          <w:szCs w:val="20"/>
          <w:color w:val="auto"/>
        </w:rPr>
      </w:pPr>
    </w:p>
    <w:p>
      <w:pPr>
        <w:spacing w:after="0"/>
        <w:rPr>
          <w:sz w:val="20"/>
          <w:szCs w:val="20"/>
          <w:color w:val="auto"/>
        </w:rPr>
      </w:pPr>
      <w:r>
        <w:rPr>
          <w:rFonts w:ascii="Lucida Sans" w:cs="Lucida Sans" w:eastAsia="Lucida Sans" w:hAnsi="Lucida Sans"/>
          <w:sz w:val="18"/>
          <w:szCs w:val="18"/>
          <w:color w:val="E8E7E5"/>
        </w:rPr>
        <w:t>North Bethesda, MD 20852</w:t>
      </w:r>
    </w:p>
    <w:p>
      <w:pPr>
        <w:spacing w:after="0" w:line="28" w:lineRule="exact"/>
        <w:rPr>
          <w:sz w:val="20"/>
          <w:szCs w:val="20"/>
          <w:color w:val="auto"/>
        </w:rPr>
      </w:pPr>
    </w:p>
    <w:p>
      <w:pPr>
        <w:spacing w:after="0"/>
        <w:rPr>
          <w:sz w:val="20"/>
          <w:szCs w:val="20"/>
          <w:color w:val="auto"/>
        </w:rPr>
      </w:pPr>
      <w:r>
        <w:rPr>
          <w:rFonts w:ascii="Lucida Sans" w:cs="Lucida Sans" w:eastAsia="Lucida Sans" w:hAnsi="Lucida Sans"/>
          <w:sz w:val="18"/>
          <w:szCs w:val="18"/>
          <w:color w:val="E8E7E5"/>
        </w:rPr>
        <w:t>301.998.8100</w:t>
      </w:r>
    </w:p>
    <w:p>
      <w:pPr>
        <w:spacing w:after="0" w:line="229" w:lineRule="exact"/>
        <w:rPr>
          <w:sz w:val="20"/>
          <w:szCs w:val="20"/>
          <w:color w:val="auto"/>
        </w:rPr>
      </w:pPr>
    </w:p>
    <w:p>
      <w:pPr>
        <w:spacing w:after="0"/>
        <w:rPr>
          <w:sz w:val="20"/>
          <w:szCs w:val="20"/>
          <w:color w:val="auto"/>
        </w:rPr>
      </w:pPr>
      <w:r>
        <w:rPr>
          <w:rFonts w:ascii="Georgia Pro" w:cs="Georgia Pro" w:eastAsia="Georgia Pro" w:hAnsi="Georgia Pro"/>
          <w:sz w:val="39"/>
          <w:szCs w:val="39"/>
          <w:color w:val="E8E7E5"/>
        </w:rPr>
        <w:t>Regional Offices</w:t>
      </w:r>
    </w:p>
    <w:p>
      <w:pPr>
        <w:spacing w:after="0" w:line="162" w:lineRule="exact"/>
        <w:rPr>
          <w:sz w:val="20"/>
          <w:szCs w:val="20"/>
          <w:color w:val="auto"/>
        </w:rPr>
      </w:pPr>
    </w:p>
    <w:p>
      <w:pPr>
        <w:spacing w:after="0"/>
        <w:rPr>
          <w:sz w:val="20"/>
          <w:szCs w:val="20"/>
          <w:color w:val="auto"/>
        </w:rPr>
      </w:pPr>
      <w:r>
        <w:rPr>
          <w:rFonts w:ascii="Lucida Sans" w:cs="Lucida Sans" w:eastAsia="Lucida Sans" w:hAnsi="Lucida Sans"/>
          <w:sz w:val="18"/>
          <w:szCs w:val="18"/>
          <w:b w:val="1"/>
          <w:bCs w:val="1"/>
          <w:color w:val="EF3E2A"/>
        </w:rPr>
        <w:t>B O S T O N</w:t>
      </w:r>
    </w:p>
    <w:p>
      <w:pPr>
        <w:spacing w:after="0" w:line="197" w:lineRule="exact"/>
        <w:rPr>
          <w:sz w:val="20"/>
          <w:szCs w:val="20"/>
          <w:color w:val="auto"/>
        </w:rPr>
      </w:pPr>
    </w:p>
    <w:p>
      <w:pPr>
        <w:spacing w:after="0"/>
        <w:rPr>
          <w:sz w:val="20"/>
          <w:szCs w:val="20"/>
          <w:color w:val="auto"/>
        </w:rPr>
      </w:pPr>
      <w:r>
        <w:rPr>
          <w:rFonts w:ascii="Lucida Sans" w:cs="Lucida Sans" w:eastAsia="Lucida Sans" w:hAnsi="Lucida Sans"/>
          <w:sz w:val="18"/>
          <w:szCs w:val="18"/>
          <w:color w:val="E8E7E5"/>
        </w:rPr>
        <w:t>455 Grand Union Boulevard</w:t>
      </w:r>
    </w:p>
    <w:p>
      <w:pPr>
        <w:spacing w:after="0" w:line="28" w:lineRule="exact"/>
        <w:rPr>
          <w:sz w:val="20"/>
          <w:szCs w:val="20"/>
          <w:color w:val="auto"/>
        </w:rPr>
      </w:pPr>
    </w:p>
    <w:p>
      <w:pPr>
        <w:spacing w:after="0"/>
        <w:rPr>
          <w:sz w:val="20"/>
          <w:szCs w:val="20"/>
          <w:color w:val="auto"/>
        </w:rPr>
      </w:pPr>
      <w:r>
        <w:rPr>
          <w:rFonts w:ascii="Lucida Sans" w:cs="Lucida Sans" w:eastAsia="Lucida Sans" w:hAnsi="Lucida Sans"/>
          <w:sz w:val="18"/>
          <w:szCs w:val="18"/>
          <w:color w:val="E8E7E5"/>
        </w:rPr>
        <w:t>Suite 600</w:t>
      </w:r>
    </w:p>
    <w:p>
      <w:pPr>
        <w:spacing w:after="0" w:line="28" w:lineRule="exact"/>
        <w:rPr>
          <w:sz w:val="20"/>
          <w:szCs w:val="20"/>
          <w:color w:val="auto"/>
        </w:rPr>
      </w:pPr>
    </w:p>
    <w:p>
      <w:pPr>
        <w:spacing w:after="0"/>
        <w:rPr>
          <w:sz w:val="20"/>
          <w:szCs w:val="20"/>
          <w:color w:val="auto"/>
        </w:rPr>
      </w:pPr>
      <w:r>
        <w:rPr>
          <w:rFonts w:ascii="Lucida Sans" w:cs="Lucida Sans" w:eastAsia="Lucida Sans" w:hAnsi="Lucida Sans"/>
          <w:sz w:val="18"/>
          <w:szCs w:val="18"/>
          <w:color w:val="E8E7E5"/>
        </w:rPr>
        <w:t>Somerville MA 02145</w:t>
      </w:r>
    </w:p>
    <w:p>
      <w:pPr>
        <w:spacing w:after="0" w:line="28" w:lineRule="exact"/>
        <w:rPr>
          <w:sz w:val="20"/>
          <w:szCs w:val="20"/>
          <w:color w:val="auto"/>
        </w:rPr>
      </w:pPr>
    </w:p>
    <w:p>
      <w:pPr>
        <w:spacing w:after="0"/>
        <w:rPr>
          <w:sz w:val="20"/>
          <w:szCs w:val="20"/>
          <w:color w:val="auto"/>
        </w:rPr>
      </w:pPr>
      <w:r>
        <w:rPr>
          <w:rFonts w:ascii="Lucida Sans" w:cs="Lucida Sans" w:eastAsia="Lucida Sans" w:hAnsi="Lucida Sans"/>
          <w:sz w:val="18"/>
          <w:szCs w:val="18"/>
          <w:color w:val="E8E7E5"/>
        </w:rPr>
        <w:t>617.684.1500</w:t>
      </w:r>
    </w:p>
    <w:p>
      <w:pPr>
        <w:spacing w:after="0" w:line="265" w:lineRule="exact"/>
        <w:rPr>
          <w:sz w:val="20"/>
          <w:szCs w:val="20"/>
          <w:color w:val="auto"/>
        </w:rPr>
      </w:pPr>
    </w:p>
    <w:p>
      <w:pPr>
        <w:spacing w:after="0"/>
        <w:tabs>
          <w:tab w:leader="none" w:pos="640" w:val="left"/>
        </w:tabs>
        <w:rPr>
          <w:sz w:val="20"/>
          <w:szCs w:val="20"/>
          <w:color w:val="auto"/>
        </w:rPr>
      </w:pPr>
      <w:r>
        <w:rPr>
          <w:rFonts w:ascii="Lucida Sans" w:cs="Lucida Sans" w:eastAsia="Lucida Sans" w:hAnsi="Lucida Sans"/>
          <w:sz w:val="18"/>
          <w:szCs w:val="18"/>
          <w:b w:val="1"/>
          <w:bCs w:val="1"/>
          <w:color w:val="EF3E2A"/>
        </w:rPr>
        <w:t>L O S</w:t>
        <w:tab/>
        <w:t>A N G E L E S</w:t>
      </w:r>
    </w:p>
    <w:p>
      <w:pPr>
        <w:spacing w:after="0" w:line="197" w:lineRule="exact"/>
        <w:rPr>
          <w:sz w:val="20"/>
          <w:szCs w:val="20"/>
          <w:color w:val="auto"/>
        </w:rPr>
      </w:pPr>
    </w:p>
    <w:p>
      <w:pPr>
        <w:spacing w:after="0"/>
        <w:rPr>
          <w:sz w:val="20"/>
          <w:szCs w:val="20"/>
          <w:color w:val="auto"/>
        </w:rPr>
      </w:pPr>
      <w:r>
        <w:rPr>
          <w:rFonts w:ascii="Lucida Sans" w:cs="Lucida Sans" w:eastAsia="Lucida Sans" w:hAnsi="Lucida Sans"/>
          <w:sz w:val="18"/>
          <w:szCs w:val="18"/>
          <w:color w:val="E8E7E5"/>
        </w:rPr>
        <w:t>830 Pacific Coast Highway</w:t>
      </w:r>
    </w:p>
    <w:p>
      <w:pPr>
        <w:spacing w:after="0" w:line="28" w:lineRule="exact"/>
        <w:rPr>
          <w:sz w:val="20"/>
          <w:szCs w:val="20"/>
          <w:color w:val="auto"/>
        </w:rPr>
      </w:pPr>
    </w:p>
    <w:p>
      <w:pPr>
        <w:spacing w:after="0"/>
        <w:rPr>
          <w:sz w:val="20"/>
          <w:szCs w:val="20"/>
          <w:color w:val="auto"/>
        </w:rPr>
      </w:pPr>
      <w:r>
        <w:rPr>
          <w:rFonts w:ascii="Lucida Sans" w:cs="Lucida Sans" w:eastAsia="Lucida Sans" w:hAnsi="Lucida Sans"/>
          <w:sz w:val="18"/>
          <w:szCs w:val="18"/>
          <w:color w:val="E8E7E5"/>
        </w:rPr>
        <w:t>Suite 204</w:t>
      </w:r>
    </w:p>
    <w:p>
      <w:pPr>
        <w:spacing w:after="0" w:line="28" w:lineRule="exact"/>
        <w:rPr>
          <w:sz w:val="20"/>
          <w:szCs w:val="20"/>
          <w:color w:val="auto"/>
        </w:rPr>
      </w:pPr>
    </w:p>
    <w:p>
      <w:pPr>
        <w:spacing w:after="0"/>
        <w:rPr>
          <w:sz w:val="20"/>
          <w:szCs w:val="20"/>
          <w:color w:val="auto"/>
        </w:rPr>
      </w:pPr>
      <w:r>
        <w:rPr>
          <w:rFonts w:ascii="Lucida Sans" w:cs="Lucida Sans" w:eastAsia="Lucida Sans" w:hAnsi="Lucida Sans"/>
          <w:sz w:val="18"/>
          <w:szCs w:val="18"/>
          <w:color w:val="E8E7E5"/>
        </w:rPr>
        <w:t>El Segundo, CA 90245</w:t>
      </w:r>
    </w:p>
    <w:p>
      <w:pPr>
        <w:spacing w:after="0" w:line="28" w:lineRule="exact"/>
        <w:rPr>
          <w:sz w:val="20"/>
          <w:szCs w:val="20"/>
          <w:color w:val="auto"/>
        </w:rPr>
      </w:pPr>
    </w:p>
    <w:p>
      <w:pPr>
        <w:spacing w:after="0"/>
        <w:rPr>
          <w:sz w:val="20"/>
          <w:szCs w:val="20"/>
          <w:color w:val="auto"/>
        </w:rPr>
      </w:pPr>
      <w:r>
        <w:rPr>
          <w:rFonts w:ascii="Lucida Sans" w:cs="Lucida Sans" w:eastAsia="Lucida Sans" w:hAnsi="Lucida Sans"/>
          <w:sz w:val="18"/>
          <w:szCs w:val="18"/>
          <w:color w:val="E8E7E5"/>
        </w:rPr>
        <w:t>310.414.5280</w:t>
      </w:r>
    </w:p>
    <w:p>
      <w:pPr>
        <w:spacing w:after="0" w:line="265" w:lineRule="exact"/>
        <w:rPr>
          <w:sz w:val="20"/>
          <w:szCs w:val="20"/>
          <w:color w:val="auto"/>
        </w:rPr>
      </w:pPr>
    </w:p>
    <w:p>
      <w:pPr>
        <w:spacing w:after="0"/>
        <w:rPr>
          <w:sz w:val="20"/>
          <w:szCs w:val="20"/>
          <w:color w:val="auto"/>
        </w:rPr>
      </w:pPr>
      <w:r>
        <w:rPr>
          <w:rFonts w:ascii="Lucida Sans" w:cs="Lucida Sans" w:eastAsia="Lucida Sans" w:hAnsi="Lucida Sans"/>
          <w:sz w:val="18"/>
          <w:szCs w:val="18"/>
          <w:b w:val="1"/>
          <w:bCs w:val="1"/>
          <w:color w:val="EF3E2A"/>
        </w:rPr>
        <w:t>P H I L A D E L P H I A</w:t>
      </w:r>
    </w:p>
    <w:p>
      <w:pPr>
        <w:spacing w:after="0" w:line="197" w:lineRule="exact"/>
        <w:rPr>
          <w:sz w:val="20"/>
          <w:szCs w:val="20"/>
          <w:color w:val="auto"/>
        </w:rPr>
      </w:pPr>
    </w:p>
    <w:p>
      <w:pPr>
        <w:spacing w:after="0"/>
        <w:rPr>
          <w:sz w:val="20"/>
          <w:szCs w:val="20"/>
          <w:color w:val="auto"/>
        </w:rPr>
      </w:pPr>
      <w:r>
        <w:rPr>
          <w:rFonts w:ascii="Lucida Sans" w:cs="Lucida Sans" w:eastAsia="Lucida Sans" w:hAnsi="Lucida Sans"/>
          <w:sz w:val="18"/>
          <w:szCs w:val="18"/>
          <w:color w:val="E8E7E5"/>
        </w:rPr>
        <w:t>50 E Wynnewood Road</w:t>
      </w:r>
    </w:p>
    <w:p>
      <w:pPr>
        <w:spacing w:after="0" w:line="28" w:lineRule="exact"/>
        <w:rPr>
          <w:sz w:val="20"/>
          <w:szCs w:val="20"/>
          <w:color w:val="auto"/>
        </w:rPr>
      </w:pPr>
    </w:p>
    <w:p>
      <w:pPr>
        <w:spacing w:after="0"/>
        <w:rPr>
          <w:sz w:val="20"/>
          <w:szCs w:val="20"/>
          <w:color w:val="auto"/>
        </w:rPr>
      </w:pPr>
      <w:r>
        <w:rPr>
          <w:rFonts w:ascii="Lucida Sans" w:cs="Lucida Sans" w:eastAsia="Lucida Sans" w:hAnsi="Lucida Sans"/>
          <w:sz w:val="18"/>
          <w:szCs w:val="18"/>
          <w:color w:val="E8E7E5"/>
        </w:rPr>
        <w:t>Suite 200</w:t>
      </w:r>
    </w:p>
    <w:p>
      <w:pPr>
        <w:spacing w:after="0" w:line="28" w:lineRule="exact"/>
        <w:rPr>
          <w:sz w:val="20"/>
          <w:szCs w:val="20"/>
          <w:color w:val="auto"/>
        </w:rPr>
      </w:pPr>
    </w:p>
    <w:p>
      <w:pPr>
        <w:spacing w:after="0"/>
        <w:rPr>
          <w:sz w:val="20"/>
          <w:szCs w:val="20"/>
          <w:color w:val="auto"/>
        </w:rPr>
      </w:pPr>
      <w:r>
        <w:rPr>
          <w:rFonts w:ascii="Lucida Sans" w:cs="Lucida Sans" w:eastAsia="Lucida Sans" w:hAnsi="Lucida Sans"/>
          <w:sz w:val="18"/>
          <w:szCs w:val="18"/>
          <w:color w:val="E8E7E5"/>
        </w:rPr>
        <w:t>Wynnewood, PA 19096</w:t>
      </w:r>
    </w:p>
    <w:p>
      <w:pPr>
        <w:spacing w:after="0" w:line="8" w:lineRule="exact"/>
        <w:rPr>
          <w:sz w:val="20"/>
          <w:szCs w:val="20"/>
          <w:color w:val="auto"/>
        </w:rPr>
      </w:pPr>
    </w:p>
    <w:p>
      <w:pPr>
        <w:spacing w:after="0"/>
        <w:rPr>
          <w:sz w:val="20"/>
          <w:szCs w:val="20"/>
          <w:color w:val="auto"/>
        </w:rPr>
      </w:pPr>
      <w:r>
        <w:rPr>
          <w:rFonts w:ascii="Lucida Sans" w:cs="Lucida Sans" w:eastAsia="Lucida Sans" w:hAnsi="Lucida Sans"/>
          <w:sz w:val="18"/>
          <w:szCs w:val="18"/>
          <w:color w:val="E8E7E5"/>
        </w:rPr>
        <w:t>610.896.5870</w:t>
      </w:r>
    </w:p>
    <w:p>
      <w:pPr>
        <w:spacing w:after="0" w:line="265" w:lineRule="exact"/>
        <w:rPr>
          <w:sz w:val="20"/>
          <w:szCs w:val="20"/>
          <w:color w:val="auto"/>
        </w:rPr>
      </w:pPr>
    </w:p>
    <w:p>
      <w:pPr>
        <w:spacing w:after="0"/>
        <w:tabs>
          <w:tab w:leader="none" w:pos="640" w:val="left"/>
        </w:tabs>
        <w:rPr>
          <w:sz w:val="20"/>
          <w:szCs w:val="20"/>
          <w:color w:val="auto"/>
        </w:rPr>
      </w:pPr>
      <w:r>
        <w:rPr>
          <w:rFonts w:ascii="Lucida Sans" w:cs="Lucida Sans" w:eastAsia="Lucida Sans" w:hAnsi="Lucida Sans"/>
          <w:sz w:val="18"/>
          <w:szCs w:val="18"/>
          <w:b w:val="1"/>
          <w:bCs w:val="1"/>
          <w:color w:val="EF3E2A"/>
        </w:rPr>
        <w:t>S A N</w:t>
        <w:tab/>
        <w:t>J O S E</w:t>
      </w:r>
    </w:p>
    <w:p>
      <w:pPr>
        <w:spacing w:after="0" w:line="197" w:lineRule="exact"/>
        <w:rPr>
          <w:sz w:val="20"/>
          <w:szCs w:val="20"/>
          <w:color w:val="auto"/>
        </w:rPr>
      </w:pPr>
    </w:p>
    <w:p>
      <w:pPr>
        <w:spacing w:after="0"/>
        <w:rPr>
          <w:sz w:val="20"/>
          <w:szCs w:val="20"/>
          <w:color w:val="auto"/>
        </w:rPr>
      </w:pPr>
      <w:r>
        <w:rPr>
          <w:rFonts w:ascii="Lucida Sans" w:cs="Lucida Sans" w:eastAsia="Lucida Sans" w:hAnsi="Lucida Sans"/>
          <w:sz w:val="18"/>
          <w:szCs w:val="18"/>
          <w:color w:val="E8E7E5"/>
        </w:rPr>
        <w:t>356 Santana Row</w:t>
      </w:r>
    </w:p>
    <w:p>
      <w:pPr>
        <w:spacing w:after="0" w:line="28" w:lineRule="exact"/>
        <w:rPr>
          <w:sz w:val="20"/>
          <w:szCs w:val="20"/>
          <w:color w:val="auto"/>
        </w:rPr>
      </w:pPr>
    </w:p>
    <w:p>
      <w:pPr>
        <w:spacing w:after="0"/>
        <w:rPr>
          <w:sz w:val="20"/>
          <w:szCs w:val="20"/>
          <w:color w:val="auto"/>
        </w:rPr>
      </w:pPr>
      <w:r>
        <w:rPr>
          <w:rFonts w:ascii="Lucida Sans" w:cs="Lucida Sans" w:eastAsia="Lucida Sans" w:hAnsi="Lucida Sans"/>
          <w:sz w:val="18"/>
          <w:szCs w:val="18"/>
          <w:color w:val="E8E7E5"/>
        </w:rPr>
        <w:t>Suite 1005</w:t>
      </w:r>
    </w:p>
    <w:p>
      <w:pPr>
        <w:spacing w:after="0" w:line="28" w:lineRule="exact"/>
        <w:rPr>
          <w:sz w:val="20"/>
          <w:szCs w:val="20"/>
          <w:color w:val="auto"/>
        </w:rPr>
      </w:pPr>
    </w:p>
    <w:p>
      <w:pPr>
        <w:spacing w:after="0"/>
        <w:rPr>
          <w:sz w:val="20"/>
          <w:szCs w:val="20"/>
          <w:color w:val="auto"/>
        </w:rPr>
      </w:pPr>
      <w:r>
        <w:rPr>
          <w:rFonts w:ascii="Lucida Sans" w:cs="Lucida Sans" w:eastAsia="Lucida Sans" w:hAnsi="Lucida Sans"/>
          <w:sz w:val="18"/>
          <w:szCs w:val="18"/>
          <w:color w:val="E8E7E5"/>
        </w:rPr>
        <w:t>San Jose, CA 95128</w:t>
      </w:r>
    </w:p>
    <w:p>
      <w:pPr>
        <w:spacing w:after="0" w:line="28" w:lineRule="exact"/>
        <w:rPr>
          <w:sz w:val="20"/>
          <w:szCs w:val="20"/>
          <w:color w:val="auto"/>
        </w:rPr>
      </w:pPr>
    </w:p>
    <w:p>
      <w:pPr>
        <w:spacing w:after="0"/>
        <w:rPr>
          <w:sz w:val="20"/>
          <w:szCs w:val="20"/>
          <w:color w:val="auto"/>
        </w:rPr>
      </w:pPr>
      <w:r>
        <w:rPr>
          <w:rFonts w:ascii="Lucida Sans" w:cs="Lucida Sans" w:eastAsia="Lucida Sans" w:hAnsi="Lucida Sans"/>
          <w:sz w:val="18"/>
          <w:szCs w:val="18"/>
          <w:color w:val="E8E7E5"/>
        </w:rPr>
        <w:t>408.551.4600</w:t>
      </w:r>
    </w:p>
    <w:p>
      <w:pPr>
        <w:spacing w:after="0" w:line="265" w:lineRule="exact"/>
        <w:rPr>
          <w:sz w:val="20"/>
          <w:szCs w:val="20"/>
          <w:color w:val="auto"/>
        </w:rPr>
      </w:pPr>
    </w:p>
    <w:p>
      <w:pPr>
        <w:spacing w:after="0"/>
        <w:rPr>
          <w:sz w:val="20"/>
          <w:szCs w:val="20"/>
          <w:color w:val="auto"/>
        </w:rPr>
      </w:pPr>
      <w:r>
        <w:rPr>
          <w:rFonts w:ascii="Lucida Sans" w:cs="Lucida Sans" w:eastAsia="Lucida Sans" w:hAnsi="Lucida Sans"/>
          <w:sz w:val="18"/>
          <w:szCs w:val="18"/>
          <w:b w:val="1"/>
          <w:bCs w:val="1"/>
          <w:color w:val="EF3E2A"/>
        </w:rPr>
        <w:t>T Y S O N S</w:t>
      </w:r>
    </w:p>
    <w:p>
      <w:pPr>
        <w:spacing w:after="0" w:line="197" w:lineRule="exact"/>
        <w:rPr>
          <w:sz w:val="20"/>
          <w:szCs w:val="20"/>
          <w:color w:val="auto"/>
        </w:rPr>
      </w:pPr>
    </w:p>
    <w:p>
      <w:pPr>
        <w:spacing w:after="0"/>
        <w:rPr>
          <w:sz w:val="20"/>
          <w:szCs w:val="20"/>
          <w:color w:val="auto"/>
        </w:rPr>
      </w:pPr>
      <w:r>
        <w:rPr>
          <w:rFonts w:ascii="Lucida Sans" w:cs="Lucida Sans" w:eastAsia="Lucida Sans" w:hAnsi="Lucida Sans"/>
          <w:sz w:val="18"/>
          <w:szCs w:val="18"/>
          <w:color w:val="E8E7E5"/>
        </w:rPr>
        <w:t>7930 Jones Branch Drive</w:t>
      </w:r>
    </w:p>
    <w:p>
      <w:pPr>
        <w:spacing w:after="0" w:line="28" w:lineRule="exact"/>
        <w:rPr>
          <w:sz w:val="20"/>
          <w:szCs w:val="20"/>
          <w:color w:val="auto"/>
        </w:rPr>
      </w:pPr>
    </w:p>
    <w:p>
      <w:pPr>
        <w:spacing w:after="0"/>
        <w:rPr>
          <w:sz w:val="20"/>
          <w:szCs w:val="20"/>
          <w:color w:val="auto"/>
        </w:rPr>
      </w:pPr>
      <w:r>
        <w:rPr>
          <w:rFonts w:ascii="Lucida Sans" w:cs="Lucida Sans" w:eastAsia="Lucida Sans" w:hAnsi="Lucida Sans"/>
          <w:sz w:val="18"/>
          <w:szCs w:val="18"/>
          <w:color w:val="E8E7E5"/>
        </w:rPr>
        <w:t>Suite 350</w:t>
      </w:r>
    </w:p>
    <w:p>
      <w:pPr>
        <w:spacing w:after="0" w:line="28" w:lineRule="exact"/>
        <w:rPr>
          <w:sz w:val="20"/>
          <w:szCs w:val="20"/>
          <w:color w:val="auto"/>
        </w:rPr>
      </w:pPr>
    </w:p>
    <w:p>
      <w:pPr>
        <w:spacing w:after="0"/>
        <w:rPr>
          <w:sz w:val="20"/>
          <w:szCs w:val="20"/>
          <w:color w:val="auto"/>
        </w:rPr>
      </w:pPr>
      <w:r>
        <w:rPr>
          <w:rFonts w:ascii="Lucida Sans" w:cs="Lucida Sans" w:eastAsia="Lucida Sans" w:hAnsi="Lucida Sans"/>
          <w:sz w:val="18"/>
          <w:szCs w:val="18"/>
          <w:color w:val="E8E7E5"/>
        </w:rPr>
        <w:t>McLean, VA 22102</w:t>
      </w:r>
    </w:p>
    <w:p>
      <w:pPr>
        <w:spacing w:after="0" w:line="28" w:lineRule="exact"/>
        <w:rPr>
          <w:sz w:val="20"/>
          <w:szCs w:val="20"/>
          <w:color w:val="auto"/>
        </w:rPr>
      </w:pPr>
    </w:p>
    <w:p>
      <w:pPr>
        <w:spacing w:after="0"/>
        <w:rPr>
          <w:sz w:val="20"/>
          <w:szCs w:val="20"/>
          <w:color w:val="auto"/>
        </w:rPr>
      </w:pPr>
      <w:r>
        <w:rPr>
          <w:rFonts w:ascii="Lucida Sans" w:cs="Lucida Sans" w:eastAsia="Lucida Sans" w:hAnsi="Lucida Sans"/>
          <w:sz w:val="18"/>
          <w:szCs w:val="18"/>
          <w:color w:val="E8E7E5"/>
        </w:rPr>
        <w:t>703.776.9679</w:t>
      </w:r>
    </w:p>
    <w:sectPr>
      <w:pgSz w:w="11880" w:h="15480" w:orient="portrait"/>
      <w:cols w:equalWidth="0" w:num="1">
        <w:col w:w="9060"/>
      </w:cols>
      <w:pgMar w:left="138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Lucida Sans">
    <w:panose1 w:val="020B0602030504020204"/>
    <w:charset w:val="00"/>
    <w:family w:val="swiss"/>
    <w:pitch w:val="variable"/>
    <w:sig w:usb0="00000003" w:usb1="00000000" w:usb2="00000000" w:usb3="00000000" w:csb0="20000001" w:csb1="00000000"/>
  </w:font>
  <w:font w:name="Georgia Pro">
    <w:panose1 w:val="02040502050405020303"/>
    <w:charset w:val="00"/>
    <w:family w:val="roman"/>
    <w:pitch w:val="variable"/>
    <w:sig w:usb0="80000287" w:usb1="00000043" w:usb2="00000000" w:usb3="00000000" w:csb0="2000009F" w:csb1="00000000"/>
  </w:font>
  <w:font w:name="Arial">
    <w:panose1 w:val="020B0604020202020204"/>
    <w:charset w:val="00"/>
    <w:family w:val="swiss"/>
    <w:pitch w:val="variable"/>
    <w:sig w:usb0="E0002EFF" w:usb1="C0007843" w:usb2="00000009" w:usb3="00000000" w:csb0="400001FF" w:csb1="FFFF0000"/>
  </w:font>
  <w:font w:name="PMingLiU">
    <w:panose1 w:val="02020500000000000000"/>
    <w:charset w:val="88"/>
    <w:family w:val="roman"/>
    <w:pitch w:val="variable"/>
    <w:sig w:usb0="A00002FF" w:usb1="28CFFCFA" w:usb2="00000016" w:usb3="00000000" w:csb0="00100001" w:csb1="00000000"/>
  </w:font>
  <w:font w:name="Symbol">
    <w:panose1 w:val="05050102010706020507"/>
    <w:charset w:val="00"/>
    <w:family w:val="auto"/>
    <w:pitch w:val="variable"/>
    <w:sig w:usb0="00000000" w:usb1="00000000" w:usb2="00000000" w:usb3="00000000" w:csb0="80000000" w:csb1="00000000"/>
  </w:font>
  <w:font w:name="Arial Unicode MS">
    <w:panose1 w:val="020B0604020202020204"/>
    <w:charset w:val="00"/>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14E17E33"/>
    <w:multiLevelType w:val="hybridMultilevel"/>
    <w:lvl w:ilvl="0">
      <w:lvlJc w:val="left"/>
      <w:lvlText w:val="•"/>
      <w:numFmt w:val="bullet"/>
      <w:start w:val="1"/>
    </w:lvl>
  </w:abstractNum>
  <w:abstractNum w:abstractNumId="1">
    <w:nsid w:val="3222E7CD"/>
    <w:multiLevelType w:val="hybridMultilevel"/>
    <w:lvl w:ilvl="0">
      <w:lvlJc w:val="left"/>
      <w:lvlText w:val="A"/>
      <w:numFmt w:val="bullet"/>
      <w:start w:val="1"/>
    </w:lvl>
  </w:abstractNum>
  <w:abstractNum w:abstractNumId="2">
    <w:nsid w:val="74DE0EE3"/>
    <w:multiLevelType w:val="hybridMultilevel"/>
    <w:lvl w:ilvl="0">
      <w:lvlJc w:val="left"/>
      <w:lvlText w:val="1"/>
      <w:numFmt w:val="bullet"/>
      <w:start w:val="1"/>
    </w:lvl>
  </w:abstractNum>
  <w:abstractNum w:abstractNumId="3">
    <w:nsid w:val="68EBC550"/>
    <w:multiLevelType w:val="hybridMultilevel"/>
    <w:lvl w:ilvl="0">
      <w:lvlJc w:val="left"/>
      <w:lvlText w:val=" "/>
      <w:numFmt w:val="bullet"/>
      <w:start w:val="1"/>
    </w:lvl>
  </w:abstractNum>
  <w:abstractNum w:abstractNumId="4">
    <w:nsid w:val="2DF6D648"/>
    <w:multiLevelType w:val="hybridMultilevel"/>
    <w:lvl w:ilvl="0">
      <w:lvlJc w:val="left"/>
      <w:lvlText w:val=" "/>
      <w:numFmt w:val="bullet"/>
      <w:start w:val="1"/>
    </w:lvl>
  </w:abstractNum>
  <w:abstractNum w:abstractNumId="5">
    <w:nsid w:val="46B7D447"/>
    <w:multiLevelType w:val="hybridMultilevel"/>
    <w:lvl w:ilvl="0">
      <w:lvlJc w:val="left"/>
      <w:lvlText w:val="•"/>
      <w:numFmt w:val="bullet"/>
      <w:start w:val="1"/>
    </w:lvl>
  </w:abstractNum>
  <w:abstractNum w:abstractNumId="6">
    <w:nsid w:val="4A2AC315"/>
    <w:multiLevelType w:val="hybridMultilevel"/>
    <w:lvl w:ilvl="0">
      <w:lvlJc w:val="left"/>
      <w:lvlText w:val="•"/>
      <w:numFmt w:val="bullet"/>
      <w:start w:val="1"/>
    </w:lvl>
  </w:abstractNum>
  <w:abstractNum w:abstractNumId="7">
    <w:nsid w:val="39EE015C"/>
    <w:multiLevelType w:val="hybridMultilevel"/>
    <w:lvl w:ilvl="0">
      <w:lvlJc w:val="left"/>
      <w:lvlText w:val="•"/>
      <w:numFmt w:val="bullet"/>
      <w:start w:val="1"/>
    </w:lvl>
  </w:abstractNum>
  <w:abstractNum w:abstractNumId="8">
    <w:nsid w:val="57FC4FBB"/>
    <w:multiLevelType w:val="hybridMultilevel"/>
    <w:lvl w:ilvl="0">
      <w:lvlJc w:val="left"/>
      <w:lvlText w:val="•"/>
      <w:numFmt w:val="bullet"/>
      <w:start w:val="1"/>
    </w:lvl>
  </w:abstractNum>
  <w:abstractNum w:abstractNumId="9">
    <w:nsid w:val="CC1016F"/>
    <w:multiLevelType w:val="hybridMultilevel"/>
    <w:lvl w:ilvl="0">
      <w:lvlJc w:val="left"/>
      <w:lvlText w:val="•"/>
      <w:numFmt w:val="bullet"/>
      <w:start w:val="1"/>
    </w:lvl>
  </w:abstractNum>
  <w:abstractNum w:abstractNumId="10">
    <w:nsid w:val="43F18422"/>
    <w:multiLevelType w:val="hybridMultilevel"/>
    <w:lvl w:ilvl="0">
      <w:lvlJc w:val="left"/>
      <w:lvlText w:val="•"/>
      <w:numFmt w:val="bullet"/>
      <w:start w:val="1"/>
    </w:lvl>
  </w:abstractNum>
  <w:abstractNum w:abstractNumId="11">
    <w:nsid w:val="60EF0119"/>
    <w:multiLevelType w:val="hybridMultilevel"/>
    <w:lvl w:ilvl="0">
      <w:lvlJc w:val="left"/>
      <w:lvlText w:val="•"/>
      <w:numFmt w:val="bullet"/>
      <w:start w:val="1"/>
    </w:lvl>
    <w:lvl w:ilvl="1">
      <w:lvlJc w:val="left"/>
      <w:lvlText w:val="^"/>
      <w:numFmt w:val="bullet"/>
      <w:start w:val="1"/>
    </w:lvl>
  </w:abstractNum>
  <w:abstractNum w:abstractNumId="12">
    <w:nsid w:val="26F324BA"/>
    <w:multiLevelType w:val="hybridMultilevel"/>
    <w:lvl w:ilvl="0">
      <w:lvlJc w:val="left"/>
      <w:lvlText w:val="^"/>
      <w:numFmt w:val="bullet"/>
      <w:start w:val="1"/>
    </w:lvl>
  </w:abstractNum>
  <w:abstractNum w:abstractNumId="13">
    <w:nsid w:val="7F01579B"/>
    <w:multiLevelType w:val="hybridMultilevel"/>
    <w:lvl w:ilvl="0">
      <w:lvlJc w:val="left"/>
      <w:lvlText w:val="•"/>
      <w:numFmt w:val="bullet"/>
      <w:start w:val="1"/>
    </w:lvl>
  </w:abstractNum>
  <w:abstractNum w:abstractNumId="14">
    <w:nsid w:val="49DA307D"/>
    <w:multiLevelType w:val="hybridMultilevel"/>
    <w:lvl w:ilvl="0">
      <w:lvlJc w:val="left"/>
      <w:lvlText w:val="•"/>
      <w:numFmt w:val="bullet"/>
      <w:start w:val="1"/>
    </w:lvl>
  </w:abstractNum>
  <w:abstractNum w:abstractNumId="15">
    <w:nsid w:val="7055A5F5"/>
    <w:multiLevelType w:val="hybridMultilevel"/>
    <w:lvl w:ilvl="0">
      <w:lvlJc w:val="left"/>
      <w:lvlText w:val="•"/>
      <w:numFmt w:val="bullet"/>
      <w:start w:val="1"/>
    </w:lvl>
  </w:abstractNum>
  <w:abstractNum w:abstractNumId="16">
    <w:nsid w:val="5FB8370B"/>
    <w:multiLevelType w:val="hybridMultilevel"/>
    <w:lvl w:ilvl="0">
      <w:lvlJc w:val="left"/>
      <w:lvlText w:val="•"/>
      <w:numFmt w:val="bullet"/>
      <w:start w:val="1"/>
    </w:lvl>
  </w:abstractNum>
  <w:abstractNum w:abstractNumId="17">
    <w:nsid w:val="50801EE1"/>
    <w:multiLevelType w:val="hybridMultilevel"/>
    <w:lvl w:ilvl="0">
      <w:lvlJc w:val="left"/>
      <w:lvlText w:val="•"/>
      <w:numFmt w:val="bullet"/>
      <w:start w:val="1"/>
    </w:lvl>
  </w:abstractNum>
  <w:abstractNum w:abstractNumId="18">
    <w:nsid w:val="488AC1A"/>
    <w:multiLevelType w:val="hybridMultilevel"/>
    <w:lvl w:ilvl="0">
      <w:lvlJc w:val="left"/>
      <w:lvlText w:val="•"/>
      <w:numFmt w:val="bullet"/>
      <w:start w:val="1"/>
    </w:lvl>
  </w:abstractNum>
  <w:abstractNum w:abstractNumId="19">
    <w:nsid w:val="5FB8011C"/>
    <w:multiLevelType w:val="hybridMultilevel"/>
    <w:lvl w:ilvl="0">
      <w:lvlJc w:val="left"/>
      <w:lvlText w:val="•"/>
      <w:numFmt w:val="bullet"/>
      <w:start w:val="1"/>
    </w:lvl>
  </w:abstractNum>
  <w:abstractNum w:abstractNumId="20">
    <w:nsid w:val="6AA78F7F"/>
    <w:multiLevelType w:val="hybridMultilevel"/>
    <w:lvl w:ilvl="0">
      <w:lvlJc w:val="left"/>
      <w:lvlText w:val="•"/>
      <w:numFmt w:val="bullet"/>
      <w:start w:val="1"/>
    </w:lvl>
  </w:abstractNum>
  <w:abstractNum w:abstractNumId="21">
    <w:nsid w:val="7672BD23"/>
    <w:multiLevelType w:val="hybridMultilevel"/>
    <w:lvl w:ilvl="0">
      <w:lvlJc w:val="left"/>
      <w:lvlText w:val="•"/>
      <w:numFmt w:val="bullet"/>
      <w:start w:val="1"/>
    </w:lvl>
  </w:abstractNum>
  <w:abstractNum w:abstractNumId="22">
    <w:nsid w:val="6FC75AF8"/>
    <w:multiLevelType w:val="hybridMultilevel"/>
    <w:lvl w:ilvl="0">
      <w:lvlJc w:val="left"/>
      <w:lvlText w:val="•"/>
      <w:numFmt w:val="bullet"/>
      <w:start w:val="1"/>
    </w:lvl>
  </w:abstractNum>
  <w:abstractNum w:abstractNumId="23">
    <w:nsid w:val="6A5F7029"/>
    <w:multiLevelType w:val="hybridMultilevel"/>
    <w:lvl w:ilvl="0">
      <w:lvlJc w:val="left"/>
      <w:lvlText w:val="•"/>
      <w:numFmt w:val="bullet"/>
      <w:start w:val="1"/>
    </w:lvl>
  </w:abstractNum>
  <w:abstractNum w:abstractNumId="24">
    <w:nsid w:val="7D5E18F8"/>
    <w:multiLevelType w:val="hybridMultilevel"/>
    <w:lvl w:ilvl="0">
      <w:lvlJc w:val="left"/>
      <w:lvlText w:val="•"/>
      <w:numFmt w:val="bullet"/>
      <w:start w:val="1"/>
    </w:lvl>
  </w:abstractNum>
  <w:abstractNum w:abstractNumId="25">
    <w:nsid w:val="5F3534A4"/>
    <w:multiLevelType w:val="hybridMultilevel"/>
    <w:lvl w:ilvl="0">
      <w:lvlJc w:val="left"/>
      <w:lvlText w:val="•"/>
      <w:numFmt w:val="bullet"/>
      <w:start w:val="1"/>
    </w:lvl>
  </w:abstractNum>
  <w:abstractNum w:abstractNumId="26">
    <w:nsid w:val="73A1821B"/>
    <w:multiLevelType w:val="hybridMultilevel"/>
    <w:lvl w:ilvl="0">
      <w:lvlJc w:val="left"/>
      <w:lvlText w:val="•"/>
      <w:numFmt w:val="bullet"/>
      <w:start w:val="1"/>
    </w:lvl>
  </w:abstractNum>
  <w:abstractNum w:abstractNumId="27">
    <w:nsid w:val="7DE67713"/>
    <w:multiLevelType w:val="hybridMultilevel"/>
    <w:lvl w:ilvl="0">
      <w:lvlJc w:val="left"/>
      <w:lvlText w:val="•"/>
      <w:numFmt w:val="bullet"/>
      <w:start w:val="1"/>
    </w:lvl>
  </w:abstractNum>
  <w:abstractNum w:abstractNumId="28">
    <w:nsid w:val="555C55B5"/>
    <w:multiLevelType w:val="hybridMultilevel"/>
    <w:lvl w:ilvl="0">
      <w:lvlJc w:val="left"/>
      <w:lvlText w:val="•"/>
      <w:numFmt w:val="bullet"/>
      <w:start w:val="1"/>
    </w:lvl>
  </w:abstractNum>
  <w:abstractNum w:abstractNumId="29">
    <w:nsid w:val="3FA62ACA"/>
    <w:multiLevelType w:val="hybridMultilevel"/>
    <w:lvl w:ilvl="0">
      <w:lvlJc w:val="left"/>
      <w:lvlText w:val="(%1)"/>
      <w:numFmt w:val="decimal"/>
      <w:start w:val="1"/>
    </w:lvl>
  </w:abstractNum>
  <w:abstractNum w:abstractNumId="30">
    <w:nsid w:val="14FCE74E"/>
    <w:multiLevelType w:val="hybridMultilevel"/>
    <w:lvl w:ilvl="0">
      <w:lvlJc w:val="left"/>
      <w:lvlText w:val="(%1)"/>
      <w:numFmt w:val="decimal"/>
      <w:start w:val="1"/>
    </w:lvl>
  </w:abstractNum>
  <w:abstractNum w:abstractNumId="31">
    <w:nsid w:val="6A3DD3E8"/>
    <w:multiLevelType w:val="hybridMultilevel"/>
    <w:lvl w:ilvl="0">
      <w:lvlJc w:val="left"/>
      <w:lvlText w:val="•"/>
      <w:numFmt w:val="bullet"/>
      <w:start w:val="1"/>
    </w:lvl>
  </w:abstractNum>
  <w:abstractNum w:abstractNumId="32">
    <w:nsid w:val="71C91298"/>
    <w:multiLevelType w:val="hybridMultilevel"/>
    <w:lvl w:ilvl="0">
      <w:lvlJc w:val="left"/>
      <w:lvlText w:val="•"/>
      <w:numFmt w:val="bullet"/>
      <w:start w:val="1"/>
    </w:lvl>
  </w:abstractNum>
  <w:abstractNum w:abstractNumId="33">
    <w:nsid w:val="9DAF632"/>
    <w:multiLevelType w:val="hybridMultilevel"/>
    <w:lvl w:ilvl="0">
      <w:lvlJc w:val="left"/>
      <w:lvlText w:val="(%1)"/>
      <w:numFmt w:val="decimal"/>
      <w:start w:val="1"/>
    </w:lvl>
  </w:abstractNum>
  <w:abstractNum w:abstractNumId="34">
    <w:nsid w:val="53299938"/>
    <w:multiLevelType w:val="hybridMultilevel"/>
    <w:lvl w:ilvl="0">
      <w:lvlJc w:val="left"/>
      <w:lvlText w:val="•"/>
      <w:numFmt w:val="bullet"/>
      <w:start w:val="1"/>
    </w:lvl>
  </w:abstractNum>
  <w:abstractNum w:abstractNumId="35">
    <w:nsid w:val="1FBFE8E0"/>
    <w:multiLevelType w:val="hybridMultilevel"/>
    <w:lvl w:ilvl="0">
      <w:lvlJc w:val="left"/>
      <w:lvlText w:val="•"/>
      <w:numFmt w:val="bullet"/>
      <w:start w:val="1"/>
    </w:lvl>
  </w:abstractNum>
  <w:abstractNum w:abstractNumId="36">
    <w:nsid w:val="5092CA79"/>
    <w:multiLevelType w:val="hybridMultilevel"/>
    <w:lvl w:ilvl="0">
      <w:lvlJc w:val="left"/>
      <w:lvlText w:val="•"/>
      <w:numFmt w:val="bullet"/>
      <w:start w:val="1"/>
    </w:lvl>
  </w:abstractNum>
  <w:abstractNum w:abstractNumId="37">
    <w:nsid w:val="1D545C4D"/>
    <w:multiLevelType w:val="hybridMultilevel"/>
    <w:lvl w:ilvl="0">
      <w:lvlJc w:val="left"/>
      <w:lvlText w:val="•"/>
      <w:numFmt w:val="bullet"/>
      <w:start w:val="1"/>
    </w:lvl>
  </w:abstractNum>
  <w:abstractNum w:abstractNumId="38">
    <w:nsid w:val="59ADEA3D"/>
    <w:multiLevelType w:val="hybridMultilevel"/>
    <w:lvl w:ilvl="0">
      <w:lvlJc w:val="left"/>
      <w:lvlText w:val="•"/>
      <w:numFmt w:val="bullet"/>
      <w:start w:val="1"/>
    </w:lvl>
  </w:abstractNum>
  <w:abstractNum w:abstractNumId="39">
    <w:nsid w:val="288F1A34"/>
    <w:multiLevelType w:val="hybridMultilevel"/>
    <w:lvl w:ilvl="0">
      <w:lvlJc w:val="left"/>
      <w:lvlText w:val="•"/>
      <w:numFmt w:val="bullet"/>
      <w:start w:val="1"/>
    </w:lvl>
  </w:abstractNum>
  <w:abstractNum w:abstractNumId="40">
    <w:nsid w:val="2A155DBC"/>
    <w:multiLevelType w:val="hybridMultilevel"/>
    <w:lvl w:ilvl="0">
      <w:lvlJc w:val="left"/>
      <w:lvlText w:val="•"/>
      <w:numFmt w:val="bullet"/>
      <w:start w:val="1"/>
    </w:lvl>
  </w:abstractNum>
  <w:abstractNum w:abstractNumId="41">
    <w:nsid w:val="1D9F6E5F"/>
    <w:multiLevelType w:val="hybridMultilevel"/>
    <w:lvl w:ilvl="0">
      <w:lvlJc w:val="left"/>
      <w:lvlText w:val="•"/>
      <w:numFmt w:val="bullet"/>
      <w:start w:val="1"/>
    </w:lvl>
  </w:abstractNum>
  <w:abstractNum w:abstractNumId="42">
    <w:nsid w:val="97E1B4E"/>
    <w:multiLevelType w:val="hybridMultilevel"/>
    <w:lvl w:ilvl="0">
      <w:lvlJc w:val="left"/>
      <w:lvlText w:val="•"/>
      <w:numFmt w:val="bullet"/>
      <w:start w:val="1"/>
    </w:lvl>
  </w:abstractNum>
  <w:abstractNum w:abstractNumId="43">
    <w:nsid w:val="51088277"/>
    <w:multiLevelType w:val="hybridMultilevel"/>
    <w:lvl w:ilvl="0">
      <w:lvlJc w:val="left"/>
      <w:lvlText w:val="•"/>
      <w:numFmt w:val="bullet"/>
      <w:start w:val="1"/>
    </w:lvl>
  </w:abstractNum>
  <w:abstractNum w:abstractNumId="44">
    <w:nsid w:val="1CA0C5FA"/>
    <w:multiLevelType w:val="hybridMultilevel"/>
    <w:lvl w:ilvl="0">
      <w:lvlJc w:val="left"/>
      <w:lvlText w:val="•"/>
      <w:numFmt w:val="bullet"/>
      <w:start w:val="1"/>
    </w:lvl>
  </w:abstractNum>
  <w:abstractNum w:abstractNumId="45">
    <w:nsid w:val="53584BCB"/>
    <w:multiLevelType w:val="hybridMultilevel"/>
    <w:lvl w:ilvl="0">
      <w:lvlJc w:val="left"/>
      <w:lvlText w:val="(%1)"/>
      <w:numFmt w:val="decimal"/>
      <w:start w:val="1"/>
    </w:lvl>
  </w:abstractNum>
  <w:abstractNum w:abstractNumId="46">
    <w:nsid w:val="415E286C"/>
    <w:multiLevelType w:val="hybridMultilevel"/>
    <w:lvl w:ilvl="0">
      <w:lvlJc w:val="left"/>
      <w:lvlText w:val="(%1)"/>
      <w:numFmt w:val="decimal"/>
      <w:start w:val="4"/>
    </w:lvl>
  </w:abstractNum>
  <w:abstractNum w:abstractNumId="47">
    <w:nsid w:val="7C58FD05"/>
    <w:multiLevelType w:val="hybridMultilevel"/>
    <w:lvl w:ilvl="0">
      <w:lvlJc w:val="left"/>
      <w:lvlText w:val="(%1)"/>
      <w:numFmt w:val="lowerLetter"/>
      <w:start w:val="1"/>
    </w:lvl>
  </w:abstractNum>
  <w:abstractNum w:abstractNumId="48">
    <w:nsid w:val="23D86AAC"/>
    <w:multiLevelType w:val="hybridMultilevel"/>
    <w:lvl w:ilvl="0">
      <w:lvlJc w:val="left"/>
      <w:lvlText w:val="(%1)"/>
      <w:numFmt w:val="decimal"/>
      <w:start w:val="1"/>
    </w:lvl>
  </w:abstractNum>
  <w:abstractNum w:abstractNumId="49">
    <w:nsid w:val="45E6D486"/>
    <w:multiLevelType w:val="hybridMultilevel"/>
    <w:lvl w:ilvl="0">
      <w:lvlJc w:val="left"/>
      <w:lvlText w:val="(%1)"/>
      <w:numFmt w:val="decimal"/>
      <w:start w:val="8"/>
    </w:lvl>
  </w:abstractNum>
  <w:abstractNum w:abstractNumId="50">
    <w:nsid w:val="5C10FE21"/>
    <w:multiLevelType w:val="hybridMultilevel"/>
    <w:lvl w:ilvl="0">
      <w:lvlJc w:val="left"/>
      <w:lvlText w:val="(%1)"/>
      <w:numFmt w:val="decimal"/>
      <w:start w:val="1"/>
    </w:lvl>
  </w:abstractNum>
  <w:abstractNum w:abstractNumId="51">
    <w:nsid w:val="E7FFA2B"/>
    <w:multiLevelType w:val="hybridMultilevel"/>
    <w:lvl w:ilvl="0">
      <w:lvlJc w:val="left"/>
      <w:lvlText w:val="•"/>
      <w:numFmt w:val="bullet"/>
      <w:start w:val="1"/>
    </w:lvl>
  </w:abstractNum>
  <w:abstractNum w:abstractNumId="52">
    <w:nsid w:val="3C5991AA"/>
    <w:multiLevelType w:val="hybridMultilevel"/>
    <w:lvl w:ilvl="0">
      <w:lvlJc w:val="left"/>
      <w:lvlText w:val="(%1)"/>
      <w:numFmt w:val="decimal"/>
      <w:start w:val="1"/>
    </w:lvl>
  </w:abstractNum>
  <w:abstractNum w:abstractNumId="53">
    <w:nsid w:val="4BD8591A"/>
    <w:multiLevelType w:val="hybridMultilevel"/>
    <w:lvl w:ilvl="0">
      <w:lvlJc w:val="left"/>
      <w:lvlText w:val="•"/>
      <w:numFmt w:val="bullet"/>
      <w:start w:val="1"/>
    </w:lvl>
  </w:abstractNum>
  <w:abstractNum w:abstractNumId="54">
    <w:nsid w:val="78DF6A55"/>
    <w:multiLevelType w:val="hybridMultilevel"/>
    <w:lvl w:ilvl="0">
      <w:lvlJc w:val="left"/>
      <w:lvlText w:val="•"/>
      <w:numFmt w:val="bullet"/>
      <w:start w:val="1"/>
    </w:lvl>
  </w:abstractNum>
  <w:abstractNum w:abstractNumId="55">
    <w:nsid w:val="39B7AAA2"/>
    <w:multiLevelType w:val="hybridMultilevel"/>
    <w:lvl w:ilvl="0">
      <w:lvlJc w:val="left"/>
      <w:lvlText w:val="%1"/>
      <w:numFmt w:val="decimal"/>
      <w:start w:val="97"/>
    </w:lvl>
  </w:abstractNum>
  <w:abstractNum w:abstractNumId="56">
    <w:nsid w:val="2B0D8DBE"/>
    <w:multiLevelType w:val="hybridMultilevel"/>
    <w:lvl w:ilvl="0">
      <w:lvlJc w:val="left"/>
      <w:lvlText w:val="%1"/>
      <w:numFmt w:val="decimal"/>
      <w:start w:val="101"/>
    </w:lvl>
  </w:abstractNum>
  <w:abstractNum w:abstractNumId="57">
    <w:nsid w:val="6C80EC70"/>
    <w:multiLevelType w:val="hybridMultilevel"/>
    <w:lvl w:ilvl="0">
      <w:lvlJc w:val="left"/>
      <w:lvlText w:val="†"/>
      <w:numFmt w:val="bullet"/>
      <w:start w:val="1"/>
    </w:lvl>
  </w:abstractNum>
  <w:abstractNum w:abstractNumId="58">
    <w:nsid w:val="379E21B5"/>
    <w:multiLevelType w:val="hybridMultilevel"/>
    <w:lvl w:ilvl="0">
      <w:lvlJc w:val="left"/>
      <w:lvlText w:val="%2"/>
      <w:numFmt w:val="bullet"/>
      <w:start w:val="1"/>
    </w:lvl>
  </w:abstractNum>
  <w:abstractNum w:abstractNumId="59">
    <w:nsid w:val="69E373"/>
    <w:multiLevelType w:val="hybridMultilevel"/>
    <w:lvl w:ilvl="0">
      <w:lvlJc w:val="left"/>
      <w:lvlText w:val="•"/>
      <w:numFmt w:val="bullet"/>
      <w:start w:val="1"/>
    </w:lvl>
  </w:abstractNum>
  <w:abstractNum w:abstractNumId="60">
    <w:nsid w:val="2C27173B"/>
    <w:multiLevelType w:val="hybridMultilevel"/>
    <w:lvl w:ilvl="0">
      <w:lvlJc w:val="left"/>
      <w:lvlText w:val="•"/>
      <w:numFmt w:val="bullet"/>
      <w:start w:val="1"/>
    </w:lvl>
  </w:abstractNum>
  <w:abstractNum w:abstractNumId="61">
    <w:nsid w:val="4C9B0904"/>
    <w:multiLevelType w:val="hybridMultilevel"/>
    <w:lvl w:ilvl="0">
      <w:lvlJc w:val="left"/>
      <w:lvlText w:val="•"/>
      <w:numFmt w:val="bullet"/>
      <w:start w:val="1"/>
    </w:lvl>
    <w:lvl w:ilvl="1">
      <w:lvlJc w:val="left"/>
      <w:lvlText w:val="^"/>
      <w:numFmt w:val="bullet"/>
      <w:start w:val="1"/>
    </w:lvl>
  </w:abstractNum>
  <w:abstractNum w:abstractNumId="62">
    <w:nsid w:val="6AA7B75C"/>
    <w:multiLevelType w:val="hybridMultilevel"/>
    <w:lvl w:ilvl="0">
      <w:lvlJc w:val="left"/>
      <w:lvlText w:val="•"/>
      <w:numFmt w:val="bullet"/>
      <w:start w:val="1"/>
    </w:lvl>
  </w:abstractNum>
  <w:abstractNum w:abstractNumId="63">
    <w:nsid w:val="1DF029D3"/>
    <w:multiLevelType w:val="hybridMultilevel"/>
    <w:lvl w:ilvl="0">
      <w:lvlJc w:val="left"/>
      <w:lvlText w:val="•"/>
      <w:numFmt w:val="bullet"/>
      <w:start w:val="1"/>
    </w:lvl>
    <w:lvl w:ilvl="1">
      <w:lvlJc w:val="left"/>
      <w:lvlText w:val="^"/>
      <w:numFmt w:val="bullet"/>
      <w:start w:val="1"/>
    </w:lvl>
  </w:abstractNum>
  <w:abstractNum w:abstractNumId="64">
    <w:nsid w:val="5675FF36"/>
    <w:multiLevelType w:val="hybridMultilevel"/>
    <w:lvl w:ilvl="0">
      <w:lvlJc w:val="left"/>
      <w:lvlText w:val="(%1)"/>
      <w:numFmt w:val="decimal"/>
      <w:start w:val="2"/>
    </w:lvl>
  </w:abstractNum>
  <w:abstractNum w:abstractNumId="65">
    <w:nsid w:val="3DD15094"/>
    <w:multiLevelType w:val="hybridMultilevel"/>
    <w:lvl w:ilvl="0">
      <w:lvlJc w:val="left"/>
      <w:lvlText w:val="(%1)"/>
      <w:numFmt w:val="decimal"/>
      <w:start w:val="1"/>
    </w:lvl>
  </w:abstractNum>
  <w:abstractNum w:abstractNumId="66">
    <w:nsid w:val="3DB012B3"/>
    <w:multiLevelType w:val="hybridMultilevel"/>
    <w:lvl w:ilvl="0">
      <w:lvlJc w:val="left"/>
      <w:lvlText w:val="(%1)"/>
      <w:numFmt w:val="decimal"/>
      <w:start w:val="1"/>
    </w:lvl>
  </w:abstractNum>
  <w:abstractNum w:abstractNumId="67">
    <w:nsid w:val="2708C9AF"/>
    <w:multiLevelType w:val="hybridMultilevel"/>
    <w:lvl w:ilvl="0">
      <w:lvlJc w:val="left"/>
      <w:lvlText w:val="(%1)"/>
      <w:numFmt w:val="decimal"/>
      <w:start w:val="1"/>
    </w:lvl>
  </w:abstractNum>
  <w:abstractNum w:abstractNumId="68">
    <w:nsid w:val="5B25ACE2"/>
    <w:multiLevelType w:val="hybridMultilevel"/>
    <w:lvl w:ilvl="0">
      <w:lvlJc w:val="left"/>
      <w:lvlText w:val="(%1)"/>
      <w:numFmt w:val="decimal"/>
      <w:start w:val="7"/>
    </w:lvl>
  </w:abstractNum>
  <w:abstractNum w:abstractNumId="69">
    <w:nsid w:val="175DFCF0"/>
    <w:multiLevelType w:val="hybridMultilevel"/>
    <w:lvl w:ilvl="0">
      <w:lvlJc w:val="left"/>
      <w:lvlText w:val="(%1)"/>
      <w:numFmt w:val="decimal"/>
      <w:start w:val="1"/>
    </w:lvl>
  </w:abstractNum>
  <w:abstractNum w:abstractNumId="70">
    <w:nsid w:val="4F97E3E4"/>
    <w:multiLevelType w:val="hybridMultilevel"/>
    <w:lvl w:ilvl="0">
      <w:lvlJc w:val="left"/>
      <w:lvlText w:val="%1."/>
      <w:numFmt w:val="decimal"/>
      <w:start w:val="1"/>
    </w:lvl>
  </w:abstractNum>
  <w:abstractNum w:abstractNumId="71">
    <w:nsid w:val="53B0A9E"/>
    <w:multiLevelType w:val="hybridMultilevel"/>
    <w:lvl w:ilvl="0">
      <w:lvlJc w:val="left"/>
      <w:lvlText w:val="(%1)"/>
      <w:numFmt w:val="decimal"/>
      <w:start w:val="1"/>
    </w:lvl>
  </w:abstractNum>
  <w:abstractNum w:abstractNumId="72">
    <w:nsid w:val="34FD6B4F"/>
    <w:multiLevelType w:val="hybridMultilevel"/>
    <w:lvl w:ilvl="0">
      <w:lvlJc w:val="left"/>
      <w:lvlText w:val="•"/>
      <w:numFmt w:val="bullet"/>
      <w:start w:val="1"/>
    </w:lvl>
  </w:abstractNum>
  <w:abstractNum w:abstractNumId="73">
    <w:nsid w:val="5915FF32"/>
    <w:multiLevelType w:val="hybridMultilevel"/>
    <w:lvl w:ilvl="0">
      <w:lvlJc w:val="left"/>
      <w:lvlText w:val="(%1)"/>
      <w:numFmt w:val="decimal"/>
      <w:start w:val="1"/>
    </w:lvl>
  </w:abstractNum>
  <w:abstractNum w:abstractNumId="74">
    <w:nsid w:val="56438D15"/>
    <w:multiLevelType w:val="hybridMultilevel"/>
    <w:lvl w:ilvl="0">
      <w:lvlJc w:val="left"/>
      <w:lvlText w:val=" "/>
      <w:numFmt w:val="bullet"/>
      <w:start w:val="1"/>
    </w:lvl>
  </w:abstractNum>
  <w:abstractNum w:abstractNumId="75">
    <w:nsid w:val="519E3149"/>
    <w:multiLevelType w:val="hybridMultilevel"/>
    <w:lvl w:ilvl="0">
      <w:lvlJc w:val="left"/>
      <w:lvlText w:val="**"/>
      <w:numFmt w:val="bullet"/>
      <w:start w:val="1"/>
    </w:lvl>
  </w:abstractNum>
  <w:abstractNum w:abstractNumId="76">
    <w:nsid w:val="2C6E4AFD"/>
    <w:multiLevelType w:val="hybridMultilevel"/>
    <w:lvl w:ilvl="0">
      <w:lvlJc w:val="left"/>
      <w:lvlText w:val=" "/>
      <w:numFmt w:val="bullet"/>
      <w:start w:val="1"/>
    </w:lvl>
  </w:abstractNum>
  <w:abstractNum w:abstractNumId="77">
    <w:nsid w:val="17A1B582"/>
    <w:multiLevelType w:val="hybridMultilevel"/>
    <w:lvl w:ilvl="0">
      <w:lvlJc w:val="left"/>
      <w:lvlText w:val=" "/>
      <w:numFmt w:val="bullet"/>
      <w:start w:val="1"/>
    </w:lvl>
  </w:abstractNum>
  <w:abstractNum w:abstractNumId="78">
    <w:nsid w:val="4DF72E4E"/>
    <w:multiLevelType w:val="hybridMultilevel"/>
    <w:lvl w:ilvl="0">
      <w:lvlJc w:val="left"/>
      <w:lvlText w:val="±"/>
      <w:numFmt w:val="bullet"/>
      <w:start w:val="1"/>
    </w:lvl>
  </w:abstractNum>
  <w:abstractNum w:abstractNumId="79">
    <w:nsid w:val="5046B5A9"/>
    <w:multiLevelType w:val="hybridMultilevel"/>
    <w:lvl w:ilvl="0">
      <w:lvlJc w:val="left"/>
      <w:lvlText w:val=" "/>
      <w:numFmt w:val="bullet"/>
      <w:start w:val="1"/>
    </w:lvl>
  </w:abstractNum>
  <w:abstractNum w:abstractNumId="80">
    <w:nsid w:val="5D888A08"/>
    <w:multiLevelType w:val="hybridMultilevel"/>
    <w:lvl w:ilvl="0">
      <w:lvlJc w:val="left"/>
      <w:lvlText w:val=" "/>
      <w:numFmt w:val="bullet"/>
      <w:start w:val="1"/>
    </w:lvl>
  </w:abstractNum>
  <w:abstractNum w:abstractNumId="81">
    <w:nsid w:val="2A082C70"/>
    <w:multiLevelType w:val="hybridMultilevel"/>
    <w:lvl w:ilvl="0">
      <w:lvlJc w:val="left"/>
      <w:lvlText w:val=" "/>
      <w:numFmt w:val="bullet"/>
      <w:start w:val="1"/>
    </w:lvl>
  </w:abstractNum>
  <w:abstractNum w:abstractNumId="82">
    <w:nsid w:val="5EC6AFD4"/>
    <w:multiLevelType w:val="hybridMultilevel"/>
    <w:lvl w:ilvl="0">
      <w:lvlJc w:val="left"/>
      <w:lvlText w:val="*"/>
      <w:numFmt w:val="bullet"/>
      <w:start w:val="1"/>
    </w:lvl>
    <w:lvl w:ilvl="1">
      <w:lvlJc w:val="left"/>
      <w:lvlText w:val=" "/>
      <w:numFmt w:val="bullet"/>
      <w:start w:val="1"/>
    </w:lvl>
  </w:abstractNum>
  <w:abstractNum w:abstractNumId="83">
    <w:nsid w:val="19E21BB2"/>
    <w:multiLevelType w:val="hybridMultilevel"/>
    <w:lvl w:ilvl="0">
      <w:lvlJc w:val="left"/>
      <w:lvlText w:val=" "/>
      <w:numFmt w:val="bullet"/>
      <w:start w:val="1"/>
    </w:lvl>
  </w:abstractNum>
  <w:abstractNum w:abstractNumId="84">
    <w:nsid w:val="75E0858A"/>
    <w:multiLevelType w:val="hybridMultilevel"/>
    <w:lvl w:ilvl="0">
      <w:lvlJc w:val="left"/>
      <w:lvlText w:val="▪"/>
      <w:numFmt w:val="bullet"/>
      <w:start w:val="1"/>
    </w:lvl>
  </w:abstractNum>
  <w:abstractNum w:abstractNumId="85">
    <w:nsid w:val="57A61A29"/>
    <w:multiLevelType w:val="hybridMultilevel"/>
    <w:lvl w:ilvl="0">
      <w:lvlJc w:val="left"/>
      <w:lvlText w:val=" "/>
      <w:numFmt w:val="bullet"/>
      <w:start w:val="1"/>
    </w:lvl>
  </w:abstractNum>
  <w:abstractNum w:abstractNumId="86">
    <w:nsid w:val="5399C654"/>
    <w:multiLevelType w:val="hybridMultilevel"/>
    <w:lvl w:ilvl="0">
      <w:lvlJc w:val="left"/>
      <w:lvlText w:val=" "/>
      <w:numFmt w:val="bullet"/>
      <w:start w:val="1"/>
    </w:lvl>
  </w:abstractNum>
  <w:abstractNum w:abstractNumId="87">
    <w:nsid w:val="20EE1348"/>
    <w:multiLevelType w:val="hybridMultilevel"/>
    <w:lvl w:ilvl="0">
      <w:lvlJc w:val="left"/>
      <w:lvlText w:val=" "/>
      <w:numFmt w:val="bullet"/>
      <w:start w:val="1"/>
    </w:lvl>
  </w:abstractNum>
  <w:abstractNum w:abstractNumId="88">
    <w:nsid w:val="4427069A"/>
    <w:multiLevelType w:val="hybridMultilevel"/>
    <w:lvl w:ilvl="0">
      <w:lvlJc w:val="left"/>
      <w:lvlText w:val="*"/>
      <w:numFmt w:val="bullet"/>
      <w:start w:val="1"/>
    </w:lvl>
  </w:abstractNum>
  <w:abstractNum w:abstractNumId="89">
    <w:nsid w:val="B37E80A"/>
    <w:multiLevelType w:val="hybridMultilevel"/>
    <w:lvl w:ilvl="0">
      <w:lvlJc w:val="left"/>
      <w:lvlText w:val=" "/>
      <w:numFmt w:val="bullet"/>
      <w:start w:val="1"/>
    </w:lvl>
  </w:abstractNum>
  <w:abstractNum w:abstractNumId="90">
    <w:nsid w:val="2157F6BC"/>
    <w:multiLevelType w:val="hybridMultilevel"/>
    <w:lvl w:ilvl="0">
      <w:lvlJc w:val="left"/>
      <w:lvlText w:val=" "/>
      <w:numFmt w:val="bullet"/>
      <w:start w:val="1"/>
    </w:lvl>
  </w:abstractNum>
  <w:abstractNum w:abstractNumId="91">
    <w:nsid w:val="704E1DD5"/>
    <w:multiLevelType w:val="hybridMultilevel"/>
    <w:lvl w:ilvl="0">
      <w:lvlJc w:val="left"/>
      <w:lvlText w:val=" "/>
      <w:numFmt w:val="bullet"/>
      <w:start w:val="1"/>
    </w:lvl>
  </w:abstractNum>
  <w:abstractNum w:abstractNumId="92">
    <w:nsid w:val="57D2F10E"/>
    <w:multiLevelType w:val="hybridMultilevel"/>
    <w:lvl w:ilvl="0">
      <w:lvlJc w:val="left"/>
      <w:lvlText w:val=" "/>
      <w:numFmt w:val="bullet"/>
      <w:start w:val="1"/>
    </w:lvl>
  </w:abstractNum>
  <w:abstractNum w:abstractNumId="93">
    <w:nsid w:val="BFFAE18"/>
    <w:multiLevelType w:val="hybridMultilevel"/>
    <w:lvl w:ilvl="0">
      <w:lvlJc w:val="left"/>
      <w:lvlText w:val="•"/>
      <w:numFmt w:val="bullet"/>
      <w:start w:val="1"/>
    </w:lvl>
  </w:abstractNum>
  <w:abstractNum w:abstractNumId="94">
    <w:nsid w:val="E3E47A8"/>
    <w:multiLevelType w:val="hybridMultilevel"/>
    <w:lvl w:ilvl="0">
      <w:lvlJc w:val="left"/>
      <w:lvlText w:val="•"/>
      <w:numFmt w:val="bullet"/>
      <w:start w:val="1"/>
    </w:lvl>
  </w:abstractNum>
  <w:abstractNum w:abstractNumId="95">
    <w:nsid w:val="2E48F044"/>
    <w:multiLevelType w:val="hybridMultilevel"/>
    <w:lvl w:ilvl="0">
      <w:lvlJc w:val="left"/>
      <w:lvlText w:val="•"/>
      <w:numFmt w:val="bullet"/>
      <w:start w:val="1"/>
    </w:lvl>
  </w:abstractNum>
  <w:abstractNum w:abstractNumId="96">
    <w:nsid w:val="49D0FEAC"/>
    <w:multiLevelType w:val="hybridMultilevel"/>
    <w:lvl w:ilvl="0">
      <w:lvlJc w:val="left"/>
      <w:lvlText w:val=" "/>
      <w:numFmt w:val="bullet"/>
      <w:start w:val="1"/>
    </w:lvl>
    <w:lvl w:ilvl="1">
      <w:lvlJc w:val="left"/>
      <w:lvlText w:val="•"/>
      <w:numFmt w:val="bullet"/>
      <w:start w:val="1"/>
    </w:lvl>
  </w:abstractNum>
  <w:abstractNum w:abstractNumId="97">
    <w:nsid w:val="4BEE5A5B"/>
    <w:multiLevelType w:val="hybridMultilevel"/>
    <w:lvl w:ilvl="0">
      <w:lvlJc w:val="left"/>
      <w:lvlText w:val="▪"/>
      <w:numFmt w:val="bullet"/>
      <w:start w:val="1"/>
    </w:lvl>
  </w:abstractNum>
  <w:abstractNum w:abstractNumId="98">
    <w:nsid w:val="5551B9F3"/>
    <w:multiLevelType w:val="hybridMultilevel"/>
    <w:lvl w:ilvl="0">
      <w:lvlJc w:val="left"/>
      <w:lvlText w:val="▪"/>
      <w:numFmt w:val="bullet"/>
      <w:start w:val="1"/>
    </w:lvl>
  </w:abstractNum>
  <w:abstractNum w:abstractNumId="99">
    <w:nsid w:val="24F6AB8E"/>
    <w:multiLevelType w:val="hybridMultilevel"/>
    <w:lvl w:ilvl="0">
      <w:lvlJc w:val="left"/>
      <w:lvlText w:val=" "/>
      <w:numFmt w:val="bullet"/>
      <w:start w:val="1"/>
    </w:lvl>
  </w:abstractNum>
  <w:abstractNum w:abstractNumId="100">
    <w:nsid w:val="634C574C"/>
    <w:multiLevelType w:val="hybridMultilevel"/>
    <w:lvl w:ilvl="0">
      <w:lvlJc w:val="left"/>
      <w:lvlText w:val=" "/>
      <w:numFmt w:val="bullet"/>
      <w:start w:val="1"/>
    </w:lvl>
  </w:abstractNum>
  <w:abstractNum w:abstractNumId="101">
    <w:nsid w:val="24E99DD7"/>
    <w:multiLevelType w:val="hybridMultilevel"/>
    <w:lvl w:ilvl="0">
      <w:lvlJc w:val="left"/>
      <w:lvlText w:val=" "/>
      <w:numFmt w:val="bullet"/>
      <w:start w:val="1"/>
    </w:lvl>
  </w:abstractNum>
  <w:abstractNum w:abstractNumId="102">
    <w:nsid w:val="2A31B62D"/>
    <w:multiLevelType w:val="hybridMultilevel"/>
    <w:lvl w:ilvl="0">
      <w:lvlJc w:val="left"/>
      <w:lvlText w:val=" "/>
      <w:numFmt w:val="bullet"/>
      <w:start w:val="1"/>
    </w:lvl>
  </w:abstractNum>
  <w:abstractNum w:abstractNumId="103">
    <w:nsid w:val="1849C29B"/>
    <w:multiLevelType w:val="hybridMultilevel"/>
    <w:lvl w:ilvl="0">
      <w:lvlJc w:val="left"/>
      <w:lvlText w:val=" "/>
      <w:numFmt w:val="bullet"/>
      <w:start w:val="1"/>
    </w:lvl>
  </w:abstractNum>
  <w:abstractNum w:abstractNumId="104">
    <w:nsid w:val="7DFF9D09"/>
    <w:multiLevelType w:val="hybridMultilevel"/>
    <w:lvl w:ilvl="0">
      <w:lvlJc w:val="left"/>
      <w:lvlText w:val=" "/>
      <w:numFmt w:val="bullet"/>
      <w:start w:val="1"/>
    </w:lvl>
  </w:abstractNum>
  <w:abstractNum w:abstractNumId="105">
    <w:nsid w:val="754342"/>
    <w:multiLevelType w:val="hybridMultilevel"/>
    <w:lvl w:ilvl="0">
      <w:lvlJc w:val="left"/>
      <w:lvlText w:val=" "/>
      <w:numFmt w:val="bullet"/>
      <w:start w:val="1"/>
    </w:lvl>
  </w:abstractNum>
  <w:abstractNum w:abstractNumId="106">
    <w:nsid w:val="69E7F3E5"/>
    <w:multiLevelType w:val="hybridMultilevel"/>
    <w:lvl w:ilvl="0">
      <w:lvlJc w:val="left"/>
      <w:lvlText w:val=" "/>
      <w:numFmt w:val="bullet"/>
      <w:start w:val="1"/>
    </w:lvl>
  </w:abstractNum>
  <w:abstractNum w:abstractNumId="107">
    <w:nsid w:val="2A6DE806"/>
    <w:multiLevelType w:val="hybridMultilevel"/>
    <w:lvl w:ilvl="0">
      <w:lvlJc w:val="left"/>
      <w:lvlText w:val=" "/>
      <w:numFmt w:val="bullet"/>
      <w:start w:val="1"/>
    </w:lvl>
  </w:abstractNum>
  <w:abstractNum w:abstractNumId="108">
    <w:nsid w:val="1816F8C4"/>
    <w:multiLevelType w:val="hybridMultilevel"/>
    <w:lvl w:ilvl="0">
      <w:lvlJc w:val="left"/>
      <w:lvlText w:val="\endash "/>
      <w:numFmt w:val="bullet"/>
      <w:start w:val="1"/>
    </w:lvl>
  </w:abstractNum>
  <w:abstractNum w:abstractNumId="109">
    <w:nsid w:val="37DF2233"/>
    <w:multiLevelType w:val="hybridMultilevel"/>
    <w:lvl w:ilvl="0">
      <w:lvlJc w:val="left"/>
      <w:lvlText w:val="(%1)"/>
      <w:numFmt w:val="decimal"/>
      <w:start w:val="1"/>
    </w:lvl>
  </w:abstractNum>
  <w:abstractNum w:abstractNumId="110">
    <w:nsid w:val="7AB49DAF"/>
    <w:multiLevelType w:val="hybridMultilevel"/>
    <w:lvl w:ilvl="0">
      <w:lvlJc w:val="left"/>
      <w:lvlText w:val=" "/>
      <w:numFmt w:val="bullet"/>
      <w:start w:val="1"/>
    </w:lvl>
  </w:abstractNum>
  <w:abstractNum w:abstractNumId="111">
    <w:nsid w:val="759F82CD"/>
    <w:multiLevelType w:val="hybridMultilevel"/>
    <w:lvl w:ilvl="0">
      <w:lvlJc w:val="left"/>
      <w:lvlText w:val="*"/>
      <w:numFmt w:val="bullet"/>
      <w:start w:val="1"/>
    </w:lvl>
  </w:abstractNum>
  <w:abstractNum w:abstractNumId="112">
    <w:nsid w:val="61E74EA3"/>
    <w:multiLevelType w:val="hybridMultilevel"/>
    <w:lvl w:ilvl="0">
      <w:lvlJc w:val="left"/>
      <w:lvlText w:val=" "/>
      <w:numFmt w:val="bullet"/>
      <w:start w:val="1"/>
    </w:lvl>
  </w:abstractNum>
  <w:abstractNum w:abstractNumId="113">
    <w:nsid w:val="597B4D84"/>
    <w:multiLevelType w:val="hybridMultilevel"/>
    <w:lvl w:ilvl="0">
      <w:lvlJc w:val="left"/>
      <w:lvlText w:val="•"/>
      <w:numFmt w:val="bullet"/>
      <w:start w:val="1"/>
    </w:lvl>
  </w:abstractNum>
  <w:abstractNum w:abstractNumId="114">
    <w:nsid w:val="F819E7F"/>
    <w:multiLevelType w:val="hybridMultilevel"/>
    <w:lvl w:ilvl="0">
      <w:lvlJc w:val="left"/>
      <w:lvlText w:val=" "/>
      <w:numFmt w:val="bullet"/>
      <w:start w:val="1"/>
    </w:lvl>
  </w:abstractNum>
  <w:abstractNum w:abstractNumId="115">
    <w:nsid w:val="57C7D42D"/>
    <w:multiLevelType w:val="hybridMultilevel"/>
    <w:lvl w:ilvl="0">
      <w:lvlJc w:val="left"/>
      <w:lvlText w:val=" "/>
      <w:numFmt w:val="bullet"/>
      <w:start w:val="1"/>
    </w:lvl>
  </w:abstractNum>
  <w:abstractNum w:abstractNumId="116">
    <w:nsid w:val="312167AD"/>
    <w:multiLevelType w:val="hybridMultilevel"/>
    <w:lvl w:ilvl="0">
      <w:lvlJc w:val="left"/>
      <w:lvlText w:val="*"/>
      <w:numFmt w:val="bullet"/>
      <w:start w:val="1"/>
    </w:lvl>
  </w:abstractNum>
  <w:abstractNum w:abstractNumId="117">
    <w:nsid w:val="631B64D4"/>
    <w:multiLevelType w:val="hybridMultilevel"/>
    <w:lvl w:ilvl="0">
      <w:lvlJc w:val="left"/>
      <w:lvlText w:val=" "/>
      <w:numFmt w:val="bullet"/>
      <w:start w:val="1"/>
    </w:lvl>
  </w:abstractNum>
  <w:abstractNum w:abstractNumId="118">
    <w:nsid w:val="78B5E776"/>
    <w:multiLevelType w:val="hybridMultilevel"/>
    <w:lvl w:ilvl="0">
      <w:lvlJc w:val="left"/>
      <w:lvlText w:val=" "/>
      <w:numFmt w:val="bullet"/>
      <w:start w:val="1"/>
    </w:lvl>
  </w:abstractNum>
  <w:abstractNum w:abstractNumId="119">
    <w:nsid w:val="75486E47"/>
    <w:multiLevelType w:val="hybridMultilevel"/>
    <w:lvl w:ilvl="0">
      <w:lvlJc w:val="left"/>
      <w:lvlText w:val=" "/>
      <w:numFmt w:val="bullet"/>
      <w:start w:val="1"/>
    </w:lvl>
  </w:abstractNum>
  <w:abstractNum w:abstractNumId="120">
    <w:nsid w:val="6E534CDE"/>
    <w:multiLevelType w:val="hybridMultilevel"/>
    <w:lvl w:ilvl="0">
      <w:lvlJc w:val="left"/>
      <w:lvlText w:val=" "/>
      <w:numFmt w:val="bullet"/>
      <w:start w:val="1"/>
    </w:lvl>
  </w:abstractNum>
  <w:abstractNum w:abstractNumId="121">
    <w:nsid w:val="1A0DDE32"/>
    <w:multiLevelType w:val="hybridMultilevel"/>
    <w:lvl w:ilvl="0">
      <w:lvlJc w:val="left"/>
      <w:lvlText w:val=" "/>
      <w:numFmt w:val="bullet"/>
      <w:start w:val="1"/>
    </w:lvl>
  </w:abstractNum>
  <w:abstractNum w:abstractNumId="122">
    <w:nsid w:val="65968C1C"/>
    <w:multiLevelType w:val="hybridMultilevel"/>
    <w:lvl w:ilvl="0">
      <w:lvlJc w:val="left"/>
      <w:lvlText w:val=" "/>
      <w:numFmt w:val="bullet"/>
      <w:start w:val="1"/>
    </w:lvl>
  </w:abstractNum>
  <w:abstractNum w:abstractNumId="123">
    <w:nsid w:val="46263DEC"/>
    <w:multiLevelType w:val="hybridMultilevel"/>
    <w:lvl w:ilvl="0">
      <w:lvlJc w:val="left"/>
      <w:lvlText w:val="*"/>
      <w:numFmt w:val="bullet"/>
      <w:start w:val="1"/>
    </w:lvl>
  </w:abstractNum>
  <w:abstractNum w:abstractNumId="124">
    <w:nsid w:val="260D8C4A"/>
    <w:multiLevelType w:val="hybridMultilevel"/>
    <w:lvl w:ilvl="0">
      <w:lvlJc w:val="left"/>
      <w:lvlText w:val=" "/>
      <w:numFmt w:val="bullet"/>
      <w:start w:val="1"/>
    </w:lvl>
  </w:abstractNum>
  <w:abstractNum w:abstractNumId="125">
    <w:nsid w:val="73D4D3C4"/>
    <w:multiLevelType w:val="hybridMultilevel"/>
    <w:lvl w:ilvl="0">
      <w:lvlJc w:val="left"/>
      <w:lvlText w:val=" "/>
      <w:numFmt w:val="bullet"/>
      <w:start w:val="1"/>
    </w:lvl>
  </w:abstractNum>
  <w:abstractNum w:abstractNumId="126">
    <w:nsid w:val="746F2E30"/>
    <w:multiLevelType w:val="hybridMultilevel"/>
    <w:lvl w:ilvl="0">
      <w:lvlJc w:val="left"/>
      <w:lvlText w:val=" "/>
      <w:numFmt w:val="bullet"/>
      <w:start w:val="1"/>
    </w:lvl>
  </w:abstractNum>
  <w:abstractNum w:abstractNumId="127">
    <w:nsid w:val="6FDE8AF6"/>
    <w:multiLevelType w:val="hybridMultilevel"/>
    <w:lvl w:ilvl="0">
      <w:lvlJc w:val="left"/>
      <w:lvlText w:val=" "/>
      <w:numFmt w:val="bullet"/>
      <w:start w:val="1"/>
    </w:lvl>
  </w:abstractNum>
  <w:abstractNum w:abstractNumId="128">
    <w:nsid w:val="3FC32E20"/>
    <w:multiLevelType w:val="hybridMultilevel"/>
    <w:lvl w:ilvl="0">
      <w:lvlJc w:val="left"/>
      <w:lvlText w:val=" "/>
      <w:numFmt w:val="bullet"/>
      <w:start w:val="1"/>
    </w:lvl>
  </w:abstractNum>
  <w:abstractNum w:abstractNumId="129">
    <w:nsid w:val="49C0E823"/>
    <w:multiLevelType w:val="hybridMultilevel"/>
    <w:lvl w:ilvl="0">
      <w:lvlJc w:val="left"/>
      <w:lvlText w:val=" "/>
      <w:numFmt w:val="bullet"/>
      <w:start w:val="1"/>
    </w:lvl>
  </w:abstractNum>
  <w:abstractNum w:abstractNumId="130">
    <w:nsid w:val="14D53685"/>
    <w:multiLevelType w:val="hybridMultilevel"/>
    <w:lvl w:ilvl="0">
      <w:lvlJc w:val="left"/>
      <w:lvlText w:val=" "/>
      <w:numFmt w:val="bullet"/>
      <w:start w:val="1"/>
    </w:lvl>
  </w:abstractNum>
  <w:abstractNum w:abstractNumId="131">
    <w:nsid w:val="230F856C"/>
    <w:multiLevelType w:val="hybridMultilevel"/>
    <w:lvl w:ilvl="0">
      <w:lvlJc w:val="left"/>
      <w:lvlText w:val=" "/>
      <w:numFmt w:val="bullet"/>
      <w:start w:val="1"/>
    </w:lvl>
  </w:abstractNum>
  <w:abstractNum w:abstractNumId="132">
    <w:nsid w:val="6EAA85FB"/>
    <w:multiLevelType w:val="hybridMultilevel"/>
    <w:lvl w:ilvl="0">
      <w:lvlJc w:val="left"/>
      <w:lvlText w:val=" "/>
      <w:numFmt w:val="bullet"/>
      <w:start w:val="1"/>
    </w:lvl>
  </w:abstractNum>
  <w:abstractNum w:abstractNumId="133">
    <w:nsid w:val="3F06ECB2"/>
    <w:multiLevelType w:val="hybridMultilevel"/>
    <w:lvl w:ilvl="0">
      <w:lvlJc w:val="left"/>
      <w:lvlText w:val=" "/>
      <w:numFmt w:val="bullet"/>
      <w:start w:val="1"/>
    </w:lvl>
  </w:abstractNum>
  <w:abstractNum w:abstractNumId="134">
    <w:nsid w:val="3B594807"/>
    <w:multiLevelType w:val="hybridMultilevel"/>
    <w:lvl w:ilvl="0">
      <w:lvlJc w:val="left"/>
      <w:lvlText w:val=" "/>
      <w:numFmt w:val="bullet"/>
      <w:start w:val="1"/>
    </w:lvl>
  </w:abstractNum>
  <w:abstractNum w:abstractNumId="135">
    <w:nsid w:val="6CAA2304"/>
    <w:multiLevelType w:val="hybridMultilevel"/>
    <w:lvl w:ilvl="0">
      <w:lvlJc w:val="left"/>
      <w:lvlText w:val=" "/>
      <w:numFmt w:val="bullet"/>
      <w:start w:val="1"/>
    </w:lvl>
  </w:abstractNum>
  <w:abstractNum w:abstractNumId="136">
    <w:nsid w:val="3F7C2FF4"/>
    <w:multiLevelType w:val="hybridMultilevel"/>
    <w:lvl w:ilvl="0">
      <w:lvlJc w:val="left"/>
      <w:lvlText w:val=" "/>
      <w:numFmt w:val="bullet"/>
      <w:start w:val="1"/>
    </w:lvl>
  </w:abstractNum>
  <w:abstractNum w:abstractNumId="137">
    <w:nsid w:val="25413BEC"/>
    <w:multiLevelType w:val="hybridMultilevel"/>
    <w:lvl w:ilvl="0">
      <w:lvlJc w:val="left"/>
      <w:lvlText w:val=" "/>
      <w:numFmt w:val="bullet"/>
      <w:start w:val="1"/>
    </w:lvl>
  </w:abstractNum>
  <w:abstractNum w:abstractNumId="138">
    <w:nsid w:val="17180B0B"/>
    <w:multiLevelType w:val="hybridMultilevel"/>
    <w:lvl w:ilvl="0">
      <w:lvlJc w:val="left"/>
      <w:lvlText w:val=" "/>
      <w:numFmt w:val="bullet"/>
      <w:start w:val="1"/>
    </w:lvl>
  </w:abstractNum>
  <w:abstractNum w:abstractNumId="139">
    <w:nsid w:val="579328B9"/>
    <w:multiLevelType w:val="hybridMultilevel"/>
    <w:lvl w:ilvl="0">
      <w:lvlJc w:val="left"/>
      <w:lvlText w:val="(%1)"/>
      <w:numFmt w:val="decimal"/>
      <w:start w:val="1"/>
    </w:lvl>
  </w:abstractNum>
  <w:abstractNum w:abstractNumId="140">
    <w:nsid w:val="5D205E20"/>
    <w:multiLevelType w:val="hybridMultilevel"/>
    <w:lvl w:ilvl="0">
      <w:lvlJc w:val="left"/>
      <w:lvlText w:val=" "/>
      <w:numFmt w:val="bullet"/>
      <w:start w:val="1"/>
    </w:lvl>
  </w:abstractNum>
  <w:abstractNum w:abstractNumId="141">
    <w:nsid w:val="11CCA8BA"/>
    <w:multiLevelType w:val="hybridMultilevel"/>
    <w:lvl w:ilvl="0">
      <w:lvlJc w:val="left"/>
      <w:lvlText w:val="(%1)"/>
      <w:numFmt w:val="decimal"/>
      <w:start w:val="1"/>
    </w:lvl>
  </w:abstractNum>
  <w:abstractNum w:abstractNumId="142">
    <w:nsid w:val="4D32AB86"/>
    <w:multiLevelType w:val="hybridMultilevel"/>
    <w:lvl w:ilvl="0">
      <w:lvlJc w:val="left"/>
      <w:lvlText w:val=" "/>
      <w:numFmt w:val="bullet"/>
      <w:start w:val="1"/>
    </w:lvl>
  </w:abstractNum>
  <w:abstractNum w:abstractNumId="143">
    <w:nsid w:val="3F07ACC3"/>
    <w:multiLevelType w:val="hybridMultilevel"/>
    <w:lvl w:ilvl="0">
      <w:lvlJc w:val="left"/>
      <w:lvlText w:val="(%1)"/>
      <w:numFmt w:val="decimal"/>
      <w:start w:val="1"/>
    </w:lvl>
  </w:abstractNum>
  <w:abstractNum w:abstractNumId="144">
    <w:nsid w:val="6B47F63E"/>
    <w:multiLevelType w:val="hybridMultilevel"/>
    <w:lvl w:ilvl="0">
      <w:lvlJc w:val="left"/>
      <w:lvlText w:val=" "/>
      <w:numFmt w:val="bullet"/>
      <w:start w:val="1"/>
    </w:lvl>
  </w:abstractNum>
  <w:abstractNum w:abstractNumId="145">
    <w:nsid w:val="5CB44A05"/>
    <w:multiLevelType w:val="hybridMultilevel"/>
    <w:lvl w:ilvl="0">
      <w:lvlJc w:val="left"/>
      <w:lvlText w:val="(%1)"/>
      <w:numFmt w:val="decimal"/>
      <w:start w:val="1"/>
    </w:lvl>
  </w:abstractNum>
  <w:abstractNum w:abstractNumId="146">
    <w:nsid w:val="16CF80F1"/>
    <w:multiLevelType w:val="hybridMultilevel"/>
    <w:lvl w:ilvl="0">
      <w:lvlJc w:val="left"/>
      <w:lvlText w:val=" "/>
      <w:numFmt w:val="bullet"/>
      <w:start w:val="1"/>
    </w:lvl>
  </w:abstractNum>
  <w:abstractNum w:abstractNumId="147">
    <w:nsid w:val="1C695DEC"/>
    <w:multiLevelType w:val="hybridMultilevel"/>
    <w:lvl w:ilvl="0">
      <w:lvlJc w:val="left"/>
      <w:lvlText w:val="(%1)"/>
      <w:numFmt w:val="decimal"/>
      <w:start w:val="1"/>
    </w:lvl>
    <w:lvl w:ilvl="1">
      <w:lvlJc w:val="left"/>
      <w:lvlText w:val="(%2)"/>
      <w:numFmt w:val="lowerLetter"/>
      <w:start w:val="1"/>
    </w:lvl>
  </w:abstractNum>
  <w:abstractNum w:abstractNumId="148">
    <w:nsid w:val="3FCFAED9"/>
    <w:multiLevelType w:val="hybridMultilevel"/>
    <w:lvl w:ilvl="0">
      <w:lvlJc w:val="left"/>
      <w:lvlText w:val="(%1)"/>
      <w:numFmt w:val="decimal"/>
      <w:start w:val="5"/>
    </w:lvl>
  </w:abstractNum>
  <w:abstractNum w:abstractNumId="149">
    <w:nsid w:val="F856867"/>
    <w:multiLevelType w:val="hybridMultilevel"/>
    <w:lvl w:ilvl="0">
      <w:lvlJc w:val="left"/>
      <w:lvlText w:val=" "/>
      <w:numFmt w:val="bullet"/>
      <w:start w:val="1"/>
    </w:lvl>
  </w:abstractNum>
  <w:abstractNum w:abstractNumId="150">
    <w:nsid w:val="11B1CC33"/>
    <w:multiLevelType w:val="hybridMultilevel"/>
    <w:lvl w:ilvl="0">
      <w:lvlJc w:val="left"/>
      <w:lvlText w:val=" "/>
      <w:numFmt w:val="bullet"/>
      <w:start w:val="1"/>
    </w:lvl>
  </w:abstractNum>
  <w:abstractNum w:abstractNumId="151">
    <w:nsid w:val="2E22FBB7"/>
    <w:multiLevelType w:val="hybridMultilevel"/>
    <w:lvl w:ilvl="0">
      <w:lvlJc w:val="left"/>
      <w:lvlText w:val="(%1)"/>
      <w:numFmt w:val="decimal"/>
      <w:start w:val="1"/>
    </w:lvl>
  </w:abstractNum>
  <w:abstractNum w:abstractNumId="152">
    <w:nsid w:val="29934699"/>
    <w:multiLevelType w:val="hybridMultilevel"/>
    <w:lvl w:ilvl="0">
      <w:lvlJc w:val="left"/>
      <w:lvlText w:val="(%1)"/>
      <w:numFmt w:val="decimal"/>
      <w:start w:val="2"/>
    </w:lvl>
  </w:abstractNum>
  <w:abstractNum w:abstractNumId="153">
    <w:nsid w:val="77485850"/>
    <w:multiLevelType w:val="hybridMultilevel"/>
    <w:lvl w:ilvl="0">
      <w:lvlJc w:val="left"/>
      <w:lvlText w:val="(%1)"/>
      <w:numFmt w:val="decimal"/>
      <w:start w:val="3"/>
    </w:lvl>
  </w:abstractNum>
  <w:abstractNum w:abstractNumId="154">
    <w:nsid w:val="744939A3"/>
    <w:multiLevelType w:val="hybridMultilevel"/>
    <w:lvl w:ilvl="0">
      <w:lvlJc w:val="left"/>
      <w:lvlText w:val="*"/>
      <w:numFmt w:val="bullet"/>
      <w:start w:val="1"/>
    </w:lvl>
  </w:abstractNum>
  <w:abstractNum w:abstractNumId="155">
    <w:nsid w:val="4FA0D2E3"/>
    <w:multiLevelType w:val="hybridMultilevel"/>
    <w:lvl w:ilvl="0">
      <w:lvlJc w:val="left"/>
      <w:lvlText w:val="*"/>
      <w:numFmt w:val="bullet"/>
      <w:start w:val="1"/>
    </w:lvl>
  </w:abstractNum>
  <w:abstractNum w:abstractNumId="156">
    <w:nsid w:val="6B1D2C14"/>
    <w:multiLevelType w:val="hybridMultilevel"/>
    <w:lvl w:ilvl="0">
      <w:lvlJc w:val="left"/>
      <w:lvlText w:val="•"/>
      <w:numFmt w:val="bullet"/>
      <w:start w:val="1"/>
    </w:lvl>
  </w:abstractNum>
  <w:abstractNum w:abstractNumId="157">
    <w:nsid w:val="68B867D3"/>
    <w:multiLevelType w:val="hybridMultilevel"/>
    <w:lvl w:ilvl="0">
      <w:lvlJc w:val="left"/>
      <w:lvlText w:val=" "/>
      <w:numFmt w:val="bullet"/>
      <w:start w:val="1"/>
    </w:lvl>
  </w:abstractNum>
  <w:abstractNum w:abstractNumId="158">
    <w:nsid w:val="3F7F5DD9"/>
    <w:multiLevelType w:val="hybridMultilevel"/>
    <w:lvl w:ilvl="0">
      <w:lvlJc w:val="left"/>
      <w:lvlText w:val="(%1)"/>
      <w:numFmt w:val="decimal"/>
      <w:start w:val="1"/>
    </w:lvl>
  </w:abstractNum>
  <w:abstractNum w:abstractNumId="159">
    <w:nsid w:val="2AE05A34"/>
    <w:multiLevelType w:val="hybridMultilevel"/>
    <w:lvl w:ilvl="0">
      <w:lvlJc w:val="left"/>
      <w:lvlText w:val=" "/>
      <w:numFmt w:val="bullet"/>
      <w:start w:val="1"/>
    </w:lvl>
  </w:abstractNum>
  <w:abstractNum w:abstractNumId="160">
    <w:nsid w:val="32794FF7"/>
    <w:multiLevelType w:val="hybridMultilevel"/>
    <w:lvl w:ilvl="0">
      <w:lvlJc w:val="left"/>
      <w:lvlText w:val="•"/>
      <w:numFmt w:val="bullet"/>
      <w:start w:val="1"/>
    </w:lvl>
  </w:abstractNum>
  <w:abstractNum w:abstractNumId="161">
    <w:nsid w:val="5454945E"/>
    <w:multiLevelType w:val="hybridMultilevel"/>
    <w:lvl w:ilvl="0">
      <w:lvlJc w:val="left"/>
      <w:lvlText w:val="•"/>
      <w:numFmt w:val="bullet"/>
      <w:start w:val="1"/>
    </w:lvl>
  </w:abstractNum>
  <w:abstractNum w:abstractNumId="162">
    <w:nsid w:val="4DEFDFA0"/>
    <w:multiLevelType w:val="hybridMultilevel"/>
    <w:lvl w:ilvl="0">
      <w:lvlJc w:val="left"/>
      <w:lvlText w:val="(%1)"/>
      <w:numFmt w:val="decimal"/>
      <w:start w:val="1"/>
    </w:lvl>
  </w:abstractNum>
  <w:abstractNum w:abstractNumId="163">
    <w:nsid w:val="2123D5F2"/>
    <w:multiLevelType w:val="hybridMultilevel"/>
    <w:lvl w:ilvl="0">
      <w:lvlJc w:val="left"/>
      <w:lvlText w:val=" "/>
      <w:numFmt w:val="bullet"/>
      <w:start w:val="1"/>
    </w:lvl>
  </w:abstractNum>
  <w:abstractNum w:abstractNumId="164">
    <w:nsid w:val="135B8110"/>
    <w:multiLevelType w:val="hybridMultilevel"/>
    <w:lvl w:ilvl="0">
      <w:lvlJc w:val="left"/>
      <w:lvlText w:val="*"/>
      <w:numFmt w:val="bullet"/>
      <w:start w:val="1"/>
    </w:lvl>
  </w:abstractNum>
  <w:abstractNum w:abstractNumId="165">
    <w:nsid w:val="94927A8"/>
    <w:multiLevelType w:val="hybridMultilevel"/>
    <w:lvl w:ilvl="0">
      <w:lvlJc w:val="left"/>
      <w:lvlText w:val="(%1)"/>
      <w:numFmt w:val="decimal"/>
      <w:start w:val="1"/>
    </w:lvl>
  </w:abstractNum>
  <w:abstractNum w:abstractNumId="166">
    <w:nsid w:val="DCDF8F6"/>
    <w:multiLevelType w:val="hybridMultilevel"/>
    <w:lvl w:ilvl="0">
      <w:lvlJc w:val="left"/>
      <w:lvlText w:val=" "/>
      <w:numFmt w:val="bullet"/>
      <w:start w:val="1"/>
    </w:lvl>
  </w:abstractNum>
  <w:abstractNum w:abstractNumId="167">
    <w:nsid w:val="52D7B105"/>
    <w:multiLevelType w:val="hybridMultilevel"/>
    <w:lvl w:ilvl="0">
      <w:lvlJc w:val="left"/>
      <w:lvlText w:val=" "/>
      <w:numFmt w:val="bullet"/>
      <w:start w:val="1"/>
    </w:lvl>
  </w:abstractNum>
  <w:abstractNum w:abstractNumId="168">
    <w:nsid w:val="2E8A6394"/>
    <w:multiLevelType w:val="hybridMultilevel"/>
    <w:lvl w:ilvl="0">
      <w:lvlJc w:val="left"/>
      <w:lvlText w:val=" "/>
      <w:numFmt w:val="bullet"/>
      <w:start w:val="1"/>
    </w:lvl>
  </w:abstractNum>
  <w:abstractNum w:abstractNumId="169">
    <w:nsid w:val="24E60401"/>
    <w:multiLevelType w:val="hybridMultilevel"/>
    <w:lvl w:ilvl="0">
      <w:lvlJc w:val="left"/>
      <w:lvlText w:val=" "/>
      <w:numFmt w:val="bullet"/>
      <w:start w:val="1"/>
    </w:lvl>
  </w:abstractNum>
  <w:abstractNum w:abstractNumId="170">
    <w:nsid w:val="2A6AD9BE"/>
    <w:multiLevelType w:val="hybridMultilevel"/>
    <w:lvl w:ilvl="0">
      <w:lvlJc w:val="left"/>
      <w:lvlText w:val=" "/>
      <w:numFmt w:val="bullet"/>
      <w:start w:val="1"/>
    </w:lvl>
  </w:abstractNum>
  <w:abstractNum w:abstractNumId="171">
    <w:nsid w:val="BAAC1B4"/>
    <w:multiLevelType w:val="hybridMultilevel"/>
    <w:lvl w:ilvl="0">
      <w:lvlJc w:val="left"/>
      <w:lvlText w:val=" "/>
      <w:numFmt w:val="bullet"/>
      <w:start w:val="1"/>
    </w:lvl>
  </w:abstractNum>
  <w:abstractNum w:abstractNumId="172">
    <w:nsid w:val="36B2ACBC"/>
    <w:multiLevelType w:val="hybridMultilevel"/>
    <w:lvl w:ilvl="0">
      <w:lvlJc w:val="left"/>
      <w:lvlText w:val=" "/>
      <w:numFmt w:val="bullet"/>
      <w:start w:val="1"/>
    </w:lvl>
  </w:abstractNum>
  <w:abstractNum w:abstractNumId="173">
    <w:nsid w:val="779D8544"/>
    <w:multiLevelType w:val="hybridMultilevel"/>
    <w:lvl w:ilvl="0">
      <w:lvlJc w:val="left"/>
      <w:lvlText w:val=" "/>
      <w:numFmt w:val="bullet"/>
      <w:start w:val="1"/>
    </w:lvl>
  </w:abstractNum>
  <w:abstractNum w:abstractNumId="174">
    <w:nsid w:val="4AB26E78"/>
    <w:multiLevelType w:val="hybridMultilevel"/>
    <w:lvl w:ilvl="0">
      <w:lvlJc w:val="left"/>
      <w:lvlText w:val="•"/>
      <w:numFmt w:val="bullet"/>
      <w:start w:val="1"/>
    </w:lvl>
  </w:abstractNum>
  <w:abstractNum w:abstractNumId="175">
    <w:nsid w:val="21FAA2F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2026-03-27T07:21:18Z</dcterms:created>
  <dcterms:modified xsi:type="dcterms:W3CDTF">2026-03-27T07:21:18Z</dcterms:modified>
</cp:coreProperties>
</file>